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D294D" w14:textId="77777777" w:rsidR="00C42395" w:rsidRPr="006C2D37" w:rsidRDefault="001F1E13" w:rsidP="006C2D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6C2D37">
        <w:rPr>
          <w:rFonts w:asciiTheme="minorHAnsi" w:hAnsiTheme="minorHAnsi" w:cstheme="minorHAnsi"/>
          <w:sz w:val="24"/>
          <w:szCs w:val="24"/>
        </w:rPr>
        <w:t>30 stycznia 2026</w:t>
      </w:r>
      <w:bookmarkEnd w:id="0"/>
      <w:r w:rsidRPr="006C2D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1A619FC" w14:textId="77777777" w:rsidR="00C42395" w:rsidRPr="006C2D37" w:rsidRDefault="001F1E13" w:rsidP="006C2D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C2D37">
        <w:rPr>
          <w:rFonts w:asciiTheme="minorHAnsi" w:hAnsiTheme="minorHAnsi" w:cstheme="minorHAnsi"/>
          <w:sz w:val="24"/>
          <w:szCs w:val="24"/>
        </w:rPr>
        <w:t>DOOŚ-WDŚII.420.26.2025</w:t>
      </w:r>
      <w:bookmarkEnd w:id="1"/>
      <w:r w:rsidRPr="006C2D37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6C2D37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6C2D37">
        <w:rPr>
          <w:rFonts w:asciiTheme="minorHAnsi" w:hAnsiTheme="minorHAnsi" w:cstheme="minorHAnsi"/>
          <w:sz w:val="24"/>
          <w:szCs w:val="24"/>
        </w:rPr>
        <w:t>.4</w:t>
      </w:r>
    </w:p>
    <w:p w14:paraId="7C3F960F" w14:textId="77777777" w:rsidR="00C42395" w:rsidRPr="006C2D37" w:rsidRDefault="00C42395" w:rsidP="006C2D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2E6CC286" w14:textId="77777777" w:rsidR="00C42395" w:rsidRPr="006C2D37" w:rsidRDefault="001F1E13" w:rsidP="006C2D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DECYZJA</w:t>
      </w:r>
    </w:p>
    <w:p w14:paraId="1D6F58F0" w14:textId="77777777" w:rsidR="00C42395" w:rsidRPr="006C2D37" w:rsidRDefault="001F1E13" w:rsidP="006C2D3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Generalny Dyrektor Ochrony Środowiska, po rozpatrzeniu odwołania Klimsa</w:t>
      </w:r>
      <w:r w:rsidRPr="006C2D37">
        <w:rPr>
          <w:rFonts w:asciiTheme="minorHAnsi" w:hAnsiTheme="minorHAnsi" w:cstheme="minorHAnsi"/>
          <w:sz w:val="24"/>
          <w:szCs w:val="24"/>
        </w:rPr>
        <w:t xml:space="preserve"> Inwestycje sp. z o.o. w Katowicach z 27 sierpnia 2025 r., od decyzji Regionalnego Dyrektora Ochrony Środowiska w Katowicach z 14 sierpnia 2025 r., znak: WOOŚ.420.21.2023.MP.18, na podstawie art. 138 § 1 pkt 1 ustawy z dnia 14 czerwca 1960 r. – Kodeks post</w:t>
      </w:r>
      <w:r w:rsidRPr="006C2D37">
        <w:rPr>
          <w:rFonts w:asciiTheme="minorHAnsi" w:hAnsiTheme="minorHAnsi" w:cstheme="minorHAnsi"/>
          <w:sz w:val="24"/>
          <w:szCs w:val="24"/>
        </w:rPr>
        <w:t>ępowania administracyjnego (Dz. U. z 2025 r. poz. 1691), dalej k.p.a., w związku z art. 71 ust. 2 pkt 2 ustawy z dnia 3 października 2008 r. o udostępnianiu informacji o środowisku i jego ochronie, udziale społeczeństwa w ochronie środowiska oraz o ocenach</w:t>
      </w:r>
      <w:r w:rsidRPr="006C2D37">
        <w:rPr>
          <w:rFonts w:asciiTheme="minorHAnsi" w:hAnsiTheme="minorHAnsi" w:cstheme="minorHAnsi"/>
          <w:sz w:val="24"/>
          <w:szCs w:val="24"/>
        </w:rPr>
        <w:t xml:space="preserve"> oddziaływania na środowisko (Dz. U. z 2024 r. poz. 1112, ze zm.), dalej u.o.o.ś.,</w:t>
      </w:r>
    </w:p>
    <w:p w14:paraId="53B3A2E3" w14:textId="77777777" w:rsidR="00C42395" w:rsidRPr="006C2D37" w:rsidRDefault="00C42395" w:rsidP="006C2D3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D7CC50B" w14:textId="77777777" w:rsidR="00C42395" w:rsidRPr="006C2D37" w:rsidRDefault="001F1E13" w:rsidP="006C2D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utrzymuje ww. decyzję w mocy.</w:t>
      </w:r>
    </w:p>
    <w:p w14:paraId="26A00406" w14:textId="77777777" w:rsidR="00C42395" w:rsidRPr="006C2D37" w:rsidRDefault="001F1E13" w:rsidP="006C2D37">
      <w:pPr>
        <w:spacing w:before="24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Uzasadnienie</w:t>
      </w:r>
    </w:p>
    <w:p w14:paraId="63C72987" w14:textId="77777777" w:rsidR="00C42395" w:rsidRPr="006C2D37" w:rsidRDefault="001F1E13" w:rsidP="006C2D37">
      <w:pPr>
        <w:tabs>
          <w:tab w:val="left" w:pos="851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Wnioskiem z 8 maja 2023 r. Klimsa Inwestycje sp. z o.o. w Katowicach, dalej Spółka, zwróciła się do RDOŚ w Katowicach o wydanie d</w:t>
      </w:r>
      <w:r w:rsidRPr="006C2D37">
        <w:rPr>
          <w:rFonts w:asciiTheme="minorHAnsi" w:hAnsiTheme="minorHAnsi" w:cstheme="minorHAnsi"/>
          <w:sz w:val="24"/>
          <w:szCs w:val="24"/>
        </w:rPr>
        <w:t>ecyzji o środowiskowych uwarunkowaniach dla przedsięwzięcia pn. „Budowa farm wiatrowych Pawłowice o łącznej mocy do 26 MW”.</w:t>
      </w:r>
    </w:p>
    <w:p w14:paraId="6A910797" w14:textId="77777777" w:rsidR="00C42395" w:rsidRPr="006C2D37" w:rsidRDefault="001F1E13" w:rsidP="006C2D37">
      <w:pPr>
        <w:tabs>
          <w:tab w:val="left" w:pos="851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Zawiadomieniem z 21 lipca 2025 r., znak: WOOŚ.420.21.2023.MP.17, RDOŚ w Katowicach poinformował o zgromadzeniu całego materiału dowo</w:t>
      </w:r>
      <w:r w:rsidRPr="006C2D37">
        <w:rPr>
          <w:rFonts w:asciiTheme="minorHAnsi" w:hAnsiTheme="minorHAnsi" w:cstheme="minorHAnsi"/>
          <w:sz w:val="24"/>
          <w:szCs w:val="24"/>
        </w:rPr>
        <w:t>dowego i możliwości wypowiedzenia się co do zebranych dowodów i materiałów oraz zgłoszonych żądań, a także, zgodnie z art. 79a  § 1 k.p.a., że na dzień wysłania informacji nie zostały spełnione przesłanki zależne od strony, co może skutkować wydaniem decyz</w:t>
      </w:r>
      <w:r w:rsidRPr="006C2D37">
        <w:rPr>
          <w:rFonts w:asciiTheme="minorHAnsi" w:hAnsiTheme="minorHAnsi" w:cstheme="minorHAnsi"/>
          <w:sz w:val="24"/>
          <w:szCs w:val="24"/>
        </w:rPr>
        <w:t>ji niezgodnej z żądaniem strony.</w:t>
      </w:r>
    </w:p>
    <w:p w14:paraId="58DD2D1B" w14:textId="77777777" w:rsidR="00C42395" w:rsidRPr="006C2D37" w:rsidRDefault="001F1E13" w:rsidP="006C2D37">
      <w:pPr>
        <w:tabs>
          <w:tab w:val="left" w:pos="851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Następnie RDOŚ w Katowicach decyzją z 14 sierpnia 2025 r., znak: WOOŚ.420.21.2023.MP.18, odmówił zgody na realizację ww. przedsięwzięcia.</w:t>
      </w:r>
    </w:p>
    <w:p w14:paraId="38184B50" w14:textId="77777777" w:rsidR="00C42395" w:rsidRPr="006C2D37" w:rsidRDefault="001F1E13" w:rsidP="006C2D37">
      <w:pPr>
        <w:tabs>
          <w:tab w:val="left" w:pos="851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Od powyższej decyzji odwołanie z 27 sierpnia 2025 r. wniosła Spółka, wskazując na nar</w:t>
      </w:r>
      <w:r w:rsidRPr="006C2D37">
        <w:rPr>
          <w:rFonts w:asciiTheme="minorHAnsi" w:hAnsiTheme="minorHAnsi" w:cstheme="minorHAnsi"/>
          <w:sz w:val="24"/>
          <w:szCs w:val="24"/>
        </w:rPr>
        <w:t>uszenie:</w:t>
      </w:r>
    </w:p>
    <w:p w14:paraId="170E0220" w14:textId="77777777" w:rsidR="00C42395" w:rsidRPr="006C2D37" w:rsidRDefault="001F1E13" w:rsidP="006C2D37">
      <w:pPr>
        <w:pStyle w:val="Akapitzlist"/>
        <w:numPr>
          <w:ilvl w:val="0"/>
          <w:numId w:val="1"/>
        </w:numPr>
        <w:tabs>
          <w:tab w:val="left" w:pos="851"/>
        </w:tabs>
        <w:spacing w:after="0" w:line="312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art. 6 k.p.a., poprzez wydanie decyzji bez podstaw prawnych z rażącym naruszeniem przepisów art. 9 ust. 2 pkt 2 ustawy z dnia 9 marca 2023 r. o zmianie ustawy o </w:t>
      </w:r>
      <w:r w:rsidRPr="006C2D37">
        <w:rPr>
          <w:rFonts w:asciiTheme="minorHAnsi" w:hAnsiTheme="minorHAnsi" w:cstheme="minorHAnsi"/>
          <w:sz w:val="24"/>
          <w:szCs w:val="24"/>
        </w:rPr>
        <w:lastRenderedPageBreak/>
        <w:t>inwestycjach w zakresie elektrowni wiatrowych oraz niektórych innych ustaw (Dz. U. z 2</w:t>
      </w:r>
      <w:r w:rsidRPr="006C2D37">
        <w:rPr>
          <w:rFonts w:asciiTheme="minorHAnsi" w:hAnsiTheme="minorHAnsi" w:cstheme="minorHAnsi"/>
          <w:sz w:val="24"/>
          <w:szCs w:val="24"/>
        </w:rPr>
        <w:t>023 r. poz. 553, ze zm.), dalej u.z.u.w.;</w:t>
      </w:r>
    </w:p>
    <w:p w14:paraId="0F7432BC" w14:textId="77777777" w:rsidR="00C42395" w:rsidRPr="006C2D37" w:rsidRDefault="001F1E13" w:rsidP="006C2D37">
      <w:pPr>
        <w:pStyle w:val="Akapitzlist"/>
        <w:numPr>
          <w:ilvl w:val="0"/>
          <w:numId w:val="1"/>
        </w:numPr>
        <w:tabs>
          <w:tab w:val="left" w:pos="851"/>
        </w:tabs>
        <w:spacing w:after="0" w:line="312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art. 11 i 107 § 3 k.p.a., poprzez brak odniesienia się w decyzji do argumentów przedstawionych przez Spółkę w pismach z dnia 22 kwietnia 2025 r. i 15 maja 205 r. w trakcie postępowania, jak też poprzez sporządzenie</w:t>
      </w:r>
      <w:r w:rsidRPr="006C2D37">
        <w:rPr>
          <w:rFonts w:asciiTheme="minorHAnsi" w:hAnsiTheme="minorHAnsi" w:cstheme="minorHAnsi"/>
          <w:sz w:val="24"/>
          <w:szCs w:val="24"/>
        </w:rPr>
        <w:t xml:space="preserve"> uzasadnienia decyzji w sposób nierzetelny i niespójny, co prowadzi do jego niezrozumienia w szczególności w zakresie dotyczącym uzasadnienia prawnego;</w:t>
      </w:r>
    </w:p>
    <w:p w14:paraId="77CB171B" w14:textId="77777777" w:rsidR="00C42395" w:rsidRPr="006C2D37" w:rsidRDefault="001F1E13" w:rsidP="006C2D37">
      <w:pPr>
        <w:pStyle w:val="Akapitzlist"/>
        <w:numPr>
          <w:ilvl w:val="0"/>
          <w:numId w:val="1"/>
        </w:numPr>
        <w:tabs>
          <w:tab w:val="left" w:pos="851"/>
        </w:tabs>
        <w:spacing w:after="0" w:line="312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art. 7a i 8 k.p.a., poprzez uznanie pojawiających się w doktrynie wątpliwości interpretacyjnych jako pod</w:t>
      </w:r>
      <w:r w:rsidRPr="006C2D37">
        <w:rPr>
          <w:rFonts w:asciiTheme="minorHAnsi" w:hAnsiTheme="minorHAnsi" w:cstheme="minorHAnsi"/>
          <w:sz w:val="24"/>
          <w:szCs w:val="24"/>
        </w:rPr>
        <w:t>stawy prawnej do rozstrzygnięcia sprawy oraz pominięcie wypracowanej pod rządami nowych przepisów tj. ustawy wiatrakowej i ustawy zmieniającej, linii decyzyjnych wypracowanych przez inne organy wydające decyzje środowiskowe w analogicznych stanach faktyczn</w:t>
      </w:r>
      <w:r w:rsidRPr="006C2D37">
        <w:rPr>
          <w:rFonts w:asciiTheme="minorHAnsi" w:hAnsiTheme="minorHAnsi" w:cstheme="minorHAnsi"/>
          <w:sz w:val="24"/>
          <w:szCs w:val="24"/>
        </w:rPr>
        <w:t>ych, co skutkuje funkcjonowaniem w obrocie prawnym rozbieżnych rozstrzygnięć;</w:t>
      </w:r>
    </w:p>
    <w:p w14:paraId="45426B95" w14:textId="77777777" w:rsidR="00C42395" w:rsidRPr="006C2D37" w:rsidRDefault="001F1E13" w:rsidP="006C2D37">
      <w:pPr>
        <w:pStyle w:val="Akapitzlist"/>
        <w:numPr>
          <w:ilvl w:val="0"/>
          <w:numId w:val="1"/>
        </w:numPr>
        <w:tabs>
          <w:tab w:val="left" w:pos="851"/>
        </w:tabs>
        <w:spacing w:line="312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art. 5 ust. 1 pkt 6 ustawy z dnia 20 maja 2016 r. o inwestycjach w zakresie elektrowni wiatrowych (Dz. U. z 2024 r. poz. 317), dalej u.w., poprzez uznanie, że norma wyrażona w ty</w:t>
      </w:r>
      <w:r w:rsidRPr="006C2D37">
        <w:rPr>
          <w:rFonts w:asciiTheme="minorHAnsi" w:hAnsiTheme="minorHAnsi" w:cstheme="minorHAnsi"/>
          <w:sz w:val="24"/>
          <w:szCs w:val="24"/>
        </w:rPr>
        <w:t>m przepisie ma zastosowanie w niniejszej sprawie jako norma wskazująca na sposób liczenia odległości 700 m, jak też z drugiej strony, że norma wskazana w tym przepisie ma charakter samodzielny, oderwany od przepisu art. 4 u.w., co w konsekwencji doprowadzi</w:t>
      </w:r>
      <w:r w:rsidRPr="006C2D37">
        <w:rPr>
          <w:rFonts w:asciiTheme="minorHAnsi" w:hAnsiTheme="minorHAnsi" w:cstheme="minorHAnsi"/>
          <w:sz w:val="24"/>
          <w:szCs w:val="24"/>
        </w:rPr>
        <w:t>ło do nieuprawnionego zastosowania tych przepisów do wyliczenia odległości wskazanej w art. 9 ust. 2 pkt 2 u.z.u.w., poprzez ich błędną wykładnię i niewłaściwe zastosowanie, naruszające konstytucyjne zasady demokratycznego państwa, prawa i działania organó</w:t>
      </w:r>
      <w:r w:rsidRPr="006C2D37">
        <w:rPr>
          <w:rFonts w:asciiTheme="minorHAnsi" w:hAnsiTheme="minorHAnsi" w:cstheme="minorHAnsi"/>
          <w:sz w:val="24"/>
          <w:szCs w:val="24"/>
        </w:rPr>
        <w:t xml:space="preserve">w na podstawie i w granicach prawa i naruszenie zasady </w:t>
      </w:r>
      <w:r w:rsidRPr="006C2D37">
        <w:rPr>
          <w:rFonts w:asciiTheme="minorHAnsi" w:hAnsiTheme="minorHAnsi" w:cstheme="minorHAnsi"/>
          <w:i/>
          <w:iCs/>
          <w:sz w:val="24"/>
          <w:szCs w:val="24"/>
        </w:rPr>
        <w:t>clara non sunt interpretanda</w:t>
      </w:r>
      <w:r w:rsidRPr="006C2D37">
        <w:rPr>
          <w:rFonts w:asciiTheme="minorHAnsi" w:hAnsiTheme="minorHAnsi" w:cstheme="minorHAnsi"/>
          <w:sz w:val="24"/>
          <w:szCs w:val="24"/>
        </w:rPr>
        <w:t>, podczas gdy taka wykładnia jest całkowicie nieprawidłowa i stanowi niedopuszczalne tworzenie norm prawnych przez organ, które z przepisów w żadnej mierze nie wynikają.</w:t>
      </w:r>
    </w:p>
    <w:p w14:paraId="202607E0" w14:textId="77777777" w:rsidR="00C42395" w:rsidRPr="006C2D37" w:rsidRDefault="001F1E13" w:rsidP="006C2D37">
      <w:pPr>
        <w:tabs>
          <w:tab w:val="left" w:pos="851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Rów</w:t>
      </w:r>
      <w:r w:rsidRPr="006C2D37">
        <w:rPr>
          <w:rFonts w:asciiTheme="minorHAnsi" w:hAnsiTheme="minorHAnsi" w:cstheme="minorHAnsi"/>
          <w:sz w:val="24"/>
          <w:szCs w:val="24"/>
        </w:rPr>
        <w:t>nocześnie Spółka wniosła o:</w:t>
      </w:r>
    </w:p>
    <w:p w14:paraId="6E08E08F" w14:textId="77777777" w:rsidR="00C42395" w:rsidRPr="006C2D37" w:rsidRDefault="001F1E13" w:rsidP="006C2D37">
      <w:pPr>
        <w:pStyle w:val="Akapitzlist"/>
        <w:numPr>
          <w:ilvl w:val="0"/>
          <w:numId w:val="4"/>
        </w:numPr>
        <w:tabs>
          <w:tab w:val="left" w:pos="851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uchylenie decyzji RDOŚ w Katowicach z 14 sierpnia 2025 r. w całości i wydanie decyzji zgodnej z wnioskiem strony;</w:t>
      </w:r>
    </w:p>
    <w:p w14:paraId="659BB307" w14:textId="77777777" w:rsidR="00C42395" w:rsidRPr="006C2D37" w:rsidRDefault="001F1E13" w:rsidP="006C2D37">
      <w:pPr>
        <w:pStyle w:val="Akapitzlist"/>
        <w:numPr>
          <w:ilvl w:val="0"/>
          <w:numId w:val="4"/>
        </w:numPr>
        <w:tabs>
          <w:tab w:val="left" w:pos="851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wydanie orzeczenia po przeprowadzeniu rozprawy;</w:t>
      </w:r>
    </w:p>
    <w:p w14:paraId="212FEEBC" w14:textId="77777777" w:rsidR="00C42395" w:rsidRPr="006C2D37" w:rsidRDefault="001F1E13" w:rsidP="006C2D37">
      <w:pPr>
        <w:pStyle w:val="Akapitzlist"/>
        <w:numPr>
          <w:ilvl w:val="0"/>
          <w:numId w:val="4"/>
        </w:numPr>
        <w:tabs>
          <w:tab w:val="left" w:pos="851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ewentualnie rozpatrzenie możliwości wydania decyzji zgodnie z </w:t>
      </w:r>
      <w:r w:rsidRPr="006C2D37">
        <w:rPr>
          <w:rFonts w:asciiTheme="minorHAnsi" w:hAnsiTheme="minorHAnsi" w:cstheme="minorHAnsi"/>
          <w:sz w:val="24"/>
          <w:szCs w:val="24"/>
        </w:rPr>
        <w:t>wnioskiem strony w trybie art. 132 k.p.a.</w:t>
      </w:r>
    </w:p>
    <w:p w14:paraId="46E657F2" w14:textId="77777777" w:rsidR="00C42395" w:rsidRPr="006C2D37" w:rsidRDefault="001F1E13" w:rsidP="006C2D37">
      <w:pPr>
        <w:tabs>
          <w:tab w:val="left" w:pos="851"/>
        </w:tabs>
        <w:spacing w:before="24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GDOŚ ustalił i zważył, co następuje.</w:t>
      </w:r>
    </w:p>
    <w:p w14:paraId="0DC8BADB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126659402"/>
      <w:r w:rsidRPr="006C2D37">
        <w:rPr>
          <w:rFonts w:asciiTheme="minorHAnsi" w:hAnsiTheme="minorHAnsi" w:cstheme="minorHAnsi"/>
          <w:sz w:val="24"/>
          <w:szCs w:val="24"/>
        </w:rPr>
        <w:t xml:space="preserve">Jak wynika z art. 127 ust. 3 u.o.o.ś., </w:t>
      </w:r>
      <w:bookmarkEnd w:id="4"/>
      <w:r w:rsidRPr="006C2D37">
        <w:rPr>
          <w:rFonts w:asciiTheme="minorHAnsi" w:hAnsiTheme="minorHAnsi" w:cstheme="minorHAnsi"/>
          <w:sz w:val="24"/>
          <w:szCs w:val="24"/>
        </w:rPr>
        <w:t>GDOŚ pełni funkcję organu wyższego stopnia w rozumieniu k.p.a. w stosunku do regionalnych dyrektorów ochrony środowiska, zatem jest organe</w:t>
      </w:r>
      <w:r w:rsidRPr="006C2D37">
        <w:rPr>
          <w:rFonts w:asciiTheme="minorHAnsi" w:hAnsiTheme="minorHAnsi" w:cstheme="minorHAnsi"/>
          <w:sz w:val="24"/>
          <w:szCs w:val="24"/>
        </w:rPr>
        <w:t>m właściwym do rozpatrzenia odwołania od decyzji RDOŚ w Katowicach.</w:t>
      </w:r>
    </w:p>
    <w:p w14:paraId="68B51229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lastRenderedPageBreak/>
        <w:t>Odwołanie od ww. decyzji zostało wniesione z zachowaniem terminu przewidzianego w art. 129 § 2 k.p.a. – zaskarżona decyzja została doręczona odwołującej się Spółce 19 sierpnia 2025 r., nat</w:t>
      </w:r>
      <w:r w:rsidRPr="006C2D37">
        <w:rPr>
          <w:rFonts w:asciiTheme="minorHAnsi" w:hAnsiTheme="minorHAnsi" w:cstheme="minorHAnsi"/>
          <w:sz w:val="24"/>
          <w:szCs w:val="24"/>
        </w:rPr>
        <w:t>omiast odwołanie wniesiono 29 sierpnia 2025 r. (data nadania w placówce pocztowej wyznaczonego operatora pocztowego).</w:t>
      </w:r>
    </w:p>
    <w:p w14:paraId="0586AE5A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Mając na uwadze zasadę dwuinstancyjności postępowania administracyjnego, której istotą jest zapewnienie stronom prawa do dwukrotnego rozpa</w:t>
      </w:r>
      <w:r w:rsidRPr="006C2D37">
        <w:rPr>
          <w:rFonts w:asciiTheme="minorHAnsi" w:hAnsiTheme="minorHAnsi" w:cstheme="minorHAnsi"/>
          <w:sz w:val="24"/>
          <w:szCs w:val="24"/>
        </w:rPr>
        <w:t>trzenia i rozstrzygnięcia sprawy, GDOŚ w ramach postępowania odwoławczego dokonał analizy sprawy w pełnym zakresie co do okoliczności faktycznych i prawnych.</w:t>
      </w:r>
    </w:p>
    <w:p w14:paraId="1ADB650D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Zgodnie z przedłożonym przy piśmie Spółki z 13 marca 2025 r. raportem o odziaływaniu przedsięwzięc</w:t>
      </w:r>
      <w:r w:rsidRPr="006C2D37">
        <w:rPr>
          <w:rFonts w:asciiTheme="minorHAnsi" w:hAnsiTheme="minorHAnsi" w:cstheme="minorHAnsi"/>
          <w:sz w:val="24"/>
          <w:szCs w:val="24"/>
        </w:rPr>
        <w:t>ia na środowisko z lutego 2025 r., dalej raport ooś, planowane przedsięwzięcie polega na realizacji farmy wiatrowej Pawłowice składającej się z maksymalnie 6 turbin wiatrowych (o wysokości od 40 do 169 m) wraz z niezbędną infrastrukturą, o maksymalnej mocy</w:t>
      </w:r>
      <w:r w:rsidRPr="006C2D37">
        <w:rPr>
          <w:rFonts w:asciiTheme="minorHAnsi" w:hAnsiTheme="minorHAnsi" w:cstheme="minorHAnsi"/>
          <w:sz w:val="24"/>
          <w:szCs w:val="24"/>
        </w:rPr>
        <w:t xml:space="preserve"> farmy do 26 MW. </w:t>
      </w:r>
    </w:p>
    <w:p w14:paraId="6DC05998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Planowane przedsięwzięcie zlokalizowane będzie na działkach ewid. nr 2071/251, 2082/251, 517/211, 3535/178, 4175/168, 3207/191, 3208/191, 1554/240, 3154/167, 4516/178, 2088/243, 2087/243, 2562/243, 2561/251, 3132/1177, 3133/177, 3134/177 </w:t>
      </w:r>
      <w:r w:rsidRPr="006C2D37">
        <w:rPr>
          <w:rFonts w:asciiTheme="minorHAnsi" w:hAnsiTheme="minorHAnsi" w:cstheme="minorHAnsi"/>
          <w:sz w:val="24"/>
          <w:szCs w:val="24"/>
        </w:rPr>
        <w:t xml:space="preserve">obręb Warszowice, gmina Pawłowice, powiat pszczyński. </w:t>
      </w:r>
    </w:p>
    <w:p w14:paraId="073A0D11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Ww. działki, zgodnie z załączonym do wniosku z 8 maja 2023 r. wyrysem z miejscowego planu zagospodarowania przestrzennego zatwierdzonego Uchwałą Nr VII/88/2011 Rady Gminy Pawłowice z dnia 21 czerwca 20</w:t>
      </w:r>
      <w:r w:rsidRPr="006C2D37">
        <w:rPr>
          <w:rFonts w:asciiTheme="minorHAnsi" w:hAnsiTheme="minorHAnsi" w:cstheme="minorHAnsi"/>
          <w:sz w:val="24"/>
          <w:szCs w:val="24"/>
        </w:rPr>
        <w:t>11 r. w sprawie uchwalenia miejscowego planu zagospodarowania przestrzennego dla części sołectw Pawłowice i Warszowice (Dz. Urz. Woj. Ślą. Nr 177, poz. 3283), dalej m.p.z.p., położone są w obszarze objętym m.p.z.p. oznaczonym symbolem 7RP – tereny rolnicze</w:t>
      </w:r>
      <w:r w:rsidRPr="006C2D37">
        <w:rPr>
          <w:rFonts w:asciiTheme="minorHAnsi" w:hAnsiTheme="minorHAnsi" w:cstheme="minorHAnsi"/>
          <w:sz w:val="24"/>
          <w:szCs w:val="24"/>
        </w:rPr>
        <w:t>. W myśl § 14 ust. 4 m.p.z.p., na terenach oznaczonych symbolem 7RP, ustala się możliwość realizacji turbin wiatrowych.</w:t>
      </w:r>
    </w:p>
    <w:p w14:paraId="5913E791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Powyżej opisane przedsięwzięcie należy zakwalifikować zgodnie z § 3 ust. 1 pkt 6 lit b rozporządzenia Rady Ministrów z 10 września 2019 </w:t>
      </w:r>
      <w:r w:rsidRPr="006C2D37">
        <w:rPr>
          <w:rFonts w:asciiTheme="minorHAnsi" w:hAnsiTheme="minorHAnsi" w:cstheme="minorHAnsi"/>
          <w:sz w:val="24"/>
          <w:szCs w:val="24"/>
        </w:rPr>
        <w:t>r. w sprawie przedsięwzięć mogących znacząco oddziaływać na środowisko (Dz. U. z 2019 r. poz. 1838, ze zm.), dalej r.o.o.ś., jako przedsięwzięcie mogące potencjalnie znacząco oddziaływać na środowisko, polegające na realizacji instalacji wykorzystującej do</w:t>
      </w:r>
      <w:r w:rsidRPr="006C2D37">
        <w:rPr>
          <w:rFonts w:asciiTheme="minorHAnsi" w:hAnsiTheme="minorHAnsi" w:cstheme="minorHAnsi"/>
          <w:sz w:val="24"/>
          <w:szCs w:val="24"/>
        </w:rPr>
        <w:t xml:space="preserve"> wytwarzania energii elektrycznej energię wiatru, innej niż wymienione w z § 2 ust. 1 pkt 5, o całkowitej wysokości nie niższej niż 30 m. Z uwagi na powyższe, na mocy art. 71 ust. 1 pkt 2 u.o.o.ś., przedsięwzięcie to wymaga uzyskania decyzji o środowiskowy</w:t>
      </w:r>
      <w:r w:rsidRPr="006C2D37">
        <w:rPr>
          <w:rFonts w:asciiTheme="minorHAnsi" w:hAnsiTheme="minorHAnsi" w:cstheme="minorHAnsi"/>
          <w:sz w:val="24"/>
          <w:szCs w:val="24"/>
        </w:rPr>
        <w:t>ch uwarunkowaniach.</w:t>
      </w:r>
    </w:p>
    <w:p w14:paraId="6BA78DD3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Organ wydający decyzję o środowiskowych uwarunkowaniach działa w granicach wniosku inwestora, badając możliwość udzielenia zgody na realizację przedsięwzięcia w wariancie wskazanym przez inwestora. Jeśli w wyniku analizy dokumentacji zg</w:t>
      </w:r>
      <w:r w:rsidRPr="006C2D37">
        <w:rPr>
          <w:rFonts w:asciiTheme="minorHAnsi" w:hAnsiTheme="minorHAnsi" w:cstheme="minorHAnsi"/>
          <w:sz w:val="24"/>
          <w:szCs w:val="24"/>
        </w:rPr>
        <w:t xml:space="preserve">romadzonej w trakcie </w:t>
      </w:r>
      <w:r w:rsidRPr="006C2D37">
        <w:rPr>
          <w:rFonts w:asciiTheme="minorHAnsi" w:hAnsiTheme="minorHAnsi" w:cstheme="minorHAnsi"/>
          <w:sz w:val="24"/>
          <w:szCs w:val="24"/>
        </w:rPr>
        <w:lastRenderedPageBreak/>
        <w:t>prowadzonego postępowania nie zdiagnozuje on przesłanek odmownych określenia warunków realizacji przedsięwzięcia, wówczas jest zobowiązany do wskazania w decyzji wariantu inwestora jako dopuszczonego do realizacji i określenia dla nieg</w:t>
      </w:r>
      <w:r w:rsidRPr="006C2D37">
        <w:rPr>
          <w:rFonts w:asciiTheme="minorHAnsi" w:hAnsiTheme="minorHAnsi" w:cstheme="minorHAnsi"/>
          <w:sz w:val="24"/>
          <w:szCs w:val="24"/>
        </w:rPr>
        <w:t>o warunków realizacji.</w:t>
      </w:r>
    </w:p>
    <w:p w14:paraId="15F8C3ED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Przesłanki odmowy zgody na realizację przedsięwzięcia wymienione zostały w art. 80 ust. 2 oraz art. 81 u.o.o.ś. Ponadto przesłankami odmowy zgody na realizację przedsięwzięcia mogą być również inne okoliczności, ale muszą one wynikać</w:t>
      </w:r>
      <w:r w:rsidRPr="006C2D37">
        <w:rPr>
          <w:rFonts w:asciiTheme="minorHAnsi" w:hAnsiTheme="minorHAnsi" w:cstheme="minorHAnsi"/>
          <w:sz w:val="24"/>
          <w:szCs w:val="24"/>
        </w:rPr>
        <w:t xml:space="preserve"> z konkretnych uregulowań prawnych lub faktycznych. Rozpatrując więc wniosek o wydanie decyzji o środowiskowych uwarunkowaniach, należy wpierw zbadać dopuszczalność realizacji planowanego przedsięwzięcia. U podstaw wydania decyzji określającej środowiskowe</w:t>
      </w:r>
      <w:r w:rsidRPr="006C2D37">
        <w:rPr>
          <w:rFonts w:asciiTheme="minorHAnsi" w:hAnsiTheme="minorHAnsi" w:cstheme="minorHAnsi"/>
          <w:sz w:val="24"/>
          <w:szCs w:val="24"/>
        </w:rPr>
        <w:t xml:space="preserve"> uwarunkowania realizacji przedsięwzięcia musi leżeć założenie, że inwestycja objęta wnioskiem jest w ogóle dopuszczalna.</w:t>
      </w:r>
    </w:p>
    <w:p w14:paraId="038120B6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 niniejszym przypadku, zgodnie z treścią decyzji RDOŚ w Katowicach z 14 sierpnia 2025 r., przesłanką determinującą odmowę zgody na re</w:t>
      </w:r>
      <w:r w:rsidRPr="006C2D37">
        <w:rPr>
          <w:rFonts w:asciiTheme="minorHAnsi" w:hAnsiTheme="minorHAnsi" w:cstheme="minorHAnsi"/>
          <w:sz w:val="24"/>
          <w:szCs w:val="24"/>
        </w:rPr>
        <w:t>alizację przedsięwzięcia był warunek zachowania wymaganej odległości elektrowni wiatrowej od budynku mieszkalnego, o którym mowa w art. 9 ust. 2 pkt 2 u.z.u.w. Zgodnie z tym przepisem organ prowadzący postępowanie w sprawie decyzji o środowiskowych uwarunk</w:t>
      </w:r>
      <w:r w:rsidRPr="006C2D37">
        <w:rPr>
          <w:rFonts w:asciiTheme="minorHAnsi" w:hAnsiTheme="minorHAnsi" w:cstheme="minorHAnsi"/>
          <w:sz w:val="24"/>
          <w:szCs w:val="24"/>
        </w:rPr>
        <w:t>owaniach odmawia zgody na realizację przedsięwzięcia, jeżeli inwestycja w zakresie elektrowni wiatrowej nie spełnia wymogu zachowania odległości nie mniejszej niż 700 metrów od budynku mieszkalnego lub budynku o funkcji mieszanej. Przy czym zaznaczenia wym</w:t>
      </w:r>
      <w:r w:rsidRPr="006C2D37">
        <w:rPr>
          <w:rFonts w:asciiTheme="minorHAnsi" w:hAnsiTheme="minorHAnsi" w:cstheme="minorHAnsi"/>
          <w:sz w:val="24"/>
          <w:szCs w:val="24"/>
        </w:rPr>
        <w:t xml:space="preserve">aga, że odległość o której mowa w powyższym przepisie, w ocenie organu pierwszej instancji, winna być liczona w myśl art. 5 ust. 1 pkt 1 i 6 u.w., tj. między rzutem poziomym istniejącego budynku mieszkalnego albo istniejącego budynku o funkcji mieszanej a </w:t>
      </w:r>
      <w:r w:rsidRPr="006C2D37">
        <w:rPr>
          <w:rFonts w:asciiTheme="minorHAnsi" w:hAnsiTheme="minorHAnsi" w:cstheme="minorHAnsi"/>
          <w:sz w:val="24"/>
          <w:szCs w:val="24"/>
        </w:rPr>
        <w:t xml:space="preserve">linią rozgraniczającą teren, którego sposób zagospodarowania określony w planie miejscowym dopuszcza budowę elektrowni wiatrowej – w przypadku lokalizowania elektrowni wiatrowej. </w:t>
      </w:r>
    </w:p>
    <w:p w14:paraId="0BD08FC8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Mając na uwadze powyższe, RDOŚ w Katowicach odmówił zgody na realizację prze</w:t>
      </w:r>
      <w:r w:rsidRPr="006C2D37">
        <w:rPr>
          <w:rFonts w:asciiTheme="minorHAnsi" w:hAnsiTheme="minorHAnsi" w:cstheme="minorHAnsi"/>
          <w:sz w:val="24"/>
          <w:szCs w:val="24"/>
        </w:rPr>
        <w:t>dmiotowej inwestycji, ze względu na fakt, że teren oznaczony symbolem 7RP w m.p.z.p., na którym planowana jest farma wiatrowa (teren, którego sposób zagospodarowania określony w planie miejscowym dopuszcza budowę elektrowni wiatrowej), znajduje się w bezpo</w:t>
      </w:r>
      <w:r w:rsidRPr="006C2D37">
        <w:rPr>
          <w:rFonts w:asciiTheme="minorHAnsi" w:hAnsiTheme="minorHAnsi" w:cstheme="minorHAnsi"/>
          <w:sz w:val="24"/>
          <w:szCs w:val="24"/>
        </w:rPr>
        <w:t>średnim sąsiedztwie terenów oznaczonych w m.p.z.p. symbolem MN – zabudowa mieszkaniowa jednorodzinna, a najbliższe budynki mieszkalne zlokalizowane są w odległości ok. 15 m od linii rozgraniczającej teren, na którym planowane jest przedsięwzięcie, np. budy</w:t>
      </w:r>
      <w:r w:rsidRPr="006C2D37">
        <w:rPr>
          <w:rFonts w:asciiTheme="minorHAnsi" w:hAnsiTheme="minorHAnsi" w:cstheme="minorHAnsi"/>
          <w:sz w:val="24"/>
          <w:szCs w:val="24"/>
        </w:rPr>
        <w:t>nek mieszkalny znajdujący się na działce ewid. nr 4296/216 obręb Warszowice (na północ od terenu oznaczonego jako 7RP).</w:t>
      </w:r>
    </w:p>
    <w:p w14:paraId="5B289ED5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lastRenderedPageBreak/>
        <w:t>Organ odwoławczy podziela stanowisko RDOŚ w Katowicach przedstawione w skarżonej decyzji z 14 sierpnia 2025 r. W ocenie GDOŚ, organ pier</w:t>
      </w:r>
      <w:r w:rsidRPr="006C2D37">
        <w:rPr>
          <w:rFonts w:asciiTheme="minorHAnsi" w:hAnsiTheme="minorHAnsi" w:cstheme="minorHAnsi"/>
          <w:sz w:val="24"/>
          <w:szCs w:val="24"/>
        </w:rPr>
        <w:t>wszej instancji słusznie odmówił zgody na realizację planowanej farmy wiatrowej, powołując się przy tym na art. 9 ust. 2 pkt 2 u.z.u.w. w związku z art. 5 ust. 1 pkt 6 u.w.</w:t>
      </w:r>
    </w:p>
    <w:p w14:paraId="40622D8A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 niniejszej sprawie przesłanki odmowy zgody na realizację przedmiotowego przedsięw</w:t>
      </w:r>
      <w:r w:rsidRPr="006C2D37">
        <w:rPr>
          <w:rFonts w:asciiTheme="minorHAnsi" w:hAnsiTheme="minorHAnsi" w:cstheme="minorHAnsi"/>
          <w:sz w:val="24"/>
          <w:szCs w:val="24"/>
        </w:rPr>
        <w:t>zięcia należy poszukiwać w innych uregulowaniach prawnych niż ww. art. 80 ust. 2 oraz art. 81 u.o.o.ś., a mianowicie w przepisach u.w. oraz u.z.u.w., które bezpośrednio odnoszą się do kwestii lokalizowania i dopuszczalności realizacji inwestycji w zakresie</w:t>
      </w:r>
      <w:r w:rsidRPr="006C2D37">
        <w:rPr>
          <w:rFonts w:asciiTheme="minorHAnsi" w:hAnsiTheme="minorHAnsi" w:cstheme="minorHAnsi"/>
          <w:sz w:val="24"/>
          <w:szCs w:val="24"/>
        </w:rPr>
        <w:t xml:space="preserve"> elektrowni wiatrowych.</w:t>
      </w:r>
    </w:p>
    <w:p w14:paraId="1179F102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 pierwszej kolejności zaznaczyć należy, że m.p.z.p. obowiązujący na obszarze, gdzie realizowane ma być przedmiotowe przedsięwzięcie, został uchwalony przed dniem wejścia w życie u.w., czyli przed dniem 20 maja 2016 r. Zgodnie z art</w:t>
      </w:r>
      <w:r w:rsidRPr="006C2D37">
        <w:rPr>
          <w:rFonts w:asciiTheme="minorHAnsi" w:hAnsiTheme="minorHAnsi" w:cstheme="minorHAnsi"/>
          <w:sz w:val="24"/>
          <w:szCs w:val="24"/>
        </w:rPr>
        <w:t>. 15 ust. 2 u.w., plany miejscowe obowiązujące w dniu wejścia w życie ustawy zachowują moc.</w:t>
      </w:r>
    </w:p>
    <w:p w14:paraId="0E1FA675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Art. 9 ust. 2 pkt 2 u.z.u.w. wskazuje, że jeżeli w planie miejscowym, o którym mowa w art. 15 ust. 2 u.w., przewiduje się lokalizację elektrowni wiatrowej, organ pr</w:t>
      </w:r>
      <w:r w:rsidRPr="006C2D37">
        <w:rPr>
          <w:rFonts w:asciiTheme="minorHAnsi" w:hAnsiTheme="minorHAnsi" w:cstheme="minorHAnsi"/>
          <w:sz w:val="24"/>
          <w:szCs w:val="24"/>
        </w:rPr>
        <w:t>owadzący postępowanie w sprawie decyzji o środowiskowych uwarunkowaniach odmawia zgody na realizację przedsięwzięcia, jeżeli inwestycja w zakresie elektrowni wiatrowej nie spełnia wymogu zachowania odległości nie mniejszej niż 700 metrów od budynku mieszka</w:t>
      </w:r>
      <w:r w:rsidRPr="006C2D37">
        <w:rPr>
          <w:rFonts w:asciiTheme="minorHAnsi" w:hAnsiTheme="minorHAnsi" w:cstheme="minorHAnsi"/>
          <w:sz w:val="24"/>
          <w:szCs w:val="24"/>
        </w:rPr>
        <w:t>lnego lub budynku o funkcji mieszanej.</w:t>
      </w:r>
    </w:p>
    <w:p w14:paraId="6F4189FA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 ocenie GDOŚ, w normie obejmującej art. 9 ust. 2 pkt 2 u.z.u.w. istnieje luka prawna, bowiem ustawodawca, wprowadzając w tym przepisie obowiązek zachowania odległości nie mniejszej niż 700 m od budynku mieszkalnego l</w:t>
      </w:r>
      <w:r w:rsidRPr="006C2D37">
        <w:rPr>
          <w:rFonts w:asciiTheme="minorHAnsi" w:hAnsiTheme="minorHAnsi" w:cstheme="minorHAnsi"/>
          <w:sz w:val="24"/>
          <w:szCs w:val="24"/>
        </w:rPr>
        <w:t>ub budynku o funkcji mieszanej, w przeciwieństwie do przepisów u.w., nie wskazał sposobu określania tej odległości, ani nie odwołał się do odpowiedniego przepisu w jaki sposób odległość ta powinna być wyznaczana. W oparciu wyłącznie o regulację ustanowioną</w:t>
      </w:r>
      <w:r w:rsidRPr="006C2D37">
        <w:rPr>
          <w:rFonts w:asciiTheme="minorHAnsi" w:hAnsiTheme="minorHAnsi" w:cstheme="minorHAnsi"/>
          <w:sz w:val="24"/>
          <w:szCs w:val="24"/>
        </w:rPr>
        <w:t xml:space="preserve"> w treści art. 9 ust. 2 pkt 2 u.z.u.w. nie jest możliwe wyprowadzenie normy, która wskazywałaby, w jaki sposób należy określić odległość inwestycji w zakresie farmy wiatrowej od budynku mieszkalnego lub budynku o funkcji mieszanej, aby można było ocenić, c</w:t>
      </w:r>
      <w:r w:rsidRPr="006C2D37">
        <w:rPr>
          <w:rFonts w:asciiTheme="minorHAnsi" w:hAnsiTheme="minorHAnsi" w:cstheme="minorHAnsi"/>
          <w:sz w:val="24"/>
          <w:szCs w:val="24"/>
        </w:rPr>
        <w:t>zy obowiązek zachowania tej odległości został spełniony.</w:t>
      </w:r>
    </w:p>
    <w:p w14:paraId="405733DB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Wobec powyższego zasadne jest posłużenie się wnioskowaniem przez analogię i uzupełnienie tego przepisu odpowiednio o treść art. 5 u.w. W przeciwnym razie art. 9 ust. 2 pkt 2 u.z.u.w. byłby przepisem </w:t>
      </w:r>
      <w:r w:rsidRPr="006C2D37">
        <w:rPr>
          <w:rFonts w:asciiTheme="minorHAnsi" w:hAnsiTheme="minorHAnsi" w:cstheme="minorHAnsi"/>
          <w:sz w:val="24"/>
          <w:szCs w:val="24"/>
        </w:rPr>
        <w:t>martwym.</w:t>
      </w:r>
    </w:p>
    <w:p w14:paraId="6C6D3218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W art. 5 ust. 1 u.w. zostały wymienione sposoby określania odległości elektrowni wiatrowej od budynku mieszkalnego – w niniejszej sprawie zastosowanie mają pkt 1 i 6 tego artykułu w brzmieniu: przez odległości, o których mowa w art. 4 ust. 1 i 4, </w:t>
      </w:r>
      <w:r w:rsidRPr="006C2D37">
        <w:rPr>
          <w:rFonts w:asciiTheme="minorHAnsi" w:hAnsiTheme="minorHAnsi" w:cstheme="minorHAnsi"/>
          <w:sz w:val="24"/>
          <w:szCs w:val="24"/>
        </w:rPr>
        <w:t xml:space="preserve">rozumie się najkrótsze odcinki między rzutem poziomym istniejącego budynku mieszkalnego albo istniejącego budynku o </w:t>
      </w:r>
      <w:r w:rsidRPr="006C2D37">
        <w:rPr>
          <w:rFonts w:asciiTheme="minorHAnsi" w:hAnsiTheme="minorHAnsi" w:cstheme="minorHAnsi"/>
          <w:sz w:val="24"/>
          <w:szCs w:val="24"/>
        </w:rPr>
        <w:lastRenderedPageBreak/>
        <w:t>funkcji mieszanej a linią rozgraniczającą teren, którego sposób zagospodarowania określony w planie miejscowym dopuszcza budowę elektrowni w</w:t>
      </w:r>
      <w:r w:rsidRPr="006C2D37">
        <w:rPr>
          <w:rFonts w:asciiTheme="minorHAnsi" w:hAnsiTheme="minorHAnsi" w:cstheme="minorHAnsi"/>
          <w:sz w:val="24"/>
          <w:szCs w:val="24"/>
        </w:rPr>
        <w:t>iatrowej – w przypadku lokalizowania elektrowni wiatrowej.</w:t>
      </w:r>
    </w:p>
    <w:p w14:paraId="3427C53F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Odnosząc się w tym miejscu do zarzutu nr 4 (naruszenie art. 5 ust. 1 pkt 6 u.w.), jak już GDOŚ wyjaśnił powyżej, treść art. 9 ust. 2 pkt 2 u.z.u.w. nie wskazuje bezpośrednio sposobu określenia odle</w:t>
      </w:r>
      <w:r w:rsidRPr="006C2D37">
        <w:rPr>
          <w:rFonts w:asciiTheme="minorHAnsi" w:hAnsiTheme="minorHAnsi" w:cstheme="minorHAnsi"/>
          <w:sz w:val="24"/>
          <w:szCs w:val="24"/>
        </w:rPr>
        <w:t>głości 700 m między inwestycją w zakresie elektrowni wiatrowej a budynkiem mieszkalnym lub budynkiem o funkcji mieszanej. W przypadku braku odniesienia się do art. 5 u.w., który doprecyzowuje sposoby określania odległości, art. 9 ust. 2 pkt 2 u.z.u.w. byłb</w:t>
      </w:r>
      <w:r w:rsidRPr="006C2D37">
        <w:rPr>
          <w:rFonts w:asciiTheme="minorHAnsi" w:hAnsiTheme="minorHAnsi" w:cstheme="minorHAnsi"/>
          <w:sz w:val="24"/>
          <w:szCs w:val="24"/>
        </w:rPr>
        <w:t>y przepisem martwym i nieweryfikowalnym. W związku z faktem, że u.z.u.w. jest ustawą zmieniająca miedzy innymi u.w., dla organu oczywistym jest, że jeżeli z treści samego art. 9 ust. 2 pkt 2 u.z.u.w. nie wynika sposób określania odległości, to należy posił</w:t>
      </w:r>
      <w:r w:rsidRPr="006C2D37">
        <w:rPr>
          <w:rFonts w:asciiTheme="minorHAnsi" w:hAnsiTheme="minorHAnsi" w:cstheme="minorHAnsi"/>
          <w:sz w:val="24"/>
          <w:szCs w:val="24"/>
        </w:rPr>
        <w:t>kować się przepisami zawartymi w u.w., w tym odpowiednio treścią art. 5 tejże ustawy.</w:t>
      </w:r>
    </w:p>
    <w:p w14:paraId="74C6C58B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Należy zauważyć, że odległość określona w art. 4 ust. 1 u.w. jest definiowana jako odcinek między dwoma punktami, wyspecyfikowanymi w poszczególnych jednostkach redakcyjn</w:t>
      </w:r>
      <w:r w:rsidRPr="006C2D37">
        <w:rPr>
          <w:rFonts w:asciiTheme="minorHAnsi" w:hAnsiTheme="minorHAnsi" w:cstheme="minorHAnsi"/>
          <w:sz w:val="24"/>
          <w:szCs w:val="24"/>
        </w:rPr>
        <w:t>ych art. 5 ust. 1 (por. wyrok Wojewódzkiego Sądu Administracyjnego w Poznaniu z 17 marca 2021 r., sygn. akt: IV SA/Po 1881/20). Art. 9 ust. 2 pkt 2 u.z.u.w. również wskazuje odcinek między dwoma punktami – inwestycji w zakresie elektrowni wiatrowej oraz bu</w:t>
      </w:r>
      <w:r w:rsidRPr="006C2D37">
        <w:rPr>
          <w:rFonts w:asciiTheme="minorHAnsi" w:hAnsiTheme="minorHAnsi" w:cstheme="minorHAnsi"/>
          <w:sz w:val="24"/>
          <w:szCs w:val="24"/>
        </w:rPr>
        <w:t>dynku mieszkalnego lub budynku o funkcji mieszanej, jednakże nie został przez ustawodawcę doprecyzowany sposób liczenia odległości między tymi punktami. Wobec powyższego, wnioskując przez analogię, dopuszczalnym jest zastosowanie normy przewidzianej w art.</w:t>
      </w:r>
      <w:r w:rsidRPr="006C2D37">
        <w:rPr>
          <w:rFonts w:asciiTheme="minorHAnsi" w:hAnsiTheme="minorHAnsi" w:cstheme="minorHAnsi"/>
          <w:sz w:val="24"/>
          <w:szCs w:val="24"/>
        </w:rPr>
        <w:t xml:space="preserve"> 5 ust. 1 u.w. jako uzupełniającej dla określenia odległości, o której mowa w art. 9 ust. 2 pkt 2 u.z.u.w. W ocenie GDOŚ zarzut naruszenia art. 5 ust. 1 pkt 6 u.w. nie zasługuje na uwzględnienie.</w:t>
      </w:r>
    </w:p>
    <w:p w14:paraId="08956687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Odpowiadając na zarzut nr 1 (naruszenie art. 6 k.p.a.), </w:t>
      </w:r>
      <w:r w:rsidRPr="006C2D37">
        <w:rPr>
          <w:rFonts w:asciiTheme="minorHAnsi" w:hAnsiTheme="minorHAnsi" w:cstheme="minorHAnsi"/>
          <w:sz w:val="24"/>
          <w:szCs w:val="24"/>
        </w:rPr>
        <w:t>trzeba zaznaczyć, że decyzja RDOŚ w Katowicach z 14 sierpnia 2025 r. nie została wydana bez podstaw prawnych. Zgodnie z treścią ww. decyzji, organ pierwszej instancji, na podstawie art. 9 ust. 2 pkt 2 u.z.u.w. w związku z art. 71 ust. 2 pkt 2 i art. 75 ust</w:t>
      </w:r>
      <w:r w:rsidRPr="006C2D37">
        <w:rPr>
          <w:rFonts w:asciiTheme="minorHAnsi" w:hAnsiTheme="minorHAnsi" w:cstheme="minorHAnsi"/>
          <w:sz w:val="24"/>
          <w:szCs w:val="24"/>
        </w:rPr>
        <w:t>. 1 pkt 1 lit. r u.o.o.ś. oraz art. 104 k.p.a., odmówił zgody na realizację przedsięwzięcia pn. „Budowa farm wiatrowych Pawłowice o łącznej mocy do 26 MW”. Zatem w sentencji decyzji została wskazana zarówno podstawa materialnoprawna, jak i formalnoprawna r</w:t>
      </w:r>
      <w:r w:rsidRPr="006C2D37">
        <w:rPr>
          <w:rFonts w:asciiTheme="minorHAnsi" w:hAnsiTheme="minorHAnsi" w:cstheme="minorHAnsi"/>
          <w:sz w:val="24"/>
          <w:szCs w:val="24"/>
        </w:rPr>
        <w:t>ozstrzygnięcia. Ponadto decyzja ta nie została wydana z rażącym naruszeniem przepisów art. 9 ust. 2 pkt 2 u.z.u.w. – przepis ten stanowi przesłankę odmowy zgody na realizację przedsięwzięcia w decyzji z 14 sierpnia 2025 r. i jest nieodłącznym elementem pod</w:t>
      </w:r>
      <w:r w:rsidRPr="006C2D37">
        <w:rPr>
          <w:rFonts w:asciiTheme="minorHAnsi" w:hAnsiTheme="minorHAnsi" w:cstheme="minorHAnsi"/>
          <w:sz w:val="24"/>
          <w:szCs w:val="24"/>
        </w:rPr>
        <w:t>stawy prawnej tego właśnie rozstrzygnięcia. W myśl art. 6 k.p.a. organy administracji publicznej działają na podstawie przepisów prawa – w ocenie GDOŚ, mając na uwadze powyższe wyjaśnienia, zarzut naruszenia ww. przepisu należy uznać za bezzasadny.</w:t>
      </w:r>
    </w:p>
    <w:p w14:paraId="668AF46D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lastRenderedPageBreak/>
        <w:t>Odnosząc się do zarzutu nr 2 (naruszenie art. 11 i 107 § 3 k.p.a.), GDOŚ podkreśla, że organ, rozpatrując wniosek o wydanie decyzji o środowiskowych uwarunkowaniach, bierze pod uwagę cały zgromadzony w danej sprawie materiał dowodowy. Wobec powyższego, zaz</w:t>
      </w:r>
      <w:r w:rsidRPr="006C2D37">
        <w:rPr>
          <w:rFonts w:asciiTheme="minorHAnsi" w:hAnsiTheme="minorHAnsi" w:cstheme="minorHAnsi"/>
          <w:sz w:val="24"/>
          <w:szCs w:val="24"/>
        </w:rPr>
        <w:t xml:space="preserve">naczenia wymaga, że wszystkie pisma inwestora przedkładane w trakcie postępowania pierwszoinstancyjnego zostały przeanalizowane przez RDOŚ w Katowicach i składają się na materiał dowodowy, na podstawie którego organ wydał decyzję z 14 sierpnia 2025 r. </w:t>
      </w:r>
    </w:p>
    <w:p w14:paraId="7BCFD9F4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 w</w:t>
      </w:r>
      <w:r w:rsidRPr="006C2D37">
        <w:rPr>
          <w:rFonts w:asciiTheme="minorHAnsi" w:hAnsiTheme="minorHAnsi" w:cstheme="minorHAnsi"/>
          <w:sz w:val="24"/>
          <w:szCs w:val="24"/>
        </w:rPr>
        <w:t>ezwaniu z 11 kwietnia 2025 r., znak: WOOŚ.420.21.2023.AK.14, RDOŚ w Katowicach szczegółowo wyjaśnił sposób, według którego powinna zostać określona odległość planowanego przedsięwzięcia od zabudowy mieszkaniowej i mieszanej, powołując się przy tym na przep</w:t>
      </w:r>
      <w:r w:rsidRPr="006C2D37">
        <w:rPr>
          <w:rFonts w:asciiTheme="minorHAnsi" w:hAnsiTheme="minorHAnsi" w:cstheme="minorHAnsi"/>
          <w:sz w:val="24"/>
          <w:szCs w:val="24"/>
        </w:rPr>
        <w:t>isy art. 9 ust. 2 pkt 2 u.z.u.w. w związku z art. 5 ust. 1 pkt 6 u.w. Ponadto poinformował Spółkę, że w przypadku gdy inwestycja nie spełnia ww. wymogu odległości, w myśl art. 9 ust. 2 pkt 2 u.z.u.w., organ odmawia zgody na realizację przedsięwzięcia.</w:t>
      </w:r>
    </w:p>
    <w:p w14:paraId="6FE9561B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Pism</w:t>
      </w:r>
      <w:r w:rsidRPr="006C2D37">
        <w:rPr>
          <w:rFonts w:asciiTheme="minorHAnsi" w:hAnsiTheme="minorHAnsi" w:cstheme="minorHAnsi"/>
          <w:sz w:val="24"/>
          <w:szCs w:val="24"/>
        </w:rPr>
        <w:t>o Spółki z 22 kwietnia 2025 r. stanowi odpowiedź na powyższe wezwanie z 11 kwietnia 2025 r., pismo z 15 maja 2025 r. stanowi podtrzymanie i uzupełnienie stanowiska Spółki zaprezentowanego w piśmie z 22 kwietnia 2025 r., a treść obu ww. pism ogranicza się g</w:t>
      </w:r>
      <w:r w:rsidRPr="006C2D37">
        <w:rPr>
          <w:rFonts w:asciiTheme="minorHAnsi" w:hAnsiTheme="minorHAnsi" w:cstheme="minorHAnsi"/>
          <w:sz w:val="24"/>
          <w:szCs w:val="24"/>
        </w:rPr>
        <w:t xml:space="preserve">łównie do przedstawienia odmiennej od RDOŚ w Katowicach interpretacji przepisów u.w. i u.z.u.w., a w szczególności art. 9 ust. 2 pkt 2 u.z.u.w. </w:t>
      </w:r>
    </w:p>
    <w:p w14:paraId="65993C5F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color w:val="EE0000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Nie sposób zgodzić się z odwołującą się Spółką, że organ pierwszej instancji nie odniósł się do argumentów prze</w:t>
      </w:r>
      <w:r w:rsidRPr="006C2D37">
        <w:rPr>
          <w:rFonts w:asciiTheme="minorHAnsi" w:hAnsiTheme="minorHAnsi" w:cstheme="minorHAnsi"/>
          <w:sz w:val="24"/>
          <w:szCs w:val="24"/>
        </w:rPr>
        <w:t>dstawionych w odpowiedzi na wezwanie z 22 kwietnia 2025 r. i jej uzupełnieniu z 15 maja 2025 r., gdyż sama treść decyzji z 14 sierpnia 2025 r. odmawiającej zgody na realizację przedmiotowego przedsięwzięcia (na podstawie m.in. art. 9 ust. 2 pkt 2 u.z.u.w.)</w:t>
      </w:r>
      <w:r w:rsidRPr="006C2D37">
        <w:rPr>
          <w:rFonts w:asciiTheme="minorHAnsi" w:hAnsiTheme="minorHAnsi" w:cstheme="minorHAnsi"/>
          <w:sz w:val="24"/>
          <w:szCs w:val="24"/>
        </w:rPr>
        <w:t>, stanowi odniesienie się RDOŚ w Katowicach do powyższych pism inwestora, w szczególności analizę i interpretację art. 9 ust. 2 pkt 2 u.z.u.w. Stanowisko organu pierwszej instancji względem interpretacji ww. przepisu było Spółce doskonale znane – jak już G</w:t>
      </w:r>
      <w:r w:rsidRPr="006C2D37">
        <w:rPr>
          <w:rFonts w:asciiTheme="minorHAnsi" w:hAnsiTheme="minorHAnsi" w:cstheme="minorHAnsi"/>
          <w:sz w:val="24"/>
          <w:szCs w:val="24"/>
        </w:rPr>
        <w:t>DOŚ wyjaśnił powyżej, RDOŚ w Katowicach odpowiednio poinformował Spółkę w wezwaniu z 11 kwietnia 2025 r. o sposobie określenia odległości planowanego przedsięwzięcia od zabudowy mieszkaniowej i mieszanej (zgodnie z art. 9 ust. 2 pkt 2 u.z.u.w  w zw. z art.</w:t>
      </w:r>
      <w:r w:rsidRPr="006C2D37">
        <w:rPr>
          <w:rFonts w:asciiTheme="minorHAnsi" w:hAnsiTheme="minorHAnsi" w:cstheme="minorHAnsi"/>
          <w:sz w:val="24"/>
          <w:szCs w:val="24"/>
        </w:rPr>
        <w:t xml:space="preserve"> 5 ust. 1 pkt 6 u.w.).</w:t>
      </w:r>
    </w:p>
    <w:p w14:paraId="42ADFE60" w14:textId="77777777" w:rsidR="00C42395" w:rsidRPr="006C2D37" w:rsidRDefault="001F1E13" w:rsidP="006C2D37">
      <w:pPr>
        <w:tabs>
          <w:tab w:val="left" w:pos="851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Wbrew twierdzeniu Spółki, że w trakcie postępowania pierwszoinstancyjnego przy pismach z 22 kwietnia 2025 r. i 15 maja 2025 r. przedłożyła ona wymaganą przez organ pierwszej instancji dokumentację, o której mowa w wezwaniu RDOŚ w Kat</w:t>
      </w:r>
      <w:r w:rsidRPr="006C2D37">
        <w:rPr>
          <w:rFonts w:asciiTheme="minorHAnsi" w:hAnsiTheme="minorHAnsi" w:cstheme="minorHAnsi"/>
          <w:sz w:val="24"/>
          <w:szCs w:val="24"/>
        </w:rPr>
        <w:t>owicach z 11 kwietnia 2025 r., znak: WOOŚ.420.21.2023.AK.14, zaznaczenia wymaga, że Spółka nie zadośćuczyniła powyższemu wezwaniu. Jak już wskazał RDOŚ w Katowicach w decyzji z 14 sierpnia 2025 r., Spółka przedłożyła dokumenty wskazujące na zachowanie odle</w:t>
      </w:r>
      <w:r w:rsidRPr="006C2D37">
        <w:rPr>
          <w:rFonts w:asciiTheme="minorHAnsi" w:hAnsiTheme="minorHAnsi" w:cstheme="minorHAnsi"/>
          <w:sz w:val="24"/>
          <w:szCs w:val="24"/>
        </w:rPr>
        <w:t xml:space="preserve">głości 700 m między lokalizacją poszczególnych turbin wiatrowych (z uwzględnieniem zasięgu pracy łopat wirnika </w:t>
      </w:r>
      <w:r w:rsidRPr="006C2D37">
        <w:rPr>
          <w:rFonts w:asciiTheme="minorHAnsi" w:hAnsiTheme="minorHAnsi" w:cstheme="minorHAnsi"/>
          <w:sz w:val="24"/>
          <w:szCs w:val="24"/>
        </w:rPr>
        <w:lastRenderedPageBreak/>
        <w:t>turbiny) a linią zabudowy mieszkaniowej i mieszanej, przewidzianej w m.p.z.p. oraz do miejsc faktycznej zabudowy mieszkaniowej i mieszanej. Natom</w:t>
      </w:r>
      <w:r w:rsidRPr="006C2D37">
        <w:rPr>
          <w:rFonts w:asciiTheme="minorHAnsi" w:hAnsiTheme="minorHAnsi" w:cstheme="minorHAnsi"/>
          <w:sz w:val="24"/>
          <w:szCs w:val="24"/>
        </w:rPr>
        <w:t xml:space="preserve">iast, jak organ pierwszej instancji wskazał na str. 1 akapicie 5 wezwania z 11 kwietnia 2025 r., odległość 700 m winna być liczona w sposób określony w art. 5 ust. 1 pkt 6 u.w. tj. od linii rozgraniczającej teren, na którym planowane jest przedsięwzięcie, </w:t>
      </w:r>
      <w:r w:rsidRPr="006C2D37">
        <w:rPr>
          <w:rFonts w:asciiTheme="minorHAnsi" w:hAnsiTheme="minorHAnsi" w:cstheme="minorHAnsi"/>
          <w:sz w:val="24"/>
          <w:szCs w:val="24"/>
        </w:rPr>
        <w:t>oznaczonego symbolem 7RP w m.p.z.p. (tj. teren, którego sposób zagospodarowania określony w planie miejscowym dopuszcza budowę elektrowni wiatrowej) a budynkiem mieszkalnym lub budyniem o funkcji mieszanej. Wobec powyższego Spółka nie uzupełniła dokumentac</w:t>
      </w:r>
      <w:r w:rsidRPr="006C2D37">
        <w:rPr>
          <w:rFonts w:asciiTheme="minorHAnsi" w:hAnsiTheme="minorHAnsi" w:cstheme="minorHAnsi"/>
          <w:sz w:val="24"/>
          <w:szCs w:val="24"/>
        </w:rPr>
        <w:t>ji w zakresie wskazanym w wezwaniu RDOŚ w Katowicach z 11 kwietnia 2025 r.</w:t>
      </w:r>
    </w:p>
    <w:p w14:paraId="28047800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 myśl art. 11 k.p.a. organy administracji publicznej powinny wyjaśniać stronom zasadność przesłanek, którymi kierują się przy załatwieniu sprawy. RDOŚ w Katowicach w uzasadnieniu d</w:t>
      </w:r>
      <w:r w:rsidRPr="006C2D37">
        <w:rPr>
          <w:rFonts w:asciiTheme="minorHAnsi" w:hAnsiTheme="minorHAnsi" w:cstheme="minorHAnsi"/>
          <w:sz w:val="24"/>
          <w:szCs w:val="24"/>
        </w:rPr>
        <w:t xml:space="preserve">ecyzji z 14 sierpnia 2025 r. wyjaśnił przesłanki odmowy wydania decyzji o środowiskowych uwarunkowaniach dla planowanego przedsięwzięcia. Na str. 4 ww. decyzji z 14 sierpnia 2025 r. wymienione zostały przepisy mające zastosowanie w niniejszej sprawie oraz </w:t>
      </w:r>
      <w:r w:rsidRPr="006C2D37">
        <w:rPr>
          <w:rFonts w:asciiTheme="minorHAnsi" w:hAnsiTheme="minorHAnsi" w:cstheme="minorHAnsi"/>
          <w:sz w:val="24"/>
          <w:szCs w:val="24"/>
        </w:rPr>
        <w:t>wyjaśniono, że odmowa wydania decyzji o środowiskowych uwarunkowaniach wynika z braku zachowania wymaganej odległości 700m między obszarem, na którym planowana jest inwestycja a budynkiem mieszkalnym lub budynkiem o funkcji mieszanej – np. budynek mieszkal</w:t>
      </w:r>
      <w:r w:rsidRPr="006C2D37">
        <w:rPr>
          <w:rFonts w:asciiTheme="minorHAnsi" w:hAnsiTheme="minorHAnsi" w:cstheme="minorHAnsi"/>
          <w:sz w:val="24"/>
          <w:szCs w:val="24"/>
        </w:rPr>
        <w:t>ny na działce 4296/213, znajdujący się w odległości ok. 15 m od terenu, oznaczonego symbolem 7RP w m.p.z.p., na którym planowane jest przedsięwzięcie.</w:t>
      </w:r>
    </w:p>
    <w:p w14:paraId="4E7C6AA5" w14:textId="77777777" w:rsidR="00C42395" w:rsidRPr="006C2D37" w:rsidRDefault="001F1E13" w:rsidP="006C2D37">
      <w:pPr>
        <w:tabs>
          <w:tab w:val="left" w:pos="851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Zgodnie z art. 107 § 3 k.p.a., na którego naruszenie wskazuje Spółka, uzasadnienie faktyczne decyzji powi</w:t>
      </w:r>
      <w:r w:rsidRPr="006C2D37">
        <w:rPr>
          <w:rFonts w:asciiTheme="minorHAnsi" w:hAnsiTheme="minorHAnsi" w:cstheme="minorHAnsi"/>
          <w:sz w:val="24"/>
          <w:szCs w:val="24"/>
        </w:rPr>
        <w:t>nno w szczególności zawierać wskazanie faktów, które organ uznał za udowodnione, dowodów, na których się oparł, oraz przyczyn, z powodu których innym dowodom odmówił wiarygodności i mocy dowodowej, zaś uzasadnienie prawne - wyjaśnienie podstawy prawnej dec</w:t>
      </w:r>
      <w:r w:rsidRPr="006C2D37">
        <w:rPr>
          <w:rFonts w:asciiTheme="minorHAnsi" w:hAnsiTheme="minorHAnsi" w:cstheme="minorHAnsi"/>
          <w:sz w:val="24"/>
          <w:szCs w:val="24"/>
        </w:rPr>
        <w:t>yzji, z przytoczeniem przepisów prawa. Powyższemu organ pierwszej instancji zadośćuczynił w całości na str. 1-4 decyzji z 14 sierpnia 2025 r. W ocenie GDOŚ zarzut niespójności uzasadnienia decyzji z 14 sierpnia 2025 r., należy uznać za całkowicie bezzasadn</w:t>
      </w:r>
      <w:r w:rsidRPr="006C2D37">
        <w:rPr>
          <w:rFonts w:asciiTheme="minorHAnsi" w:hAnsiTheme="minorHAnsi" w:cstheme="minorHAnsi"/>
          <w:sz w:val="24"/>
          <w:szCs w:val="24"/>
        </w:rPr>
        <w:t>y – RDOŚ w Katowicach zarówno w sentencji, jak i w uzasadnieniu kwestionowanego rozstrzygnięcia podkreśla podstawę prawną odmowy wydania decyzji o środowiskowych uwarunkowaniach, czyli art. 9 ust. 2 pkt 2 u.w. Uzasadnienie faktyczne decyzji RDOŚ w Katowica</w:t>
      </w:r>
      <w:r w:rsidRPr="006C2D37">
        <w:rPr>
          <w:rFonts w:asciiTheme="minorHAnsi" w:hAnsiTheme="minorHAnsi" w:cstheme="minorHAnsi"/>
          <w:sz w:val="24"/>
          <w:szCs w:val="24"/>
        </w:rPr>
        <w:t>ch z 14 sierpnia 2025 r. zawiera wszystkie z wymaganych art. 107 § 3 k.p.a. elementów. Nietrafiony jest również zarzut nierzetelnie sporządzonego uzasadnienia decyzji z 14 sierpnia 2025 r., bowiem organ pierwszej instancji przedstawił przebieg całego postę</w:t>
      </w:r>
      <w:r w:rsidRPr="006C2D37">
        <w:rPr>
          <w:rFonts w:asciiTheme="minorHAnsi" w:hAnsiTheme="minorHAnsi" w:cstheme="minorHAnsi"/>
          <w:sz w:val="24"/>
          <w:szCs w:val="24"/>
        </w:rPr>
        <w:t>powania w sprawie wydania decyzji o środowiskowych uwarunkowaniach dla przedmiotowego przedsięwzięcia. Wobec powyższego, w opinii GDOŚ zarzut naruszenia art. 11 i art. 107 § 3 k.p.a., należy uznać za niezasługujący na uwzględnienie.</w:t>
      </w:r>
    </w:p>
    <w:p w14:paraId="16142332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lastRenderedPageBreak/>
        <w:t xml:space="preserve">Odpowiadając na zarzut </w:t>
      </w:r>
      <w:r w:rsidRPr="006C2D37">
        <w:rPr>
          <w:rFonts w:asciiTheme="minorHAnsi" w:hAnsiTheme="minorHAnsi" w:cstheme="minorHAnsi"/>
          <w:sz w:val="24"/>
          <w:szCs w:val="24"/>
        </w:rPr>
        <w:t>nr 3, wskazujący na naruszenie art. 7a i 8 k.p.a., m.in. poprzez uznanie pojawiających się w doktrynie wątpliwości interpretacyjnych jako podstawy prawnej do rozstrzygnięcia sprawy, GDOŚ informuje co następuje.</w:t>
      </w:r>
    </w:p>
    <w:p w14:paraId="1D96F42E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Organ nie może zgodzić się ze stanowiskiem Sp</w:t>
      </w:r>
      <w:r w:rsidRPr="006C2D37">
        <w:rPr>
          <w:rFonts w:asciiTheme="minorHAnsi" w:hAnsiTheme="minorHAnsi" w:cstheme="minorHAnsi"/>
          <w:sz w:val="24"/>
          <w:szCs w:val="24"/>
        </w:rPr>
        <w:t>ółki, przedstawionym w odwołaniu z 27 sierpnia 2025 r., wskazującym, że odległość, o której mowa w art. 9 ust. 2 pkt 2 u.z.u.w. winna być liczona od turbin wiatrowych (z uwzględnieniem zasięgu pracy rotora) do budynku mieszkalnego lub budynku o funkcji mie</w:t>
      </w:r>
      <w:r w:rsidRPr="006C2D37">
        <w:rPr>
          <w:rFonts w:asciiTheme="minorHAnsi" w:hAnsiTheme="minorHAnsi" w:cstheme="minorHAnsi"/>
          <w:sz w:val="24"/>
          <w:szCs w:val="24"/>
        </w:rPr>
        <w:t>szanej. Jak już GDOŚ wyjaśnił powyżej, w przypadku braku odniesienia się do art. 5 u.w., który doprecyzowuje sposoby określania odległości, art. 9 ust. 2 pkt 2 u.z.u.w. byłby przepisem martwym. Ze względu na fakt, że ustawodawca nie wskazał w treści art. 9</w:t>
      </w:r>
      <w:r w:rsidRPr="006C2D37">
        <w:rPr>
          <w:rFonts w:asciiTheme="minorHAnsi" w:hAnsiTheme="minorHAnsi" w:cstheme="minorHAnsi"/>
          <w:sz w:val="24"/>
          <w:szCs w:val="24"/>
        </w:rPr>
        <w:t xml:space="preserve"> ust. 2 pkt 2 u.z.u.w. sposobu liczenia odległości, organ wnioskując przez analogię, sięgnął do treści art. 5 ust. 1 u.w., co jest w ocenie organu logiczne.</w:t>
      </w:r>
    </w:p>
    <w:p w14:paraId="43225955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Natomiast, odnosząc się do pozostałej części zarzutu nr 3, tj. naruszenia art. 7a i 8 k.p.a., poprz</w:t>
      </w:r>
      <w:r w:rsidRPr="006C2D37">
        <w:rPr>
          <w:rFonts w:asciiTheme="minorHAnsi" w:hAnsiTheme="minorHAnsi" w:cstheme="minorHAnsi"/>
          <w:sz w:val="24"/>
          <w:szCs w:val="24"/>
        </w:rPr>
        <w:t xml:space="preserve">ez pominięcie wypracowanej pod rządami nowych przepisów (u.w. i u.z.u.w.) linii decyzyjnych wypracowanych przez inne organy wydające decyzje środowiskowe w analogicznych stanach faktycznych, GDOŚ przedstawia poniższe wyjaśnienia. Zgodnie z art. 127 ust. 3 </w:t>
      </w:r>
      <w:r w:rsidRPr="006C2D37">
        <w:rPr>
          <w:rFonts w:asciiTheme="minorHAnsi" w:hAnsiTheme="minorHAnsi" w:cstheme="minorHAnsi"/>
          <w:sz w:val="24"/>
          <w:szCs w:val="24"/>
        </w:rPr>
        <w:t>u.o.o.ś. GDOŚ pełni funkcję organu wyższego stopnia w rozumieniu k.p.a. wyłącznie w stosunku do regionalnych dyrektorów ochrony środowiska. Wobec powyższego, decyzje wydawane przez inne organy administracji publicznej, o których mowa w art. 75 ust.1 pkt 2-</w:t>
      </w:r>
      <w:r w:rsidRPr="006C2D37">
        <w:rPr>
          <w:rFonts w:asciiTheme="minorHAnsi" w:hAnsiTheme="minorHAnsi" w:cstheme="minorHAnsi"/>
          <w:sz w:val="24"/>
          <w:szCs w:val="24"/>
        </w:rPr>
        <w:t xml:space="preserve">4 u.o.o.ś., nie podlegają kontroli nadzorczej GDOŚ. </w:t>
      </w:r>
    </w:p>
    <w:p w14:paraId="17C9FCCE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Odnosząc się do „innych spraw o analogicznych stanach faktycznych”, GDOŚ podkreśla, że organ środowiskowy związany jest wyłącznie zakresem wniosku o wydanie decyzji o środowiskowych uwarunkowaniach dla k</w:t>
      </w:r>
      <w:r w:rsidRPr="006C2D37">
        <w:rPr>
          <w:rFonts w:asciiTheme="minorHAnsi" w:hAnsiTheme="minorHAnsi" w:cstheme="minorHAnsi"/>
          <w:sz w:val="24"/>
          <w:szCs w:val="24"/>
        </w:rPr>
        <w:t>onkretnego przedsięwzięcia, w niniejszym przypadku określonego we wniosku z 8 maja 2023 r. o wydanie decyzji o środowiskowych uwarunkowaniach dla przedsięwzięcia pn. „Budowa farm wiatrowych Pawłowice o łącznej mocy do 26 MW”. Wobec powyższego w trakcie prz</w:t>
      </w:r>
      <w:r w:rsidRPr="006C2D37">
        <w:rPr>
          <w:rFonts w:asciiTheme="minorHAnsi" w:hAnsiTheme="minorHAnsi" w:cstheme="minorHAnsi"/>
          <w:sz w:val="24"/>
          <w:szCs w:val="24"/>
        </w:rPr>
        <w:t>edmiotowego postępowania organ analizuje wyłącznie dokumentację składającą się na akta niniejszej sprawy, badając przy tym jej zgodność z prawem.</w:t>
      </w:r>
    </w:p>
    <w:p w14:paraId="3AF42608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Mając na uwadze powyższe wyjaśnia, należy uznać zarzut wskazany w pkt 3 (naruszenie art. 7a i 8 k.p.a.) jako b</w:t>
      </w:r>
      <w:r w:rsidRPr="006C2D37">
        <w:rPr>
          <w:rFonts w:asciiTheme="minorHAnsi" w:hAnsiTheme="minorHAnsi" w:cstheme="minorHAnsi"/>
          <w:sz w:val="24"/>
          <w:szCs w:val="24"/>
        </w:rPr>
        <w:t>ezzasadny.</w:t>
      </w:r>
    </w:p>
    <w:p w14:paraId="4363C76A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Zgodnie z art. 138 § 1 pkt 1 k.p.a. organ odwoławczy może utrzymać w mocy zaskarżoną decyzję, jeżeli rozstrzygnięcie organu odwoławczego jest zgodne z rozstrzygnięciem organu pierwszej instancji zawartym w zaskarżonej decyzji. Organ, wydając w p</w:t>
      </w:r>
      <w:r w:rsidRPr="006C2D37">
        <w:rPr>
          <w:rFonts w:asciiTheme="minorHAnsi" w:hAnsiTheme="minorHAnsi" w:cstheme="minorHAnsi"/>
          <w:sz w:val="24"/>
          <w:szCs w:val="24"/>
        </w:rPr>
        <w:t xml:space="preserve">ostępowaniu odwoławczym decyzję utrzymujące w mocy zaskarżoną decyzję, zajmuje stanowisko, że rozstrzygnięcie organu pierwszej instancji jest prawidłowe, zarówno co do zgodności z prawem, jak i co do istoty. </w:t>
      </w:r>
    </w:p>
    <w:p w14:paraId="65E6046C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lastRenderedPageBreak/>
        <w:t>W ocenie GDOŚ, rozstrzygnięcie podjęte przez RD</w:t>
      </w:r>
      <w:r w:rsidRPr="006C2D37">
        <w:rPr>
          <w:rFonts w:asciiTheme="minorHAnsi" w:hAnsiTheme="minorHAnsi" w:cstheme="minorHAnsi"/>
          <w:sz w:val="24"/>
          <w:szCs w:val="24"/>
        </w:rPr>
        <w:t>OŚ w Katowicach decyzją z 14 sierpnia 2025 r. jest prawidłowe i nie narusza przepisów prawa w stopniu uzasadniającym jego uchylenie.</w:t>
      </w:r>
    </w:p>
    <w:p w14:paraId="4444980C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Wobec powyższego orzeczono jak w sentencji.</w:t>
      </w:r>
    </w:p>
    <w:p w14:paraId="1689E505" w14:textId="77777777" w:rsidR="00C42395" w:rsidRPr="006C2D37" w:rsidRDefault="00C42395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4323B06E" w14:textId="77777777" w:rsidR="00C42395" w:rsidRPr="006C2D37" w:rsidRDefault="001F1E13" w:rsidP="006C2D37">
      <w:pPr>
        <w:tabs>
          <w:tab w:val="left" w:pos="851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Pouczenie</w:t>
      </w:r>
    </w:p>
    <w:p w14:paraId="4B344DF7" w14:textId="77777777" w:rsidR="00C42395" w:rsidRPr="006C2D37" w:rsidRDefault="001F1E13" w:rsidP="006C2D37">
      <w:pPr>
        <w:numPr>
          <w:ilvl w:val="0"/>
          <w:numId w:val="5"/>
        </w:numPr>
        <w:suppressAutoHyphens/>
        <w:spacing w:after="0" w:line="312" w:lineRule="auto"/>
        <w:ind w:left="425" w:hanging="425"/>
        <w:rPr>
          <w:rFonts w:asciiTheme="minorHAnsi" w:eastAsia="Times New Roman" w:hAnsiTheme="minorHAnsi" w:cstheme="minorHAnsi"/>
          <w:sz w:val="24"/>
          <w:szCs w:val="24"/>
        </w:rPr>
      </w:pPr>
      <w:bookmarkStart w:id="5" w:name="_Hlk153181224"/>
      <w:r w:rsidRPr="006C2D37">
        <w:rPr>
          <w:rFonts w:asciiTheme="minorHAnsi" w:eastAsia="Times New Roman" w:hAnsiTheme="minorHAnsi" w:cstheme="minorHAnsi"/>
          <w:sz w:val="24"/>
          <w:szCs w:val="24"/>
        </w:rPr>
        <w:t>niniejsza decyzja jest ostateczna w administracyjnym toku instancji.</w:t>
      </w:r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 Na decyzję, zgodnie z art. 50 oraz art. 52 § 1 i 2 w związku z art. 3 § 2 pkt 1 ustawy z dnia 30 sierpnia 2002 r. – Prawo o postępowaniu przed sądami administracyjnymi (Dz. U. z 2024 r. poz. 935, ze zm.), dalej </w:t>
      </w:r>
      <w:r w:rsidRPr="006C2D37">
        <w:rPr>
          <w:rFonts w:asciiTheme="minorHAnsi" w:eastAsia="Times New Roman" w:hAnsiTheme="minorHAnsi" w:cstheme="minorHAnsi"/>
          <w:iCs/>
          <w:sz w:val="24"/>
          <w:szCs w:val="24"/>
        </w:rPr>
        <w:t>p.p.s.a.</w:t>
      </w:r>
      <w:r w:rsidRPr="006C2D37">
        <w:rPr>
          <w:rFonts w:asciiTheme="minorHAnsi" w:eastAsia="Times New Roman" w:hAnsiTheme="minorHAnsi" w:cstheme="minorHAnsi"/>
          <w:sz w:val="24"/>
          <w:szCs w:val="24"/>
        </w:rPr>
        <w:t>, służy skarga do Wojewódzkiego Sądu</w:t>
      </w:r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 Administracyjnego w Warszawie;</w:t>
      </w:r>
    </w:p>
    <w:p w14:paraId="309FED0D" w14:textId="77777777" w:rsidR="00C42395" w:rsidRPr="006C2D37" w:rsidRDefault="001F1E13" w:rsidP="006C2D37">
      <w:pPr>
        <w:numPr>
          <w:ilvl w:val="0"/>
          <w:numId w:val="5"/>
        </w:numPr>
        <w:suppressAutoHyphens/>
        <w:spacing w:after="0" w:line="312" w:lineRule="auto"/>
        <w:ind w:left="425" w:hanging="425"/>
        <w:rPr>
          <w:rFonts w:asciiTheme="minorHAnsi" w:eastAsia="Times New Roman" w:hAnsiTheme="minorHAnsi" w:cstheme="minorHAnsi"/>
          <w:sz w:val="24"/>
          <w:szCs w:val="24"/>
        </w:rPr>
      </w:pPr>
      <w:r w:rsidRPr="006C2D37">
        <w:rPr>
          <w:rFonts w:asciiTheme="minorHAnsi" w:eastAsia="Times New Roman" w:hAnsiTheme="minorHAnsi" w:cstheme="minorHAnsi"/>
          <w:sz w:val="24"/>
          <w:szCs w:val="24"/>
        </w:rPr>
        <w:t>zgodnie z art. 53 § 1 oraz art. 54 § 1 p.p.s.a. skargę należy wnieść, za pośrednictwem GDOŚ, w terminie trzydziestu dni od dnia otrzymania decyzji;</w:t>
      </w:r>
    </w:p>
    <w:p w14:paraId="0255C9EB" w14:textId="77777777" w:rsidR="00C42395" w:rsidRPr="006C2D37" w:rsidRDefault="001F1E13" w:rsidP="006C2D37">
      <w:pPr>
        <w:numPr>
          <w:ilvl w:val="0"/>
          <w:numId w:val="5"/>
        </w:numPr>
        <w:suppressAutoHyphens/>
        <w:spacing w:after="0" w:line="312" w:lineRule="auto"/>
        <w:ind w:left="425" w:hanging="425"/>
        <w:rPr>
          <w:rFonts w:asciiTheme="minorHAnsi" w:eastAsia="Times New Roman" w:hAnsiTheme="minorHAnsi" w:cstheme="minorHAnsi"/>
          <w:sz w:val="24"/>
          <w:szCs w:val="24"/>
        </w:rPr>
      </w:pPr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skarżący, zgodnie z </w:t>
      </w:r>
      <w:bookmarkStart w:id="6" w:name="_Hlk196470525"/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art. 230 </w:t>
      </w:r>
      <w:r w:rsidRPr="006C2D37">
        <w:rPr>
          <w:rFonts w:asciiTheme="minorHAnsi" w:eastAsia="Times New Roman" w:hAnsiTheme="minorHAnsi" w:cstheme="minorHAnsi"/>
          <w:iCs/>
          <w:sz w:val="24"/>
          <w:szCs w:val="24"/>
        </w:rPr>
        <w:t xml:space="preserve">p.p.s.a. </w:t>
      </w:r>
      <w:bookmarkEnd w:id="6"/>
      <w:r w:rsidRPr="006C2D37">
        <w:rPr>
          <w:rFonts w:asciiTheme="minorHAnsi" w:eastAsia="Times New Roman" w:hAnsiTheme="minorHAnsi" w:cstheme="minorHAnsi"/>
          <w:iCs/>
          <w:sz w:val="24"/>
          <w:szCs w:val="24"/>
        </w:rPr>
        <w:t>w związku z § 2 ust. 3 pkt 3 rozporząd</w:t>
      </w:r>
      <w:r w:rsidRPr="006C2D37">
        <w:rPr>
          <w:rFonts w:asciiTheme="minorHAnsi" w:eastAsia="Times New Roman" w:hAnsiTheme="minorHAnsi" w:cstheme="minorHAnsi"/>
          <w:iCs/>
          <w:sz w:val="24"/>
          <w:szCs w:val="24"/>
        </w:rPr>
        <w:t>zenia Rady Ministrów z dnia 16 grudnia 2003 r.</w:t>
      </w:r>
      <w:r w:rsidRPr="006C2D37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6C2D37">
        <w:rPr>
          <w:rFonts w:asciiTheme="minorHAnsi" w:eastAsia="Times New Roman" w:hAnsiTheme="minorHAnsi" w:cstheme="minorHAnsi"/>
          <w:sz w:val="24"/>
          <w:szCs w:val="24"/>
        </w:rPr>
        <w:t>w sprawie wysokości oraz szczegółowych zasad pobierania wpisu w postępowaniu przed sądami administracyjnymi</w:t>
      </w:r>
      <w:r w:rsidRPr="006C2D37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6C2D37">
        <w:rPr>
          <w:rFonts w:asciiTheme="minorHAnsi" w:eastAsia="Times New Roman" w:hAnsiTheme="minorHAnsi" w:cstheme="minorHAnsi"/>
          <w:iCs/>
          <w:sz w:val="24"/>
          <w:szCs w:val="24"/>
        </w:rPr>
        <w:t>(Dz. U. z 2021 r. poz. 535)</w:t>
      </w:r>
      <w:r w:rsidRPr="006C2D37">
        <w:rPr>
          <w:rFonts w:asciiTheme="minorHAnsi" w:eastAsia="Times New Roman" w:hAnsiTheme="minorHAnsi" w:cstheme="minorHAnsi"/>
          <w:sz w:val="24"/>
          <w:szCs w:val="24"/>
        </w:rPr>
        <w:t>, obowiązany jest do uiszczenia wpisu od skargi w kwocie 200 zł. Skarżący,</w:t>
      </w:r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 co wynika z </w:t>
      </w:r>
      <w:bookmarkStart w:id="7" w:name="_Hlk196470548"/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art. 239 </w:t>
      </w:r>
      <w:r w:rsidRPr="006C2D37">
        <w:rPr>
          <w:rFonts w:asciiTheme="minorHAnsi" w:eastAsia="Times New Roman" w:hAnsiTheme="minorHAnsi" w:cstheme="minorHAnsi"/>
          <w:iCs/>
          <w:sz w:val="24"/>
          <w:szCs w:val="24"/>
        </w:rPr>
        <w:t>p.p.s.a.</w:t>
      </w:r>
      <w:bookmarkEnd w:id="7"/>
      <w:r w:rsidRPr="006C2D37">
        <w:rPr>
          <w:rFonts w:asciiTheme="minorHAnsi" w:eastAsia="Times New Roman" w:hAnsiTheme="minorHAnsi" w:cstheme="minorHAnsi"/>
          <w:sz w:val="24"/>
          <w:szCs w:val="24"/>
        </w:rPr>
        <w:t>, może być zwolniony z obowiązku uiszczenia kosztów sądowych;</w:t>
      </w:r>
    </w:p>
    <w:p w14:paraId="302FE6B5" w14:textId="77777777" w:rsidR="00C42395" w:rsidRPr="006C2D37" w:rsidRDefault="001F1E13" w:rsidP="006C2D37">
      <w:pPr>
        <w:numPr>
          <w:ilvl w:val="0"/>
          <w:numId w:val="5"/>
        </w:numPr>
        <w:suppressAutoHyphens/>
        <w:spacing w:after="0" w:line="312" w:lineRule="auto"/>
        <w:ind w:left="425" w:hanging="425"/>
        <w:rPr>
          <w:rFonts w:asciiTheme="minorHAnsi" w:eastAsia="Times New Roman" w:hAnsiTheme="minorHAnsi" w:cstheme="minorHAnsi"/>
          <w:sz w:val="24"/>
          <w:szCs w:val="24"/>
        </w:rPr>
      </w:pPr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skarżącemu, zgodnie z </w:t>
      </w:r>
      <w:bookmarkStart w:id="8" w:name="_Hlk196470580"/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art. 243 </w:t>
      </w:r>
      <w:r w:rsidRPr="006C2D37">
        <w:rPr>
          <w:rFonts w:asciiTheme="minorHAnsi" w:eastAsia="Times New Roman" w:hAnsiTheme="minorHAnsi" w:cstheme="minorHAnsi"/>
          <w:iCs/>
          <w:sz w:val="24"/>
          <w:szCs w:val="24"/>
        </w:rPr>
        <w:t>p.p.s.a.</w:t>
      </w:r>
      <w:bookmarkEnd w:id="8"/>
      <w:r w:rsidRPr="006C2D37">
        <w:rPr>
          <w:rFonts w:asciiTheme="minorHAnsi" w:eastAsia="Times New Roman" w:hAnsiTheme="minorHAnsi" w:cstheme="minorHAnsi"/>
          <w:sz w:val="24"/>
          <w:szCs w:val="24"/>
        </w:rPr>
        <w:t>, może być przyznane, na jego wniosek, prawo pomocy. Wniosek ten wolny jest od opłat sądowych;</w:t>
      </w:r>
    </w:p>
    <w:p w14:paraId="38B27949" w14:textId="77777777" w:rsidR="00C42395" w:rsidRPr="006C2D37" w:rsidRDefault="001F1E13" w:rsidP="006C2D37">
      <w:pPr>
        <w:numPr>
          <w:ilvl w:val="0"/>
          <w:numId w:val="5"/>
        </w:numPr>
        <w:suppressAutoHyphens/>
        <w:spacing w:after="120" w:line="312" w:lineRule="auto"/>
        <w:ind w:left="425" w:hanging="425"/>
        <w:rPr>
          <w:rFonts w:asciiTheme="minorHAnsi" w:eastAsia="Times New Roman" w:hAnsiTheme="minorHAnsi" w:cstheme="minorHAnsi"/>
          <w:sz w:val="24"/>
          <w:szCs w:val="24"/>
        </w:rPr>
      </w:pPr>
      <w:r w:rsidRPr="006C2D37">
        <w:rPr>
          <w:rFonts w:asciiTheme="minorHAnsi" w:eastAsia="Times New Roman" w:hAnsiTheme="minorHAnsi" w:cstheme="minorHAnsi"/>
          <w:sz w:val="24"/>
          <w:szCs w:val="24"/>
        </w:rPr>
        <w:t>skargę w formie elektronicznej</w:t>
      </w:r>
      <w:r w:rsidRPr="006C2D37">
        <w:rPr>
          <w:rFonts w:asciiTheme="minorHAnsi" w:eastAsia="Times New Roman" w:hAnsiTheme="minorHAnsi" w:cstheme="minorHAnsi"/>
          <w:sz w:val="24"/>
          <w:szCs w:val="24"/>
        </w:rPr>
        <w:t xml:space="preserve"> należy wnieść na adres do e-Doręczeń: AE:PL-14966-78422-TRCJH-21 lub adres ePUAP: /gdosgovpl/SkrytkaESP, natomiast w formie papierowej – na adres siedziby Generalnej Dyrekcji Ochrony Środowiska: Al. Jerozolimskie 136, 02-305 Warszawa.</w:t>
      </w:r>
      <w:bookmarkEnd w:id="5"/>
    </w:p>
    <w:p w14:paraId="076DB267" w14:textId="77777777" w:rsidR="00C42395" w:rsidRPr="006C2D37" w:rsidRDefault="001F1E13" w:rsidP="006C2D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18FDF6" wp14:editId="59D3859B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52D3E" w14:textId="77777777" w:rsidR="00C42395" w:rsidRPr="006C2D37" w:rsidRDefault="001F1E13" w:rsidP="006C2D37">
                            <w:pPr>
                              <w:spacing w:after="60" w:line="240" w:lineRule="auto"/>
                              <w:ind w:firstLine="3969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C2D3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PIOTR OTAWSKI</w:t>
                            </w:r>
                          </w:p>
                          <w:p w14:paraId="5F359616" w14:textId="77777777" w:rsidR="00C42395" w:rsidRPr="006C2D37" w:rsidRDefault="001F1E13" w:rsidP="006C2D37">
                            <w:pPr>
                              <w:spacing w:line="240" w:lineRule="auto"/>
                              <w:ind w:firstLine="3969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C2D3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</w:t>
                            </w:r>
                            <w:r w:rsidRPr="006C2D3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eralny Dyrektor Ochrony Środowiska</w:t>
                            </w:r>
                          </w:p>
                          <w:p w14:paraId="25CBBFDB" w14:textId="77777777" w:rsidR="00C42395" w:rsidRPr="006C2D37" w:rsidRDefault="001F1E13" w:rsidP="006C2D37">
                            <w:pPr>
                              <w:pStyle w:val="menfont"/>
                              <w:spacing w:line="276" w:lineRule="auto"/>
                              <w:ind w:left="396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C2D37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18FDF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7AD52D3E" w14:textId="77777777" w:rsidR="00000000" w:rsidRPr="006C2D37" w:rsidRDefault="00000000" w:rsidP="006C2D37">
                      <w:pPr>
                        <w:spacing w:after="60" w:line="240" w:lineRule="auto"/>
                        <w:ind w:firstLine="3969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C2D3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PIOTR OTAWSKI</w:t>
                      </w:r>
                    </w:p>
                    <w:p w14:paraId="5F359616" w14:textId="77777777" w:rsidR="00000000" w:rsidRPr="006C2D37" w:rsidRDefault="00000000" w:rsidP="006C2D37">
                      <w:pPr>
                        <w:spacing w:line="240" w:lineRule="auto"/>
                        <w:ind w:firstLine="3969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C2D3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Generalny Dyrektor Ochrony Środowiska</w:t>
                      </w:r>
                    </w:p>
                    <w:p w14:paraId="25CBBFDB" w14:textId="77777777" w:rsidR="00000000" w:rsidRPr="006C2D37" w:rsidRDefault="00000000" w:rsidP="006C2D37">
                      <w:pPr>
                        <w:pStyle w:val="menfont"/>
                        <w:spacing w:line="276" w:lineRule="auto"/>
                        <w:ind w:left="3969"/>
                        <w:rPr>
                          <w:rFonts w:asciiTheme="minorHAnsi" w:hAnsiTheme="minorHAnsi" w:cstheme="minorHAnsi"/>
                        </w:rPr>
                      </w:pPr>
                      <w:r w:rsidRPr="006C2D37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026A890" w14:textId="77777777" w:rsidR="00C42395" w:rsidRPr="006C2D37" w:rsidRDefault="00C42395" w:rsidP="006C2D37">
      <w:pPr>
        <w:rPr>
          <w:rFonts w:asciiTheme="minorHAnsi" w:hAnsiTheme="minorHAnsi" w:cstheme="minorHAnsi"/>
          <w:sz w:val="24"/>
          <w:szCs w:val="24"/>
        </w:rPr>
      </w:pPr>
    </w:p>
    <w:p w14:paraId="261D77E0" w14:textId="77777777" w:rsidR="00C42395" w:rsidRPr="006C2D37" w:rsidRDefault="001F1E13" w:rsidP="006C2D37">
      <w:pPr>
        <w:pStyle w:val="Akapitzlist"/>
        <w:spacing w:line="288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Otrzymują:</w:t>
      </w:r>
    </w:p>
    <w:p w14:paraId="538CA4DD" w14:textId="21A95829" w:rsidR="00C42395" w:rsidRPr="006C2D37" w:rsidRDefault="00934C72" w:rsidP="006C2D37">
      <w:pPr>
        <w:pStyle w:val="Akapitzlist"/>
        <w:numPr>
          <w:ilvl w:val="0"/>
          <w:numId w:val="2"/>
        </w:numPr>
        <w:tabs>
          <w:tab w:val="left" w:pos="284"/>
        </w:tabs>
        <w:spacing w:after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(…)</w:t>
      </w:r>
      <w:r w:rsidR="001F1E13" w:rsidRPr="006C2D37">
        <w:rPr>
          <w:rFonts w:asciiTheme="minorHAnsi" w:hAnsiTheme="minorHAnsi" w:cstheme="minorHAnsi"/>
          <w:sz w:val="24"/>
          <w:szCs w:val="24"/>
        </w:rPr>
        <w:t xml:space="preserve">, reprezentująca </w:t>
      </w:r>
      <w:proofErr w:type="spellStart"/>
      <w:r w:rsidR="001F1E13" w:rsidRPr="006C2D37">
        <w:rPr>
          <w:rFonts w:asciiTheme="minorHAnsi" w:hAnsiTheme="minorHAnsi" w:cstheme="minorHAnsi"/>
          <w:sz w:val="24"/>
          <w:szCs w:val="24"/>
        </w:rPr>
        <w:t>Klimsa</w:t>
      </w:r>
      <w:proofErr w:type="spellEnd"/>
      <w:r w:rsidR="001F1E13" w:rsidRPr="006C2D37">
        <w:rPr>
          <w:rFonts w:asciiTheme="minorHAnsi" w:hAnsiTheme="minorHAnsi" w:cstheme="minorHAnsi"/>
          <w:sz w:val="24"/>
          <w:szCs w:val="24"/>
        </w:rPr>
        <w:t xml:space="preserve"> Inwestycje sp. z o.o. w Katowicach, ul. Kopernika 4/3, 40-064 Katowice;</w:t>
      </w:r>
    </w:p>
    <w:p w14:paraId="559D9FFB" w14:textId="77777777" w:rsidR="00C42395" w:rsidRPr="006C2D37" w:rsidRDefault="001F1E13" w:rsidP="006C2D37">
      <w:pPr>
        <w:pStyle w:val="Akapitzlist"/>
        <w:numPr>
          <w:ilvl w:val="0"/>
          <w:numId w:val="2"/>
        </w:numPr>
        <w:tabs>
          <w:tab w:val="left" w:pos="284"/>
        </w:tabs>
        <w:spacing w:after="240" w:line="288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>Pozostałe strony postępo</w:t>
      </w:r>
      <w:bookmarkStart w:id="9" w:name="_GoBack"/>
      <w:bookmarkEnd w:id="9"/>
      <w:r w:rsidRPr="006C2D37">
        <w:rPr>
          <w:rFonts w:asciiTheme="minorHAnsi" w:hAnsiTheme="minorHAnsi" w:cstheme="minorHAnsi"/>
          <w:sz w:val="24"/>
          <w:szCs w:val="24"/>
        </w:rPr>
        <w:t>wania, zgodnie z art. 49 k.p.a. w zw. z art. 74 us</w:t>
      </w:r>
      <w:r w:rsidRPr="006C2D37">
        <w:rPr>
          <w:rFonts w:asciiTheme="minorHAnsi" w:hAnsiTheme="minorHAnsi" w:cstheme="minorHAnsi"/>
          <w:sz w:val="24"/>
          <w:szCs w:val="24"/>
        </w:rPr>
        <w:t>t. 3 u.o.o.ś.</w:t>
      </w:r>
    </w:p>
    <w:p w14:paraId="1B0F3707" w14:textId="77777777" w:rsidR="00C42395" w:rsidRPr="006C2D37" w:rsidRDefault="001F1E13" w:rsidP="006C2D37">
      <w:pPr>
        <w:tabs>
          <w:tab w:val="left" w:pos="284"/>
        </w:tabs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lastRenderedPageBreak/>
        <w:t>Do wiadomości:</w:t>
      </w:r>
    </w:p>
    <w:p w14:paraId="31BECF07" w14:textId="77777777" w:rsidR="00C42395" w:rsidRPr="006C2D37" w:rsidRDefault="001F1E13" w:rsidP="006C2D37">
      <w:pPr>
        <w:pStyle w:val="Akapitzlist"/>
        <w:numPr>
          <w:ilvl w:val="0"/>
          <w:numId w:val="3"/>
        </w:numPr>
        <w:tabs>
          <w:tab w:val="left" w:pos="284"/>
        </w:tabs>
        <w:spacing w:after="240" w:line="288" w:lineRule="auto"/>
        <w:rPr>
          <w:rFonts w:asciiTheme="minorHAnsi" w:hAnsiTheme="minorHAnsi" w:cstheme="minorHAnsi"/>
          <w:sz w:val="24"/>
          <w:szCs w:val="24"/>
        </w:rPr>
      </w:pPr>
      <w:r w:rsidRPr="006C2D37">
        <w:rPr>
          <w:rFonts w:asciiTheme="minorHAnsi" w:hAnsiTheme="minorHAnsi" w:cstheme="minorHAnsi"/>
          <w:sz w:val="24"/>
          <w:szCs w:val="24"/>
        </w:rPr>
        <w:t xml:space="preserve">Regionalny Dyrektor Ochrony Środowiska </w:t>
      </w:r>
      <w:r w:rsidRPr="006C2D37">
        <w:rPr>
          <w:rFonts w:asciiTheme="minorHAnsi" w:hAnsiTheme="minorHAnsi" w:cstheme="minorHAnsi"/>
          <w:color w:val="000000"/>
          <w:sz w:val="24"/>
          <w:szCs w:val="24"/>
        </w:rPr>
        <w:t>w Katowicach.</w:t>
      </w:r>
    </w:p>
    <w:sectPr w:rsidR="00C42395" w:rsidRPr="006C2D37" w:rsidSect="000F183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001BB" w14:textId="77777777" w:rsidR="001F1E13" w:rsidRDefault="001F1E13">
      <w:pPr>
        <w:spacing w:after="0" w:line="240" w:lineRule="auto"/>
      </w:pPr>
      <w:r>
        <w:separator/>
      </w:r>
    </w:p>
  </w:endnote>
  <w:endnote w:type="continuationSeparator" w:id="0">
    <w:p w14:paraId="0F55C5ED" w14:textId="77777777" w:rsidR="001F1E13" w:rsidRDefault="001F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977780"/>
      <w:docPartObj>
        <w:docPartGallery w:val="Page Numbers (Bottom of Page)"/>
        <w:docPartUnique/>
      </w:docPartObj>
    </w:sdtPr>
    <w:sdtEndPr/>
    <w:sdtContent>
      <w:p w14:paraId="53372376" w14:textId="44A8B9BB" w:rsidR="00C42395" w:rsidRDefault="001F1E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C72">
          <w:rPr>
            <w:noProof/>
          </w:rPr>
          <w:t>11</w:t>
        </w:r>
        <w:r>
          <w:fldChar w:fldCharType="end"/>
        </w:r>
      </w:p>
    </w:sdtContent>
  </w:sdt>
  <w:p w14:paraId="0558488D" w14:textId="77777777" w:rsidR="00C42395" w:rsidRDefault="00C4239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A334" w14:textId="77777777" w:rsidR="001F1E13" w:rsidRDefault="001F1E13">
      <w:pPr>
        <w:spacing w:after="0" w:line="240" w:lineRule="auto"/>
      </w:pPr>
      <w:r>
        <w:separator/>
      </w:r>
    </w:p>
  </w:footnote>
  <w:footnote w:type="continuationSeparator" w:id="0">
    <w:p w14:paraId="358EC1F4" w14:textId="77777777" w:rsidR="001F1E13" w:rsidRDefault="001F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4FFD" w14:textId="77777777" w:rsidR="00C42395" w:rsidRDefault="00C4239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147019" w14:paraId="4000B288" w14:textId="77777777" w:rsidTr="000F1838">
      <w:trPr>
        <w:trHeight w:val="470"/>
      </w:trPr>
      <w:tc>
        <w:tcPr>
          <w:tcW w:w="4641" w:type="dxa"/>
          <w:vAlign w:val="center"/>
        </w:tcPr>
        <w:p w14:paraId="14A70217" w14:textId="77777777" w:rsidR="00C42395" w:rsidRDefault="001F1E13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8E5E7F9" wp14:editId="7700F573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607DA0F" w14:textId="77777777" w:rsidR="00C42395" w:rsidRPr="00A3212B" w:rsidRDefault="001F1E13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56456A02" w14:textId="77777777" w:rsidR="00C42395" w:rsidRPr="00A65CAB" w:rsidRDefault="001F1E13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75CDE325" w14:textId="77777777" w:rsidR="00C42395" w:rsidRDefault="00C423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CAC"/>
    <w:multiLevelType w:val="hybridMultilevel"/>
    <w:tmpl w:val="2CC62126"/>
    <w:lvl w:ilvl="0" w:tplc="86700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E296E">
      <w:start w:val="1"/>
      <w:numFmt w:val="lowerLetter"/>
      <w:lvlText w:val="%2."/>
      <w:lvlJc w:val="left"/>
      <w:pPr>
        <w:ind w:left="1440" w:hanging="360"/>
      </w:pPr>
    </w:lvl>
    <w:lvl w:ilvl="2" w:tplc="E0302A50" w:tentative="1">
      <w:start w:val="1"/>
      <w:numFmt w:val="lowerRoman"/>
      <w:lvlText w:val="%3."/>
      <w:lvlJc w:val="right"/>
      <w:pPr>
        <w:ind w:left="2160" w:hanging="180"/>
      </w:pPr>
    </w:lvl>
    <w:lvl w:ilvl="3" w:tplc="847CF96C" w:tentative="1">
      <w:start w:val="1"/>
      <w:numFmt w:val="decimal"/>
      <w:lvlText w:val="%4."/>
      <w:lvlJc w:val="left"/>
      <w:pPr>
        <w:ind w:left="2880" w:hanging="360"/>
      </w:pPr>
    </w:lvl>
    <w:lvl w:ilvl="4" w:tplc="43D47200" w:tentative="1">
      <w:start w:val="1"/>
      <w:numFmt w:val="lowerLetter"/>
      <w:lvlText w:val="%5."/>
      <w:lvlJc w:val="left"/>
      <w:pPr>
        <w:ind w:left="3600" w:hanging="360"/>
      </w:pPr>
    </w:lvl>
    <w:lvl w:ilvl="5" w:tplc="0262CEE2" w:tentative="1">
      <w:start w:val="1"/>
      <w:numFmt w:val="lowerRoman"/>
      <w:lvlText w:val="%6."/>
      <w:lvlJc w:val="right"/>
      <w:pPr>
        <w:ind w:left="4320" w:hanging="180"/>
      </w:pPr>
    </w:lvl>
    <w:lvl w:ilvl="6" w:tplc="42D694F2" w:tentative="1">
      <w:start w:val="1"/>
      <w:numFmt w:val="decimal"/>
      <w:lvlText w:val="%7."/>
      <w:lvlJc w:val="left"/>
      <w:pPr>
        <w:ind w:left="5040" w:hanging="360"/>
      </w:pPr>
    </w:lvl>
    <w:lvl w:ilvl="7" w:tplc="77440498" w:tentative="1">
      <w:start w:val="1"/>
      <w:numFmt w:val="lowerLetter"/>
      <w:lvlText w:val="%8."/>
      <w:lvlJc w:val="left"/>
      <w:pPr>
        <w:ind w:left="5760" w:hanging="360"/>
      </w:pPr>
    </w:lvl>
    <w:lvl w:ilvl="8" w:tplc="AE72D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680E"/>
    <w:multiLevelType w:val="hybridMultilevel"/>
    <w:tmpl w:val="76122A18"/>
    <w:lvl w:ilvl="0" w:tplc="61402DCE">
      <w:start w:val="1"/>
      <w:numFmt w:val="decimal"/>
      <w:lvlText w:val="%1."/>
      <w:lvlJc w:val="left"/>
      <w:pPr>
        <w:ind w:left="720" w:hanging="360"/>
      </w:pPr>
    </w:lvl>
    <w:lvl w:ilvl="1" w:tplc="B56461CC" w:tentative="1">
      <w:start w:val="1"/>
      <w:numFmt w:val="lowerLetter"/>
      <w:lvlText w:val="%2."/>
      <w:lvlJc w:val="left"/>
      <w:pPr>
        <w:ind w:left="1440" w:hanging="360"/>
      </w:pPr>
    </w:lvl>
    <w:lvl w:ilvl="2" w:tplc="42BA505A" w:tentative="1">
      <w:start w:val="1"/>
      <w:numFmt w:val="lowerRoman"/>
      <w:lvlText w:val="%3."/>
      <w:lvlJc w:val="right"/>
      <w:pPr>
        <w:ind w:left="2160" w:hanging="180"/>
      </w:pPr>
    </w:lvl>
    <w:lvl w:ilvl="3" w:tplc="1304F362" w:tentative="1">
      <w:start w:val="1"/>
      <w:numFmt w:val="decimal"/>
      <w:lvlText w:val="%4."/>
      <w:lvlJc w:val="left"/>
      <w:pPr>
        <w:ind w:left="2880" w:hanging="360"/>
      </w:pPr>
    </w:lvl>
    <w:lvl w:ilvl="4" w:tplc="BA9694CC" w:tentative="1">
      <w:start w:val="1"/>
      <w:numFmt w:val="lowerLetter"/>
      <w:lvlText w:val="%5."/>
      <w:lvlJc w:val="left"/>
      <w:pPr>
        <w:ind w:left="3600" w:hanging="360"/>
      </w:pPr>
    </w:lvl>
    <w:lvl w:ilvl="5" w:tplc="CC78AD2C" w:tentative="1">
      <w:start w:val="1"/>
      <w:numFmt w:val="lowerRoman"/>
      <w:lvlText w:val="%6."/>
      <w:lvlJc w:val="right"/>
      <w:pPr>
        <w:ind w:left="4320" w:hanging="180"/>
      </w:pPr>
    </w:lvl>
    <w:lvl w:ilvl="6" w:tplc="E2CEAC06" w:tentative="1">
      <w:start w:val="1"/>
      <w:numFmt w:val="decimal"/>
      <w:lvlText w:val="%7."/>
      <w:lvlJc w:val="left"/>
      <w:pPr>
        <w:ind w:left="5040" w:hanging="360"/>
      </w:pPr>
    </w:lvl>
    <w:lvl w:ilvl="7" w:tplc="1812B9C2" w:tentative="1">
      <w:start w:val="1"/>
      <w:numFmt w:val="lowerLetter"/>
      <w:lvlText w:val="%8."/>
      <w:lvlJc w:val="left"/>
      <w:pPr>
        <w:ind w:left="5760" w:hanging="360"/>
      </w:pPr>
    </w:lvl>
    <w:lvl w:ilvl="8" w:tplc="C5DE8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7576"/>
    <w:multiLevelType w:val="hybridMultilevel"/>
    <w:tmpl w:val="E3A00B4A"/>
    <w:lvl w:ilvl="0" w:tplc="D2F45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60F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41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0B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C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A4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67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4F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28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C2E"/>
    <w:multiLevelType w:val="hybridMultilevel"/>
    <w:tmpl w:val="9BE2C4F0"/>
    <w:lvl w:ilvl="0" w:tplc="826E4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4D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A9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E0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09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82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07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7FA0"/>
    <w:multiLevelType w:val="hybridMultilevel"/>
    <w:tmpl w:val="9C24BF2E"/>
    <w:lvl w:ilvl="0" w:tplc="24183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8F5A0" w:tentative="1">
      <w:start w:val="1"/>
      <w:numFmt w:val="lowerLetter"/>
      <w:lvlText w:val="%2."/>
      <w:lvlJc w:val="left"/>
      <w:pPr>
        <w:ind w:left="1440" w:hanging="360"/>
      </w:pPr>
    </w:lvl>
    <w:lvl w:ilvl="2" w:tplc="AA2E1910" w:tentative="1">
      <w:start w:val="1"/>
      <w:numFmt w:val="lowerRoman"/>
      <w:lvlText w:val="%3."/>
      <w:lvlJc w:val="right"/>
      <w:pPr>
        <w:ind w:left="2160" w:hanging="180"/>
      </w:pPr>
    </w:lvl>
    <w:lvl w:ilvl="3" w:tplc="D9124A4E" w:tentative="1">
      <w:start w:val="1"/>
      <w:numFmt w:val="decimal"/>
      <w:lvlText w:val="%4."/>
      <w:lvlJc w:val="left"/>
      <w:pPr>
        <w:ind w:left="2880" w:hanging="360"/>
      </w:pPr>
    </w:lvl>
    <w:lvl w:ilvl="4" w:tplc="EB8A9214" w:tentative="1">
      <w:start w:val="1"/>
      <w:numFmt w:val="lowerLetter"/>
      <w:lvlText w:val="%5."/>
      <w:lvlJc w:val="left"/>
      <w:pPr>
        <w:ind w:left="3600" w:hanging="360"/>
      </w:pPr>
    </w:lvl>
    <w:lvl w:ilvl="5" w:tplc="9AD421B8" w:tentative="1">
      <w:start w:val="1"/>
      <w:numFmt w:val="lowerRoman"/>
      <w:lvlText w:val="%6."/>
      <w:lvlJc w:val="right"/>
      <w:pPr>
        <w:ind w:left="4320" w:hanging="180"/>
      </w:pPr>
    </w:lvl>
    <w:lvl w:ilvl="6" w:tplc="D576CD28" w:tentative="1">
      <w:start w:val="1"/>
      <w:numFmt w:val="decimal"/>
      <w:lvlText w:val="%7."/>
      <w:lvlJc w:val="left"/>
      <w:pPr>
        <w:ind w:left="5040" w:hanging="360"/>
      </w:pPr>
    </w:lvl>
    <w:lvl w:ilvl="7" w:tplc="20525C1A" w:tentative="1">
      <w:start w:val="1"/>
      <w:numFmt w:val="lowerLetter"/>
      <w:lvlText w:val="%8."/>
      <w:lvlJc w:val="left"/>
      <w:pPr>
        <w:ind w:left="5760" w:hanging="360"/>
      </w:pPr>
    </w:lvl>
    <w:lvl w:ilvl="8" w:tplc="DF8A5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801CE"/>
    <w:multiLevelType w:val="hybridMultilevel"/>
    <w:tmpl w:val="E5688950"/>
    <w:lvl w:ilvl="0" w:tplc="C7A23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F6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CD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88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E64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6E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AC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28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80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19"/>
    <w:rsid w:val="00147019"/>
    <w:rsid w:val="001F1E13"/>
    <w:rsid w:val="006C2D37"/>
    <w:rsid w:val="00934C72"/>
    <w:rsid w:val="00C42395"/>
    <w:rsid w:val="00E95D73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6698"/>
  <w15:docId w15:val="{D4A4B43A-5F18-43DB-955B-31636E45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List Paragraph_0,Wyliczanie"/>
    <w:basedOn w:val="Normalny"/>
    <w:link w:val="AkapitzlistZnak"/>
    <w:uiPriority w:val="34"/>
    <w:qFormat/>
    <w:rsid w:val="00A047DE"/>
    <w:pPr>
      <w:ind w:left="720"/>
      <w:contextualSpacing/>
    </w:pPr>
  </w:style>
  <w:style w:type="character" w:customStyle="1" w:styleId="AkapitzlistZnak">
    <w:name w:val="Akapit z listą Znak"/>
    <w:aliases w:val="List Paragraph_0 Znak,Wyliczanie Znak"/>
    <w:link w:val="Akapitzlist"/>
    <w:uiPriority w:val="34"/>
    <w:rsid w:val="002B442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10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0EC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5F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8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8E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8E0"/>
    <w:rPr>
      <w:vertAlign w:val="superscript"/>
    </w:rPr>
  </w:style>
  <w:style w:type="paragraph" w:styleId="Poprawka">
    <w:name w:val="Revision"/>
    <w:hidden/>
    <w:uiPriority w:val="99"/>
    <w:semiHidden/>
    <w:rsid w:val="000962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9B22-758F-4264-91EC-98B0AF93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3024</TotalTime>
  <Pages>1</Pages>
  <Words>3710</Words>
  <Characters>22263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Bączek</cp:lastModifiedBy>
  <cp:revision>45</cp:revision>
  <cp:lastPrinted>2010-12-24T09:23:00Z</cp:lastPrinted>
  <dcterms:created xsi:type="dcterms:W3CDTF">2022-10-20T15:35:00Z</dcterms:created>
  <dcterms:modified xsi:type="dcterms:W3CDTF">2026-02-02T12:46:00Z</dcterms:modified>
</cp:coreProperties>
</file>