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06" w:rsidRPr="006A2A06" w:rsidRDefault="006A2A06" w:rsidP="006A2A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val="pl-PL" w:eastAsia="pl-PL"/>
        </w:rPr>
      </w:pPr>
      <w:r w:rsidRPr="006A2A06">
        <w:rPr>
          <w:rFonts w:ascii="Times New Roman" w:eastAsia="Times New Roman" w:hAnsi="Times New Roman" w:cs="Times New Roman"/>
          <w:szCs w:val="28"/>
          <w:lang w:val="pl-PL" w:eastAsia="pl-PL"/>
        </w:rPr>
        <w:t>Załącznik B.72.</w:t>
      </w:r>
    </w:p>
    <w:p w:rsidR="00C56E21" w:rsidRPr="00BA0C94" w:rsidRDefault="00C56E21" w:rsidP="006A2A06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AC1189" w:rsidRPr="00FE09AF" w:rsidRDefault="007A15BD" w:rsidP="00FE09AF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A2A06">
        <w:rPr>
          <w:rFonts w:ascii="Times New Roman" w:hAnsi="Times New Roman" w:cs="Times New Roman"/>
          <w:b/>
          <w:sz w:val="28"/>
          <w:szCs w:val="28"/>
          <w:lang w:val="pl-PL"/>
        </w:rPr>
        <w:t xml:space="preserve">LECZENIE CZERNIAKA </w:t>
      </w:r>
      <w:r w:rsidR="005615D2" w:rsidRPr="006A2A0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796D74" w:rsidRPr="006A2A06">
        <w:rPr>
          <w:rFonts w:ascii="Times New Roman" w:hAnsi="Times New Roman" w:cs="Times New Roman"/>
          <w:b/>
          <w:sz w:val="28"/>
          <w:szCs w:val="28"/>
          <w:lang w:val="pl-PL"/>
        </w:rPr>
        <w:t>SKOJARZONĄ TERAPIĄ</w:t>
      </w:r>
      <w:r w:rsidRPr="006A2A0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373D1F" w:rsidRPr="006A2A0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3C286C" w:rsidRPr="006A2A06">
        <w:rPr>
          <w:rFonts w:ascii="Times New Roman" w:hAnsi="Times New Roman" w:cs="Times New Roman"/>
          <w:b/>
          <w:sz w:val="28"/>
          <w:szCs w:val="28"/>
          <w:lang w:val="pl-PL"/>
        </w:rPr>
        <w:t>DABRAFENIBEM</w:t>
      </w:r>
      <w:r w:rsidRPr="006A2A0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4F2787">
        <w:rPr>
          <w:rFonts w:ascii="Times New Roman" w:hAnsi="Times New Roman" w:cs="Times New Roman"/>
          <w:b/>
          <w:sz w:val="28"/>
          <w:szCs w:val="28"/>
          <w:lang w:val="pl-PL"/>
        </w:rPr>
        <w:t xml:space="preserve"> I</w:t>
      </w:r>
      <w:r w:rsidR="00C36564" w:rsidRPr="006A2A0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TRAMET</w:t>
      </w:r>
      <w:r w:rsidR="00796D74" w:rsidRPr="006A2A06">
        <w:rPr>
          <w:rFonts w:ascii="Times New Roman" w:hAnsi="Times New Roman" w:cs="Times New Roman"/>
          <w:b/>
          <w:sz w:val="28"/>
          <w:szCs w:val="28"/>
          <w:lang w:val="pl-PL"/>
        </w:rPr>
        <w:t>Y</w:t>
      </w:r>
      <w:r w:rsidR="006A2A06">
        <w:rPr>
          <w:rFonts w:ascii="Times New Roman" w:hAnsi="Times New Roman" w:cs="Times New Roman"/>
          <w:b/>
          <w:sz w:val="28"/>
          <w:szCs w:val="28"/>
          <w:lang w:val="pl-PL"/>
        </w:rPr>
        <w:t>NIBEM</w:t>
      </w:r>
      <w:r w:rsidR="00C36564" w:rsidRPr="006A2A0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6A2A06">
        <w:rPr>
          <w:rFonts w:ascii="Times New Roman" w:hAnsi="Times New Roman" w:cs="Times New Roman"/>
          <w:b/>
          <w:sz w:val="28"/>
          <w:szCs w:val="28"/>
          <w:lang w:val="pl-PL"/>
        </w:rPr>
        <w:t>(ICD-10 C43)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5382"/>
        <w:gridCol w:w="4111"/>
        <w:gridCol w:w="5811"/>
      </w:tblGrid>
      <w:tr w:rsidR="00EC4784" w:rsidRPr="00BA0C94" w:rsidTr="00770553">
        <w:tc>
          <w:tcPr>
            <w:tcW w:w="15304" w:type="dxa"/>
            <w:gridSpan w:val="3"/>
          </w:tcPr>
          <w:p w:rsidR="00EC4784" w:rsidRPr="00FE09AF" w:rsidRDefault="00EC4784" w:rsidP="00BA0C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9AF">
              <w:rPr>
                <w:rFonts w:ascii="Times New Roman" w:hAnsi="Times New Roman" w:cs="Times New Roman"/>
                <w:b/>
                <w:sz w:val="20"/>
                <w:szCs w:val="20"/>
              </w:rPr>
              <w:t>ZAKRES SWIADCZENIA GWARANTOWANEGO</w:t>
            </w:r>
          </w:p>
        </w:tc>
      </w:tr>
      <w:tr w:rsidR="00CD012C" w:rsidRPr="006A2A06" w:rsidTr="00770553">
        <w:tc>
          <w:tcPr>
            <w:tcW w:w="5382" w:type="dxa"/>
          </w:tcPr>
          <w:p w:rsidR="00CD012C" w:rsidRPr="00FE09AF" w:rsidRDefault="00EC4784" w:rsidP="00BA0C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9AF">
              <w:rPr>
                <w:rFonts w:ascii="Times New Roman" w:hAnsi="Times New Roman" w:cs="Times New Roman"/>
                <w:b/>
                <w:sz w:val="20"/>
                <w:szCs w:val="20"/>
              </w:rPr>
              <w:t>ŚWIADCZENIOBIORCY</w:t>
            </w:r>
          </w:p>
        </w:tc>
        <w:tc>
          <w:tcPr>
            <w:tcW w:w="4111" w:type="dxa"/>
          </w:tcPr>
          <w:p w:rsidR="00CD012C" w:rsidRPr="00FE09AF" w:rsidRDefault="00EC4784" w:rsidP="00BA0C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SCHEMAT DAWKOWANIA LEKU W PROGRAMIE</w:t>
            </w:r>
          </w:p>
        </w:tc>
        <w:tc>
          <w:tcPr>
            <w:tcW w:w="5811" w:type="dxa"/>
          </w:tcPr>
          <w:p w:rsidR="00CD012C" w:rsidRPr="00FE09AF" w:rsidRDefault="00EC4784" w:rsidP="00BA0C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BADANIA DIAGNOSTYCZNE WYKONYWANE W RAMACH PROGRAMU</w:t>
            </w:r>
          </w:p>
        </w:tc>
      </w:tr>
      <w:tr w:rsidR="00CD012C" w:rsidRPr="006A2A06" w:rsidTr="00770553">
        <w:tc>
          <w:tcPr>
            <w:tcW w:w="5382" w:type="dxa"/>
          </w:tcPr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1. Kryteria kwalifikacji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1) rozpoznanie </w:t>
            </w:r>
            <w:proofErr w:type="spellStart"/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nieresekcyjnego</w:t>
            </w:r>
            <w:proofErr w:type="spellEnd"/>
            <w:r w:rsidR="00FE4E49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(stopień IIIC) 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uogólnionego</w:t>
            </w:r>
            <w:r w:rsidR="00FE4E49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(stopień IV)</w:t>
            </w:r>
            <w:r w:rsidR="00D012DB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czerniaka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2) potwierdzenie mutacji </w:t>
            </w:r>
            <w:r w:rsidRPr="00FE09A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BRAF V600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komórkach nowotworowych za pomoc</w:t>
            </w:r>
            <w:r w:rsidR="004047F3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ą </w:t>
            </w:r>
            <w:proofErr w:type="spellStart"/>
            <w:r w:rsidR="00273FE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4047F3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alidowanego</w:t>
            </w:r>
            <w:proofErr w:type="spellEnd"/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testu;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3) zmiany nowotworowe </w:t>
            </w:r>
            <w:r w:rsidR="004047F3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umożliwiające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047F3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ocenę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odpowiedzi na leczenie według kryteriów RECIST;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wiek ≥ 18 lat;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5) </w:t>
            </w:r>
            <w:r w:rsidR="004047F3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sprawność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stopniu 0-</w:t>
            </w:r>
            <w:r w:rsidR="00822A9F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273FE5" w:rsidRPr="00FE09AF"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="00876E09" w:rsidRPr="00FE09AF"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wg klasyfikacji </w:t>
            </w:r>
            <w:proofErr w:type="spellStart"/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Zubroda</w:t>
            </w:r>
            <w:proofErr w:type="spellEnd"/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-WHO lub ECOG;</w:t>
            </w:r>
          </w:p>
          <w:p w:rsidR="00233E84" w:rsidRPr="00FE09AF" w:rsidRDefault="00233E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6) </w:t>
            </w:r>
            <w:r w:rsidR="00254B53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jeżeli rozpoznano świeże przerzuty do OUN warunkiem włączenia do programu jest ich bezobjawowość.</w:t>
            </w:r>
            <w:r w:rsidR="00273FE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chorych </w:t>
            </w:r>
            <w:r w:rsidR="001039A6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wcześniej leczonych 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="001039A6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powodu 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zajęci</w:t>
            </w:r>
            <w:r w:rsidR="001039A6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OUN, brak objawów s</w:t>
            </w:r>
            <w:r w:rsidR="00796D7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powodowanych przerzutami do OUN oraz p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rzerzuty do OUN stabilne przez ≥ </w:t>
            </w:r>
            <w:r w:rsidR="00796D7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96D7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miesiąc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leczeniu chirurgicznym lub po radioterapii stereotaktycznej;</w:t>
            </w:r>
          </w:p>
          <w:p w:rsidR="00EC4784" w:rsidRPr="00FE09AF" w:rsidRDefault="0054611B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4047F3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wielkość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047F3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odstępu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QTc</w:t>
            </w:r>
            <w:proofErr w:type="spellEnd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badaniu </w:t>
            </w:r>
            <w:r w:rsidR="004047F3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EKG </w:t>
            </w:r>
            <w:r w:rsidR="007B65E7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&lt; </w:t>
            </w:r>
            <w:r w:rsidR="004047F3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500 ms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EC4784" w:rsidRPr="00FE09AF" w:rsidRDefault="0054611B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wyniki badania morfologii oraz bada</w:t>
            </w:r>
            <w:r w:rsidR="00862C71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biochemicznych krwi </w:t>
            </w:r>
            <w:r w:rsidR="004047F3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umożliwiające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leczenie zgodnie z Charakterystyk</w:t>
            </w:r>
            <w:r w:rsidR="00C3656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Produkt</w:t>
            </w:r>
            <w:r w:rsidR="00C3656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Lecznicz</w:t>
            </w:r>
            <w:r w:rsidR="00C3656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ych </w:t>
            </w:r>
            <w:proofErr w:type="spellStart"/>
            <w:r w:rsidR="00822A9F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dabrafenib</w:t>
            </w:r>
            <w:proofErr w:type="spellEnd"/>
            <w:r w:rsidR="00C3656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proofErr w:type="spellStart"/>
            <w:r w:rsidR="00822A9F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trametynib</w:t>
            </w:r>
            <w:proofErr w:type="spellEnd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w </w:t>
            </w:r>
            <w:r w:rsidR="004047F3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szczególności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liczba białych krwinek ≥ 2000/</w:t>
            </w:r>
            <w:r w:rsidRPr="00FE09AF">
              <w:rPr>
                <w:rFonts w:ascii="Times New Roman" w:hAnsi="Times New Roman" w:cs="Times New Roman"/>
                <w:sz w:val="20"/>
                <w:szCs w:val="20"/>
              </w:rPr>
              <w:t>μ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liczba granulocytów </w:t>
            </w:r>
            <w:r w:rsidR="004047F3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obojętnochłonnych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≥ 1500/</w:t>
            </w:r>
            <w:r w:rsidRPr="00FE09AF">
              <w:rPr>
                <w:rFonts w:ascii="Times New Roman" w:hAnsi="Times New Roman" w:cs="Times New Roman"/>
                <w:sz w:val="20"/>
                <w:szCs w:val="20"/>
              </w:rPr>
              <w:t>μ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liczba płytek ≥ 100 x 10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3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 w:rsidRPr="00FE09AF">
              <w:rPr>
                <w:rFonts w:ascii="Times New Roman" w:hAnsi="Times New Roman" w:cs="Times New Roman"/>
                <w:sz w:val="20"/>
                <w:szCs w:val="20"/>
              </w:rPr>
              <w:t>μ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stężenie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hemoglobiny ≥ 9 g/dl (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możliwe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przetoczenie </w:t>
            </w:r>
            <w:proofErr w:type="spellStart"/>
            <w:r w:rsidR="00862C71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KKCz</w:t>
            </w:r>
            <w:proofErr w:type="spellEnd"/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-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stężenie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kreatyniny &lt; 1,5 x GGN (górna granica normy);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aktywność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AST/ALT &lt; 2,5 x GGN u pacjentów bez przerzutów do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wątroby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&lt; 5 x GGN u pacjentów z przerzutami do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wątroby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stężenie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bilirubiny &lt; 1,5 x GGN (z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wyjątkiem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pacjentów z zespołem Gilberta, u których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stężenie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bilirubiny całkowitej musi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być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nisze niż 3,0 mg/dl);</w:t>
            </w:r>
          </w:p>
          <w:p w:rsidR="00EC4784" w:rsidRPr="00FE09AF" w:rsidRDefault="0054611B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brak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przeciwwskazań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stosowania lek</w:t>
            </w:r>
            <w:r w:rsidR="00C3656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określonych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Charakterysty</w:t>
            </w:r>
            <w:r w:rsidR="00C3656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kach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Produkt</w:t>
            </w:r>
            <w:r w:rsidR="00C3656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Lecznicz</w:t>
            </w:r>
            <w:r w:rsidR="00C3656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ych </w:t>
            </w:r>
            <w:proofErr w:type="spellStart"/>
            <w:r w:rsidR="00822A9F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dabrafenib</w:t>
            </w:r>
            <w:proofErr w:type="spellEnd"/>
            <w:r w:rsidR="00C3656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proofErr w:type="spellStart"/>
            <w:r w:rsidR="00822A9F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trametynib</w:t>
            </w:r>
            <w:proofErr w:type="spellEnd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EC4784" w:rsidRPr="00FE09AF" w:rsidRDefault="0054611B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brak współistniejących schorzeń uniemożliwiających leczenie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862C71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54611B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wykluczone stosowanie jednoczesnej chemioterapii</w:t>
            </w:r>
            <w:r w:rsidR="00862C71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EC4784" w:rsidRPr="00FE09AF" w:rsidRDefault="00862C71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54611B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wykluczenie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współistniejącego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innego nowotworu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złośliwego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wyjątkiem nowotworów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złośliwych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skóry;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54611B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wykluczenie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ciąży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karmienia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piersią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 pacjentek.</w:t>
            </w:r>
          </w:p>
          <w:p w:rsidR="00862C71" w:rsidRPr="00FE09AF" w:rsidRDefault="00862C71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62C71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Kryteria kwalifikacji musz</w:t>
            </w:r>
            <w:r w:rsidR="00862C71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być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spełnione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łącznie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E13F8E" w:rsidRPr="00FE09AF" w:rsidRDefault="00E13F8E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2. </w:t>
            </w:r>
            <w:r w:rsidR="00E339FD"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Określenie</w:t>
            </w:r>
            <w:r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czasu leczenia w programie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Leczenie trwa do czasu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podjęcia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przez lekarza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prowadzącego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decyzji o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wyłączeniu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świadczeniobiorcy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programu zgodnie z kryteriami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wyłączenia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3. Kryteria </w:t>
            </w:r>
            <w:r w:rsidR="00E339FD"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wyłączenia</w:t>
            </w:r>
            <w:r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z programu: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1) </w:t>
            </w:r>
            <w:r w:rsidR="0054611B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Kliniczna lub potwierdzona obrazowo progresja choroby 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EC4784" w:rsidRPr="00FE09AF" w:rsidRDefault="0054611B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toksyczność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leczenia z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wystąpieniem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przynajmniej jednego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niepożądanego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działania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będącego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zagrożeniem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życia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według kryteriów CTC (</w:t>
            </w:r>
            <w:proofErr w:type="spellStart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Common</w:t>
            </w:r>
            <w:proofErr w:type="spellEnd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Toxicity</w:t>
            </w:r>
            <w:proofErr w:type="spellEnd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Criteria</w:t>
            </w:r>
            <w:proofErr w:type="spellEnd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);</w:t>
            </w:r>
          </w:p>
          <w:p w:rsidR="00EC4784" w:rsidRPr="00FE09AF" w:rsidRDefault="0054611B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utrzymująca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si</w:t>
            </w:r>
            <w:r w:rsidR="00862C71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/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nawracająca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nieakceptowalna toksyczność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powyżej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3 stopnia według kryteriów CTC (</w:t>
            </w:r>
            <w:proofErr w:type="spellStart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Common</w:t>
            </w:r>
            <w:proofErr w:type="spellEnd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Toxicity</w:t>
            </w:r>
            <w:proofErr w:type="spellEnd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Criteria</w:t>
            </w:r>
            <w:proofErr w:type="spellEnd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z </w:t>
            </w:r>
            <w:r w:rsidR="00E339FD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wyjątkiem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wtórnych nowotworów skóry;</w:t>
            </w:r>
          </w:p>
          <w:p w:rsidR="00EC4784" w:rsidRPr="00FE09AF" w:rsidRDefault="0054611B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nadwrażliwość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lek</w:t>
            </w:r>
            <w:r w:rsidR="00594006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na substancje pomocnicz</w:t>
            </w:r>
            <w:r w:rsidR="00862C71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EC4784" w:rsidRPr="00FE09AF" w:rsidRDefault="0054611B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5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obniżenie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sprawności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stopnia </w:t>
            </w:r>
            <w:r w:rsidR="00822A9F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-4 według kryteriów </w:t>
            </w:r>
            <w:proofErr w:type="spellStart"/>
            <w:r w:rsidR="00862C71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Zubroda</w:t>
            </w:r>
            <w:proofErr w:type="spellEnd"/>
            <w:r w:rsidR="00862C71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WHO lub ECOG;</w:t>
            </w:r>
          </w:p>
          <w:p w:rsidR="00EC4784" w:rsidRPr="00FE09AF" w:rsidRDefault="0054611B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pogorszenie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jakości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życia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istotnym znaczeniu według oceny lekarza lub pacjenta; </w:t>
            </w:r>
          </w:p>
          <w:p w:rsidR="00CD012C" w:rsidRPr="00FE09AF" w:rsidRDefault="0054611B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rezygnacja pacjenta – wycofanie zgody na </w:t>
            </w:r>
            <w:r w:rsidR="00862C71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leczenie</w:t>
            </w:r>
          </w:p>
        </w:tc>
        <w:tc>
          <w:tcPr>
            <w:tcW w:w="4111" w:type="dxa"/>
          </w:tcPr>
          <w:p w:rsidR="00BA0C94" w:rsidRPr="00FE09AF" w:rsidRDefault="00BA0C94" w:rsidP="00FE09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lastRenderedPageBreak/>
              <w:t xml:space="preserve">1. </w:t>
            </w:r>
            <w:proofErr w:type="spellStart"/>
            <w:r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Dabrafenib</w:t>
            </w:r>
            <w:proofErr w:type="spellEnd"/>
            <w:r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trametynib</w:t>
            </w:r>
            <w:proofErr w:type="spellEnd"/>
          </w:p>
          <w:p w:rsidR="00BA0C94" w:rsidRPr="00FE09AF" w:rsidRDefault="00BA0C94" w:rsidP="00FE09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Dawkowanie prowadzone jest zgodnie z Charakterystykami odpowiednich Produktów Leczniczych.</w:t>
            </w:r>
          </w:p>
          <w:p w:rsidR="00BA0C94" w:rsidRPr="00FE09AF" w:rsidRDefault="00BA0C94" w:rsidP="00FE09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BA0C94" w:rsidRPr="00FE09AF" w:rsidRDefault="00BA0C9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Kryteria i sposób modyfikacji dawkowania obu leków są określone w Charakterystykach Produktów  Leczniczych.</w:t>
            </w:r>
          </w:p>
          <w:p w:rsidR="00BA0C94" w:rsidRPr="00FE09AF" w:rsidRDefault="00BA0C94" w:rsidP="00FE09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BA0C94" w:rsidRPr="00FE09AF" w:rsidRDefault="00BA0C94" w:rsidP="00FE09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 przypadku konieczności zakończenia terapii jednym  z  leków ze schematu z powodu reakcji niepożądanych można kontynuować terapię pozostałym lekiem ze schematu.</w:t>
            </w:r>
          </w:p>
          <w:p w:rsidR="00BA0C94" w:rsidRPr="00FE09AF" w:rsidRDefault="00BA0C94" w:rsidP="00FE09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BA0C94" w:rsidRPr="00FE09AF" w:rsidRDefault="00BA0C94" w:rsidP="00FE09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Pacjenci włączeni do programu przed dniem 1.03.2017 mogą kontynuować </w:t>
            </w:r>
            <w:proofErr w:type="spellStart"/>
            <w:r w:rsidRPr="00FE09A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monoterapię</w:t>
            </w:r>
            <w:proofErr w:type="spellEnd"/>
            <w:r w:rsidRPr="00FE09A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E09A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dabrafenibem</w:t>
            </w:r>
            <w:proofErr w:type="spellEnd"/>
            <w:r w:rsidRPr="00FE09A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aż do zakończenia leczenia.</w:t>
            </w:r>
          </w:p>
          <w:p w:rsidR="00BA0C94" w:rsidRPr="00FE09AF" w:rsidRDefault="00BA0C9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D012C" w:rsidRPr="00FE09AF" w:rsidRDefault="00CD012C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811" w:type="dxa"/>
          </w:tcPr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1. Badania przed </w:t>
            </w:r>
            <w:r w:rsidR="00691665"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włączeniem</w:t>
            </w:r>
            <w:r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leczenia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1) histologiczne potwierdzenie czerniaka zgodnie z kryteriami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włączenia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2) ocena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obecności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mutacji </w:t>
            </w:r>
            <w:r w:rsidRPr="00FE09A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BRAF V600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morfologia krwi z rozmazem;</w:t>
            </w:r>
          </w:p>
          <w:p w:rsidR="00096A1F" w:rsidRPr="00FE09AF" w:rsidRDefault="00096A1F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oznaczenie stężenia dehydrogenazy mleczanowej</w:t>
            </w:r>
          </w:p>
          <w:p w:rsidR="00EC4784" w:rsidRPr="00FE09AF" w:rsidRDefault="00096A1F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oznaczenia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stężenia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kreatyniny;</w:t>
            </w:r>
          </w:p>
          <w:p w:rsidR="00EC4784" w:rsidRPr="00FE09AF" w:rsidRDefault="00096A1F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oznaczenie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stężenia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bilirubiny;</w:t>
            </w:r>
          </w:p>
          <w:p w:rsidR="00EC4784" w:rsidRPr="00FE09AF" w:rsidRDefault="00096A1F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oznaczenie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aktywności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aminotransferazy alaninowej;</w:t>
            </w:r>
          </w:p>
          <w:p w:rsidR="00EC4784" w:rsidRPr="00FE09AF" w:rsidRDefault="00096A1F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oznaczenie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aktywności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aminotransferazy </w:t>
            </w:r>
            <w:proofErr w:type="spellStart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asparaginianowej</w:t>
            </w:r>
            <w:proofErr w:type="spellEnd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EC4784" w:rsidRPr="00FE09AF" w:rsidRDefault="00096A1F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oznaczenie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aktywności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fosfatazy zasadowej;</w:t>
            </w:r>
          </w:p>
          <w:p w:rsidR="00EC4784" w:rsidRPr="00FE09AF" w:rsidRDefault="00096A1F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oznaczenie </w:t>
            </w:r>
            <w:r w:rsidR="007B65E7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stężenia 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elektrolitów (w tym magnezu);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096A1F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elektrokardiogram (EKG);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6D7E5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test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ciążowy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 kobiet w wieku rozrodczym;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6D7E5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badanie tomografii komputerowej klatki piersiowej;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6D7E5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badanie tomografii komputerowej jamy brzusznej i miednicy;</w:t>
            </w:r>
          </w:p>
          <w:p w:rsidR="00593D55" w:rsidRPr="00FE09AF" w:rsidRDefault="00593D55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6D7E5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badanie tomografii komputerowej lub rezonans magnetyczny mózgu;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6D7E5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badanie tomografii komputerowej innej lokalizacji lub inne badania obrazowe (ultrasonografia – USG, z ewentualn</w:t>
            </w:r>
            <w:r w:rsidR="007B65E7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dokumentacj</w:t>
            </w:r>
            <w:r w:rsidR="007B65E7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fotograficzn</w:t>
            </w:r>
            <w:r w:rsidR="007B65E7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zmian nowotworowych na skórze, rezonans magnetyczny – MR, scyntygrafia) w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zależności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 sytuacji klinicznej;</w:t>
            </w: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6D7E5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ocena przedmiotowa cał</w:t>
            </w:r>
            <w:r w:rsidR="005615D2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ej skóry;</w:t>
            </w:r>
          </w:p>
          <w:p w:rsidR="00EC4784" w:rsidRPr="00FE09AF" w:rsidRDefault="00BF785C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1</w:t>
            </w:r>
            <w:r w:rsidR="006D7E5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badanie głowy i szyi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obejmujące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przynajmniej wzrokow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ocenę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błon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śluzowych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jamy ustnej oraz </w:t>
            </w:r>
            <w:proofErr w:type="spellStart"/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palpacyjn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proofErr w:type="spellEnd"/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ocen</w:t>
            </w: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węzłów</w:t>
            </w:r>
            <w:r w:rsidR="005615D2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chłonnych;</w:t>
            </w:r>
          </w:p>
          <w:p w:rsidR="00EC4784" w:rsidRPr="00FE09AF" w:rsidRDefault="006D7E55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19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badania obrazowe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umo</w:t>
            </w:r>
            <w:r w:rsidR="007B65E7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liwiające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ocenę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odpowiedzi na leczenie według kryteriów RECIST (nie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wcześniej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</w:t>
            </w:r>
            <w:r w:rsidR="007B65E7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 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28 dni przed zastosowaniem pierwszej dawki leku).</w:t>
            </w:r>
          </w:p>
          <w:p w:rsidR="00C56E21" w:rsidRPr="00FE09AF" w:rsidRDefault="00C56E21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20) Badanie okulistyczne, w tym badanie ostrości i pola widzenia oraz dna oka</w:t>
            </w:r>
            <w:r w:rsid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E13F8E" w:rsidRPr="00FE09AF" w:rsidRDefault="00E13F8E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C4784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2. Monitorowanie leczenia</w:t>
            </w:r>
          </w:p>
          <w:p w:rsidR="0090522E" w:rsidRPr="00FE09AF" w:rsidRDefault="00EC4784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1) badanie tomografii komputerowej klatki piersiowej, jamy brzusznej i miednicy </w:t>
            </w:r>
            <w:r w:rsidR="0090522E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 8-10 tygodni;</w:t>
            </w:r>
          </w:p>
          <w:p w:rsidR="00593D55" w:rsidRPr="00FE09AF" w:rsidRDefault="002C460F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="00593D5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badanie tomografii komputerowej lub rezonans magnetyczny mózgu u chorych z</w:t>
            </w:r>
            <w:r w:rsidR="001039A6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stwierdzonymi wyjściowo</w:t>
            </w:r>
            <w:r w:rsidR="00593D5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przerzutami do OUN co </w:t>
            </w:r>
            <w:r w:rsidR="001039A6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  <w:r w:rsidR="00593D5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-10 tygodni;</w:t>
            </w:r>
          </w:p>
          <w:p w:rsidR="00EC4784" w:rsidRPr="00FE09AF" w:rsidRDefault="002C460F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badanie tomografii komputerowej innej lokalizacji lub inne badania obrazowe (ultrasonografia – USG, dokumentacja fotograficzna zmian na skórze, rezonans magnetyczny – MR, scyntygrafia) w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zależności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 sytuacji klinicznej;</w:t>
            </w:r>
          </w:p>
          <w:p w:rsidR="00EC4784" w:rsidRPr="00FE09AF" w:rsidRDefault="002C460F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273FE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 rozpoczęciem leczenia </w:t>
            </w:r>
            <w:r w:rsidR="00594006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łącznie </w:t>
            </w:r>
            <w:proofErr w:type="spellStart"/>
            <w:r w:rsidR="00273FE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dabrafenibem</w:t>
            </w:r>
            <w:proofErr w:type="spellEnd"/>
            <w:r w:rsidR="00594006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proofErr w:type="spellStart"/>
            <w:r w:rsidR="00594006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tramet</w:t>
            </w:r>
            <w:r w:rsidR="00C82F30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594006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nibem</w:t>
            </w:r>
            <w:proofErr w:type="spellEnd"/>
            <w:r w:rsidR="00273FE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a następnie co miesiąc w trakcie leczenia oraz przez okres do sześciu miesięcy po zakończeniu leczenia 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ocena skóry w kierunku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występowania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raków płaskonabłonkowych wykonywana przez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specjalistę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onkologii klinicznej lub chirurgii onkologicznej (w przypadkach 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wątpliwych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konsultacja dermatologiczna);</w:t>
            </w:r>
          </w:p>
          <w:p w:rsidR="00EC4784" w:rsidRPr="00FE09AF" w:rsidRDefault="002C460F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="008513E0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 rozpoczęciem leczenia </w:t>
            </w:r>
            <w:r w:rsidR="00594006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łącznie </w:t>
            </w:r>
            <w:proofErr w:type="spellStart"/>
            <w:r w:rsidR="008513E0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dabrafenibem</w:t>
            </w:r>
            <w:proofErr w:type="spellEnd"/>
            <w:r w:rsidR="00594006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proofErr w:type="spellStart"/>
            <w:r w:rsidR="00594006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tramet</w:t>
            </w:r>
            <w:r w:rsidR="00C82F30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594006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nibem</w:t>
            </w:r>
            <w:proofErr w:type="spellEnd"/>
            <w:r w:rsidR="008513E0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po jednym miesiącu leczenia</w:t>
            </w:r>
            <w:r w:rsidR="00C82F30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 także po zmodyfikowaniu dawek</w:t>
            </w:r>
            <w:r w:rsidR="008513E0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F2D4D" w:rsidRPr="00FE09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 wszystkich pacjentów należy wykonać elektrokardiogram (EKG) oraz oznaczyć stężenie </w:t>
            </w:r>
            <w:r w:rsidR="00CB7AFF" w:rsidRPr="00FE09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we krwi </w:t>
            </w:r>
            <w:r w:rsidR="003F2D4D" w:rsidRPr="00FE09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elektrolitów (</w:t>
            </w:r>
            <w:r w:rsidR="00CB7AFF" w:rsidRPr="00FE09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sód, potas, wapń, magnez)</w:t>
            </w:r>
            <w:r w:rsidR="003F2D4D" w:rsidRPr="00FE09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 Dalsze monitorowanie jest zalecane w szczególności u pacjentów z umiarkowanymi lub ciężkimi zaburzeniami czynności wątroby, co miesiąc w okresie </w:t>
            </w:r>
            <w:r w:rsidR="003F2D4D" w:rsidRPr="00FE09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pierwszych 3 miesięcy leczenia, a </w:t>
            </w:r>
            <w:r w:rsidR="006D7E55" w:rsidRPr="00FE09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następnie, co</w:t>
            </w:r>
            <w:r w:rsidR="003F2D4D" w:rsidRPr="00FE09A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3 miesiące lub częściej, odpowiednio do wskazań klinicznych.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EC4784" w:rsidRPr="00FE09AF" w:rsidRDefault="002C460F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badania morfologii i biochemii krwi</w:t>
            </w:r>
            <w:r w:rsidR="00CB7AFF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(morfologia</w:t>
            </w:r>
            <w:r w:rsidR="0090522E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rozmazem</w:t>
            </w:r>
            <w:r w:rsidR="00CB7AFF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stężenie we krwi glukozy, </w:t>
            </w:r>
            <w:r w:rsidR="00096A1F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dehydrogenazy mleczanowej, </w:t>
            </w:r>
            <w:r w:rsidR="00CB7AFF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amylazy, </w:t>
            </w:r>
            <w:r w:rsidR="0090522E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fosfatazy zasadowej, </w:t>
            </w:r>
            <w:r w:rsidR="00CB7AFF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kreatyniny, mocznika, bilirubiny, A</w:t>
            </w:r>
            <w:r w:rsidR="0090522E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CB7AFF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T, ALT) 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 </w:t>
            </w:r>
            <w:r w:rsidR="00343A27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  <w:r w:rsidR="00EC4784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-10 tygodni;</w:t>
            </w:r>
          </w:p>
          <w:p w:rsidR="007B65E7" w:rsidRPr="00FE09AF" w:rsidRDefault="002C460F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  <w:r w:rsidR="007B65E7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pomiar temperatury ciała</w:t>
            </w:r>
            <w:r w:rsidR="008513E0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56B43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pacjenta </w:t>
            </w:r>
            <w:r w:rsidR="008513E0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podczas każdej wizyty</w:t>
            </w:r>
            <w:r w:rsidR="00096A1F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wywiad od pacjenta w kierunku występowania gorączek</w:t>
            </w:r>
            <w:r w:rsidR="00594006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822A9F" w:rsidRPr="00FE09AF" w:rsidRDefault="00822A9F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8) badanie okulistyczne, w tym dna oka, jedynie w przypadku występowania klinicznych wskazań;</w:t>
            </w:r>
          </w:p>
          <w:p w:rsidR="00EC4784" w:rsidRPr="00FE09AF" w:rsidRDefault="00822A9F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badania obrazowe umożliwiające ocenę odpowiedzi na leczenie według kryteriów RECIST (co </w:t>
            </w:r>
            <w:r w:rsidR="00343A27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  <w:r w:rsidR="00691665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-10 tygodni).</w:t>
            </w:r>
          </w:p>
          <w:p w:rsidR="00E13F8E" w:rsidRPr="00FE09AF" w:rsidRDefault="00E13F8E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D012C" w:rsidRPr="00FE09AF" w:rsidRDefault="009F5663" w:rsidP="00FE09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3. Monitorowanie programu</w:t>
            </w:r>
          </w:p>
          <w:p w:rsidR="009F5663" w:rsidRPr="00FE09AF" w:rsidRDefault="009F5663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gromadzenie w dokumentacji medycznej pacjenta danych dotyczących monitorowania leczenia i każdorazowe ich przedstawianie na żądanie kontrolerów Narodowego Funduszu Zdrowia;</w:t>
            </w:r>
          </w:p>
          <w:p w:rsidR="009F5663" w:rsidRPr="00FE09AF" w:rsidRDefault="009F5663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uzupełnienie danych zawartych w rejestrze (SMPT) dostępnym za pomocą aplikacji internetowej udostępnionej przez OW NFZ, z częstotliwością zgodną z opisem programu oraz na zakończenie leczenia;</w:t>
            </w:r>
          </w:p>
          <w:p w:rsidR="009F5663" w:rsidRPr="00FE09AF" w:rsidRDefault="009F5663" w:rsidP="00FE09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przekazywanie informacji sprawozdawczo</w:t>
            </w:r>
            <w:r w:rsidR="005615D2" w:rsidRPr="00FE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rozliczeniowych do NFZ: informacje przekazuje się do NFZ w formie papierowej lub formie elektronicznej, zgodnie z wymaganiami opublikowanymi przez Narodowy Fundusz Zdrowia.</w:t>
            </w:r>
          </w:p>
        </w:tc>
      </w:tr>
    </w:tbl>
    <w:p w:rsidR="00CD012C" w:rsidRPr="00BA0C94" w:rsidRDefault="00CD012C" w:rsidP="00BA0C94">
      <w:pPr>
        <w:spacing w:after="0" w:line="360" w:lineRule="auto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sectPr w:rsidR="00CD012C" w:rsidRPr="00BA0C94" w:rsidSect="006A2A06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29" w:rsidRDefault="00223829" w:rsidP="00E13F8E">
      <w:pPr>
        <w:spacing w:after="0" w:line="240" w:lineRule="auto"/>
      </w:pPr>
      <w:r>
        <w:separator/>
      </w:r>
    </w:p>
  </w:endnote>
  <w:endnote w:type="continuationSeparator" w:id="0">
    <w:p w:rsidR="00223829" w:rsidRDefault="00223829" w:rsidP="00E1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29" w:rsidRDefault="00223829" w:rsidP="00E13F8E">
      <w:pPr>
        <w:spacing w:after="0" w:line="240" w:lineRule="auto"/>
      </w:pPr>
      <w:r>
        <w:separator/>
      </w:r>
    </w:p>
  </w:footnote>
  <w:footnote w:type="continuationSeparator" w:id="0">
    <w:p w:rsidR="00223829" w:rsidRDefault="00223829" w:rsidP="00E13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BD"/>
    <w:rsid w:val="00053584"/>
    <w:rsid w:val="000824CA"/>
    <w:rsid w:val="00096A1F"/>
    <w:rsid w:val="000C1AB8"/>
    <w:rsid w:val="000F5A5A"/>
    <w:rsid w:val="001039A6"/>
    <w:rsid w:val="00126418"/>
    <w:rsid w:val="001A55B3"/>
    <w:rsid w:val="00223829"/>
    <w:rsid w:val="00233E84"/>
    <w:rsid w:val="00254B53"/>
    <w:rsid w:val="00273FE5"/>
    <w:rsid w:val="002C460F"/>
    <w:rsid w:val="003015C2"/>
    <w:rsid w:val="00330C75"/>
    <w:rsid w:val="00343A27"/>
    <w:rsid w:val="00373D1F"/>
    <w:rsid w:val="003C286C"/>
    <w:rsid w:val="003F2D4D"/>
    <w:rsid w:val="004047F3"/>
    <w:rsid w:val="00474A4F"/>
    <w:rsid w:val="004D4190"/>
    <w:rsid w:val="004F2787"/>
    <w:rsid w:val="0054611B"/>
    <w:rsid w:val="00555802"/>
    <w:rsid w:val="005615D2"/>
    <w:rsid w:val="00593D55"/>
    <w:rsid w:val="00594006"/>
    <w:rsid w:val="005C7747"/>
    <w:rsid w:val="0063368E"/>
    <w:rsid w:val="00691665"/>
    <w:rsid w:val="006A2A06"/>
    <w:rsid w:val="006D7E55"/>
    <w:rsid w:val="00770553"/>
    <w:rsid w:val="00796D74"/>
    <w:rsid w:val="007A15BD"/>
    <w:rsid w:val="007B65E7"/>
    <w:rsid w:val="007F6EDA"/>
    <w:rsid w:val="00810C9E"/>
    <w:rsid w:val="00822A9F"/>
    <w:rsid w:val="008513E0"/>
    <w:rsid w:val="00862C71"/>
    <w:rsid w:val="00876E09"/>
    <w:rsid w:val="0090522E"/>
    <w:rsid w:val="00925261"/>
    <w:rsid w:val="009F5663"/>
    <w:rsid w:val="00A000EB"/>
    <w:rsid w:val="00A64C59"/>
    <w:rsid w:val="00A918E6"/>
    <w:rsid w:val="00AC1189"/>
    <w:rsid w:val="00B55421"/>
    <w:rsid w:val="00B92021"/>
    <w:rsid w:val="00BA0C94"/>
    <w:rsid w:val="00BB601D"/>
    <w:rsid w:val="00BB6886"/>
    <w:rsid w:val="00BF785C"/>
    <w:rsid w:val="00C36564"/>
    <w:rsid w:val="00C56E21"/>
    <w:rsid w:val="00C82F30"/>
    <w:rsid w:val="00CA70EB"/>
    <w:rsid w:val="00CB7AFF"/>
    <w:rsid w:val="00CD012C"/>
    <w:rsid w:val="00D012DB"/>
    <w:rsid w:val="00D03DED"/>
    <w:rsid w:val="00D474EF"/>
    <w:rsid w:val="00D93512"/>
    <w:rsid w:val="00DB4E29"/>
    <w:rsid w:val="00DE3413"/>
    <w:rsid w:val="00E13F8E"/>
    <w:rsid w:val="00E339FD"/>
    <w:rsid w:val="00E5112C"/>
    <w:rsid w:val="00E56B43"/>
    <w:rsid w:val="00EC4784"/>
    <w:rsid w:val="00F66EE1"/>
    <w:rsid w:val="00FC641A"/>
    <w:rsid w:val="00FE09AF"/>
    <w:rsid w:val="00FE4E49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633DF-63CF-44DB-AB40-59747FB6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3F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F8E"/>
  </w:style>
  <w:style w:type="paragraph" w:styleId="Stopka">
    <w:name w:val="footer"/>
    <w:basedOn w:val="Normalny"/>
    <w:link w:val="StopkaZnak"/>
    <w:uiPriority w:val="99"/>
    <w:unhideWhenUsed/>
    <w:rsid w:val="00E13F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1064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2017-02-08T10:18:00Z</dcterms:created>
  <dcterms:modified xsi:type="dcterms:W3CDTF">2017-02-08T11:07:00Z</dcterms:modified>
</cp:coreProperties>
</file>