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15" w:rsidRPr="00F83C15" w:rsidRDefault="00F83C15" w:rsidP="00F83C15">
      <w:pPr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  <w:bookmarkStart w:id="0" w:name="_GoBack"/>
      <w:r w:rsidRPr="00F83C15">
        <w:rPr>
          <w:rFonts w:ascii="Calibri" w:hAnsi="Calibri" w:cs="Calibri"/>
          <w:b/>
          <w:bCs/>
          <w:sz w:val="24"/>
          <w:szCs w:val="24"/>
          <w:lang w:val="pl-PL"/>
        </w:rPr>
        <w:t>Polska tradycja wolności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>Konstytucja 3 maja przeszła do historii jako druga po amerykańskiej spisana ustawa zasadnicza i jako wielki akt wolnościowy tamtej epoki – końca XVIII wieku. Porządkowała ona zasady ustrojowe państwa, stwierdzając zarazem, że „wszelka władza społeczności ludzkiej początek swój bierze z woli narodu”. Głosiła równość praw obywateli, choć jeszcze nie wszystkich mieszkańców Polski czyniła obywatelami, będąc ostrożna w kwestii przemian stanowej struktury społecznej, co w epoce rewolucji, gdzie wkrótce równość usiłowano zaprowadzić także gilotyną, uznawano za zaletę. Gwarantowała wolności cywilne: „Bezpieczeństwo osobiste i wszelką własność, komukolwiek z prawa przynależną, jako prawdziwy społeczności węzeł, jako źrenicę wolności obywatelskiej szanujemy, zabezpieczamy, utwierdzamy i aby na potomne czasy szanowane, ubezpieczone i nienaruszone zostawały, mieć chcemy”.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 xml:space="preserve">W przeciwieństwie do konstytucji amerykańskiej nie była jednak aktem ustanawiającym państwo, nadaniem sobie praw zasadniczych przez właśnie kształtujący się naród. Takim aktem założycielskim była w przypadku Polski unia lubelska z roku 1569. I to ona może być uznana za pierwszą polską konstytucję, gdyż tworzyła nową jedność polityczną, Rzeczpospolitą, i ustalała zasady sprawowania w niej rządów. Ale także i ona tylko podsumowała etapy od dawna trwającego jednoczenia się Królestwa Polskiego i Wielkiego Księstwa Litewskiego. 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>W przeciwieństwie do innych krajów Europy Polska nie ewoluowała od monarchii stanowej ku monarchii absolutnej, lecz w stronę Rzeczypospolitej, z mieszanym ustrojem, będąc zarazem monarchią elekcyjną i republiką, w której około 10 proc. mieszkańców miało prawo wyboru króla i swoich przedstawicieli do sejmu i sejmików.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>Pojęcie wolności, które dominowało w tej rozległej terytorialnie Rzeczypospolitej Obojga Narodów, jak ją nazywano, przypominało to, które historycy idei odnaleźli we włoskich republikach miejskich. Jej obywatele chętnie porównywali ją ze starożytną republiką rzymską. Państwo w ich rozumieniu nie było „Lewiatanem” – tworem wyniesionym ponad naród polityczny, ponad społeczeństwo, lecz „rzeczą wspólną”, podtrzymywaną wspólnym działaniem, a wolność rozumiano nie tylko jako swobodę jednostki, lecz jako możliwość wspólnego decydowania o stanowionych prawach. Nie było w Polsce inkwizycji, nie było prześladowań innowierców – dopiero w reakcji na wyniszczającą inwazję protestanckiej Szwecji w 1655 r. zaczęto ograniczać tolerancję. Obywatele Rzeczypospolitej byli, można rzec bez przesady, najbardziej wolnymi ludźmi w Europie. I za takich się uważali. Z ich punktu widzenia monarchie absolutne nie były krajami wolnymi, ale odstraszającymi przykładami zniewolenia, gdzie nie było wolności słowa, gdzie szlachcic mógł być wtrącony do więzienia bez wyroku sądowego, a rząd wtrącał się do gospodarowania.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 xml:space="preserve">Dla luminarzy intelektualnych XVIII-wiecznej Europy, takich jak Diderot lub Wolter, admiratorów oświeconych despotów, takich jak Katarzyna II czy Fryderyk II, ta polska wolność była ekscesem, czymś sprzecznym z rozumem. Także Kant utyskiwał, że Polska to taki kraj, w którym każdy chce być panem, a nikt nie chce być poddanym. Jednocześnie wytykano Polakom, że wolność ta dotyczy tylko jednego stanu – szlachty. 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>Polski eksperyment z wolnością rzeczywiście stawał się coraz bardziej ryzykowny, zagrażając trwaniu państwa. Ustrój ten wymagał wielu cnót od obywateli, by wolność nie przekształciła się w samowolę i anarchię. Konstytucja 3 maja była próbą odzyskania sterowności i jednocześnie miała chronić państwo przed najazdem zewnętrznym i rozkładem wewnętrznym. Ograniczała wolność, by ją ocalić – wprowadzała monarchię dziedziczną, pozbawiała praw politycznych szlachtę nieposiadającą majątku, rozszerzała prawa mieszczan.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>Ci, którzy przeciwko niej wystąpili, prosząc o interwencję carycę Katarzynę II, powoływali się na „kardynalne prawa” i starodawne wolności. Z lęku przed rzekomym despotyzmem wewnętrznym odwołali się do największej despotii Europy. Obce armie – pruska i rosyjska – skwapliwe „przywróciły porządek” i „praworządność”, niszcząc tę wyjątkową przestrzeń wolności.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 xml:space="preserve">Gdyby Rzeczpospolita przetrwała, historia Europy potoczyłaby się inaczej: tradycje klasycznego republikanizmu nie uległyby tak łatwo zapomnieniu, despotyzm rosyjski pozostałby poza jej granicami, a militaryzm pruski zostałby okiełznany. Utraciwszy niepodległość i zrozumiawszy, że bez niej nie ma także </w:t>
      </w:r>
      <w:r w:rsidRPr="00F83C15">
        <w:rPr>
          <w:rFonts w:ascii="Calibri" w:hAnsi="Calibri" w:cs="Calibri"/>
          <w:sz w:val="24"/>
          <w:szCs w:val="24"/>
          <w:lang w:val="pl-PL"/>
        </w:rPr>
        <w:lastRenderedPageBreak/>
        <w:t>pełnej wolności osobistej, Polacy dobijali się o nią przez cały wiek XIX, począwszy od powstania kościuszkowskiego w 1794 r. To polskie przywiązanie do wolności objawiło się także w wieku XX – w 1920 r. powstrzymaniem najazdu bolszewickiego na Europę, w 1939 podjęciem walki zbrojnej z III Rzeszą, w 1980 powstaniem „Solidarności”, w 1989 – przezwyciężeniem komunizmu.</w:t>
      </w:r>
    </w:p>
    <w:p w:rsidR="00F83C15" w:rsidRPr="00F83C15" w:rsidRDefault="00F83C15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83C15">
        <w:rPr>
          <w:rFonts w:ascii="Calibri" w:hAnsi="Calibri" w:cs="Calibri"/>
          <w:sz w:val="24"/>
          <w:szCs w:val="24"/>
          <w:lang w:val="pl-PL"/>
        </w:rPr>
        <w:t xml:space="preserve">prof. Zdzisław </w:t>
      </w:r>
      <w:proofErr w:type="spellStart"/>
      <w:r w:rsidRPr="00F83C15">
        <w:rPr>
          <w:rFonts w:ascii="Calibri" w:hAnsi="Calibri" w:cs="Calibri"/>
          <w:sz w:val="24"/>
          <w:szCs w:val="24"/>
          <w:lang w:val="pl-PL"/>
        </w:rPr>
        <w:t>Krasnodebski</w:t>
      </w:r>
      <w:proofErr w:type="spellEnd"/>
    </w:p>
    <w:p w:rsidR="00F83C15" w:rsidRPr="00F83C15" w:rsidRDefault="00F83C15" w:rsidP="00F83C15">
      <w:pPr>
        <w:pStyle w:val="Nagwek4"/>
        <w:keepNext w:val="0"/>
        <w:spacing w:before="0" w:after="160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  <w:r w:rsidRPr="00F83C15">
        <w:rPr>
          <w:rFonts w:ascii="Calibri" w:eastAsia="Arial Unicode MS" w:hAnsi="Calibri" w:cs="Calibri"/>
          <w:b w:val="0"/>
          <w:bCs w:val="0"/>
          <w:i/>
          <w:iCs/>
          <w:sz w:val="24"/>
          <w:szCs w:val="24"/>
          <w:lang w:val="pl-PL"/>
          <w14:textOutline w14:w="12700" w14:cap="flat" w14:cmpd="sng" w14:algn="ctr">
            <w14:noFill/>
            <w14:prstDash w14:val="solid"/>
            <w14:miter w14:lim="100000"/>
          </w14:textOutline>
        </w:rPr>
        <w:t>Tekst publikowany równocześnie z polskim miesięcznikiem opinii Wszystko Co Najważniejsze w ramach projektu realizowanego z Instytutem Pamięci Narodowej i KGHM.</w:t>
      </w:r>
    </w:p>
    <w:bookmarkEnd w:id="0"/>
    <w:p w:rsidR="00A949A3" w:rsidRPr="00F83C15" w:rsidRDefault="00A949A3" w:rsidP="00F83C15">
      <w:pPr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A949A3" w:rsidRPr="00F83C15" w:rsidSect="00F83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15"/>
    <w:rsid w:val="00A949A3"/>
    <w:rsid w:val="00F8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7BC95-D463-4818-911F-DD2DF6D2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15"/>
    <w:pPr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GB" w:eastAsia="en-GB"/>
    </w:rPr>
  </w:style>
  <w:style w:type="paragraph" w:styleId="Nagwek4">
    <w:name w:val="heading 4"/>
    <w:next w:val="Normalny"/>
    <w:link w:val="Nagwek4Znak"/>
    <w:semiHidden/>
    <w:unhideWhenUsed/>
    <w:qFormat/>
    <w:rsid w:val="00F83C15"/>
    <w:pPr>
      <w:keepNext/>
      <w:spacing w:before="240" w:after="120" w:line="240" w:lineRule="auto"/>
      <w:outlineLvl w:val="3"/>
    </w:pPr>
    <w:rPr>
      <w:rFonts w:ascii="Arial" w:eastAsia="Times New Roman" w:hAnsi="Arial" w:cs="Arial Unicode MS"/>
      <w:b/>
      <w:bCs/>
      <w:color w:val="000000"/>
      <w:sz w:val="20"/>
      <w:szCs w:val="20"/>
      <w:u w:color="00000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83C15"/>
    <w:rPr>
      <w:rFonts w:ascii="Arial" w:eastAsia="Times New Roman" w:hAnsi="Arial" w:cs="Arial Unicode MS"/>
      <w:b/>
      <w:bCs/>
      <w:color w:val="000000"/>
      <w:sz w:val="20"/>
      <w:szCs w:val="20"/>
      <w:u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 Katarzyna</dc:creator>
  <cp:keywords/>
  <dc:description/>
  <cp:lastModifiedBy>Drozd Katarzyna</cp:lastModifiedBy>
  <cp:revision>1</cp:revision>
  <dcterms:created xsi:type="dcterms:W3CDTF">2021-04-30T07:18:00Z</dcterms:created>
  <dcterms:modified xsi:type="dcterms:W3CDTF">2021-04-30T07:18:00Z</dcterms:modified>
</cp:coreProperties>
</file>