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C8D9" w14:textId="77777777" w:rsidR="000C75E5" w:rsidRPr="00E52B23" w:rsidRDefault="00000000" w:rsidP="00E52B23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52B23">
        <w:rPr>
          <w:rFonts w:ascii="Arial" w:hAnsi="Arial" w:cs="Arial"/>
          <w:sz w:val="24"/>
          <w:szCs w:val="24"/>
        </w:rPr>
        <w:t>Gdańsk</w:t>
      </w:r>
      <w:bookmarkEnd w:id="0"/>
      <w:r w:rsidRPr="00E52B23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E52B23">
        <w:rPr>
          <w:rFonts w:ascii="Arial" w:hAnsi="Arial" w:cs="Arial"/>
          <w:sz w:val="24"/>
          <w:szCs w:val="24"/>
        </w:rPr>
        <w:t>12 marca 2025</w:t>
      </w:r>
      <w:bookmarkEnd w:id="1"/>
      <w:r w:rsidRPr="00E52B23">
        <w:rPr>
          <w:rFonts w:ascii="Arial" w:hAnsi="Arial" w:cs="Arial"/>
          <w:sz w:val="24"/>
          <w:szCs w:val="24"/>
        </w:rPr>
        <w:t xml:space="preserve"> r.</w:t>
      </w:r>
    </w:p>
    <w:p w14:paraId="3F4635AA" w14:textId="4E0F51B1" w:rsidR="000C75E5" w:rsidRPr="00E52B23" w:rsidRDefault="00000000" w:rsidP="00E52B23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E52B23">
        <w:rPr>
          <w:rFonts w:ascii="Arial" w:hAnsi="Arial" w:cs="Arial"/>
          <w:sz w:val="24"/>
          <w:szCs w:val="24"/>
        </w:rPr>
        <w:t>NSP-VIII.7581.1.115.2024</w:t>
      </w:r>
      <w:bookmarkEnd w:id="2"/>
      <w:r w:rsidRPr="00E52B23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52B23">
        <w:rPr>
          <w:rFonts w:ascii="Arial" w:hAnsi="Arial" w:cs="Arial"/>
          <w:sz w:val="24"/>
          <w:szCs w:val="24"/>
        </w:rPr>
        <w:t>PW</w:t>
      </w:r>
      <w:bookmarkEnd w:id="3"/>
    </w:p>
    <w:p w14:paraId="384ECFFC" w14:textId="515F13F2" w:rsidR="00000000" w:rsidRPr="00E52B23" w:rsidRDefault="00000000" w:rsidP="00E52B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2B23">
        <w:rPr>
          <w:rFonts w:ascii="Arial" w:hAnsi="Arial" w:cs="Arial"/>
          <w:b/>
          <w:sz w:val="24"/>
          <w:szCs w:val="24"/>
          <w:u w:val="single"/>
        </w:rPr>
        <w:t>OBWIESZCZENIE</w:t>
      </w:r>
    </w:p>
    <w:p w14:paraId="0A1B7959" w14:textId="77777777" w:rsidR="00273ACD" w:rsidRPr="00E52B23" w:rsidRDefault="00273ACD" w:rsidP="00E52B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603A7F" w14:textId="7112FFEB" w:rsidR="00000000" w:rsidRPr="00E52B23" w:rsidRDefault="00000000" w:rsidP="00E52B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52B23">
        <w:rPr>
          <w:rFonts w:ascii="Arial" w:hAnsi="Arial" w:cs="Arial"/>
          <w:sz w:val="24"/>
          <w:szCs w:val="24"/>
          <w:lang w:eastAsia="pl-PL"/>
        </w:rPr>
        <w:t>Wojewoda Pomorski, działając na podstawie art. 49 ustawy z dnia 14 czerwca 1960 r. -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>Kodeks postępowania administracyjnego (j. t. Dz. U. z 2024 r., poz. 572), oraz art. 8 ustawy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>z dnia 21 sierpnia 1997 r. o gospodarce nieruchomościami (j. t. Dz. U. z 2024 r., poz. 1145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 xml:space="preserve">ze zm.), podaje do publicznej wiadomości, że w dniu 11 marca 2025 r. wydał decyzję nr NSPVIII.7581.1.115.2024.PW uchylającą decyzję Starosty Puckiego, wykonującego zadanie z zakresu administracji rządowej, z dnia 19 kwietnia 2024 r. nr GN.683.101.2023, orzekającej o ustaleniu odszkodowania w wysokości 58 055,00 zł (słownie: pięćdziesiąt osiem tysięcy pięćdziesiąt pięć złotych 00/100), na rzecz następców prawnych, z tytułu utraty prawa własności nieruchomości oznaczonej jako działka nr </w:t>
      </w:r>
      <w:r w:rsidRPr="00E52B23">
        <w:rPr>
          <w:rFonts w:ascii="Arial" w:hAnsi="Arial" w:cs="Arial"/>
          <w:b/>
          <w:bCs/>
          <w:sz w:val="24"/>
          <w:szCs w:val="24"/>
          <w:lang w:eastAsia="pl-PL"/>
        </w:rPr>
        <w:t xml:space="preserve">61/1 </w:t>
      </w:r>
      <w:r w:rsidRPr="00E52B23">
        <w:rPr>
          <w:rFonts w:ascii="Arial" w:hAnsi="Arial" w:cs="Arial"/>
          <w:sz w:val="24"/>
          <w:szCs w:val="24"/>
          <w:lang w:eastAsia="pl-PL"/>
        </w:rPr>
        <w:t xml:space="preserve">o pow. 48 m², położonej w obrębie 0029 Jastarnia, objętej decyzją Starosty Puckiego, wykonującego zadanie z zakresu administracji rządowej, z dnia 3 lipca 2023 r. nr AB/RW-6740/29/23/J o zezwoleniu na realizację inwestycji drogowej pn. </w:t>
      </w:r>
      <w:r w:rsidRPr="00E52B23">
        <w:rPr>
          <w:rFonts w:ascii="Arial" w:hAnsi="Arial" w:cs="Arial"/>
          <w:i/>
          <w:iCs/>
          <w:sz w:val="24"/>
          <w:szCs w:val="24"/>
          <w:lang w:eastAsia="pl-PL"/>
        </w:rPr>
        <w:t>„Budowa nowej drogi publicznej – dojazdowej we wschodniej części miejscowości Jastarnia”</w:t>
      </w:r>
      <w:r w:rsidRPr="00E52B23">
        <w:rPr>
          <w:rFonts w:ascii="Arial" w:hAnsi="Arial" w:cs="Arial"/>
          <w:sz w:val="24"/>
          <w:szCs w:val="24"/>
          <w:lang w:eastAsia="pl-PL"/>
        </w:rPr>
        <w:t xml:space="preserve"> oraz o zobowiązaniu Burmistrza Jastarni do wpłaty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>ww. odszkodowania do depozytu sądowego i przekazującą sprawę do ponownego rozpatrzenia przez organ I instancji.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>Informuję, że osoby posiadające tytuł prawny do działki nr 61/1, mogą zapoznać się z treścią</w:t>
      </w:r>
    </w:p>
    <w:p w14:paraId="7BD3BE37" w14:textId="5B0AF2BE" w:rsidR="00000000" w:rsidRPr="00E52B23" w:rsidRDefault="00000000" w:rsidP="00E52B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52B23">
        <w:rPr>
          <w:rFonts w:ascii="Arial" w:hAnsi="Arial" w:cs="Arial"/>
          <w:sz w:val="24"/>
          <w:szCs w:val="24"/>
          <w:lang w:eastAsia="pl-PL"/>
        </w:rPr>
        <w:t>decyzji w Oddziale Orzecznictwa Wydziału Nieruchomości i Skarbu Państwa Pomorskiego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>Urzędu Wojewódzkiego w Gdańsku, ul. Okopowa 21/27 (pokój nr 429, IV piętro)</w:t>
      </w:r>
    </w:p>
    <w:p w14:paraId="649B5B20" w14:textId="6060240C" w:rsidR="00000000" w:rsidRPr="00E52B23" w:rsidRDefault="00000000" w:rsidP="00E52B23">
      <w:pPr>
        <w:autoSpaceDE w:val="0"/>
        <w:autoSpaceDN w:val="0"/>
        <w:adjustRightInd w:val="0"/>
        <w:spacing w:after="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52B23">
        <w:rPr>
          <w:rFonts w:ascii="Arial" w:hAnsi="Arial" w:cs="Arial"/>
          <w:sz w:val="24"/>
          <w:szCs w:val="24"/>
          <w:lang w:eastAsia="pl-PL"/>
        </w:rPr>
        <w:t>po okazaniu odpowiedniego dokumentu.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  <w:r w:rsidR="00273ACD" w:rsidRPr="00E52B2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52B23">
        <w:rPr>
          <w:rFonts w:ascii="Arial" w:hAnsi="Arial" w:cs="Arial"/>
          <w:sz w:val="24"/>
          <w:szCs w:val="24"/>
          <w:lang w:eastAsia="pl-PL"/>
        </w:rPr>
        <w:t>Pauliną Wirkus jest możliwy w godzinach urzędowania: 7:</w:t>
      </w:r>
      <w:r w:rsidRPr="00E52B23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45</w:t>
      </w:r>
      <w:r w:rsidRPr="00E52B23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E52B23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45</w:t>
      </w:r>
      <w:r w:rsidRPr="00E52B23">
        <w:rPr>
          <w:rFonts w:ascii="Arial" w:hAnsi="Arial" w:cs="Arial"/>
          <w:sz w:val="24"/>
          <w:szCs w:val="24"/>
          <w:lang w:eastAsia="pl-PL"/>
        </w:rPr>
        <w:t>, tel. (58) 30 77 264 lub (58) 30 77 508 (sekretariat).</w:t>
      </w:r>
    </w:p>
    <w:p w14:paraId="3703D296" w14:textId="77777777" w:rsidR="00000000" w:rsidRPr="00E52B23" w:rsidRDefault="00000000" w:rsidP="00E52B23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E52B23">
        <w:rPr>
          <w:rFonts w:ascii="Arial" w:hAnsi="Arial" w:cs="Arial"/>
          <w:b/>
          <w:bCs/>
          <w:sz w:val="24"/>
          <w:szCs w:val="24"/>
          <w:u w:val="single"/>
        </w:rPr>
        <w:t>Pouczenie:</w:t>
      </w:r>
    </w:p>
    <w:p w14:paraId="28B296EA" w14:textId="77777777" w:rsidR="00000000" w:rsidRPr="00E52B23" w:rsidRDefault="00000000" w:rsidP="00E52B23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E52B23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</w:t>
      </w:r>
      <w:r w:rsidRPr="00E52B23">
        <w:rPr>
          <w:rFonts w:ascii="Arial" w:hAnsi="Arial" w:cs="Arial"/>
          <w:bCs/>
          <w:sz w:val="24"/>
          <w:szCs w:val="24"/>
        </w:rPr>
        <w:lastRenderedPageBreak/>
        <w:t xml:space="preserve">czerwca 1960 r. Kodeks postępowania administracyjnego </w:t>
      </w:r>
      <w:r w:rsidRPr="00E52B23">
        <w:rPr>
          <w:rFonts w:ascii="Arial" w:hAnsi="Arial" w:cs="Arial"/>
          <w:iCs/>
          <w:sz w:val="24"/>
          <w:szCs w:val="24"/>
        </w:rPr>
        <w:t xml:space="preserve">(j. t. </w:t>
      </w:r>
      <w:r w:rsidRPr="00E52B23">
        <w:rPr>
          <w:rFonts w:ascii="Arial" w:hAnsi="Arial" w:cs="Arial"/>
          <w:sz w:val="24"/>
          <w:szCs w:val="24"/>
        </w:rPr>
        <w:t>Dz. U. z 2024 r. poz. 572</w:t>
      </w:r>
      <w:r w:rsidRPr="00E52B23">
        <w:rPr>
          <w:rFonts w:ascii="Arial" w:hAnsi="Arial" w:cs="Arial"/>
          <w:iCs/>
          <w:sz w:val="24"/>
          <w:szCs w:val="24"/>
        </w:rPr>
        <w:t>).</w:t>
      </w:r>
    </w:p>
    <w:p w14:paraId="6654615A" w14:textId="77777777" w:rsidR="00000000" w:rsidRPr="00E52B23" w:rsidRDefault="00000000" w:rsidP="00E52B23">
      <w:pPr>
        <w:pStyle w:val="Bezodstpw"/>
        <w:numPr>
          <w:ilvl w:val="0"/>
          <w:numId w:val="1"/>
        </w:numPr>
        <w:suppressAutoHyphens/>
        <w:autoSpaceDE w:val="0"/>
        <w:autoSpaceDN w:val="0"/>
        <w:adjustRightInd w:val="0"/>
        <w:spacing w:before="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52B23">
        <w:rPr>
          <w:rFonts w:ascii="Arial" w:hAnsi="Arial" w:cs="Arial"/>
          <w:sz w:val="24"/>
          <w:szCs w:val="24"/>
          <w:lang w:eastAsia="pl-PL"/>
        </w:rPr>
        <w:t>Na niniejsze rozstrzygnięcie przysługuje stronom prawo złożenia „sprzeciwu od decyzji” do Wojewódzkiego Sądu Administracyjnego w Gdańsku, za pośrednictwem Wojewody Pomorskiego, w terminie 14 dni od dnia doręczenia decyzji (art. 3 § 2 pkt 1, 64a i art. 64c § 1 i 2 ustawy z dnia 30 sierpnia 2002 r. Prawo o postępowaniu przed sądami administracyjnymi, j. t. Dz. U. z 2024 r. poz. 935 ze zm., zwanej dalej „</w:t>
      </w:r>
      <w:proofErr w:type="spellStart"/>
      <w:r w:rsidRPr="00E52B23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E52B23">
        <w:rPr>
          <w:rFonts w:ascii="Arial" w:hAnsi="Arial" w:cs="Arial"/>
          <w:sz w:val="24"/>
          <w:szCs w:val="24"/>
          <w:lang w:eastAsia="pl-PL"/>
        </w:rPr>
        <w:t>.”).</w:t>
      </w:r>
    </w:p>
    <w:p w14:paraId="4E27AB70" w14:textId="77777777" w:rsidR="00000000" w:rsidRPr="00E52B23" w:rsidRDefault="00000000" w:rsidP="00E52B23">
      <w:pPr>
        <w:pStyle w:val="Bezodstpw"/>
        <w:numPr>
          <w:ilvl w:val="0"/>
          <w:numId w:val="1"/>
        </w:numPr>
        <w:suppressAutoHyphens/>
        <w:autoSpaceDE w:val="0"/>
        <w:autoSpaceDN w:val="0"/>
        <w:adjustRightInd w:val="0"/>
        <w:spacing w:before="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52B23">
        <w:rPr>
          <w:rFonts w:ascii="Arial" w:hAnsi="Arial" w:cs="Arial"/>
          <w:sz w:val="24"/>
          <w:szCs w:val="24"/>
          <w:lang w:eastAsia="pl-PL"/>
        </w:rPr>
        <w:t xml:space="preserve"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E52B23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E52B23">
        <w:rPr>
          <w:rFonts w:ascii="Arial" w:hAnsi="Arial" w:cs="Arial"/>
          <w:sz w:val="24"/>
          <w:szCs w:val="24"/>
          <w:lang w:eastAsia="pl-PL"/>
        </w:rPr>
        <w:t xml:space="preserve">., w związku z § 2 ust. 1 pkt 6a oraz § 5 ust. 1 Rozporządzenia Rady Ministrów z dnia 16 grudnia 2003 r., w sprawie wysokości oraz szczegółowych zasad pobierania wpisu w postępowaniu przed sądami administracyjnymi, </w:t>
      </w:r>
      <w:proofErr w:type="spellStart"/>
      <w:r w:rsidRPr="00E52B23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Pr="00E52B23">
        <w:rPr>
          <w:rFonts w:ascii="Arial" w:hAnsi="Arial" w:cs="Arial"/>
          <w:sz w:val="24"/>
          <w:szCs w:val="24"/>
          <w:lang w:eastAsia="pl-PL"/>
        </w:rPr>
        <w:t>. Dz. U. z 2021 r. poz. 535).</w:t>
      </w:r>
    </w:p>
    <w:p w14:paraId="14C87B91" w14:textId="3A686107" w:rsidR="000C75E5" w:rsidRPr="00E52B23" w:rsidRDefault="00000000" w:rsidP="00E52B23">
      <w:pPr>
        <w:pStyle w:val="Bezodstpw"/>
        <w:numPr>
          <w:ilvl w:val="0"/>
          <w:numId w:val="1"/>
        </w:numPr>
        <w:suppressAutoHyphens/>
        <w:autoSpaceDE w:val="0"/>
        <w:autoSpaceDN w:val="0"/>
        <w:adjustRightInd w:val="0"/>
        <w:spacing w:before="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52B23">
        <w:rPr>
          <w:rFonts w:ascii="Arial" w:hAnsi="Arial" w:cs="Arial"/>
          <w:sz w:val="24"/>
          <w:szCs w:val="24"/>
          <w:lang w:eastAsia="pl-PL"/>
        </w:rPr>
        <w:t xml:space="preserve"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E52B23">
        <w:rPr>
          <w:rFonts w:ascii="Arial" w:hAnsi="Arial" w:cs="Arial"/>
          <w:i/>
          <w:iCs/>
          <w:sz w:val="24"/>
          <w:szCs w:val="24"/>
          <w:lang w:eastAsia="pl-PL"/>
        </w:rPr>
        <w:t>"Jestem świadomy odpowiedzialności karnej za złożenie fałszywego oświadczenia."</w:t>
      </w:r>
      <w:r w:rsidRPr="00E52B23">
        <w:rPr>
          <w:rFonts w:ascii="Arial" w:hAnsi="Arial" w:cs="Arial"/>
          <w:sz w:val="24"/>
          <w:szCs w:val="24"/>
          <w:lang w:eastAsia="pl-PL"/>
        </w:rPr>
        <w:t xml:space="preserve">. Klauzula ta zastępuje pouczenie sądu o odpowiedzialności </w:t>
      </w:r>
      <w:r w:rsidRPr="00E52B23">
        <w:rPr>
          <w:rFonts w:ascii="Arial" w:hAnsi="Arial" w:cs="Arial"/>
          <w:sz w:val="24"/>
          <w:szCs w:val="24"/>
          <w:lang w:eastAsia="pl-PL"/>
        </w:rPr>
        <w:lastRenderedPageBreak/>
        <w:t xml:space="preserve">karnej za złożenie fałszywego oświadczenia (art. 243 § 1 </w:t>
      </w:r>
      <w:proofErr w:type="spellStart"/>
      <w:r w:rsidRPr="00E52B23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E52B23">
        <w:rPr>
          <w:rFonts w:ascii="Arial" w:hAnsi="Arial" w:cs="Arial"/>
          <w:sz w:val="24"/>
          <w:szCs w:val="24"/>
          <w:lang w:eastAsia="pl-PL"/>
        </w:rPr>
        <w:t xml:space="preserve">., art. 252 § 1, 1a, 2 </w:t>
      </w:r>
      <w:proofErr w:type="spellStart"/>
      <w:r w:rsidRPr="00E52B23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E52B23">
        <w:rPr>
          <w:rFonts w:ascii="Arial" w:hAnsi="Arial" w:cs="Arial"/>
          <w:sz w:val="24"/>
          <w:szCs w:val="24"/>
          <w:lang w:eastAsia="pl-PL"/>
        </w:rPr>
        <w:t>.).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C75E5" w:rsidRPr="00E52B23" w14:paraId="2B0C3F42" w14:textId="77777777" w:rsidTr="007A2AF9">
        <w:trPr>
          <w:trHeight w:val="474"/>
        </w:trPr>
        <w:tc>
          <w:tcPr>
            <w:tcW w:w="4587" w:type="dxa"/>
          </w:tcPr>
          <w:p w14:paraId="6A3915F5" w14:textId="77777777" w:rsidR="000C75E5" w:rsidRPr="00E52B23" w:rsidRDefault="00000000" w:rsidP="00E52B2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23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0C75E5" w:rsidRPr="00E52B23" w14:paraId="36CD7F18" w14:textId="77777777" w:rsidTr="007A2AF9">
        <w:trPr>
          <w:trHeight w:val="1148"/>
        </w:trPr>
        <w:tc>
          <w:tcPr>
            <w:tcW w:w="4587" w:type="dxa"/>
          </w:tcPr>
          <w:p w14:paraId="0FE385FF" w14:textId="77777777" w:rsidR="000C75E5" w:rsidRPr="00E52B23" w:rsidRDefault="00000000" w:rsidP="00E52B2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E52B23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269831E6" w14:textId="77777777" w:rsidR="000C75E5" w:rsidRPr="00E52B23" w:rsidRDefault="00000000" w:rsidP="00E52B2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E52B23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37BF091D" w14:textId="77777777" w:rsidR="000C75E5" w:rsidRPr="00E52B23" w:rsidRDefault="00000000" w:rsidP="00E52B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E52B23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E52B23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E52B23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0C75E5" w:rsidRPr="00E52B23" w14:paraId="5D3DC1FC" w14:textId="77777777" w:rsidTr="007A2AF9">
        <w:trPr>
          <w:trHeight w:val="401"/>
        </w:trPr>
        <w:tc>
          <w:tcPr>
            <w:tcW w:w="4587" w:type="dxa"/>
          </w:tcPr>
          <w:p w14:paraId="0491823B" w14:textId="77777777" w:rsidR="000C75E5" w:rsidRPr="00E52B23" w:rsidRDefault="00000000" w:rsidP="00E52B2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23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0B1B805F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CBC934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D29E4A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2DCA1F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812975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B73FA7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415283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BA363B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99E3EF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3D09A2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5978F0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BE5933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24E663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D97E45" w14:textId="77777777" w:rsidR="00E52B23" w:rsidRDefault="00E52B23" w:rsidP="00E52B23">
      <w:pPr>
        <w:suppressAutoHyphens/>
        <w:spacing w:before="8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D10B14" w14:textId="3E70DCF5" w:rsidR="00000000" w:rsidRPr="00E52B23" w:rsidRDefault="00000000" w:rsidP="00E52B23">
      <w:pPr>
        <w:suppressAutoHyphens/>
        <w:spacing w:before="80"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52B23">
        <w:rPr>
          <w:rFonts w:ascii="Arial" w:hAnsi="Arial" w:cs="Arial"/>
          <w:b/>
          <w:bCs/>
          <w:sz w:val="24"/>
          <w:szCs w:val="24"/>
          <w:u w:val="single"/>
        </w:rPr>
        <w:t>Egzemplarze:</w:t>
      </w:r>
    </w:p>
    <w:p w14:paraId="21A2E43F" w14:textId="77777777" w:rsidR="00000000" w:rsidRPr="00E52B23" w:rsidRDefault="00000000" w:rsidP="00E52B23">
      <w:pPr>
        <w:numPr>
          <w:ilvl w:val="0"/>
          <w:numId w:val="2"/>
        </w:numPr>
        <w:suppressAutoHyphens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52B23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011B0089" w14:textId="77777777" w:rsidR="00000000" w:rsidRPr="00E52B23" w:rsidRDefault="00000000" w:rsidP="00E52B23">
      <w:pPr>
        <w:numPr>
          <w:ilvl w:val="0"/>
          <w:numId w:val="2"/>
        </w:numPr>
        <w:suppressAutoHyphens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52B23">
        <w:rPr>
          <w:rFonts w:ascii="Arial" w:hAnsi="Arial" w:cs="Arial"/>
          <w:bCs/>
          <w:sz w:val="24"/>
          <w:szCs w:val="24"/>
        </w:rPr>
        <w:t>aa.</w:t>
      </w:r>
    </w:p>
    <w:p w14:paraId="03F02B5D" w14:textId="77777777" w:rsidR="000C75E5" w:rsidRPr="00273ACD" w:rsidRDefault="000C75E5" w:rsidP="00E52B23">
      <w:pPr>
        <w:suppressAutoHyphens/>
        <w:spacing w:before="80" w:after="80" w:line="480" w:lineRule="auto"/>
        <w:jc w:val="both"/>
        <w:rPr>
          <w:rFonts w:ascii="Arial" w:hAnsi="Arial" w:cs="Arial"/>
          <w:sz w:val="24"/>
          <w:szCs w:val="24"/>
        </w:rPr>
      </w:pPr>
    </w:p>
    <w:p w14:paraId="09CC397E" w14:textId="77777777" w:rsidR="000C75E5" w:rsidRPr="007A2AF9" w:rsidRDefault="000C75E5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0C75E5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45D8" w14:textId="77777777" w:rsidR="00425A40" w:rsidRDefault="00425A40">
      <w:pPr>
        <w:spacing w:after="0" w:line="240" w:lineRule="auto"/>
      </w:pPr>
      <w:r>
        <w:separator/>
      </w:r>
    </w:p>
  </w:endnote>
  <w:endnote w:type="continuationSeparator" w:id="0">
    <w:p w14:paraId="75389C4C" w14:textId="77777777" w:rsidR="00425A40" w:rsidRDefault="0042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34B4" w14:textId="77777777" w:rsidR="000C75E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D5317F6">
        <v:rect id="_x0000_i1025" style="width:0;height:1.5pt" o:hralign="center" o:hrstd="t" o:hr="t" fillcolor="#a0a0a0" stroked="f"/>
      </w:pict>
    </w:r>
  </w:p>
  <w:p w14:paraId="06DFA5A0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CE1A27F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723C4E5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245481B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36EBEF27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4427F9E" w14:textId="77777777" w:rsidR="000C75E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04DF" w14:textId="77777777" w:rsidR="000C75E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82F62D7">
        <v:rect id="_x0000_i1027" style="width:0;height:1.5pt" o:hralign="center" o:hrstd="t" o:hr="t" fillcolor="#a0a0a0" stroked="f"/>
      </w:pict>
    </w:r>
  </w:p>
  <w:p w14:paraId="1939D69A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AEA8186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177D8A1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DBE885C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181EC3E" w14:textId="77777777" w:rsidR="000C75E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8D89" w14:textId="77777777" w:rsidR="00425A40" w:rsidRDefault="00425A40">
      <w:pPr>
        <w:spacing w:after="0" w:line="240" w:lineRule="auto"/>
      </w:pPr>
      <w:r>
        <w:separator/>
      </w:r>
    </w:p>
  </w:footnote>
  <w:footnote w:type="continuationSeparator" w:id="0">
    <w:p w14:paraId="2DF389DA" w14:textId="77777777" w:rsidR="00425A40" w:rsidRDefault="0042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5842" w14:textId="77777777" w:rsidR="000C75E5" w:rsidRDefault="000C75E5">
    <w:pPr>
      <w:pStyle w:val="Nagwek"/>
    </w:pPr>
  </w:p>
  <w:p w14:paraId="5E8E8E40" w14:textId="77777777" w:rsidR="000C75E5" w:rsidRDefault="000C75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259E" w14:textId="77777777" w:rsidR="000C75E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D03D279" w14:textId="77777777" w:rsidR="000C75E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7CB2AA1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13F043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69E6FC74">
      <w:start w:val="1"/>
      <w:numFmt w:val="lowerLetter"/>
      <w:lvlText w:val="%2."/>
      <w:lvlJc w:val="left"/>
      <w:pPr>
        <w:ind w:left="1440" w:hanging="360"/>
      </w:pPr>
    </w:lvl>
    <w:lvl w:ilvl="2" w:tplc="8B44137A">
      <w:start w:val="1"/>
      <w:numFmt w:val="lowerRoman"/>
      <w:lvlText w:val="%3."/>
      <w:lvlJc w:val="right"/>
      <w:pPr>
        <w:ind w:left="2160" w:hanging="180"/>
      </w:pPr>
    </w:lvl>
    <w:lvl w:ilvl="3" w:tplc="82FEBC22">
      <w:start w:val="1"/>
      <w:numFmt w:val="decimal"/>
      <w:lvlText w:val="%4."/>
      <w:lvlJc w:val="left"/>
      <w:pPr>
        <w:ind w:left="2880" w:hanging="360"/>
      </w:pPr>
    </w:lvl>
    <w:lvl w:ilvl="4" w:tplc="E74277E8">
      <w:start w:val="1"/>
      <w:numFmt w:val="lowerLetter"/>
      <w:lvlText w:val="%5."/>
      <w:lvlJc w:val="left"/>
      <w:pPr>
        <w:ind w:left="3600" w:hanging="360"/>
      </w:pPr>
    </w:lvl>
    <w:lvl w:ilvl="5" w:tplc="8D325D28">
      <w:start w:val="1"/>
      <w:numFmt w:val="lowerRoman"/>
      <w:lvlText w:val="%6."/>
      <w:lvlJc w:val="right"/>
      <w:pPr>
        <w:ind w:left="4320" w:hanging="180"/>
      </w:pPr>
    </w:lvl>
    <w:lvl w:ilvl="6" w:tplc="435220F0">
      <w:start w:val="1"/>
      <w:numFmt w:val="decimal"/>
      <w:lvlText w:val="%7."/>
      <w:lvlJc w:val="left"/>
      <w:pPr>
        <w:ind w:left="5040" w:hanging="360"/>
      </w:pPr>
    </w:lvl>
    <w:lvl w:ilvl="7" w:tplc="0C1CF19C">
      <w:start w:val="1"/>
      <w:numFmt w:val="lowerLetter"/>
      <w:lvlText w:val="%8."/>
      <w:lvlJc w:val="left"/>
      <w:pPr>
        <w:ind w:left="5760" w:hanging="360"/>
      </w:pPr>
    </w:lvl>
    <w:lvl w:ilvl="8" w:tplc="8C74E2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1B4804E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A181184">
      <w:start w:val="1"/>
      <w:numFmt w:val="lowerLetter"/>
      <w:lvlText w:val="%2."/>
      <w:lvlJc w:val="left"/>
      <w:pPr>
        <w:ind w:left="1440" w:hanging="360"/>
      </w:pPr>
    </w:lvl>
    <w:lvl w:ilvl="2" w:tplc="6FD01578">
      <w:start w:val="1"/>
      <w:numFmt w:val="lowerRoman"/>
      <w:lvlText w:val="%3."/>
      <w:lvlJc w:val="right"/>
      <w:pPr>
        <w:ind w:left="2160" w:hanging="180"/>
      </w:pPr>
    </w:lvl>
    <w:lvl w:ilvl="3" w:tplc="1B9A55A2">
      <w:start w:val="1"/>
      <w:numFmt w:val="decimal"/>
      <w:lvlText w:val="%4."/>
      <w:lvlJc w:val="left"/>
      <w:pPr>
        <w:ind w:left="2880" w:hanging="360"/>
      </w:pPr>
    </w:lvl>
    <w:lvl w:ilvl="4" w:tplc="AB8EF4C8">
      <w:start w:val="1"/>
      <w:numFmt w:val="lowerLetter"/>
      <w:lvlText w:val="%5."/>
      <w:lvlJc w:val="left"/>
      <w:pPr>
        <w:ind w:left="3600" w:hanging="360"/>
      </w:pPr>
    </w:lvl>
    <w:lvl w:ilvl="5" w:tplc="5E58EDD8">
      <w:start w:val="1"/>
      <w:numFmt w:val="lowerRoman"/>
      <w:lvlText w:val="%6."/>
      <w:lvlJc w:val="right"/>
      <w:pPr>
        <w:ind w:left="4320" w:hanging="180"/>
      </w:pPr>
    </w:lvl>
    <w:lvl w:ilvl="6" w:tplc="11B6BE98">
      <w:start w:val="1"/>
      <w:numFmt w:val="decimal"/>
      <w:lvlText w:val="%7."/>
      <w:lvlJc w:val="left"/>
      <w:pPr>
        <w:ind w:left="5040" w:hanging="360"/>
      </w:pPr>
    </w:lvl>
    <w:lvl w:ilvl="7" w:tplc="85A8F5EC">
      <w:start w:val="1"/>
      <w:numFmt w:val="lowerLetter"/>
      <w:lvlText w:val="%8."/>
      <w:lvlJc w:val="left"/>
      <w:pPr>
        <w:ind w:left="5760" w:hanging="360"/>
      </w:pPr>
    </w:lvl>
    <w:lvl w:ilvl="8" w:tplc="0638FE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83054"/>
    <w:multiLevelType w:val="hybridMultilevel"/>
    <w:tmpl w:val="510471F6"/>
    <w:lvl w:ilvl="0" w:tplc="7E2CFD4C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 w:tplc="F09AD32C">
      <w:start w:val="1"/>
      <w:numFmt w:val="lowerLetter"/>
      <w:lvlText w:val="%2."/>
      <w:lvlJc w:val="left"/>
      <w:pPr>
        <w:ind w:left="1506" w:hanging="360"/>
      </w:pPr>
    </w:lvl>
    <w:lvl w:ilvl="2" w:tplc="DF347C8A">
      <w:start w:val="1"/>
      <w:numFmt w:val="lowerRoman"/>
      <w:lvlText w:val="%3."/>
      <w:lvlJc w:val="right"/>
      <w:pPr>
        <w:ind w:left="2226" w:hanging="180"/>
      </w:pPr>
    </w:lvl>
    <w:lvl w:ilvl="3" w:tplc="26725F6A">
      <w:start w:val="1"/>
      <w:numFmt w:val="decimal"/>
      <w:lvlText w:val="%4."/>
      <w:lvlJc w:val="left"/>
      <w:pPr>
        <w:ind w:left="2946" w:hanging="360"/>
      </w:pPr>
    </w:lvl>
    <w:lvl w:ilvl="4" w:tplc="DD7EE916">
      <w:start w:val="1"/>
      <w:numFmt w:val="lowerLetter"/>
      <w:lvlText w:val="%5."/>
      <w:lvlJc w:val="left"/>
      <w:pPr>
        <w:ind w:left="3666" w:hanging="360"/>
      </w:pPr>
    </w:lvl>
    <w:lvl w:ilvl="5" w:tplc="98A45E22">
      <w:start w:val="1"/>
      <w:numFmt w:val="lowerRoman"/>
      <w:lvlText w:val="%6."/>
      <w:lvlJc w:val="right"/>
      <w:pPr>
        <w:ind w:left="4386" w:hanging="180"/>
      </w:pPr>
    </w:lvl>
    <w:lvl w:ilvl="6" w:tplc="BAD4E196">
      <w:start w:val="1"/>
      <w:numFmt w:val="decimal"/>
      <w:lvlText w:val="%7."/>
      <w:lvlJc w:val="left"/>
      <w:pPr>
        <w:ind w:left="5106" w:hanging="360"/>
      </w:pPr>
    </w:lvl>
    <w:lvl w:ilvl="7" w:tplc="BFD03BB8">
      <w:start w:val="1"/>
      <w:numFmt w:val="lowerLetter"/>
      <w:lvlText w:val="%8."/>
      <w:lvlJc w:val="left"/>
      <w:pPr>
        <w:ind w:left="5826" w:hanging="360"/>
      </w:pPr>
    </w:lvl>
    <w:lvl w:ilvl="8" w:tplc="5950A85A">
      <w:start w:val="1"/>
      <w:numFmt w:val="lowerRoman"/>
      <w:lvlText w:val="%9."/>
      <w:lvlJc w:val="right"/>
      <w:pPr>
        <w:ind w:left="6546" w:hanging="180"/>
      </w:pPr>
    </w:lvl>
  </w:abstractNum>
  <w:num w:numId="1" w16cid:durableId="1224876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46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837394">
    <w:abstractNumId w:val="1"/>
  </w:num>
  <w:num w:numId="4" w16cid:durableId="90298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E5"/>
    <w:rsid w:val="000C75E5"/>
    <w:rsid w:val="00145904"/>
    <w:rsid w:val="001479EB"/>
    <w:rsid w:val="00273ACD"/>
    <w:rsid w:val="00425A40"/>
    <w:rsid w:val="00E5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46A7F"/>
  <w15:docId w15:val="{0FCA29D1-3BF9-4E77-8B6F-A4D8549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12 marca 2025 r., nr NSP-VIII.7581.1.115.2024.PW</dc:title>
  <dc:creator>Andrzej Leszczyński</dc:creator>
  <cp:keywords>Obwieszczenie Wojewody Pomorskiego z dnia 12 marca 2025 r., nr NSP-VIII.7581.1.115.2024.PW</cp:keywords>
  <cp:lastModifiedBy>Beata Banach</cp:lastModifiedBy>
  <cp:revision>5</cp:revision>
  <cp:lastPrinted>2012-09-10T07:00:00Z</cp:lastPrinted>
  <dcterms:created xsi:type="dcterms:W3CDTF">2025-03-21T13:15:00Z</dcterms:created>
  <dcterms:modified xsi:type="dcterms:W3CDTF">2025-03-21T13:18:00Z</dcterms:modified>
</cp:coreProperties>
</file>