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B1F" w:rsidRPr="00A838B4" w:rsidRDefault="005C6B1F" w:rsidP="005C6B1F">
      <w:pPr>
        <w:autoSpaceDE w:val="0"/>
        <w:autoSpaceDN w:val="0"/>
        <w:adjustRightInd w:val="0"/>
        <w:rPr>
          <w:rFonts w:ascii="Calibri" w:hAnsi="Calibri" w:cs="Calibri"/>
          <w:b/>
          <w:bCs/>
          <w:color w:val="000000"/>
        </w:rPr>
      </w:pPr>
      <w:r>
        <w:rPr>
          <w:rFonts w:ascii="Calibri" w:hAnsi="Calibri" w:cs="Calibri"/>
          <w:b/>
          <w:bCs/>
          <w:color w:val="000000"/>
        </w:rPr>
        <w:t xml:space="preserve">                  </w:t>
      </w:r>
      <w:r>
        <w:rPr>
          <w:rFonts w:ascii="Calibri" w:hAnsi="Calibri" w:cs="Calibri"/>
          <w:noProof/>
        </w:rPr>
        <w:drawing>
          <wp:inline distT="0" distB="0" distL="0" distR="0" wp14:anchorId="4E569AAE" wp14:editId="6B78E976">
            <wp:extent cx="514350" cy="5429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p w:rsidR="005C6B1F" w:rsidRPr="00E009B5" w:rsidRDefault="005C6B1F" w:rsidP="005C6B1F">
      <w:pPr>
        <w:autoSpaceDE w:val="0"/>
        <w:autoSpaceDN w:val="0"/>
        <w:adjustRightInd w:val="0"/>
        <w:rPr>
          <w:rFonts w:ascii="Calibri" w:hAnsi="Calibri" w:cs="Calibri"/>
          <w:b/>
          <w:bCs/>
        </w:rPr>
      </w:pPr>
      <w:r w:rsidRPr="00A838B4">
        <w:rPr>
          <w:rStyle w:val="Pogrubienie"/>
          <w:rFonts w:ascii="Calibri" w:hAnsi="Calibri" w:cs="Calibri"/>
          <w:bCs/>
        </w:rPr>
        <w:t>WOJEWODA MAZOWIECKI</w:t>
      </w:r>
    </w:p>
    <w:p w:rsidR="005C6B1F" w:rsidRPr="00C25A28" w:rsidRDefault="005C6B1F" w:rsidP="007D1F7F">
      <w:pPr>
        <w:ind w:left="5664"/>
        <w:jc w:val="right"/>
        <w:rPr>
          <w:rFonts w:ascii="Calibri" w:hAnsi="Calibri" w:cs="Calibri"/>
        </w:rPr>
      </w:pPr>
      <w:r w:rsidRPr="00C25A28">
        <w:rPr>
          <w:rFonts w:ascii="Calibri" w:hAnsi="Calibri" w:cs="Calibri"/>
        </w:rPr>
        <w:t>Warszawa,</w:t>
      </w:r>
      <w:r w:rsidR="00FF57F0">
        <w:rPr>
          <w:rFonts w:ascii="Calibri" w:hAnsi="Calibri" w:cs="Calibri"/>
        </w:rPr>
        <w:t xml:space="preserve"> </w:t>
      </w:r>
      <w:r w:rsidR="007D1F7F">
        <w:rPr>
          <w:rFonts w:ascii="Calibri" w:hAnsi="Calibri" w:cs="Calibri"/>
        </w:rPr>
        <w:t>31</w:t>
      </w:r>
      <w:r w:rsidR="00FF57F0">
        <w:rPr>
          <w:rFonts w:ascii="Calibri" w:hAnsi="Calibri" w:cs="Calibri"/>
        </w:rPr>
        <w:t xml:space="preserve"> </w:t>
      </w:r>
      <w:r w:rsidR="004271D6">
        <w:rPr>
          <w:rFonts w:ascii="Calibri" w:hAnsi="Calibri" w:cs="Calibri"/>
        </w:rPr>
        <w:t>maja</w:t>
      </w:r>
      <w:r>
        <w:rPr>
          <w:rFonts w:ascii="Calibri" w:hAnsi="Calibri" w:cs="Calibri"/>
        </w:rPr>
        <w:t xml:space="preserve"> 2019 r.                      </w:t>
      </w:r>
    </w:p>
    <w:p w:rsidR="005C6B1F" w:rsidRPr="006548EB" w:rsidRDefault="005C6B1F" w:rsidP="005C6B1F">
      <w:pPr>
        <w:rPr>
          <w:rFonts w:ascii="Calibri" w:hAnsi="Calibri" w:cs="Calibri"/>
        </w:rPr>
      </w:pPr>
      <w:r w:rsidRPr="00C25A28">
        <w:rPr>
          <w:rFonts w:ascii="Calibri" w:hAnsi="Calibri" w:cs="Calibri"/>
        </w:rPr>
        <w:t>WNP-I.4131.</w:t>
      </w:r>
      <w:r w:rsidR="000559C2">
        <w:rPr>
          <w:rFonts w:ascii="Calibri" w:hAnsi="Calibri" w:cs="Calibri"/>
        </w:rPr>
        <w:t>102</w:t>
      </w:r>
      <w:r>
        <w:rPr>
          <w:rFonts w:ascii="Calibri" w:hAnsi="Calibri" w:cs="Calibri"/>
        </w:rPr>
        <w:t>.2019</w:t>
      </w:r>
      <w:r w:rsidRPr="00C25A28">
        <w:rPr>
          <w:rFonts w:ascii="Calibri" w:hAnsi="Calibri" w:cs="Calibri"/>
        </w:rPr>
        <w:t>.DK</w:t>
      </w:r>
    </w:p>
    <w:p w:rsidR="005C6B1F" w:rsidRDefault="005C6B1F" w:rsidP="005C6B1F">
      <w:pPr>
        <w:autoSpaceDE w:val="0"/>
        <w:autoSpaceDN w:val="0"/>
        <w:adjustRightInd w:val="0"/>
        <w:spacing w:line="240" w:lineRule="auto"/>
        <w:ind w:left="5663" w:firstLine="1"/>
        <w:rPr>
          <w:rFonts w:ascii="Calibri" w:hAnsi="Calibri"/>
          <w:b/>
          <w:sz w:val="28"/>
          <w:szCs w:val="20"/>
        </w:rPr>
      </w:pPr>
      <w:r>
        <w:rPr>
          <w:rFonts w:ascii="Calibri" w:hAnsi="Calibri"/>
          <w:b/>
          <w:sz w:val="28"/>
        </w:rPr>
        <w:t xml:space="preserve">Rada Miejska w Tłuszczu  </w:t>
      </w:r>
    </w:p>
    <w:p w:rsidR="005C6B1F" w:rsidRDefault="005C6B1F" w:rsidP="005C6B1F">
      <w:pPr>
        <w:autoSpaceDE w:val="0"/>
        <w:autoSpaceDN w:val="0"/>
        <w:adjustRightInd w:val="0"/>
        <w:spacing w:line="240" w:lineRule="auto"/>
        <w:ind w:left="4955" w:firstLine="709"/>
        <w:rPr>
          <w:rFonts w:ascii="Calibri" w:hAnsi="Calibri"/>
          <w:b/>
          <w:sz w:val="28"/>
        </w:rPr>
      </w:pPr>
      <w:r>
        <w:rPr>
          <w:rFonts w:ascii="Calibri" w:hAnsi="Calibri"/>
          <w:b/>
          <w:sz w:val="28"/>
        </w:rPr>
        <w:t>ul. Warszawska 10</w:t>
      </w:r>
    </w:p>
    <w:p w:rsidR="005C6B1F" w:rsidRDefault="005C6B1F" w:rsidP="005C6B1F">
      <w:pPr>
        <w:autoSpaceDE w:val="0"/>
        <w:autoSpaceDN w:val="0"/>
        <w:adjustRightInd w:val="0"/>
        <w:spacing w:line="240" w:lineRule="auto"/>
        <w:ind w:left="4955" w:firstLine="709"/>
        <w:rPr>
          <w:rFonts w:ascii="Calibri" w:hAnsi="Calibri"/>
          <w:b/>
          <w:sz w:val="28"/>
        </w:rPr>
      </w:pPr>
      <w:r>
        <w:rPr>
          <w:rFonts w:ascii="Calibri" w:hAnsi="Calibri"/>
          <w:b/>
          <w:sz w:val="28"/>
        </w:rPr>
        <w:t>05-240 Tłuszcz</w:t>
      </w:r>
    </w:p>
    <w:p w:rsidR="005C6B1F" w:rsidRDefault="005C6B1F" w:rsidP="005C6B1F">
      <w:pPr>
        <w:rPr>
          <w:rFonts w:ascii="Calibri" w:hAnsi="Calibri" w:cs="Calibri"/>
          <w:lang w:eastAsia="ar-SA"/>
        </w:rPr>
      </w:pPr>
    </w:p>
    <w:p w:rsidR="007D1F7F" w:rsidRPr="00473F8B" w:rsidRDefault="007D1F7F" w:rsidP="005C6B1F">
      <w:pPr>
        <w:rPr>
          <w:rFonts w:ascii="Calibri" w:hAnsi="Calibri" w:cs="Calibri"/>
          <w:lang w:eastAsia="ar-SA"/>
        </w:rPr>
      </w:pPr>
    </w:p>
    <w:p w:rsidR="005C6B1F" w:rsidRPr="00473F8B" w:rsidRDefault="005C6B1F" w:rsidP="005C6B1F">
      <w:pPr>
        <w:jc w:val="center"/>
        <w:rPr>
          <w:rFonts w:ascii="Calibri" w:hAnsi="Calibri" w:cs="Calibri"/>
          <w:b/>
          <w:bCs/>
        </w:rPr>
      </w:pPr>
      <w:r w:rsidRPr="00473F8B">
        <w:rPr>
          <w:rFonts w:ascii="Calibri" w:hAnsi="Calibri" w:cs="Calibri"/>
          <w:b/>
          <w:bCs/>
        </w:rPr>
        <w:t>Rozstrzygnięcie  nadzorcze</w:t>
      </w:r>
    </w:p>
    <w:p w:rsidR="005C6B1F" w:rsidRPr="00473F8B" w:rsidRDefault="005C6B1F" w:rsidP="007D1F7F">
      <w:pPr>
        <w:pStyle w:val="Tekstpodstawowy"/>
        <w:spacing w:before="120" w:after="120" w:line="240" w:lineRule="auto"/>
        <w:ind w:right="-1" w:firstLine="284"/>
        <w:rPr>
          <w:rFonts w:ascii="Calibri" w:hAnsi="Calibri" w:cs="Calibri"/>
          <w:sz w:val="24"/>
        </w:rPr>
      </w:pPr>
      <w:r w:rsidRPr="00473F8B">
        <w:rPr>
          <w:rFonts w:ascii="Calibri" w:hAnsi="Calibri" w:cs="Calibri"/>
          <w:sz w:val="24"/>
        </w:rPr>
        <w:t>Na podstawie art. 91 ust. 1 ustawy z dnia 8 marca 1990</w:t>
      </w:r>
      <w:r>
        <w:rPr>
          <w:rFonts w:ascii="Calibri" w:hAnsi="Calibri" w:cs="Calibri"/>
          <w:sz w:val="24"/>
        </w:rPr>
        <w:t xml:space="preserve"> </w:t>
      </w:r>
      <w:r w:rsidRPr="00473F8B">
        <w:rPr>
          <w:rFonts w:ascii="Calibri" w:hAnsi="Calibri" w:cs="Calibri"/>
          <w:sz w:val="24"/>
        </w:rPr>
        <w:t>r. o sam</w:t>
      </w:r>
      <w:r>
        <w:rPr>
          <w:rFonts w:ascii="Calibri" w:hAnsi="Calibri" w:cs="Calibri"/>
          <w:sz w:val="24"/>
        </w:rPr>
        <w:t>orządzie gminnym</w:t>
      </w:r>
      <w:r w:rsidR="007D1F7F">
        <w:rPr>
          <w:rFonts w:ascii="Calibri" w:hAnsi="Calibri" w:cs="Calibri"/>
          <w:sz w:val="24"/>
        </w:rPr>
        <w:t xml:space="preserve"> </w:t>
      </w:r>
      <w:r>
        <w:rPr>
          <w:rFonts w:ascii="Calibri" w:hAnsi="Calibri" w:cs="Calibri"/>
          <w:sz w:val="24"/>
        </w:rPr>
        <w:t>(Dz. U. z 2019 r. poz. 506</w:t>
      </w:r>
      <w:r w:rsidRPr="00473F8B">
        <w:rPr>
          <w:rFonts w:ascii="Calibri" w:hAnsi="Calibri" w:cs="Calibri"/>
          <w:sz w:val="24"/>
        </w:rPr>
        <w:t>)</w:t>
      </w:r>
      <w:r>
        <w:rPr>
          <w:rFonts w:ascii="Calibri" w:hAnsi="Calibri" w:cs="Calibri"/>
          <w:sz w:val="24"/>
        </w:rPr>
        <w:t>.</w:t>
      </w:r>
    </w:p>
    <w:p w:rsidR="005C6B1F" w:rsidRPr="00473F8B" w:rsidRDefault="005C6B1F" w:rsidP="007D1F7F">
      <w:pPr>
        <w:pStyle w:val="Tekstpodstawowy"/>
        <w:spacing w:before="120" w:after="120" w:line="240" w:lineRule="auto"/>
        <w:jc w:val="center"/>
        <w:rPr>
          <w:rFonts w:ascii="Calibri" w:hAnsi="Calibri" w:cs="Calibri"/>
          <w:b/>
          <w:bCs/>
          <w:sz w:val="24"/>
        </w:rPr>
      </w:pPr>
      <w:r w:rsidRPr="00473F8B">
        <w:rPr>
          <w:rFonts w:ascii="Calibri" w:hAnsi="Calibri" w:cs="Calibri"/>
          <w:b/>
          <w:bCs/>
          <w:sz w:val="24"/>
        </w:rPr>
        <w:t>stwierdzam nieważność</w:t>
      </w:r>
    </w:p>
    <w:p w:rsidR="005C6B1F" w:rsidRDefault="005C6B1F" w:rsidP="007D1F7F">
      <w:pPr>
        <w:spacing w:before="120" w:after="120" w:line="240" w:lineRule="auto"/>
        <w:rPr>
          <w:rFonts w:ascii="Calibri" w:hAnsi="Calibri" w:cs="Calibri"/>
        </w:rPr>
      </w:pPr>
      <w:r>
        <w:rPr>
          <w:rFonts w:ascii="Calibri" w:hAnsi="Calibri" w:cs="Calibri"/>
        </w:rPr>
        <w:t xml:space="preserve">uchwały Nr V.75.2019 Rady Miejskiej w Tłuszczu z dnia 24 kwietnia 2019 r.  </w:t>
      </w:r>
      <w:r>
        <w:rPr>
          <w:rFonts w:ascii="Calibri" w:hAnsi="Calibri" w:cs="Calibri"/>
          <w:i/>
        </w:rPr>
        <w:t>w sprawie zaliczenia drogi do kategorii dróg gminnych publicznych.</w:t>
      </w:r>
      <w:r>
        <w:rPr>
          <w:rFonts w:ascii="Calibri" w:hAnsi="Calibri" w:cs="Calibri"/>
        </w:rPr>
        <w:t xml:space="preserve"> </w:t>
      </w:r>
    </w:p>
    <w:p w:rsidR="005C6B1F" w:rsidRDefault="005C6B1F" w:rsidP="007D1F7F">
      <w:pPr>
        <w:tabs>
          <w:tab w:val="left" w:pos="708"/>
          <w:tab w:val="left" w:pos="1416"/>
          <w:tab w:val="left" w:pos="2124"/>
          <w:tab w:val="left" w:pos="2832"/>
          <w:tab w:val="left" w:pos="3540"/>
          <w:tab w:val="left" w:pos="4248"/>
          <w:tab w:val="left" w:pos="4956"/>
          <w:tab w:val="left" w:pos="5400"/>
        </w:tabs>
        <w:spacing w:before="120" w:after="120" w:line="240" w:lineRule="auto"/>
        <w:jc w:val="center"/>
        <w:rPr>
          <w:rFonts w:ascii="Calibri" w:hAnsi="Calibri" w:cs="Calibri"/>
          <w:b/>
          <w:bCs/>
        </w:rPr>
      </w:pPr>
      <w:r w:rsidRPr="00273D64">
        <w:rPr>
          <w:rFonts w:ascii="Calibri" w:hAnsi="Calibri" w:cs="Calibri"/>
          <w:b/>
          <w:bCs/>
        </w:rPr>
        <w:t>Uzasadnienie</w:t>
      </w:r>
    </w:p>
    <w:p w:rsidR="005C6B1F" w:rsidRDefault="005C6B1F" w:rsidP="007D1F7F">
      <w:pPr>
        <w:spacing w:before="120" w:after="120" w:line="240" w:lineRule="auto"/>
        <w:ind w:firstLine="284"/>
      </w:pPr>
      <w:r w:rsidRPr="005C6B1F">
        <w:rPr>
          <w:rFonts w:ascii="Calibri" w:hAnsi="Calibri" w:cs="Calibri"/>
          <w:bCs/>
        </w:rPr>
        <w:t xml:space="preserve">Rada </w:t>
      </w:r>
      <w:r>
        <w:rPr>
          <w:rFonts w:ascii="Calibri" w:hAnsi="Calibri" w:cs="Calibri"/>
          <w:bCs/>
        </w:rPr>
        <w:t xml:space="preserve">Miejska w Tłuszczu podjęła uchwałę </w:t>
      </w:r>
      <w:r>
        <w:rPr>
          <w:rFonts w:ascii="Calibri" w:hAnsi="Calibri" w:cs="Calibri"/>
        </w:rPr>
        <w:t xml:space="preserve">Nr V.75.2019 dnia 24 kwietnia 2019 r. </w:t>
      </w:r>
      <w:r>
        <w:rPr>
          <w:rFonts w:ascii="Calibri" w:hAnsi="Calibri" w:cs="Calibri"/>
          <w:i/>
        </w:rPr>
        <w:t>w sprawie zaliczenia drogi do kategorii dróg gminnych publicznych</w:t>
      </w:r>
      <w:r w:rsidR="00DD3302">
        <w:rPr>
          <w:rFonts w:ascii="Calibri" w:hAnsi="Calibri" w:cs="Calibri"/>
          <w:i/>
        </w:rPr>
        <w:t>.</w:t>
      </w:r>
    </w:p>
    <w:p w:rsidR="005C6B1F" w:rsidRDefault="005C6B1F" w:rsidP="007D1F7F">
      <w:pPr>
        <w:spacing w:before="120" w:after="120" w:line="240" w:lineRule="auto"/>
        <w:ind w:firstLine="284"/>
        <w:rPr>
          <w:rFonts w:asciiTheme="minorHAnsi" w:hAnsiTheme="minorHAnsi" w:cstheme="minorHAnsi"/>
        </w:rPr>
      </w:pPr>
      <w:r w:rsidRPr="00985416">
        <w:rPr>
          <w:rFonts w:asciiTheme="minorHAnsi" w:hAnsiTheme="minorHAnsi" w:cstheme="minorHAnsi"/>
        </w:rPr>
        <w:t xml:space="preserve">Podstawę prawną przedmiotowej uchwały stanowił art. 18 ust. 2 pkt 15 ustawy </w:t>
      </w:r>
      <w:r>
        <w:rPr>
          <w:rFonts w:asciiTheme="minorHAnsi" w:hAnsiTheme="minorHAnsi" w:cstheme="minorHAnsi"/>
        </w:rPr>
        <w:t>o samorządzie gminnym oraz art. 7 ustawy z dnia 21 marca 1985 r. o drogach publicznych (Dz. U. z 2018 r. poz. 2068, z późn. zm.).</w:t>
      </w:r>
    </w:p>
    <w:p w:rsidR="005C6B1F" w:rsidRDefault="005C6B1F" w:rsidP="007D1F7F">
      <w:pPr>
        <w:spacing w:before="120" w:after="120" w:line="240" w:lineRule="auto"/>
        <w:ind w:firstLine="284"/>
        <w:rPr>
          <w:rFonts w:ascii="Calibri" w:hAnsi="Calibri" w:cs="Calibri"/>
        </w:rPr>
      </w:pPr>
      <w:r>
        <w:rPr>
          <w:rFonts w:asciiTheme="minorHAnsi" w:hAnsiTheme="minorHAnsi" w:cstheme="minorHAnsi"/>
        </w:rPr>
        <w:t xml:space="preserve">W kwestionowanej uchwale Rada </w:t>
      </w:r>
      <w:r w:rsidR="00DD3302">
        <w:rPr>
          <w:rFonts w:asciiTheme="minorHAnsi" w:hAnsiTheme="minorHAnsi" w:cstheme="minorHAnsi"/>
        </w:rPr>
        <w:t>Miasta</w:t>
      </w:r>
      <w:r>
        <w:rPr>
          <w:rFonts w:asciiTheme="minorHAnsi" w:hAnsiTheme="minorHAnsi" w:cstheme="minorHAnsi"/>
        </w:rPr>
        <w:t xml:space="preserve"> zaliczyła do kategorii dróg gminnych </w:t>
      </w:r>
      <w:r>
        <w:rPr>
          <w:rFonts w:ascii="Calibri" w:hAnsi="Calibri" w:cs="Calibri"/>
        </w:rPr>
        <w:t xml:space="preserve">działki oznaczone </w:t>
      </w:r>
      <w:r w:rsidR="007D1F7F">
        <w:rPr>
          <w:rFonts w:ascii="Calibri" w:hAnsi="Calibri" w:cs="Calibri"/>
        </w:rPr>
        <w:br/>
      </w:r>
      <w:r>
        <w:rPr>
          <w:rFonts w:ascii="Calibri" w:hAnsi="Calibri" w:cs="Calibri"/>
        </w:rPr>
        <w:t xml:space="preserve">w ewidencji gruntów jako działki o numerach ewidencyjnych 2091, 2092 oraz 466/1 obręb Jasienica Gmina Tłuszcz, stanowiące przedłużenie drogi gminnej ulicy Mickiewicza w miejscowości Jasienica </w:t>
      </w:r>
      <w:r w:rsidR="007D1F7F">
        <w:rPr>
          <w:rFonts w:ascii="Calibri" w:hAnsi="Calibri" w:cs="Calibri"/>
        </w:rPr>
        <w:br/>
      </w:r>
      <w:r>
        <w:rPr>
          <w:rFonts w:ascii="Calibri" w:hAnsi="Calibri" w:cs="Calibri"/>
        </w:rPr>
        <w:t>o długości</w:t>
      </w:r>
      <w:r w:rsidR="00B86CD5">
        <w:rPr>
          <w:rFonts w:ascii="Calibri" w:hAnsi="Calibri" w:cs="Calibri"/>
        </w:rPr>
        <w:t xml:space="preserve"> około</w:t>
      </w:r>
      <w:r>
        <w:rPr>
          <w:rFonts w:ascii="Calibri" w:hAnsi="Calibri" w:cs="Calibri"/>
        </w:rPr>
        <w:t xml:space="preserve"> 400 m. </w:t>
      </w:r>
    </w:p>
    <w:p w:rsidR="005C6B1F" w:rsidRDefault="005C6B1F" w:rsidP="007D1F7F">
      <w:pPr>
        <w:spacing w:before="120" w:after="120" w:line="240" w:lineRule="auto"/>
        <w:ind w:firstLine="284"/>
        <w:rPr>
          <w:rFonts w:ascii="Calibri" w:hAnsi="Calibri" w:cs="Calibri"/>
        </w:rPr>
      </w:pPr>
      <w:r>
        <w:rPr>
          <w:rFonts w:ascii="Calibri" w:hAnsi="Calibri" w:cs="Calibri"/>
        </w:rPr>
        <w:t xml:space="preserve">W toku postępowania wyjaśniającego, organ nadzoru wystąpił do Urzędu Miasta w Tłuszczu </w:t>
      </w:r>
      <w:r w:rsidR="007D1F7F">
        <w:rPr>
          <w:rFonts w:ascii="Calibri" w:hAnsi="Calibri" w:cs="Calibri"/>
        </w:rPr>
        <w:br/>
      </w:r>
      <w:r>
        <w:rPr>
          <w:rFonts w:ascii="Calibri" w:hAnsi="Calibri" w:cs="Calibri"/>
        </w:rPr>
        <w:t>o udzielenie wyjaśnień w zakresie przysługiwania Miastu Tłuszcz własności</w:t>
      </w:r>
      <w:r w:rsidR="00A23B5C">
        <w:rPr>
          <w:rFonts w:ascii="Calibri" w:hAnsi="Calibri" w:cs="Calibri"/>
        </w:rPr>
        <w:t xml:space="preserve"> wyżej wymienionych działek</w:t>
      </w:r>
      <w:r w:rsidR="00F532AF">
        <w:rPr>
          <w:rFonts w:ascii="Calibri" w:hAnsi="Calibri" w:cs="Calibri"/>
        </w:rPr>
        <w:t xml:space="preserve">. </w:t>
      </w:r>
    </w:p>
    <w:p w:rsidR="001057A6" w:rsidRDefault="00BB3E16" w:rsidP="007D1F7F">
      <w:pPr>
        <w:spacing w:before="120" w:after="120" w:line="240" w:lineRule="auto"/>
        <w:ind w:firstLine="284"/>
        <w:rPr>
          <w:rFonts w:asciiTheme="minorHAnsi" w:hAnsiTheme="minorHAnsi" w:cstheme="minorHAnsi"/>
        </w:rPr>
      </w:pPr>
      <w:r>
        <w:rPr>
          <w:rFonts w:asciiTheme="minorHAnsi" w:hAnsiTheme="minorHAnsi" w:cstheme="minorHAnsi"/>
        </w:rPr>
        <w:t>W dniu 28 maja 2018 r. pracownik Urzędu Miejskiego w Tłuszczu poinformował  organ nadzoru</w:t>
      </w:r>
      <w:r w:rsidR="005C6B1F">
        <w:rPr>
          <w:rFonts w:asciiTheme="minorHAnsi" w:hAnsiTheme="minorHAnsi" w:cstheme="minorHAnsi"/>
        </w:rPr>
        <w:t xml:space="preserve">, że </w:t>
      </w:r>
      <w:r w:rsidR="003D6F84">
        <w:rPr>
          <w:rFonts w:asciiTheme="minorHAnsi" w:hAnsiTheme="minorHAnsi" w:cstheme="minorHAnsi"/>
        </w:rPr>
        <w:t>Miasto</w:t>
      </w:r>
      <w:r w:rsidR="005C6B1F">
        <w:rPr>
          <w:rFonts w:asciiTheme="minorHAnsi" w:hAnsiTheme="minorHAnsi" w:cstheme="minorHAnsi"/>
        </w:rPr>
        <w:t xml:space="preserve"> nie </w:t>
      </w:r>
      <w:r w:rsidR="003D6F84">
        <w:rPr>
          <w:rFonts w:asciiTheme="minorHAnsi" w:hAnsiTheme="minorHAnsi" w:cstheme="minorHAnsi"/>
        </w:rPr>
        <w:t>posiada własności działek</w:t>
      </w:r>
      <w:r w:rsidR="005C6B1F">
        <w:rPr>
          <w:rFonts w:asciiTheme="minorHAnsi" w:hAnsiTheme="minorHAnsi" w:cstheme="minorHAnsi"/>
        </w:rPr>
        <w:t>, o któr</w:t>
      </w:r>
      <w:r w:rsidR="003D6F84">
        <w:rPr>
          <w:rFonts w:asciiTheme="minorHAnsi" w:hAnsiTheme="minorHAnsi" w:cstheme="minorHAnsi"/>
        </w:rPr>
        <w:t>ych</w:t>
      </w:r>
      <w:r w:rsidR="005C6B1F">
        <w:rPr>
          <w:rFonts w:asciiTheme="minorHAnsi" w:hAnsiTheme="minorHAnsi" w:cstheme="minorHAnsi"/>
        </w:rPr>
        <w:t xml:space="preserve"> mowa powyżej,</w:t>
      </w:r>
      <w:r w:rsidR="003D6F84">
        <w:rPr>
          <w:rFonts w:asciiTheme="minorHAnsi" w:hAnsiTheme="minorHAnsi" w:cstheme="minorHAnsi"/>
        </w:rPr>
        <w:t xml:space="preserve"> ale nikt nie rości sobie praw do działek, przez które przebiega droga.</w:t>
      </w:r>
      <w:r w:rsidR="00DD3302">
        <w:rPr>
          <w:rFonts w:asciiTheme="minorHAnsi" w:hAnsiTheme="minorHAnsi" w:cstheme="minorHAnsi"/>
        </w:rPr>
        <w:t xml:space="preserve"> Miasto posiada działki jedynie we władaniu.</w:t>
      </w:r>
    </w:p>
    <w:p w:rsidR="005C6B1F" w:rsidRDefault="001057A6" w:rsidP="007D1F7F">
      <w:pPr>
        <w:spacing w:before="120" w:after="120" w:line="240" w:lineRule="auto"/>
        <w:ind w:firstLine="284"/>
        <w:rPr>
          <w:rFonts w:asciiTheme="minorHAnsi" w:hAnsiTheme="minorHAnsi" w:cstheme="minorHAnsi"/>
        </w:rPr>
      </w:pPr>
      <w:r>
        <w:rPr>
          <w:rFonts w:asciiTheme="minorHAnsi" w:hAnsiTheme="minorHAnsi" w:cstheme="minorHAnsi"/>
        </w:rPr>
        <w:t>Z projektu uzasadnienia do niniejszej uchwały wynika, że z</w:t>
      </w:r>
      <w:r w:rsidR="005C6B1F">
        <w:rPr>
          <w:rFonts w:asciiTheme="minorHAnsi" w:hAnsiTheme="minorHAnsi" w:cstheme="minorHAnsi"/>
        </w:rPr>
        <w:t xml:space="preserve">aliczenie drogi do kategorii dróg gminnych nastąpiło po </w:t>
      </w:r>
      <w:r w:rsidR="003D6F84">
        <w:rPr>
          <w:rFonts w:asciiTheme="minorHAnsi" w:hAnsiTheme="minorHAnsi" w:cstheme="minorHAnsi"/>
        </w:rPr>
        <w:t>zasięgnięciu opinii Zarządu Powiatu Wołomińskiego</w:t>
      </w:r>
      <w:r>
        <w:rPr>
          <w:rFonts w:asciiTheme="minorHAnsi" w:hAnsiTheme="minorHAnsi" w:cstheme="minorHAnsi"/>
        </w:rPr>
        <w:t xml:space="preserve">, zaś zaliczenie do kategorii dróg gminnych jest niezbędne w celu utrzymania kategorii D przejazdu kolejowego z uwagi </w:t>
      </w:r>
      <w:r w:rsidR="005D4E2A">
        <w:rPr>
          <w:rFonts w:asciiTheme="minorHAnsi" w:hAnsiTheme="minorHAnsi" w:cstheme="minorHAnsi"/>
        </w:rPr>
        <w:br/>
      </w:r>
      <w:r>
        <w:rPr>
          <w:rFonts w:asciiTheme="minorHAnsi" w:hAnsiTheme="minorHAnsi" w:cstheme="minorHAnsi"/>
        </w:rPr>
        <w:t xml:space="preserve">na znajdujące się w ciągu tej drogi przejazdy kolejowe.   </w:t>
      </w:r>
      <w:r w:rsidR="003D6F84">
        <w:rPr>
          <w:rFonts w:asciiTheme="minorHAnsi" w:hAnsiTheme="minorHAnsi" w:cstheme="minorHAnsi"/>
        </w:rPr>
        <w:t xml:space="preserve"> </w:t>
      </w:r>
      <w:r w:rsidR="005C6B1F">
        <w:rPr>
          <w:rFonts w:asciiTheme="minorHAnsi" w:hAnsiTheme="minorHAnsi" w:cstheme="minorHAnsi"/>
        </w:rPr>
        <w:t xml:space="preserve">    </w:t>
      </w:r>
    </w:p>
    <w:p w:rsidR="005D4E2A" w:rsidRDefault="005D4E2A" w:rsidP="007D1F7F">
      <w:pPr>
        <w:spacing w:before="120" w:after="120" w:line="240" w:lineRule="auto"/>
        <w:ind w:firstLine="284"/>
        <w:rPr>
          <w:rFonts w:asciiTheme="minorHAnsi" w:hAnsiTheme="minorHAnsi" w:cstheme="minorHAnsi"/>
        </w:rPr>
      </w:pPr>
    </w:p>
    <w:p w:rsidR="005C6B1F" w:rsidRPr="00A75521" w:rsidRDefault="005C6B1F" w:rsidP="007D1F7F">
      <w:pPr>
        <w:spacing w:before="120" w:after="120" w:line="240" w:lineRule="auto"/>
        <w:ind w:firstLine="284"/>
        <w:rPr>
          <w:rFonts w:asciiTheme="minorHAnsi" w:hAnsiTheme="minorHAnsi" w:cstheme="minorHAnsi"/>
        </w:rPr>
      </w:pPr>
      <w:r w:rsidRPr="00A75521">
        <w:rPr>
          <w:rFonts w:asciiTheme="minorHAnsi" w:hAnsiTheme="minorHAnsi" w:cstheme="minorHAnsi"/>
        </w:rPr>
        <w:lastRenderedPageBreak/>
        <w:t>Z art. 7 ust. 1 ustawy o drogach publicznych wynika, że do dróg gminnych można zaliczyć drogę, która spełnia prawne warunki uznania za drogę publiczną. Zgodnie z tym przepisem, do dróg gminnych zalicza się drogi o znaczeniu lokalnym</w:t>
      </w:r>
      <w:r>
        <w:rPr>
          <w:rFonts w:asciiTheme="minorHAnsi" w:hAnsiTheme="minorHAnsi" w:cstheme="minorHAnsi"/>
        </w:rPr>
        <w:t xml:space="preserve"> nie</w:t>
      </w:r>
      <w:r w:rsidRPr="00A75521">
        <w:rPr>
          <w:rFonts w:asciiTheme="minorHAnsi" w:hAnsiTheme="minorHAnsi" w:cstheme="minorHAnsi"/>
        </w:rPr>
        <w:t xml:space="preserve">zaliczone do innych kategorii, stanowiące uzupełniającą sieć dróg służących miejscowym potrzebom, z wyłączeniem dróg wewnętrznych. Przepis ten w ust. 2 stanowi, że zaliczenie do kategorii dróg gminnych następuje w drodze uchwały rady gminy po zasięgnięciu opinii właściwego zarządu powiatu. Zgodnie zaś z art. 1 ustawy o drogach publicznych, drogą publiczną jest droga zaliczona na podstawie tej ustawy do jednej z kategorii dróg, z której może korzystać każdy, zgodnie z jej przeznaczeniem, z ograniczeniami i wyjątkami określonymi w ustawie </w:t>
      </w:r>
      <w:r w:rsidR="00A106A7">
        <w:rPr>
          <w:rFonts w:asciiTheme="minorHAnsi" w:hAnsiTheme="minorHAnsi" w:cstheme="minorHAnsi"/>
        </w:rPr>
        <w:br/>
      </w:r>
      <w:r w:rsidRPr="00A75521">
        <w:rPr>
          <w:rFonts w:asciiTheme="minorHAnsi" w:hAnsiTheme="minorHAnsi" w:cstheme="minorHAnsi"/>
        </w:rPr>
        <w:t xml:space="preserve">o drogach publicznych lub innych przepisach szczególnych. Z art. 2 ust. 1 ustawy o drogach publicznych wynika, że droga gminna jest jedną z dróg publicznych, natomiast przepis art. 2a ust. 2 wprost stwierdza, że drogi gminne stanowią własność gminy. </w:t>
      </w:r>
    </w:p>
    <w:p w:rsidR="005C6B1F" w:rsidRPr="00A75521" w:rsidRDefault="005C6B1F" w:rsidP="007D1F7F">
      <w:pPr>
        <w:spacing w:before="120" w:after="120" w:line="240" w:lineRule="auto"/>
        <w:ind w:firstLine="284"/>
        <w:rPr>
          <w:rFonts w:asciiTheme="minorHAnsi" w:hAnsiTheme="minorHAnsi" w:cstheme="minorHAnsi"/>
        </w:rPr>
      </w:pPr>
      <w:r w:rsidRPr="00A75521">
        <w:rPr>
          <w:rFonts w:asciiTheme="minorHAnsi" w:hAnsiTheme="minorHAnsi" w:cstheme="minorHAnsi"/>
        </w:rPr>
        <w:t xml:space="preserve">Konieczną zatem przesłanką do skutecznego podjęcia przez radę gminy uchwały o zaliczeniu drogi do kategorii dróg gminnych jest legitymowanie się przez gminę prawem własności do gruntów, po których droga taka przebiega. Zatem droga, która nie jest własnością gminy, nie może być drogą gminną i z tego powodu nie może być zaliczona do </w:t>
      </w:r>
      <w:r w:rsidR="00A23B5C">
        <w:rPr>
          <w:rFonts w:asciiTheme="minorHAnsi" w:hAnsiTheme="minorHAnsi" w:cstheme="minorHAnsi"/>
        </w:rPr>
        <w:t xml:space="preserve"> kategorii </w:t>
      </w:r>
      <w:r w:rsidRPr="00A75521">
        <w:rPr>
          <w:rFonts w:asciiTheme="minorHAnsi" w:hAnsiTheme="minorHAnsi" w:cstheme="minorHAnsi"/>
        </w:rPr>
        <w:t>dróg gminnych (wyrok NSA z dnia 17 lipca 2014 r. sygn. akt I OSK 708/14). Podobnie WSA w Bydgoszczy w wyroku z dnia 6 marca 2013 r. sygn. akt II SA/Bd 1209/12 stwierdził: „</w:t>
      </w:r>
      <w:r w:rsidRPr="00A75521">
        <w:rPr>
          <w:rFonts w:asciiTheme="minorHAnsi" w:hAnsiTheme="minorHAnsi" w:cstheme="minorHAnsi"/>
          <w:i/>
        </w:rPr>
        <w:t xml:space="preserve">Konieczną przesłanką do skutecznego podjęcia przez radę gminy uchwały o zaliczeniu ulicy do kategorii dróg gminnych jest legitymowanie się przez gminę prawem własności do gruntów, po których droga taka przebiega. Powyższe stwierdzenie wynika wprost </w:t>
      </w:r>
      <w:r w:rsidR="00A106A7">
        <w:rPr>
          <w:rFonts w:asciiTheme="minorHAnsi" w:hAnsiTheme="minorHAnsi" w:cstheme="minorHAnsi"/>
          <w:i/>
        </w:rPr>
        <w:br/>
      </w:r>
      <w:r w:rsidRPr="00A75521">
        <w:rPr>
          <w:rFonts w:asciiTheme="minorHAnsi" w:hAnsiTheme="minorHAnsi" w:cstheme="minorHAnsi"/>
          <w:i/>
        </w:rPr>
        <w:t>z przepisu art. 2a ust. 2 ustawy o drogach publicznych, w świetle którego drogi wojewódzkie, powiatowe i gminne stanowią własność właściwego samorządu województwa, powiatu lub gminy</w:t>
      </w:r>
      <w:r w:rsidRPr="00A75521">
        <w:rPr>
          <w:rFonts w:asciiTheme="minorHAnsi" w:hAnsiTheme="minorHAnsi" w:cstheme="minorHAnsi"/>
        </w:rPr>
        <w:t>.”.</w:t>
      </w:r>
    </w:p>
    <w:p w:rsidR="00FC3BDC" w:rsidRDefault="005C6B1F" w:rsidP="007D1F7F">
      <w:pPr>
        <w:spacing w:before="120" w:after="120" w:line="240" w:lineRule="auto"/>
        <w:ind w:firstLine="284"/>
        <w:rPr>
          <w:rFonts w:ascii="Calibri" w:hAnsi="Calibri" w:cs="Calibri"/>
        </w:rPr>
      </w:pPr>
      <w:r w:rsidRPr="00A75521">
        <w:rPr>
          <w:rFonts w:asciiTheme="minorHAnsi" w:hAnsiTheme="minorHAnsi" w:cstheme="minorHAnsi"/>
        </w:rPr>
        <w:t xml:space="preserve">Wyżej powołane przepisy ustawy o drogach publicznych jednoznacznie wskazują, że uchwała </w:t>
      </w:r>
      <w:r w:rsidR="00A106A7">
        <w:rPr>
          <w:rFonts w:asciiTheme="minorHAnsi" w:hAnsiTheme="minorHAnsi" w:cstheme="minorHAnsi"/>
        </w:rPr>
        <w:br/>
      </w:r>
      <w:r w:rsidRPr="00A75521">
        <w:rPr>
          <w:rFonts w:asciiTheme="minorHAnsi" w:hAnsiTheme="minorHAnsi" w:cstheme="minorHAnsi"/>
        </w:rPr>
        <w:t xml:space="preserve">o zaliczeniu drogi do drogi publicznej (gminnej) powinna być poprzedzona czynnościami zmierzającymi do przejęcia własności drogi przez podmiot publicznoprawny, a nie odwrotnie (wyrok NSA z dnia </w:t>
      </w:r>
      <w:r w:rsidR="00A106A7">
        <w:rPr>
          <w:rFonts w:asciiTheme="minorHAnsi" w:hAnsiTheme="minorHAnsi" w:cstheme="minorHAnsi"/>
        </w:rPr>
        <w:br/>
      </w:r>
      <w:r w:rsidRPr="00A75521">
        <w:rPr>
          <w:rFonts w:asciiTheme="minorHAnsi" w:hAnsiTheme="minorHAnsi" w:cstheme="minorHAnsi"/>
        </w:rPr>
        <w:t>28 maja 2009 r. sygn. akt I OSK 148/09).</w:t>
      </w:r>
      <w:r>
        <w:rPr>
          <w:rFonts w:asciiTheme="minorHAnsi" w:hAnsiTheme="minorHAnsi" w:cstheme="minorHAnsi"/>
        </w:rPr>
        <w:t xml:space="preserve"> </w:t>
      </w:r>
      <w:r w:rsidRPr="00A75521">
        <w:rPr>
          <w:rStyle w:val="info-list-value-uzasadnienie"/>
          <w:rFonts w:asciiTheme="minorHAnsi" w:hAnsiTheme="minorHAnsi" w:cstheme="minorHAnsi"/>
        </w:rPr>
        <w:t xml:space="preserve">Z okoliczności sprawy wynika, że </w:t>
      </w:r>
      <w:r w:rsidR="00D05165">
        <w:rPr>
          <w:rStyle w:val="info-list-value-uzasadnienie"/>
          <w:rFonts w:asciiTheme="minorHAnsi" w:hAnsiTheme="minorHAnsi" w:cstheme="minorHAnsi"/>
        </w:rPr>
        <w:t>Miasto Tłuszcz</w:t>
      </w:r>
      <w:r>
        <w:rPr>
          <w:rStyle w:val="info-list-value-uzasadnienie"/>
          <w:rFonts w:asciiTheme="minorHAnsi" w:hAnsiTheme="minorHAnsi" w:cstheme="minorHAnsi"/>
        </w:rPr>
        <w:t xml:space="preserve"> nie dysponuje prawem własności </w:t>
      </w:r>
      <w:r w:rsidR="00FC3BDC">
        <w:rPr>
          <w:rFonts w:ascii="Calibri" w:hAnsi="Calibri" w:cs="Calibri"/>
        </w:rPr>
        <w:t>działek o numerach ewidencyjnych 2091, 2092 oraz 466/1</w:t>
      </w:r>
      <w:r w:rsidR="009E4EA5">
        <w:rPr>
          <w:rFonts w:ascii="Calibri" w:hAnsi="Calibri" w:cs="Calibri"/>
        </w:rPr>
        <w:t>,</w:t>
      </w:r>
      <w:r w:rsidR="00FC3BDC">
        <w:rPr>
          <w:rFonts w:ascii="Calibri" w:hAnsi="Calibri" w:cs="Calibri"/>
        </w:rPr>
        <w:t xml:space="preserve"> obręb Jasienica</w:t>
      </w:r>
      <w:r w:rsidR="009E4EA5">
        <w:rPr>
          <w:rFonts w:ascii="Calibri" w:hAnsi="Calibri" w:cs="Calibri"/>
        </w:rPr>
        <w:t>, Gmina Tłuszcz</w:t>
      </w:r>
      <w:r w:rsidR="00FC3BDC">
        <w:rPr>
          <w:rFonts w:ascii="Calibri" w:hAnsi="Calibri" w:cs="Calibri"/>
        </w:rPr>
        <w:t xml:space="preserve">. </w:t>
      </w:r>
    </w:p>
    <w:p w:rsidR="00951ACD" w:rsidRDefault="00FC3BDC" w:rsidP="007D1F7F">
      <w:pPr>
        <w:spacing w:before="120" w:after="120" w:line="240" w:lineRule="auto"/>
        <w:ind w:firstLine="284"/>
        <w:rPr>
          <w:rFonts w:asciiTheme="minorHAnsi" w:hAnsiTheme="minorHAnsi" w:cstheme="minorHAnsi"/>
        </w:rPr>
      </w:pPr>
      <w:r>
        <w:rPr>
          <w:rFonts w:asciiTheme="minorHAnsi" w:hAnsiTheme="minorHAnsi" w:cstheme="minorHAnsi"/>
        </w:rPr>
        <w:t xml:space="preserve">W dalszej kolejności należy mieć na względzie przepisy rozporządzenia Ministra Infrastruktury </w:t>
      </w:r>
      <w:r w:rsidR="007D1F7F">
        <w:rPr>
          <w:rFonts w:asciiTheme="minorHAnsi" w:hAnsiTheme="minorHAnsi" w:cstheme="minorHAnsi"/>
        </w:rPr>
        <w:br/>
      </w:r>
      <w:r>
        <w:rPr>
          <w:rFonts w:asciiTheme="minorHAnsi" w:hAnsiTheme="minorHAnsi" w:cstheme="minorHAnsi"/>
        </w:rPr>
        <w:t xml:space="preserve">i Rozwoju z dnia 20 października 2015 r. w sprawie warunków technicznych jakim powinny odpowiadać skrzyżowania linii kolejowych oraz bocznic kolejowych i ich usytuowanie (Dz. U. z 2015 r. poz. 1744, </w:t>
      </w:r>
      <w:r w:rsidR="00E119B3">
        <w:rPr>
          <w:rFonts w:asciiTheme="minorHAnsi" w:hAnsiTheme="minorHAnsi" w:cstheme="minorHAnsi"/>
        </w:rPr>
        <w:br/>
      </w:r>
      <w:r>
        <w:rPr>
          <w:rFonts w:asciiTheme="minorHAnsi" w:hAnsiTheme="minorHAnsi" w:cstheme="minorHAnsi"/>
        </w:rPr>
        <w:t>z późn. zm.).</w:t>
      </w:r>
    </w:p>
    <w:p w:rsidR="00951ACD" w:rsidRDefault="00754208" w:rsidP="007D1F7F">
      <w:pPr>
        <w:spacing w:before="120" w:after="120" w:line="240" w:lineRule="auto"/>
        <w:ind w:firstLine="284"/>
        <w:rPr>
          <w:rFonts w:asciiTheme="minorHAnsi" w:hAnsiTheme="minorHAnsi" w:cstheme="minorHAnsi"/>
        </w:rPr>
      </w:pPr>
      <w:r w:rsidRPr="00951ACD">
        <w:rPr>
          <w:rFonts w:asciiTheme="minorHAnsi" w:hAnsiTheme="minorHAnsi" w:cstheme="minorHAnsi"/>
        </w:rPr>
        <w:t xml:space="preserve">Zgodnie z </w:t>
      </w:r>
      <w:r w:rsidR="00951ACD" w:rsidRPr="00951ACD">
        <w:rPr>
          <w:rFonts w:asciiTheme="minorHAnsi" w:hAnsiTheme="minorHAnsi" w:cstheme="minorHAnsi"/>
        </w:rPr>
        <w:t>§ 10</w:t>
      </w:r>
      <w:r w:rsidR="00951ACD">
        <w:rPr>
          <w:rFonts w:asciiTheme="minorHAnsi" w:hAnsiTheme="minorHAnsi" w:cstheme="minorHAnsi"/>
        </w:rPr>
        <w:t xml:space="preserve"> rozporządzenia,</w:t>
      </w:r>
      <w:r w:rsidR="00951ACD" w:rsidRPr="00951ACD">
        <w:rPr>
          <w:rFonts w:asciiTheme="minorHAnsi" w:hAnsiTheme="minorHAnsi" w:cstheme="minorHAnsi"/>
        </w:rPr>
        <w:t xml:space="preserve"> </w:t>
      </w:r>
      <w:r w:rsidR="00951ACD">
        <w:rPr>
          <w:rFonts w:asciiTheme="minorHAnsi" w:eastAsia="TimesNewRomanPSMT" w:hAnsiTheme="minorHAnsi" w:cstheme="minorHAnsi"/>
          <w:lang w:eastAsia="en-US"/>
        </w:rPr>
        <w:t>d</w:t>
      </w:r>
      <w:r w:rsidR="00951ACD" w:rsidRPr="00951ACD">
        <w:rPr>
          <w:rFonts w:asciiTheme="minorHAnsi" w:eastAsia="TimesNewRomanPSMT" w:hAnsiTheme="minorHAnsi" w:cstheme="minorHAnsi"/>
          <w:lang w:eastAsia="en-US"/>
        </w:rPr>
        <w:t>o kategorii D zalicza się przejazdy kolejowo-drogowe obejmujące skrzyżowan</w:t>
      </w:r>
      <w:r w:rsidR="00951ACD">
        <w:rPr>
          <w:rFonts w:asciiTheme="minorHAnsi" w:eastAsia="TimesNewRomanPSMT" w:hAnsiTheme="minorHAnsi" w:cstheme="minorHAnsi"/>
          <w:lang w:eastAsia="en-US"/>
        </w:rPr>
        <w:t xml:space="preserve">ia linii kolejowych lub bocznic </w:t>
      </w:r>
      <w:r w:rsidR="00951ACD" w:rsidRPr="00951ACD">
        <w:rPr>
          <w:rFonts w:asciiTheme="minorHAnsi" w:eastAsia="TimesNewRomanPSMT" w:hAnsiTheme="minorHAnsi" w:cstheme="minorHAnsi"/>
          <w:lang w:eastAsia="en-US"/>
        </w:rPr>
        <w:t>kolejowych z drogami publicznymi, na których:</w:t>
      </w:r>
    </w:p>
    <w:p w:rsidR="00951ACD" w:rsidRDefault="00951ACD" w:rsidP="007D1F7F">
      <w:pPr>
        <w:spacing w:before="120" w:after="120" w:line="240" w:lineRule="auto"/>
        <w:ind w:firstLine="284"/>
        <w:rPr>
          <w:rFonts w:asciiTheme="minorHAnsi" w:hAnsiTheme="minorHAnsi" w:cstheme="minorHAnsi"/>
        </w:rPr>
      </w:pPr>
      <w:r w:rsidRPr="00951ACD">
        <w:rPr>
          <w:rFonts w:asciiTheme="minorHAnsi" w:eastAsia="TimesNewRomanPSMT" w:hAnsiTheme="minorHAnsi" w:cstheme="minorHAnsi"/>
          <w:lang w:eastAsia="en-US"/>
        </w:rPr>
        <w:t>1) iloczyn ruchu jest mniejszy od liczby 60 000, a ruch kolejowy na danym odcinku linii k</w:t>
      </w:r>
      <w:r>
        <w:rPr>
          <w:rFonts w:asciiTheme="minorHAnsi" w:eastAsia="TimesNewRomanPSMT" w:hAnsiTheme="minorHAnsi" w:cstheme="minorHAnsi"/>
          <w:lang w:eastAsia="en-US"/>
        </w:rPr>
        <w:t xml:space="preserve">olejowej lub bocznicy kolejowej </w:t>
      </w:r>
      <w:r w:rsidRPr="00951ACD">
        <w:rPr>
          <w:rFonts w:asciiTheme="minorHAnsi" w:eastAsia="TimesNewRomanPSMT" w:hAnsiTheme="minorHAnsi" w:cstheme="minorHAnsi"/>
          <w:lang w:eastAsia="en-US"/>
        </w:rPr>
        <w:t>jest prowadzony z prędkością maksymalną nie większą niż 120 km/h oraz są spełnione warunki widocznoś</w:t>
      </w:r>
      <w:r>
        <w:rPr>
          <w:rFonts w:asciiTheme="minorHAnsi" w:eastAsia="TimesNewRomanPSMT" w:hAnsiTheme="minorHAnsi" w:cstheme="minorHAnsi"/>
          <w:lang w:eastAsia="en-US"/>
        </w:rPr>
        <w:t xml:space="preserve">ci </w:t>
      </w:r>
      <w:r w:rsidRPr="00951ACD">
        <w:rPr>
          <w:rFonts w:asciiTheme="minorHAnsi" w:eastAsia="TimesNewRomanPSMT" w:hAnsiTheme="minorHAnsi" w:cstheme="minorHAnsi"/>
          <w:lang w:eastAsia="en-US"/>
        </w:rPr>
        <w:t>wskazane w części B załącznika nr 3 do rozporządzenia albo</w:t>
      </w:r>
    </w:p>
    <w:p w:rsidR="00774A45" w:rsidRDefault="00951ACD" w:rsidP="007D1F7F">
      <w:pPr>
        <w:spacing w:before="120" w:after="120" w:line="240" w:lineRule="auto"/>
        <w:ind w:firstLine="284"/>
        <w:rPr>
          <w:rFonts w:asciiTheme="minorHAnsi" w:eastAsia="TimesNewRomanPSMT" w:hAnsiTheme="minorHAnsi" w:cstheme="minorHAnsi"/>
          <w:lang w:eastAsia="en-US"/>
        </w:rPr>
      </w:pPr>
      <w:r w:rsidRPr="00951ACD">
        <w:rPr>
          <w:rFonts w:asciiTheme="minorHAnsi" w:eastAsia="TimesNewRomanPSMT" w:hAnsiTheme="minorHAnsi" w:cstheme="minorHAnsi"/>
          <w:lang w:eastAsia="en-US"/>
        </w:rPr>
        <w:t>2) bez względu na warunki widoczności dopuszczalna prędkość pociągu na przejeździe k</w:t>
      </w:r>
      <w:r>
        <w:rPr>
          <w:rFonts w:asciiTheme="minorHAnsi" w:eastAsia="TimesNewRomanPSMT" w:hAnsiTheme="minorHAnsi" w:cstheme="minorHAnsi"/>
          <w:lang w:eastAsia="en-US"/>
        </w:rPr>
        <w:t xml:space="preserve">olejowo-drogowym nie przekracza </w:t>
      </w:r>
      <w:r w:rsidRPr="00951ACD">
        <w:rPr>
          <w:rFonts w:asciiTheme="minorHAnsi" w:eastAsia="TimesNewRomanPSMT" w:hAnsiTheme="minorHAnsi" w:cstheme="minorHAnsi"/>
          <w:lang w:eastAsia="en-US"/>
        </w:rPr>
        <w:t>20 km/h.</w:t>
      </w:r>
    </w:p>
    <w:p w:rsidR="00774A45" w:rsidRDefault="00774A45" w:rsidP="007D1F7F">
      <w:pPr>
        <w:spacing w:before="120" w:after="120" w:line="240" w:lineRule="auto"/>
        <w:ind w:firstLine="284"/>
        <w:rPr>
          <w:rFonts w:asciiTheme="minorHAnsi" w:eastAsia="TimesNewRomanPSMT" w:hAnsiTheme="minorHAnsi" w:cstheme="minorHAnsi"/>
          <w:lang w:eastAsia="en-US"/>
        </w:rPr>
      </w:pPr>
      <w:r w:rsidRPr="00774A45">
        <w:rPr>
          <w:rFonts w:asciiTheme="minorHAnsi" w:eastAsia="TimesNewRomanPSMT" w:hAnsiTheme="minorHAnsi" w:cstheme="minorHAnsi"/>
          <w:lang w:eastAsia="en-US"/>
        </w:rPr>
        <w:t xml:space="preserve">Należy także zauważyć, że zgodnie z </w:t>
      </w:r>
      <w:r w:rsidRPr="00774A45">
        <w:rPr>
          <w:rFonts w:asciiTheme="minorHAnsi" w:hAnsiTheme="minorHAnsi" w:cstheme="minorHAnsi"/>
        </w:rPr>
        <w:t>§ 12</w:t>
      </w:r>
      <w:r>
        <w:rPr>
          <w:rFonts w:asciiTheme="minorHAnsi" w:hAnsiTheme="minorHAnsi" w:cstheme="minorHAnsi"/>
        </w:rPr>
        <w:t xml:space="preserve"> ust. 1</w:t>
      </w:r>
      <w:r w:rsidRPr="00774A45">
        <w:rPr>
          <w:rFonts w:asciiTheme="minorHAnsi" w:hAnsiTheme="minorHAnsi" w:cstheme="minorHAnsi"/>
        </w:rPr>
        <w:t xml:space="preserve"> tegoż rozporządzenia</w:t>
      </w:r>
      <w:r>
        <w:rPr>
          <w:rFonts w:asciiTheme="minorHAnsi" w:hAnsiTheme="minorHAnsi" w:cstheme="minorHAnsi"/>
        </w:rPr>
        <w:t>,</w:t>
      </w:r>
      <w:r w:rsidRPr="00774A45">
        <w:rPr>
          <w:rFonts w:asciiTheme="minorHAnsi" w:hAnsiTheme="minorHAnsi" w:cstheme="minorHAnsi"/>
        </w:rPr>
        <w:t xml:space="preserve"> </w:t>
      </w:r>
      <w:r>
        <w:rPr>
          <w:rFonts w:asciiTheme="minorHAnsi" w:eastAsia="TimesNewRomanPSMT" w:hAnsiTheme="minorHAnsi" w:cstheme="minorHAnsi"/>
          <w:lang w:eastAsia="en-US"/>
        </w:rPr>
        <w:t>d</w:t>
      </w:r>
      <w:r w:rsidRPr="00774A45">
        <w:rPr>
          <w:rFonts w:asciiTheme="minorHAnsi" w:eastAsia="TimesNewRomanPSMT" w:hAnsiTheme="minorHAnsi" w:cstheme="minorHAnsi"/>
          <w:lang w:eastAsia="en-US"/>
        </w:rPr>
        <w:t>o kategorii F zalicza się przejazdy kolejowo-drogowe i przejścia zlokalizowane na drogach wewnę</w:t>
      </w:r>
      <w:r>
        <w:rPr>
          <w:rFonts w:asciiTheme="minorHAnsi" w:eastAsia="TimesNewRomanPSMT" w:hAnsiTheme="minorHAnsi" w:cstheme="minorHAnsi"/>
          <w:lang w:eastAsia="en-US"/>
        </w:rPr>
        <w:t>trznych.</w:t>
      </w:r>
    </w:p>
    <w:p w:rsidR="00FC3BDC" w:rsidRPr="00951ACD" w:rsidRDefault="00754208" w:rsidP="007D1F7F">
      <w:pPr>
        <w:spacing w:before="120" w:after="120" w:line="240" w:lineRule="auto"/>
        <w:ind w:firstLine="284"/>
        <w:rPr>
          <w:rFonts w:asciiTheme="minorHAnsi" w:hAnsiTheme="minorHAnsi" w:cstheme="minorHAnsi"/>
        </w:rPr>
      </w:pPr>
      <w:r>
        <w:rPr>
          <w:rFonts w:asciiTheme="minorHAnsi" w:hAnsiTheme="minorHAnsi" w:cstheme="minorHAnsi"/>
        </w:rPr>
        <w:t>Nie można zatem podzielić stanowiska, że zaliczenie przedmiotowych działek do kategorii dróg gminnych jest niezbędne dla funkcjonowan</w:t>
      </w:r>
      <w:r w:rsidR="00774A45">
        <w:rPr>
          <w:rFonts w:asciiTheme="minorHAnsi" w:hAnsiTheme="minorHAnsi" w:cstheme="minorHAnsi"/>
        </w:rPr>
        <w:t xml:space="preserve">ia przejazdu kolejowo-drogowego, </w:t>
      </w:r>
      <w:r>
        <w:rPr>
          <w:rFonts w:asciiTheme="minorHAnsi" w:hAnsiTheme="minorHAnsi" w:cstheme="minorHAnsi"/>
        </w:rPr>
        <w:t>skoro istnienie</w:t>
      </w:r>
      <w:r w:rsidR="00EF74C0">
        <w:rPr>
          <w:rFonts w:asciiTheme="minorHAnsi" w:hAnsiTheme="minorHAnsi" w:cstheme="minorHAnsi"/>
        </w:rPr>
        <w:t xml:space="preserve"> </w:t>
      </w:r>
      <w:r w:rsidR="00774A45">
        <w:rPr>
          <w:rFonts w:asciiTheme="minorHAnsi" w:hAnsiTheme="minorHAnsi" w:cstheme="minorHAnsi"/>
        </w:rPr>
        <w:t>poszczególnych</w:t>
      </w:r>
      <w:r w:rsidR="00EF74C0">
        <w:rPr>
          <w:rFonts w:asciiTheme="minorHAnsi" w:hAnsiTheme="minorHAnsi" w:cstheme="minorHAnsi"/>
        </w:rPr>
        <w:t xml:space="preserve"> kategorii</w:t>
      </w:r>
      <w:r>
        <w:rPr>
          <w:rFonts w:asciiTheme="minorHAnsi" w:hAnsiTheme="minorHAnsi" w:cstheme="minorHAnsi"/>
        </w:rPr>
        <w:t xml:space="preserve"> przejazdów kolejowych na </w:t>
      </w:r>
      <w:r w:rsidR="00A079F2">
        <w:rPr>
          <w:rFonts w:asciiTheme="minorHAnsi" w:hAnsiTheme="minorHAnsi" w:cstheme="minorHAnsi"/>
        </w:rPr>
        <w:t>d</w:t>
      </w:r>
      <w:r>
        <w:rPr>
          <w:rFonts w:asciiTheme="minorHAnsi" w:hAnsiTheme="minorHAnsi" w:cstheme="minorHAnsi"/>
        </w:rPr>
        <w:t xml:space="preserve">rogach </w:t>
      </w:r>
      <w:r w:rsidR="00A079F2">
        <w:rPr>
          <w:rFonts w:asciiTheme="minorHAnsi" w:hAnsiTheme="minorHAnsi" w:cstheme="minorHAnsi"/>
        </w:rPr>
        <w:t>publicznych</w:t>
      </w:r>
      <w:r w:rsidR="00774A45">
        <w:rPr>
          <w:rFonts w:asciiTheme="minorHAnsi" w:hAnsiTheme="minorHAnsi" w:cstheme="minorHAnsi"/>
        </w:rPr>
        <w:t xml:space="preserve"> oraz drogach wewnętrznych</w:t>
      </w:r>
      <w:r w:rsidR="00B71F93">
        <w:rPr>
          <w:rFonts w:asciiTheme="minorHAnsi" w:hAnsiTheme="minorHAnsi" w:cstheme="minorHAnsi"/>
        </w:rPr>
        <w:t xml:space="preserve"> </w:t>
      </w:r>
      <w:r>
        <w:rPr>
          <w:rFonts w:asciiTheme="minorHAnsi" w:hAnsiTheme="minorHAnsi" w:cstheme="minorHAnsi"/>
        </w:rPr>
        <w:t xml:space="preserve">wynika wprost z przepisów rozporządzenia.   </w:t>
      </w:r>
    </w:p>
    <w:p w:rsidR="00F532AF" w:rsidRPr="00975092" w:rsidRDefault="00F532AF" w:rsidP="007D1F7F">
      <w:pPr>
        <w:spacing w:before="120" w:after="120" w:line="240" w:lineRule="auto"/>
        <w:ind w:firstLine="284"/>
        <w:rPr>
          <w:rFonts w:asciiTheme="minorHAnsi" w:hAnsiTheme="minorHAnsi" w:cstheme="minorHAnsi"/>
        </w:rPr>
      </w:pPr>
      <w:r w:rsidRPr="00975092">
        <w:rPr>
          <w:rFonts w:asciiTheme="minorHAnsi" w:hAnsiTheme="minorHAnsi" w:cstheme="minorHAnsi"/>
        </w:rPr>
        <w:lastRenderedPageBreak/>
        <w:t xml:space="preserve">Mając na uwadze powyższe, stwierdzenie nieważności przedmiotowej </w:t>
      </w:r>
      <w:r w:rsidRPr="00975092">
        <w:rPr>
          <w:rFonts w:asciiTheme="minorHAnsi" w:hAnsiTheme="minorHAnsi" w:cstheme="minorHAnsi"/>
          <w:bCs/>
        </w:rPr>
        <w:t xml:space="preserve">uchwały </w:t>
      </w:r>
      <w:r w:rsidRPr="00975092">
        <w:rPr>
          <w:rFonts w:asciiTheme="minorHAnsi" w:hAnsiTheme="minorHAnsi" w:cstheme="minorHAnsi"/>
        </w:rPr>
        <w:t xml:space="preserve">Rady </w:t>
      </w:r>
      <w:r>
        <w:rPr>
          <w:rFonts w:asciiTheme="minorHAnsi" w:hAnsiTheme="minorHAnsi" w:cstheme="minorHAnsi"/>
        </w:rPr>
        <w:t xml:space="preserve">Miejskiej </w:t>
      </w:r>
      <w:r w:rsidR="007D1F7F">
        <w:rPr>
          <w:rFonts w:asciiTheme="minorHAnsi" w:hAnsiTheme="minorHAnsi" w:cstheme="minorHAnsi"/>
        </w:rPr>
        <w:br/>
      </w:r>
      <w:r>
        <w:rPr>
          <w:rFonts w:asciiTheme="minorHAnsi" w:hAnsiTheme="minorHAnsi" w:cstheme="minorHAnsi"/>
        </w:rPr>
        <w:t>w Tłuszczu,</w:t>
      </w:r>
      <w:r w:rsidRPr="00975092">
        <w:rPr>
          <w:rFonts w:asciiTheme="minorHAnsi" w:hAnsiTheme="minorHAnsi" w:cstheme="minorHAnsi"/>
        </w:rPr>
        <w:t xml:space="preserve"> w całości</w:t>
      </w:r>
      <w:r>
        <w:rPr>
          <w:rFonts w:asciiTheme="minorHAnsi" w:hAnsiTheme="minorHAnsi" w:cstheme="minorHAnsi"/>
        </w:rPr>
        <w:t>,</w:t>
      </w:r>
      <w:r w:rsidRPr="00975092">
        <w:rPr>
          <w:rFonts w:asciiTheme="minorHAnsi" w:hAnsiTheme="minorHAnsi" w:cstheme="minorHAnsi"/>
        </w:rPr>
        <w:t xml:space="preserve"> jest w pełni uzasadnione.</w:t>
      </w:r>
    </w:p>
    <w:p w:rsidR="00F532AF" w:rsidRPr="00975092" w:rsidRDefault="00F532AF" w:rsidP="007D1F7F">
      <w:pPr>
        <w:spacing w:before="120" w:after="120" w:line="240" w:lineRule="auto"/>
        <w:ind w:firstLine="284"/>
        <w:rPr>
          <w:rFonts w:asciiTheme="minorHAnsi" w:hAnsiTheme="minorHAnsi" w:cstheme="minorHAnsi"/>
        </w:rPr>
      </w:pPr>
      <w:r w:rsidRPr="00975092">
        <w:rPr>
          <w:rFonts w:asciiTheme="minorHAnsi" w:hAnsiTheme="minorHAnsi" w:cstheme="minorHAnsi"/>
        </w:rPr>
        <w:t xml:space="preserve">Na niniejsze rozstrzygnięcie nadzorcze </w:t>
      </w:r>
      <w:r w:rsidR="009E4EA5">
        <w:rPr>
          <w:rFonts w:asciiTheme="minorHAnsi" w:hAnsiTheme="minorHAnsi" w:cstheme="minorHAnsi"/>
        </w:rPr>
        <w:t>Gminie</w:t>
      </w:r>
      <w:r>
        <w:rPr>
          <w:rFonts w:asciiTheme="minorHAnsi" w:hAnsiTheme="minorHAnsi" w:cstheme="minorHAnsi"/>
        </w:rPr>
        <w:t xml:space="preserve"> </w:t>
      </w:r>
      <w:r w:rsidRPr="00975092">
        <w:rPr>
          <w:rFonts w:asciiTheme="minorHAnsi" w:hAnsiTheme="minorHAnsi" w:cstheme="minorHAnsi"/>
        </w:rPr>
        <w:t xml:space="preserve">przysługuje skarga do Wojewódzkiego Sądu Administracyjnego w Warszawie w terminie 30 dni od daty jego doręczenia, wnoszona </w:t>
      </w:r>
      <w:r w:rsidR="005D4E2A">
        <w:rPr>
          <w:rFonts w:asciiTheme="minorHAnsi" w:hAnsiTheme="minorHAnsi" w:cstheme="minorHAnsi"/>
        </w:rPr>
        <w:br/>
      </w:r>
      <w:bookmarkStart w:id="0" w:name="_GoBack"/>
      <w:bookmarkEnd w:id="0"/>
      <w:r w:rsidRPr="00975092">
        <w:rPr>
          <w:rFonts w:asciiTheme="minorHAnsi" w:hAnsiTheme="minorHAnsi" w:cstheme="minorHAnsi"/>
        </w:rPr>
        <w:t>za pośrednictwem organu, który skarżone orzeczenie wydał.</w:t>
      </w:r>
    </w:p>
    <w:p w:rsidR="00754208" w:rsidRDefault="00F532AF" w:rsidP="007D1F7F">
      <w:pPr>
        <w:pStyle w:val="Tekstpodstawowy"/>
        <w:spacing w:line="240" w:lineRule="auto"/>
        <w:ind w:firstLine="284"/>
        <w:rPr>
          <w:rFonts w:asciiTheme="minorHAnsi" w:hAnsiTheme="minorHAnsi" w:cstheme="minorHAnsi"/>
          <w:sz w:val="24"/>
        </w:rPr>
      </w:pPr>
      <w:r w:rsidRPr="00975092">
        <w:rPr>
          <w:rFonts w:asciiTheme="minorHAnsi" w:hAnsiTheme="minorHAnsi" w:cstheme="minorHAnsi"/>
          <w:sz w:val="24"/>
        </w:rPr>
        <w:t>Informuję, że rozstrzygnięcie nadzorcze wstrzymuje wykonanie uchwały z mocy prawa, z dniem jego doręczenia.</w:t>
      </w:r>
    </w:p>
    <w:p w:rsidR="007D1F7F" w:rsidRPr="007D1F7F" w:rsidRDefault="007D1F7F" w:rsidP="007D1F7F">
      <w:pPr>
        <w:pStyle w:val="Tekstpodstawowy"/>
        <w:spacing w:line="240" w:lineRule="auto"/>
        <w:ind w:firstLine="284"/>
        <w:rPr>
          <w:rFonts w:ascii="Calibri" w:hAnsi="Calibri" w:cs="Calibri"/>
          <w:sz w:val="24"/>
        </w:rPr>
      </w:pPr>
    </w:p>
    <w:p w:rsidR="007D1F7F" w:rsidRPr="007D1F7F" w:rsidRDefault="007D1F7F" w:rsidP="007D1F7F">
      <w:pPr>
        <w:spacing w:line="240" w:lineRule="auto"/>
        <w:jc w:val="right"/>
        <w:rPr>
          <w:rFonts w:ascii="Calibri" w:hAnsi="Calibri" w:cs="Calibri"/>
          <w:i/>
        </w:rPr>
      </w:pPr>
      <w:r w:rsidRPr="007D1F7F">
        <w:rPr>
          <w:rFonts w:ascii="Calibri" w:hAnsi="Calibri" w:cs="Calibri"/>
        </w:rPr>
        <w:t>Wojewoda Mazowiecki:</w:t>
      </w:r>
      <w:r w:rsidRPr="007D1F7F">
        <w:rPr>
          <w:rFonts w:ascii="Calibri" w:hAnsi="Calibri" w:cs="Calibri"/>
        </w:rPr>
        <w:br/>
      </w:r>
      <w:r w:rsidRPr="007D1F7F">
        <w:rPr>
          <w:rFonts w:ascii="Calibri" w:hAnsi="Calibri" w:cs="Calibri"/>
          <w:i/>
        </w:rPr>
        <w:t>Zdzisław Sipiera</w:t>
      </w:r>
    </w:p>
    <w:p w:rsidR="007D1F7F" w:rsidRPr="007D1F7F" w:rsidRDefault="007D1F7F" w:rsidP="007D1F7F">
      <w:pPr>
        <w:pStyle w:val="Tekstpodstawowy"/>
        <w:spacing w:line="240" w:lineRule="auto"/>
        <w:ind w:firstLine="284"/>
        <w:rPr>
          <w:rFonts w:ascii="Calibri" w:hAnsi="Calibri" w:cs="Calibri"/>
          <w:sz w:val="24"/>
        </w:rPr>
      </w:pPr>
    </w:p>
    <w:p w:rsidR="007D1F7F" w:rsidRPr="007D1F7F" w:rsidRDefault="007D1F7F" w:rsidP="007D1F7F">
      <w:pPr>
        <w:pStyle w:val="Tekstpodstawowy"/>
        <w:spacing w:line="240" w:lineRule="auto"/>
        <w:ind w:firstLine="284"/>
        <w:rPr>
          <w:rFonts w:ascii="Calibri" w:hAnsi="Calibri" w:cs="Calibri"/>
          <w:sz w:val="24"/>
        </w:rPr>
      </w:pPr>
    </w:p>
    <w:sectPr w:rsidR="007D1F7F" w:rsidRPr="007D1F7F" w:rsidSect="007D1F7F">
      <w:footerReference w:type="default" r:id="rId7"/>
      <w:pgSz w:w="11906" w:h="16838"/>
      <w:pgMar w:top="1418" w:right="1021" w:bottom="992"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F8A" w:rsidRDefault="00DE0F8A" w:rsidP="00FD7986">
      <w:pPr>
        <w:spacing w:line="240" w:lineRule="auto"/>
      </w:pPr>
      <w:r>
        <w:separator/>
      </w:r>
    </w:p>
  </w:endnote>
  <w:endnote w:type="continuationSeparator" w:id="0">
    <w:p w:rsidR="00DE0F8A" w:rsidRDefault="00DE0F8A" w:rsidP="00FD7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978342"/>
      <w:docPartObj>
        <w:docPartGallery w:val="Page Numbers (Bottom of Page)"/>
        <w:docPartUnique/>
      </w:docPartObj>
    </w:sdtPr>
    <w:sdtEndPr/>
    <w:sdtContent>
      <w:p w:rsidR="00FD7986" w:rsidRDefault="00FD7986">
        <w:pPr>
          <w:pStyle w:val="Stopka"/>
          <w:jc w:val="center"/>
        </w:pPr>
        <w:r>
          <w:fldChar w:fldCharType="begin"/>
        </w:r>
        <w:r>
          <w:instrText>PAGE   \* MERGEFORMAT</w:instrText>
        </w:r>
        <w:r>
          <w:fldChar w:fldCharType="separate"/>
        </w:r>
        <w:r w:rsidR="005D4E2A">
          <w:rPr>
            <w:noProof/>
          </w:rPr>
          <w:t>3</w:t>
        </w:r>
        <w:r>
          <w:fldChar w:fldCharType="end"/>
        </w:r>
      </w:p>
    </w:sdtContent>
  </w:sdt>
  <w:p w:rsidR="00FD7986" w:rsidRDefault="00FD79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F8A" w:rsidRDefault="00DE0F8A" w:rsidP="00FD7986">
      <w:pPr>
        <w:spacing w:line="240" w:lineRule="auto"/>
      </w:pPr>
      <w:r>
        <w:separator/>
      </w:r>
    </w:p>
  </w:footnote>
  <w:footnote w:type="continuationSeparator" w:id="0">
    <w:p w:rsidR="00DE0F8A" w:rsidRDefault="00DE0F8A" w:rsidP="00FD798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D4"/>
    <w:rsid w:val="000559C2"/>
    <w:rsid w:val="001057A6"/>
    <w:rsid w:val="001547C9"/>
    <w:rsid w:val="001A53B4"/>
    <w:rsid w:val="002937F5"/>
    <w:rsid w:val="00325E41"/>
    <w:rsid w:val="00377C67"/>
    <w:rsid w:val="003D6F84"/>
    <w:rsid w:val="004271D6"/>
    <w:rsid w:val="005C6B1F"/>
    <w:rsid w:val="005D4E2A"/>
    <w:rsid w:val="00754208"/>
    <w:rsid w:val="00774A45"/>
    <w:rsid w:val="007C52D4"/>
    <w:rsid w:val="007D1F7F"/>
    <w:rsid w:val="00951ACD"/>
    <w:rsid w:val="009E4EA5"/>
    <w:rsid w:val="00A079F2"/>
    <w:rsid w:val="00A106A7"/>
    <w:rsid w:val="00A23B5C"/>
    <w:rsid w:val="00A271EE"/>
    <w:rsid w:val="00B71F93"/>
    <w:rsid w:val="00B86CD5"/>
    <w:rsid w:val="00BB3E16"/>
    <w:rsid w:val="00BC295D"/>
    <w:rsid w:val="00D05165"/>
    <w:rsid w:val="00DD3302"/>
    <w:rsid w:val="00DD5772"/>
    <w:rsid w:val="00DD7EF9"/>
    <w:rsid w:val="00DE0F8A"/>
    <w:rsid w:val="00E119B3"/>
    <w:rsid w:val="00EA6E2D"/>
    <w:rsid w:val="00EF74C0"/>
    <w:rsid w:val="00F532AF"/>
    <w:rsid w:val="00FC3BDC"/>
    <w:rsid w:val="00FD7986"/>
    <w:rsid w:val="00FE4448"/>
    <w:rsid w:val="00FF57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F6D"/>
  <w15:docId w15:val="{03D13A26-0154-4A17-A0F1-4346B286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B1F"/>
    <w:pPr>
      <w:ind w:firstLine="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aliases w:val="Czarny,Interl...,Normalny + 12 pt,Po:  0 pt,Wyrównany do środka"/>
    <w:basedOn w:val="Domylnaczcionkaakapitu"/>
    <w:uiPriority w:val="22"/>
    <w:qFormat/>
    <w:rsid w:val="005C6B1F"/>
    <w:rPr>
      <w:rFonts w:cs="Times New Roman"/>
      <w:b/>
    </w:rPr>
  </w:style>
  <w:style w:type="paragraph" w:styleId="Tekstpodstawowy">
    <w:name w:val="Body Text"/>
    <w:basedOn w:val="Normalny"/>
    <w:link w:val="TekstpodstawowyZnak"/>
    <w:rsid w:val="005C6B1F"/>
    <w:pPr>
      <w:suppressAutoHyphens/>
    </w:pPr>
    <w:rPr>
      <w:sz w:val="28"/>
      <w:lang w:eastAsia="ar-SA"/>
    </w:rPr>
  </w:style>
  <w:style w:type="character" w:customStyle="1" w:styleId="TekstpodstawowyZnak">
    <w:name w:val="Tekst podstawowy Znak"/>
    <w:basedOn w:val="Domylnaczcionkaakapitu"/>
    <w:link w:val="Tekstpodstawowy"/>
    <w:rsid w:val="005C6B1F"/>
    <w:rPr>
      <w:rFonts w:ascii="Times New Roman" w:eastAsia="Times New Roman" w:hAnsi="Times New Roman" w:cs="Times New Roman"/>
      <w:sz w:val="28"/>
      <w:szCs w:val="24"/>
      <w:lang w:eastAsia="ar-SA"/>
    </w:rPr>
  </w:style>
  <w:style w:type="paragraph" w:styleId="Tekstdymka">
    <w:name w:val="Balloon Text"/>
    <w:basedOn w:val="Normalny"/>
    <w:link w:val="TekstdymkaZnak"/>
    <w:uiPriority w:val="99"/>
    <w:semiHidden/>
    <w:unhideWhenUsed/>
    <w:rsid w:val="005C6B1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6B1F"/>
    <w:rPr>
      <w:rFonts w:ascii="Tahoma" w:eastAsia="Times New Roman" w:hAnsi="Tahoma" w:cs="Tahoma"/>
      <w:sz w:val="16"/>
      <w:szCs w:val="16"/>
      <w:lang w:eastAsia="pl-PL"/>
    </w:rPr>
  </w:style>
  <w:style w:type="character" w:customStyle="1" w:styleId="info-list-value-uzasadnienie">
    <w:name w:val="info-list-value-uzasadnienie"/>
    <w:basedOn w:val="Domylnaczcionkaakapitu"/>
    <w:rsid w:val="005C6B1F"/>
  </w:style>
  <w:style w:type="character" w:styleId="Tekstzastpczy">
    <w:name w:val="Placeholder Text"/>
    <w:basedOn w:val="Domylnaczcionkaakapitu"/>
    <w:uiPriority w:val="99"/>
    <w:semiHidden/>
    <w:rsid w:val="00951ACD"/>
    <w:rPr>
      <w:color w:val="808080"/>
    </w:rPr>
  </w:style>
  <w:style w:type="paragraph" w:styleId="Nagwek">
    <w:name w:val="header"/>
    <w:basedOn w:val="Normalny"/>
    <w:link w:val="NagwekZnak"/>
    <w:uiPriority w:val="99"/>
    <w:unhideWhenUsed/>
    <w:rsid w:val="00FD7986"/>
    <w:pPr>
      <w:tabs>
        <w:tab w:val="center" w:pos="4536"/>
        <w:tab w:val="right" w:pos="9072"/>
      </w:tabs>
      <w:spacing w:line="240" w:lineRule="auto"/>
    </w:pPr>
  </w:style>
  <w:style w:type="character" w:customStyle="1" w:styleId="NagwekZnak">
    <w:name w:val="Nagłówek Znak"/>
    <w:basedOn w:val="Domylnaczcionkaakapitu"/>
    <w:link w:val="Nagwek"/>
    <w:uiPriority w:val="99"/>
    <w:rsid w:val="00FD798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D7986"/>
    <w:pPr>
      <w:tabs>
        <w:tab w:val="center" w:pos="4536"/>
        <w:tab w:val="right" w:pos="9072"/>
      </w:tabs>
      <w:spacing w:line="240" w:lineRule="auto"/>
    </w:pPr>
  </w:style>
  <w:style w:type="character" w:customStyle="1" w:styleId="StopkaZnak">
    <w:name w:val="Stopka Znak"/>
    <w:basedOn w:val="Domylnaczcionkaakapitu"/>
    <w:link w:val="Stopka"/>
    <w:uiPriority w:val="99"/>
    <w:rsid w:val="00FD798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5440</Characters>
  <Application>Microsoft Office Word</Application>
  <DocSecurity>0</DocSecurity>
  <Lines>45</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Koleński</dc:creator>
  <cp:keywords/>
  <dc:description/>
  <cp:lastModifiedBy>Dorota Bujak</cp:lastModifiedBy>
  <cp:revision>2</cp:revision>
  <cp:lastPrinted>2019-09-05T12:19:00Z</cp:lastPrinted>
  <dcterms:created xsi:type="dcterms:W3CDTF">2019-10-15T08:26:00Z</dcterms:created>
  <dcterms:modified xsi:type="dcterms:W3CDTF">2019-10-15T08:26:00Z</dcterms:modified>
</cp:coreProperties>
</file>