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6AA7" w14:textId="77777777" w:rsidR="008558F5" w:rsidRPr="00177E3D" w:rsidRDefault="008558F5" w:rsidP="005847F6">
      <w:pPr>
        <w:spacing w:line="240" w:lineRule="auto"/>
        <w:jc w:val="right"/>
        <w:rPr>
          <w:rFonts w:cs="Arial"/>
        </w:rPr>
      </w:pPr>
      <w:r w:rsidRPr="00177E3D">
        <w:rPr>
          <w:rFonts w:cs="Arial"/>
        </w:rPr>
        <w:t xml:space="preserve">Warszawa, </w:t>
      </w:r>
      <w:bookmarkStart w:id="0" w:name="ezdDataPodpisu"/>
      <w:r w:rsidRPr="00177E3D">
        <w:rPr>
          <w:rFonts w:cs="Arial"/>
        </w:rPr>
        <w:t>29 września 2026</w:t>
      </w:r>
      <w:bookmarkEnd w:id="0"/>
      <w:r w:rsidRPr="00177E3D">
        <w:rPr>
          <w:rFonts w:cs="Arial"/>
        </w:rPr>
        <w:t xml:space="preserve"> r.</w:t>
      </w:r>
    </w:p>
    <w:p w14:paraId="0820583F" w14:textId="77777777" w:rsidR="008558F5" w:rsidRPr="00177E3D" w:rsidRDefault="008558F5" w:rsidP="005847F6">
      <w:pPr>
        <w:tabs>
          <w:tab w:val="right" w:pos="9072"/>
        </w:tabs>
        <w:spacing w:line="240" w:lineRule="auto"/>
        <w:rPr>
          <w:rFonts w:cs="Arial"/>
          <w:szCs w:val="24"/>
        </w:rPr>
      </w:pPr>
      <w:r w:rsidRPr="00177E3D">
        <w:rPr>
          <w:rFonts w:cs="Arial"/>
          <w:szCs w:val="24"/>
        </w:rPr>
        <w:t>D</w:t>
      </w:r>
      <w:r w:rsidRPr="00177E3D">
        <w:rPr>
          <w:rFonts w:cs="Arial"/>
          <w:szCs w:val="24"/>
        </w:rPr>
        <w:t>OOŚ</w:t>
      </w:r>
      <w:r w:rsidRPr="00177E3D">
        <w:rPr>
          <w:rFonts w:cs="Arial"/>
          <w:szCs w:val="24"/>
        </w:rPr>
        <w:t>-</w:t>
      </w:r>
      <w:r w:rsidRPr="00177E3D">
        <w:rPr>
          <w:rFonts w:cs="Arial"/>
          <w:szCs w:val="24"/>
        </w:rPr>
        <w:t>W</w:t>
      </w:r>
      <w:r w:rsidRPr="00177E3D">
        <w:rPr>
          <w:rFonts w:cs="Arial"/>
          <w:szCs w:val="24"/>
        </w:rPr>
        <w:t>DŚ</w:t>
      </w:r>
      <w:r w:rsidRPr="00177E3D">
        <w:rPr>
          <w:rFonts w:cs="Arial"/>
          <w:szCs w:val="24"/>
        </w:rPr>
        <w:t>I</w:t>
      </w:r>
      <w:r w:rsidRPr="00177E3D">
        <w:rPr>
          <w:rFonts w:cs="Arial"/>
          <w:szCs w:val="24"/>
        </w:rPr>
        <w:t>.420</w:t>
      </w:r>
      <w:r w:rsidRPr="00177E3D">
        <w:rPr>
          <w:rFonts w:cs="Arial"/>
          <w:szCs w:val="24"/>
        </w:rPr>
        <w:t>.</w:t>
      </w:r>
      <w:r w:rsidRPr="00177E3D">
        <w:rPr>
          <w:rFonts w:cs="Arial"/>
          <w:szCs w:val="24"/>
        </w:rPr>
        <w:t>6</w:t>
      </w:r>
      <w:r w:rsidRPr="00177E3D">
        <w:rPr>
          <w:rFonts w:cs="Arial"/>
          <w:szCs w:val="24"/>
        </w:rPr>
        <w:t>.20</w:t>
      </w:r>
      <w:r w:rsidRPr="00177E3D">
        <w:rPr>
          <w:rFonts w:cs="Arial"/>
          <w:szCs w:val="24"/>
        </w:rPr>
        <w:t>2</w:t>
      </w:r>
      <w:r w:rsidRPr="00177E3D">
        <w:rPr>
          <w:rFonts w:cs="Arial"/>
          <w:szCs w:val="24"/>
        </w:rPr>
        <w:t>6</w:t>
      </w:r>
      <w:r w:rsidRPr="00177E3D">
        <w:rPr>
          <w:rFonts w:cs="Arial"/>
          <w:szCs w:val="24"/>
        </w:rPr>
        <w:t>.</w:t>
      </w:r>
      <w:r w:rsidRPr="00177E3D">
        <w:rPr>
          <w:rFonts w:cs="Arial"/>
          <w:szCs w:val="24"/>
        </w:rPr>
        <w:t>K</w:t>
      </w:r>
      <w:r w:rsidRPr="00177E3D">
        <w:rPr>
          <w:rFonts w:cs="Arial"/>
          <w:szCs w:val="24"/>
        </w:rPr>
        <w:t>N</w:t>
      </w:r>
      <w:r w:rsidRPr="00177E3D">
        <w:rPr>
          <w:rFonts w:cs="Arial"/>
          <w:szCs w:val="24"/>
        </w:rPr>
        <w:t>.</w:t>
      </w:r>
      <w:r w:rsidRPr="00177E3D">
        <w:rPr>
          <w:rFonts w:cs="Arial"/>
          <w:szCs w:val="24"/>
        </w:rPr>
        <w:t>2</w:t>
      </w:r>
      <w:r w:rsidRPr="00177E3D">
        <w:rPr>
          <w:rFonts w:cs="Arial"/>
          <w:szCs w:val="24"/>
        </w:rPr>
        <w:t>3</w:t>
      </w:r>
    </w:p>
    <w:p w14:paraId="5BE6189D" w14:textId="77777777" w:rsidR="008558F5" w:rsidRPr="00177E3D" w:rsidRDefault="008558F5" w:rsidP="00A21E15">
      <w:pPr>
        <w:rPr>
          <w:rFonts w:cs="Arial"/>
          <w:bCs/>
          <w:szCs w:val="24"/>
        </w:rPr>
      </w:pPr>
    </w:p>
    <w:p w14:paraId="254B33ED" w14:textId="77777777" w:rsidR="008558F5" w:rsidRPr="00177E3D" w:rsidRDefault="008558F5" w:rsidP="00A21E15">
      <w:pPr>
        <w:rPr>
          <w:rFonts w:cs="Arial"/>
          <w:bCs/>
          <w:szCs w:val="24"/>
        </w:rPr>
      </w:pPr>
    </w:p>
    <w:p w14:paraId="5113CC5C" w14:textId="77777777" w:rsidR="008558F5" w:rsidRPr="00177E3D" w:rsidRDefault="008558F5" w:rsidP="00A21E15">
      <w:pPr>
        <w:rPr>
          <w:rFonts w:cs="Arial"/>
          <w:bCs/>
          <w:szCs w:val="24"/>
        </w:rPr>
      </w:pPr>
    </w:p>
    <w:p w14:paraId="7F93C746" w14:textId="77777777" w:rsidR="008558F5" w:rsidRPr="00A425B0" w:rsidRDefault="008558F5" w:rsidP="00A425B0">
      <w:pPr>
        <w:pStyle w:val="Tytu"/>
        <w:jc w:val="center"/>
        <w:rPr>
          <w:rFonts w:ascii="Arial" w:hAnsi="Arial" w:cs="Arial"/>
          <w:sz w:val="32"/>
          <w:szCs w:val="32"/>
        </w:rPr>
      </w:pPr>
      <w:r w:rsidRPr="00A425B0">
        <w:rPr>
          <w:rFonts w:ascii="Arial" w:hAnsi="Arial" w:cs="Arial"/>
          <w:sz w:val="32"/>
          <w:szCs w:val="32"/>
        </w:rPr>
        <w:t>DECYZJA</w:t>
      </w:r>
    </w:p>
    <w:p w14:paraId="6350D12C" w14:textId="0C640955" w:rsidR="008558F5" w:rsidRPr="00177E3D" w:rsidRDefault="008558F5" w:rsidP="00EE3BDC">
      <w:pPr>
        <w:spacing w:before="120"/>
        <w:rPr>
          <w:rFonts w:eastAsia="Times New Roman" w:cs="Arial"/>
          <w:szCs w:val="24"/>
          <w:lang w:eastAsia="pl-PL"/>
        </w:rPr>
      </w:pPr>
      <w:r w:rsidRPr="00177E3D">
        <w:rPr>
          <w:rFonts w:eastAsia="Times New Roman" w:cs="Arial"/>
          <w:szCs w:val="24"/>
          <w:lang w:eastAsia="pl-PL"/>
        </w:rPr>
        <w:t>Generalny Dyrektor Ochrony Środowiska, po rozpatrzeniu odwoła</w:t>
      </w:r>
      <w:r w:rsidRPr="00177E3D">
        <w:rPr>
          <w:rFonts w:eastAsia="Times New Roman" w:cs="Arial"/>
          <w:szCs w:val="24"/>
          <w:lang w:eastAsia="pl-PL"/>
        </w:rPr>
        <w:t xml:space="preserve">ń </w:t>
      </w:r>
      <w:r w:rsidR="00A425B0">
        <w:rPr>
          <w:rFonts w:eastAsia="Times New Roman" w:cs="Arial"/>
          <w:szCs w:val="24"/>
          <w:lang w:eastAsia="pl-PL"/>
        </w:rPr>
        <w:t>(…)</w:t>
      </w:r>
      <w:r w:rsidRPr="00177E3D">
        <w:rPr>
          <w:rFonts w:eastAsia="Times New Roman" w:cs="Arial"/>
          <w:szCs w:val="24"/>
          <w:lang w:eastAsia="pl-PL"/>
        </w:rPr>
        <w:t xml:space="preserve"> i</w:t>
      </w:r>
      <w:r w:rsidRPr="00177E3D">
        <w:rPr>
          <w:rFonts w:eastAsia="Times New Roman" w:cs="Arial"/>
          <w:szCs w:val="24"/>
          <w:lang w:eastAsia="pl-PL"/>
        </w:rPr>
        <w:t> </w:t>
      </w:r>
      <w:r w:rsidR="00A425B0">
        <w:rPr>
          <w:rFonts w:eastAsia="Times New Roman" w:cs="Arial"/>
          <w:szCs w:val="24"/>
          <w:lang w:eastAsia="pl-PL"/>
        </w:rPr>
        <w:t>(…)</w:t>
      </w:r>
      <w:r w:rsidRPr="00177E3D">
        <w:rPr>
          <w:rFonts w:eastAsia="Times New Roman" w:cs="Arial"/>
          <w:szCs w:val="24"/>
          <w:lang w:eastAsia="pl-PL"/>
        </w:rPr>
        <w:t xml:space="preserve"> </w:t>
      </w:r>
      <w:bookmarkStart w:id="1" w:name="_Hlk147317125"/>
      <w:r w:rsidRPr="00177E3D">
        <w:rPr>
          <w:rFonts w:eastAsia="Times New Roman" w:cs="Arial"/>
          <w:szCs w:val="24"/>
          <w:lang w:eastAsia="pl-PL"/>
        </w:rPr>
        <w:t>z</w:t>
      </w:r>
      <w:r w:rsidRPr="00177E3D">
        <w:rPr>
          <w:rFonts w:eastAsia="Times New Roman" w:cs="Arial"/>
          <w:szCs w:val="24"/>
          <w:lang w:eastAsia="pl-PL"/>
        </w:rPr>
        <w:t xml:space="preserve"> </w:t>
      </w:r>
      <w:r w:rsidRPr="00177E3D">
        <w:rPr>
          <w:rFonts w:eastAsia="Times New Roman" w:cs="Arial"/>
          <w:szCs w:val="24"/>
          <w:lang w:eastAsia="pl-PL"/>
        </w:rPr>
        <w:t>1</w:t>
      </w:r>
      <w:r w:rsidRPr="00177E3D">
        <w:rPr>
          <w:rFonts w:eastAsia="Times New Roman" w:cs="Arial"/>
          <w:szCs w:val="24"/>
          <w:lang w:eastAsia="pl-PL"/>
        </w:rPr>
        <w:t>9 stycznia 2026 r.</w:t>
      </w:r>
      <w:r w:rsidRPr="00177E3D">
        <w:rPr>
          <w:rFonts w:eastAsia="Times New Roman" w:cs="Arial"/>
          <w:szCs w:val="24"/>
          <w:lang w:eastAsia="pl-PL"/>
        </w:rPr>
        <w:t xml:space="preserve"> </w:t>
      </w:r>
      <w:bookmarkStart w:id="2" w:name="_Hlk100736598"/>
      <w:bookmarkEnd w:id="1"/>
      <w:r w:rsidRPr="00177E3D">
        <w:rPr>
          <w:rFonts w:eastAsia="Times New Roman" w:cs="Arial"/>
          <w:szCs w:val="24"/>
          <w:lang w:eastAsia="pl-PL"/>
        </w:rPr>
        <w:t xml:space="preserve">od decyzji Regionalnego Dyrektora Ochrony Środowiska </w:t>
      </w:r>
      <w:bookmarkStart w:id="3" w:name="_Hlk100731213"/>
      <w:bookmarkStart w:id="4" w:name="_Hlk127955727"/>
      <w:r w:rsidRPr="00177E3D">
        <w:rPr>
          <w:rFonts w:eastAsia="Times New Roman" w:cs="Arial"/>
          <w:szCs w:val="24"/>
          <w:lang w:eastAsia="pl-PL"/>
        </w:rPr>
        <w:t>w Gdańsku z</w:t>
      </w:r>
      <w:r w:rsidRPr="00177E3D">
        <w:rPr>
          <w:rFonts w:eastAsia="Times New Roman" w:cs="Arial"/>
          <w:szCs w:val="24"/>
          <w:lang w:eastAsia="pl-PL"/>
        </w:rPr>
        <w:t xml:space="preserve"> </w:t>
      </w:r>
      <w:bookmarkStart w:id="5" w:name="_Hlk225941200"/>
      <w:r w:rsidRPr="00177E3D">
        <w:rPr>
          <w:rFonts w:eastAsia="Times New Roman" w:cs="Arial"/>
          <w:szCs w:val="24"/>
          <w:lang w:eastAsia="pl-PL"/>
        </w:rPr>
        <w:t>19 grudnia 2025 r.</w:t>
      </w:r>
      <w:r w:rsidRPr="00177E3D">
        <w:rPr>
          <w:rFonts w:eastAsia="Times New Roman" w:cs="Arial"/>
          <w:szCs w:val="24"/>
          <w:lang w:eastAsia="pl-PL"/>
        </w:rPr>
        <w:t>, znak: RDOŚ-Gd-WOO.420.2</w:t>
      </w:r>
      <w:r w:rsidRPr="00177E3D">
        <w:rPr>
          <w:rFonts w:eastAsia="Times New Roman" w:cs="Arial"/>
          <w:szCs w:val="24"/>
          <w:lang w:eastAsia="pl-PL"/>
        </w:rPr>
        <w:t>6</w:t>
      </w:r>
      <w:r w:rsidRPr="00177E3D">
        <w:rPr>
          <w:rFonts w:eastAsia="Times New Roman" w:cs="Arial"/>
          <w:szCs w:val="24"/>
          <w:lang w:eastAsia="pl-PL"/>
        </w:rPr>
        <w:t>.202</w:t>
      </w:r>
      <w:r w:rsidRPr="00177E3D">
        <w:rPr>
          <w:rFonts w:eastAsia="Times New Roman" w:cs="Arial"/>
          <w:szCs w:val="24"/>
          <w:lang w:eastAsia="pl-PL"/>
        </w:rPr>
        <w:t>4</w:t>
      </w:r>
      <w:r w:rsidRPr="00177E3D">
        <w:rPr>
          <w:rFonts w:eastAsia="Times New Roman" w:cs="Arial"/>
          <w:szCs w:val="24"/>
          <w:lang w:eastAsia="pl-PL"/>
        </w:rPr>
        <w:t>.</w:t>
      </w:r>
      <w:r w:rsidRPr="00177E3D">
        <w:rPr>
          <w:rFonts w:eastAsia="Times New Roman" w:cs="Arial"/>
          <w:szCs w:val="24"/>
          <w:lang w:eastAsia="pl-PL"/>
        </w:rPr>
        <w:t>ES/MR.40</w:t>
      </w:r>
      <w:r w:rsidRPr="00177E3D">
        <w:rPr>
          <w:rFonts w:eastAsia="Times New Roman" w:cs="Arial"/>
          <w:szCs w:val="24"/>
          <w:lang w:eastAsia="pl-PL"/>
        </w:rPr>
        <w:t xml:space="preserve">, o środowiskowych uwarunkowaniach </w:t>
      </w:r>
      <w:r w:rsidRPr="00177E3D">
        <w:rPr>
          <w:rFonts w:eastAsia="Times New Roman" w:cs="Arial"/>
          <w:szCs w:val="24"/>
          <w:lang w:eastAsia="pl-PL"/>
        </w:rPr>
        <w:t xml:space="preserve">dla </w:t>
      </w:r>
      <w:r w:rsidRPr="00177E3D">
        <w:rPr>
          <w:rFonts w:eastAsia="Times New Roman" w:cs="Arial"/>
          <w:szCs w:val="24"/>
          <w:lang w:eastAsia="pl-PL"/>
        </w:rPr>
        <w:t>przedsięwzięcia p</w:t>
      </w:r>
      <w:r w:rsidRPr="00177E3D">
        <w:rPr>
          <w:rFonts w:eastAsia="Times New Roman" w:cs="Arial"/>
          <w:szCs w:val="24"/>
          <w:lang w:eastAsia="pl-PL"/>
        </w:rPr>
        <w:t>od nazwą</w:t>
      </w:r>
      <w:r w:rsidRPr="00177E3D">
        <w:rPr>
          <w:rFonts w:eastAsia="Times New Roman" w:cs="Arial"/>
          <w:szCs w:val="24"/>
          <w:lang w:eastAsia="pl-PL"/>
        </w:rPr>
        <w:t xml:space="preserve">: </w:t>
      </w:r>
      <w:r w:rsidRPr="00177E3D">
        <w:rPr>
          <w:rFonts w:cs="Arial"/>
        </w:rPr>
        <w:t>„</w:t>
      </w:r>
      <w:r w:rsidRPr="00177E3D">
        <w:rPr>
          <w:rFonts w:cs="Arial"/>
        </w:rPr>
        <w:t xml:space="preserve">Zapewnienie dostępu kolejowego do elektrowni jądrowej Lubiatowo </w:t>
      </w:r>
      <w:r w:rsidRPr="00177E3D">
        <w:rPr>
          <w:rFonts w:cs="Arial"/>
        </w:rPr>
        <w:t>–</w:t>
      </w:r>
      <w:r w:rsidRPr="00177E3D">
        <w:rPr>
          <w:rFonts w:cs="Arial"/>
        </w:rPr>
        <w:t xml:space="preserve"> Kopalino </w:t>
      </w:r>
      <w:r w:rsidRPr="00177E3D">
        <w:rPr>
          <w:rFonts w:cs="Arial"/>
        </w:rPr>
        <w:t>–</w:t>
      </w:r>
      <w:r w:rsidRPr="00177E3D">
        <w:rPr>
          <w:rFonts w:cs="Arial"/>
        </w:rPr>
        <w:t xml:space="preserve"> odcinek Wejherowo </w:t>
      </w:r>
      <w:r w:rsidRPr="00177E3D">
        <w:rPr>
          <w:rFonts w:cs="Arial"/>
        </w:rPr>
        <w:t>–</w:t>
      </w:r>
      <w:r w:rsidRPr="00177E3D">
        <w:rPr>
          <w:rFonts w:cs="Arial"/>
        </w:rPr>
        <w:t xml:space="preserve"> elektrownia jądrowa</w:t>
      </w:r>
      <w:r w:rsidRPr="00177E3D">
        <w:rPr>
          <w:rFonts w:eastAsia="Times New Roman" w:cs="Arial"/>
          <w:szCs w:val="24"/>
          <w:lang w:eastAsia="pl-PL"/>
        </w:rPr>
        <w:t>”</w:t>
      </w:r>
      <w:bookmarkEnd w:id="5"/>
      <w:r w:rsidRPr="00177E3D">
        <w:rPr>
          <w:rFonts w:eastAsia="Times New Roman" w:cs="Arial"/>
          <w:szCs w:val="24"/>
          <w:lang w:eastAsia="pl-PL"/>
        </w:rPr>
        <w:t xml:space="preserve">, </w:t>
      </w:r>
      <w:bookmarkEnd w:id="2"/>
      <w:bookmarkEnd w:id="3"/>
      <w:bookmarkEnd w:id="4"/>
      <w:r w:rsidRPr="00177E3D">
        <w:rPr>
          <w:rFonts w:eastAsia="Times New Roman" w:cs="Arial"/>
          <w:szCs w:val="24"/>
          <w:lang w:eastAsia="pl-PL"/>
        </w:rPr>
        <w:t>na podstawie art. 138 § 1 pkt 1 i 2 ustawy z dnia 14 czerwca 1960 r. – Kodeks postępowania administracyjnego (Dz. U. z 202</w:t>
      </w:r>
      <w:r w:rsidRPr="00177E3D">
        <w:rPr>
          <w:rFonts w:eastAsia="Times New Roman" w:cs="Arial"/>
          <w:szCs w:val="24"/>
          <w:lang w:eastAsia="pl-PL"/>
        </w:rPr>
        <w:t>5</w:t>
      </w:r>
      <w:r w:rsidRPr="00177E3D">
        <w:rPr>
          <w:rFonts w:eastAsia="Times New Roman" w:cs="Arial"/>
          <w:szCs w:val="24"/>
          <w:lang w:eastAsia="pl-PL"/>
        </w:rPr>
        <w:t xml:space="preserve"> r. poz. </w:t>
      </w:r>
      <w:r w:rsidRPr="00177E3D">
        <w:rPr>
          <w:rFonts w:eastAsia="Times New Roman" w:cs="Arial"/>
          <w:szCs w:val="24"/>
          <w:lang w:eastAsia="pl-PL"/>
        </w:rPr>
        <w:t>1691</w:t>
      </w:r>
      <w:r w:rsidRPr="00177E3D">
        <w:rPr>
          <w:rFonts w:eastAsia="Times New Roman" w:cs="Arial"/>
          <w:szCs w:val="24"/>
          <w:lang w:eastAsia="pl-PL"/>
        </w:rPr>
        <w:t xml:space="preserve">), dalej k.p.a., w związku z art. 71 ust. 2 pkt 2 oraz art. 82 ust. 1 </w:t>
      </w:r>
      <w:bookmarkStart w:id="6" w:name="_Hlk175577393"/>
      <w:r w:rsidRPr="00177E3D">
        <w:rPr>
          <w:rFonts w:eastAsia="Times New Roman" w:cs="Arial"/>
          <w:szCs w:val="24"/>
          <w:lang w:eastAsia="pl-PL"/>
        </w:rPr>
        <w:t>ustawy z dnia 3 października 2008 r. o udostępnianiu informacji o środowisku i jego ochronie, udziale społeczeństwa w ochronie środowiska oraz o ocenach oddziaływania na środowisko (Dz. U. z 202</w:t>
      </w:r>
      <w:r w:rsidRPr="00177E3D">
        <w:rPr>
          <w:rFonts w:eastAsia="Times New Roman" w:cs="Arial"/>
          <w:szCs w:val="24"/>
          <w:lang w:eastAsia="pl-PL"/>
        </w:rPr>
        <w:t>6</w:t>
      </w:r>
      <w:r w:rsidRPr="00177E3D">
        <w:rPr>
          <w:rFonts w:eastAsia="Times New Roman" w:cs="Arial"/>
          <w:szCs w:val="24"/>
          <w:lang w:eastAsia="pl-PL"/>
        </w:rPr>
        <w:t> r. poz. </w:t>
      </w:r>
      <w:r w:rsidRPr="00177E3D">
        <w:rPr>
          <w:rFonts w:eastAsia="Times New Roman" w:cs="Arial"/>
          <w:szCs w:val="24"/>
          <w:lang w:eastAsia="pl-PL"/>
        </w:rPr>
        <w:t>670</w:t>
      </w:r>
      <w:r w:rsidRPr="00177E3D">
        <w:rPr>
          <w:rFonts w:eastAsia="Times New Roman" w:cs="Arial"/>
          <w:szCs w:val="24"/>
          <w:lang w:eastAsia="pl-PL"/>
        </w:rPr>
        <w:t>, ze zm.</w:t>
      </w:r>
      <w:r w:rsidRPr="00177E3D">
        <w:rPr>
          <w:rFonts w:eastAsia="Times New Roman" w:cs="Arial"/>
          <w:szCs w:val="24"/>
          <w:lang w:eastAsia="pl-PL"/>
        </w:rPr>
        <w:t>), dalej u.o.o.ś.</w:t>
      </w:r>
      <w:bookmarkEnd w:id="6"/>
      <w:r w:rsidRPr="00177E3D">
        <w:rPr>
          <w:rFonts w:eastAsia="Times New Roman" w:cs="Arial"/>
          <w:szCs w:val="24"/>
          <w:lang w:eastAsia="pl-PL"/>
        </w:rPr>
        <w:t>,</w:t>
      </w:r>
    </w:p>
    <w:p w14:paraId="2E7571DB" w14:textId="77777777" w:rsidR="008558F5" w:rsidRPr="00177E3D" w:rsidRDefault="008558F5" w:rsidP="008659E0">
      <w:pPr>
        <w:pStyle w:val="Akapitzlist"/>
        <w:numPr>
          <w:ilvl w:val="0"/>
          <w:numId w:val="1"/>
        </w:numPr>
        <w:spacing w:before="120"/>
        <w:ind w:left="425" w:hanging="425"/>
        <w:rPr>
          <w:rFonts w:cs="Arial"/>
        </w:rPr>
      </w:pPr>
      <w:r w:rsidRPr="00177E3D">
        <w:rPr>
          <w:rFonts w:cs="Arial"/>
          <w:b/>
        </w:rPr>
        <w:t>Uchyla sentencj</w:t>
      </w:r>
      <w:r w:rsidRPr="00177E3D">
        <w:rPr>
          <w:rFonts w:cs="Arial"/>
          <w:b/>
        </w:rPr>
        <w:t>ę</w:t>
      </w:r>
      <w:r w:rsidRPr="00177E3D">
        <w:rPr>
          <w:rFonts w:cs="Arial"/>
          <w:b/>
        </w:rPr>
        <w:t xml:space="preserve"> </w:t>
      </w:r>
      <w:r w:rsidRPr="00177E3D">
        <w:rPr>
          <w:rFonts w:cs="Arial"/>
          <w:b/>
        </w:rPr>
        <w:t xml:space="preserve">decyzji </w:t>
      </w:r>
      <w:r w:rsidRPr="00177E3D">
        <w:rPr>
          <w:rFonts w:cs="Arial"/>
          <w:b/>
        </w:rPr>
        <w:t xml:space="preserve">w </w:t>
      </w:r>
      <w:r w:rsidRPr="00177E3D">
        <w:rPr>
          <w:rFonts w:cs="Arial"/>
          <w:b/>
        </w:rPr>
        <w:t>części</w:t>
      </w:r>
      <w:r w:rsidRPr="00177E3D">
        <w:rPr>
          <w:rFonts w:cs="Arial"/>
          <w:b/>
        </w:rPr>
        <w:t>:</w:t>
      </w:r>
    </w:p>
    <w:p w14:paraId="6A9DB579" w14:textId="21BB0077" w:rsidR="008558F5" w:rsidRPr="00177E3D" w:rsidRDefault="008558F5" w:rsidP="00DB7F0C">
      <w:pPr>
        <w:rPr>
          <w:rFonts w:cs="Arial"/>
        </w:rPr>
      </w:pPr>
      <w:r w:rsidRPr="00177E3D">
        <w:rPr>
          <w:rFonts w:cs="Arial"/>
        </w:rPr>
        <w:t>„</w:t>
      </w:r>
      <w:r w:rsidRPr="00177E3D">
        <w:rPr>
          <w:rFonts w:cs="Arial"/>
          <w:color w:val="000000"/>
          <w:szCs w:val="24"/>
          <w:lang w:eastAsia="pl-PL" w:bidi="pl-PL"/>
        </w:rPr>
        <w:t xml:space="preserve">po rozpatrzeniu wniosku PKP Polskie Linie Kolejowe S.A., reprezentowanej przez pełnomocnika Pana </w:t>
      </w:r>
      <w:r w:rsidR="00900EF0">
        <w:rPr>
          <w:rFonts w:cs="Arial"/>
          <w:color w:val="000000"/>
          <w:szCs w:val="24"/>
          <w:lang w:eastAsia="pl-PL" w:bidi="pl-PL"/>
        </w:rPr>
        <w:t>(,,,)</w:t>
      </w:r>
      <w:r w:rsidRPr="00177E3D">
        <w:rPr>
          <w:rFonts w:cs="Arial"/>
          <w:color w:val="000000"/>
          <w:szCs w:val="24"/>
          <w:lang w:eastAsia="pl-PL" w:bidi="pl-PL"/>
        </w:rPr>
        <w:t xml:space="preserve"> Nr IRRK2/10/5.2233.118.2024.IRE- 02966-I z dnia 30.04.2024 r., o wydanie decyzji o środowiskowych uwarunkowaniach dla przedsięwzięcia pn.: „Zapewnienie dostępu kolejowego do elektrowni jądrowej Lubiatowo – Kopalino – odcinek Wejherowo – elektrownia jądrowa”, wraz z uzupełnieniami i wyjaśnieniami, pismem znak IRRK2/10/5.2233.159.2025.IRE-02966-I z dnia 21.11.2025 r. rozszerzonym o</w:t>
      </w:r>
      <w:r w:rsidRPr="00177E3D">
        <w:rPr>
          <w:rFonts w:cs="Arial"/>
          <w:color w:val="000000"/>
          <w:szCs w:val="24"/>
          <w:lang w:eastAsia="pl-PL" w:bidi="pl-PL"/>
        </w:rPr>
        <w:t> </w:t>
      </w:r>
      <w:r w:rsidRPr="00177E3D">
        <w:rPr>
          <w:rFonts w:cs="Arial"/>
          <w:color w:val="000000"/>
          <w:szCs w:val="24"/>
          <w:lang w:eastAsia="pl-PL" w:bidi="pl-PL"/>
        </w:rPr>
        <w:t>wnioskodawcę: Generalną Dyrekcję Dróg Krajowych i Autostrad Oddział w Gdańsku reprezentowaną przez pełnomocnika Pana Waldemara Chejmanowskiego,</w:t>
      </w:r>
      <w:r w:rsidRPr="00177E3D">
        <w:rPr>
          <w:rFonts w:cs="Arial"/>
        </w:rPr>
        <w:t>”</w:t>
      </w:r>
    </w:p>
    <w:p w14:paraId="3F47D7C5" w14:textId="77777777" w:rsidR="008558F5" w:rsidRPr="00177E3D" w:rsidRDefault="008558F5" w:rsidP="00C86208">
      <w:pPr>
        <w:rPr>
          <w:rFonts w:eastAsia="Times New Roman" w:cs="Arial"/>
          <w:b/>
          <w:szCs w:val="24"/>
          <w:lang w:eastAsia="pl-PL"/>
        </w:rPr>
      </w:pPr>
      <w:r w:rsidRPr="00177E3D">
        <w:rPr>
          <w:rFonts w:eastAsia="Times New Roman" w:cs="Arial"/>
          <w:b/>
          <w:szCs w:val="24"/>
          <w:lang w:eastAsia="pl-PL"/>
        </w:rPr>
        <w:t>i w tym zakresie orzeka:</w:t>
      </w:r>
    </w:p>
    <w:p w14:paraId="422D8139" w14:textId="77777777" w:rsidR="008558F5" w:rsidRPr="00177E3D" w:rsidRDefault="008558F5" w:rsidP="00613A22">
      <w:pPr>
        <w:rPr>
          <w:rFonts w:cs="Arial"/>
        </w:rPr>
      </w:pPr>
      <w:r w:rsidRPr="00177E3D">
        <w:rPr>
          <w:rFonts w:cs="Arial"/>
        </w:rPr>
        <w:t>„</w:t>
      </w:r>
      <w:r w:rsidRPr="00177E3D">
        <w:rPr>
          <w:rFonts w:cs="Arial"/>
          <w:color w:val="000000"/>
          <w:szCs w:val="24"/>
          <w:lang w:eastAsia="pl-PL" w:bidi="pl-PL"/>
        </w:rPr>
        <w:t xml:space="preserve">po rozpatrzeniu wniosku PKP Polskie Linie Kolejowe S.A. z 30 kwietnia 2024 r., rozszerzonego pismem z 21 listopada 2025 r. o wnioskodawcę: Generalnego Dyrektora Dróg Krajowych i Autostrad, o wydanie decyzji o środowiskowych uwarunkowaniach dla przedsięwzięcia pod nazwą: </w:t>
      </w:r>
      <w:r w:rsidRPr="00177E3D">
        <w:rPr>
          <w:rFonts w:cs="Arial"/>
          <w:color w:val="000000"/>
          <w:szCs w:val="24"/>
          <w:lang w:eastAsia="pl-PL" w:bidi="pl-PL"/>
        </w:rPr>
        <w:t>»</w:t>
      </w:r>
      <w:r w:rsidRPr="00177E3D">
        <w:rPr>
          <w:rFonts w:cs="Arial"/>
          <w:color w:val="000000"/>
          <w:szCs w:val="24"/>
          <w:lang w:eastAsia="pl-PL" w:bidi="pl-PL"/>
        </w:rPr>
        <w:t>Zapewnienie</w:t>
      </w:r>
      <w:r w:rsidRPr="00177E3D">
        <w:rPr>
          <w:rFonts w:cs="Arial"/>
          <w:color w:val="000000"/>
          <w:szCs w:val="24"/>
          <w:lang w:eastAsia="pl-PL" w:bidi="pl-PL"/>
        </w:rPr>
        <w:t xml:space="preserve"> dostępu kolejowego do elektrowni jądrowej Lubiatowo – Kopalino – odcinek Wejherowo – elektrownia jądrowa</w:t>
      </w:r>
      <w:r w:rsidRPr="00177E3D">
        <w:rPr>
          <w:rFonts w:cs="Arial"/>
          <w:color w:val="000000"/>
          <w:szCs w:val="24"/>
          <w:lang w:eastAsia="pl-PL" w:bidi="pl-PL"/>
        </w:rPr>
        <w:t>«</w:t>
      </w:r>
      <w:r w:rsidRPr="00177E3D">
        <w:rPr>
          <w:rFonts w:cs="Arial"/>
        </w:rPr>
        <w:t>”</w:t>
      </w:r>
      <w:r w:rsidRPr="00177E3D">
        <w:rPr>
          <w:rFonts w:cs="Arial"/>
        </w:rPr>
        <w:t>.</w:t>
      </w:r>
    </w:p>
    <w:p w14:paraId="66C34DAF" w14:textId="77777777" w:rsidR="008558F5" w:rsidRPr="00177E3D" w:rsidRDefault="008558F5" w:rsidP="008659E0">
      <w:pPr>
        <w:pStyle w:val="Akapitzlist"/>
        <w:numPr>
          <w:ilvl w:val="0"/>
          <w:numId w:val="1"/>
        </w:numPr>
        <w:spacing w:before="120"/>
        <w:ind w:left="425" w:hanging="425"/>
        <w:rPr>
          <w:rFonts w:cs="Arial"/>
        </w:rPr>
      </w:pPr>
      <w:r w:rsidRPr="00177E3D">
        <w:rPr>
          <w:rFonts w:cs="Arial"/>
          <w:b/>
        </w:rPr>
        <w:t xml:space="preserve">Uchyla punkt </w:t>
      </w:r>
      <w:r w:rsidRPr="00177E3D">
        <w:rPr>
          <w:rFonts w:cs="Arial"/>
          <w:b/>
        </w:rPr>
        <w:t>I.2</w:t>
      </w:r>
      <w:r w:rsidRPr="00177E3D">
        <w:rPr>
          <w:rFonts w:cs="Arial"/>
          <w:b/>
        </w:rPr>
        <w:t xml:space="preserve"> </w:t>
      </w:r>
      <w:r w:rsidRPr="00177E3D">
        <w:rPr>
          <w:rFonts w:cs="Arial"/>
          <w:b/>
        </w:rPr>
        <w:t xml:space="preserve">decyzji w </w:t>
      </w:r>
      <w:r w:rsidRPr="00177E3D">
        <w:rPr>
          <w:rFonts w:cs="Arial"/>
          <w:b/>
        </w:rPr>
        <w:t>całości i w tym zakresie orzeka</w:t>
      </w:r>
      <w:r w:rsidRPr="00177E3D">
        <w:rPr>
          <w:rFonts w:cs="Arial"/>
          <w:b/>
        </w:rPr>
        <w:t>:</w:t>
      </w:r>
    </w:p>
    <w:p w14:paraId="6D881494" w14:textId="77777777" w:rsidR="008558F5" w:rsidRPr="00177E3D" w:rsidRDefault="008558F5" w:rsidP="00F1269E">
      <w:pPr>
        <w:rPr>
          <w:rFonts w:cs="Arial"/>
          <w:b/>
          <w:bCs/>
        </w:rPr>
      </w:pPr>
      <w:r w:rsidRPr="00177E3D">
        <w:rPr>
          <w:rFonts w:cs="Arial"/>
          <w:b/>
          <w:bCs/>
        </w:rPr>
        <w:t>„</w:t>
      </w:r>
      <w:r w:rsidRPr="00177E3D">
        <w:rPr>
          <w:rFonts w:cs="Arial"/>
          <w:b/>
          <w:bCs/>
        </w:rPr>
        <w:t>Istotne warunki korzystania ze środowiska w fazie realizacji i eksploatacji lub użytkowania przedsięwzięcia, ze szczególnym uwzględnieniem konieczności ochrony cennych wartości przyrodniczych, zasobów naturalnych i zabytków oraz ograniczenia uciążliwości dla terenów sąsiednich</w:t>
      </w:r>
      <w:r w:rsidRPr="00177E3D">
        <w:rPr>
          <w:rFonts w:cs="Arial"/>
          <w:b/>
          <w:bCs/>
        </w:rPr>
        <w:t>:</w:t>
      </w:r>
    </w:p>
    <w:p w14:paraId="188A6216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  <w:lang w:bidi="en-US"/>
        </w:rPr>
        <w:t>Sposób postępowania z warstwą gleby i masami ziemi</w:t>
      </w:r>
      <w:r w:rsidRPr="00177E3D">
        <w:rPr>
          <w:rFonts w:cs="Arial"/>
        </w:rPr>
        <w:t>:</w:t>
      </w:r>
    </w:p>
    <w:p w14:paraId="0FE1A443" w14:textId="77777777" w:rsidR="008558F5" w:rsidRPr="00177E3D" w:rsidRDefault="008558F5" w:rsidP="00EE6D3D">
      <w:pPr>
        <w:pStyle w:val="Akapitzlist4"/>
        <w:numPr>
          <w:ilvl w:val="0"/>
          <w:numId w:val="6"/>
        </w:numPr>
        <w:spacing w:after="0" w:line="312" w:lineRule="auto"/>
        <w:ind w:left="851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lastRenderedPageBreak/>
        <w:t>zdjęcie wierzchniej warstwy gleby (humusu</w:t>
      </w:r>
      <w:r w:rsidRPr="00177E3D">
        <w:rPr>
          <w:rFonts w:ascii="Arial" w:hAnsi="Arial" w:cs="Arial"/>
        </w:rPr>
        <w:t>, darniny</w:t>
      </w:r>
      <w:r w:rsidRPr="00177E3D">
        <w:rPr>
          <w:rFonts w:ascii="Arial" w:hAnsi="Arial" w:cs="Arial"/>
        </w:rPr>
        <w:t>) wraz z roślinnością zieloną należy przeprowadzić poza okresem od 1 marca do 31 sierpnia</w:t>
      </w:r>
      <w:r w:rsidRPr="00177E3D">
        <w:rPr>
          <w:rFonts w:ascii="Arial" w:hAnsi="Arial" w:cs="Arial"/>
        </w:rPr>
        <w:t>, zgodnie z wytycznymi specjalistów z nadzoru przyrodniczego</w:t>
      </w:r>
      <w:r w:rsidRPr="00177E3D">
        <w:rPr>
          <w:rFonts w:ascii="Arial" w:hAnsi="Arial" w:cs="Arial"/>
        </w:rPr>
        <w:t>;</w:t>
      </w:r>
      <w:r w:rsidRPr="00177E3D">
        <w:rPr>
          <w:rFonts w:ascii="Arial" w:hAnsi="Arial" w:cs="Arial"/>
        </w:rPr>
        <w:t xml:space="preserve"> </w:t>
      </w:r>
    </w:p>
    <w:p w14:paraId="5E674FA4" w14:textId="77777777" w:rsidR="008558F5" w:rsidRPr="00177E3D" w:rsidRDefault="008558F5" w:rsidP="00BF22E8">
      <w:pPr>
        <w:pStyle w:val="Akapitzlist4"/>
        <w:numPr>
          <w:ilvl w:val="0"/>
          <w:numId w:val="6"/>
        </w:numPr>
        <w:spacing w:after="0" w:line="312" w:lineRule="auto"/>
        <w:ind w:left="850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>przed przystąpieniem do zdejmowania wierzchniej warstwy ziemi, w tym humusu</w:t>
      </w:r>
      <w:r w:rsidRPr="00177E3D">
        <w:rPr>
          <w:rFonts w:ascii="Arial" w:hAnsi="Arial" w:cs="Arial"/>
        </w:rPr>
        <w:t>, darniny</w:t>
      </w:r>
      <w:r w:rsidRPr="00177E3D">
        <w:rPr>
          <w:rFonts w:ascii="Arial" w:hAnsi="Arial" w:cs="Arial"/>
        </w:rPr>
        <w:t>, w </w:t>
      </w:r>
      <w:r w:rsidRPr="00177E3D">
        <w:rPr>
          <w:rFonts w:ascii="Arial" w:hAnsi="Arial" w:cs="Arial"/>
        </w:rPr>
        <w:t xml:space="preserve">czasie </w:t>
      </w:r>
      <w:r w:rsidRPr="00177E3D">
        <w:rPr>
          <w:rFonts w:ascii="Arial" w:hAnsi="Arial" w:cs="Arial"/>
        </w:rPr>
        <w:t>sezon</w:t>
      </w:r>
      <w:r w:rsidRPr="00177E3D">
        <w:rPr>
          <w:rFonts w:ascii="Arial" w:hAnsi="Arial" w:cs="Arial"/>
        </w:rPr>
        <w:t>u</w:t>
      </w:r>
      <w:r w:rsidRPr="00177E3D">
        <w:rPr>
          <w:rFonts w:ascii="Arial" w:hAnsi="Arial" w:cs="Arial"/>
        </w:rPr>
        <w:t xml:space="preserve"> wegetacyjn</w:t>
      </w:r>
      <w:r w:rsidRPr="00177E3D">
        <w:rPr>
          <w:rFonts w:ascii="Arial" w:hAnsi="Arial" w:cs="Arial"/>
        </w:rPr>
        <w:t>ego</w:t>
      </w:r>
      <w:r w:rsidRPr="00177E3D">
        <w:rPr>
          <w:rFonts w:ascii="Arial" w:hAnsi="Arial" w:cs="Arial"/>
        </w:rPr>
        <w:t xml:space="preserve"> roślin należy wykonać inwentaryzację pod kątem występowania inwazyjnych gatunków obcych. Należy oznaczyć w terenie granice obszarów, w obrębie których występują inwazyjne gatunki obce roślin. Z obszarów, w obrębie których stwierdzono inwazyjne gatunki obce roślin, a także w zasięgu systemów korzeniowych tych gatunków należy zdjąć grunt (w tym humus, darninę) i umieścić w wydzielonych, szczelnych i oznakowanych miejscach. Nie należy miesza</w:t>
      </w:r>
      <w:r w:rsidRPr="00177E3D">
        <w:rPr>
          <w:rFonts w:ascii="Arial" w:hAnsi="Arial" w:cs="Arial"/>
        </w:rPr>
        <w:t>ć go</w:t>
      </w:r>
      <w:r w:rsidRPr="00177E3D">
        <w:rPr>
          <w:rFonts w:ascii="Arial" w:hAnsi="Arial" w:cs="Arial"/>
        </w:rPr>
        <w:t xml:space="preserve"> z glebą zebraną z miejsc, w obrębie których nie stwierdzono występowania tych gatunków obcych. Całą zdjętą warstwę gruntu z miejsc, w obrębie których rosły inwazyjne gatunki obce roślin</w:t>
      </w:r>
      <w:r w:rsidRPr="00177E3D">
        <w:rPr>
          <w:rFonts w:ascii="Arial" w:hAnsi="Arial" w:cs="Arial"/>
        </w:rPr>
        <w:t>,</w:t>
      </w:r>
      <w:r w:rsidRPr="00177E3D">
        <w:rPr>
          <w:rFonts w:ascii="Arial" w:hAnsi="Arial" w:cs="Arial"/>
        </w:rPr>
        <w:t xml:space="preserve"> należy przekazać do przetworzenia, w</w:t>
      </w:r>
      <w:r w:rsidRPr="00177E3D">
        <w:rPr>
          <w:rFonts w:ascii="Arial" w:hAnsi="Arial" w:cs="Arial"/>
        </w:rPr>
        <w:t> </w:t>
      </w:r>
      <w:r w:rsidRPr="00177E3D">
        <w:rPr>
          <w:rFonts w:ascii="Arial" w:hAnsi="Arial" w:cs="Arial"/>
        </w:rPr>
        <w:t>szczególności przez termiczne przekształcanie, biofermentację metanową</w:t>
      </w:r>
      <w:r w:rsidRPr="00177E3D">
        <w:rPr>
          <w:rFonts w:ascii="Arial" w:hAnsi="Arial" w:cs="Arial"/>
        </w:rPr>
        <w:t xml:space="preserve"> </w:t>
      </w:r>
      <w:r w:rsidRPr="00177E3D">
        <w:rPr>
          <w:rFonts w:ascii="Arial" w:hAnsi="Arial" w:cs="Arial"/>
        </w:rPr>
        <w:t>lub unieszkodliwienie jej w instalacjach do przetwarzania odpadów;</w:t>
      </w:r>
    </w:p>
    <w:p w14:paraId="3C673459" w14:textId="77777777" w:rsidR="008558F5" w:rsidRPr="00177E3D" w:rsidRDefault="008558F5" w:rsidP="00BF22E8">
      <w:pPr>
        <w:pStyle w:val="Akapitzlist4"/>
        <w:numPr>
          <w:ilvl w:val="0"/>
          <w:numId w:val="6"/>
        </w:numPr>
        <w:spacing w:after="0" w:line="312" w:lineRule="auto"/>
        <w:ind w:left="850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>humus</w:t>
      </w:r>
      <w:r w:rsidRPr="00177E3D">
        <w:rPr>
          <w:rFonts w:ascii="Arial" w:hAnsi="Arial" w:cs="Arial"/>
        </w:rPr>
        <w:t xml:space="preserve"> i darninę,</w:t>
      </w:r>
      <w:r w:rsidRPr="00177E3D">
        <w:rPr>
          <w:rFonts w:ascii="Arial" w:hAnsi="Arial" w:cs="Arial"/>
        </w:rPr>
        <w:t xml:space="preserve"> zdjęt</w:t>
      </w:r>
      <w:r w:rsidRPr="00177E3D">
        <w:rPr>
          <w:rFonts w:ascii="Arial" w:hAnsi="Arial" w:cs="Arial"/>
        </w:rPr>
        <w:t>e</w:t>
      </w:r>
      <w:r w:rsidRPr="00177E3D">
        <w:rPr>
          <w:rFonts w:ascii="Arial" w:hAnsi="Arial" w:cs="Arial"/>
        </w:rPr>
        <w:t xml:space="preserve"> spoza obszarów występowania inwazyjnych gatunków obcych roślin</w:t>
      </w:r>
      <w:r w:rsidRPr="00177E3D">
        <w:rPr>
          <w:rFonts w:ascii="Arial" w:hAnsi="Arial" w:cs="Arial"/>
        </w:rPr>
        <w:t>,</w:t>
      </w:r>
      <w:r w:rsidRPr="00177E3D">
        <w:rPr>
          <w:rFonts w:ascii="Arial" w:hAnsi="Arial" w:cs="Arial"/>
        </w:rPr>
        <w:t xml:space="preserve"> należy magazynować na gruntach przepuszczalnych</w:t>
      </w:r>
      <w:r w:rsidRPr="00177E3D">
        <w:rPr>
          <w:rFonts w:ascii="Arial" w:hAnsi="Arial" w:cs="Arial"/>
        </w:rPr>
        <w:t>, zlokalizowanych poza</w:t>
      </w:r>
      <w:r w:rsidRPr="00177E3D">
        <w:rPr>
          <w:rFonts w:ascii="Arial" w:hAnsi="Arial" w:cs="Arial"/>
        </w:rPr>
        <w:t xml:space="preserve"> zagłębienia</w:t>
      </w:r>
      <w:r w:rsidRPr="00177E3D">
        <w:rPr>
          <w:rFonts w:ascii="Arial" w:hAnsi="Arial" w:cs="Arial"/>
        </w:rPr>
        <w:t>mi</w:t>
      </w:r>
      <w:r w:rsidRPr="00177E3D">
        <w:rPr>
          <w:rFonts w:ascii="Arial" w:hAnsi="Arial" w:cs="Arial"/>
        </w:rPr>
        <w:t xml:space="preserve"> terenu, w pryzmach o wysokości nie większej niż 2 m. Szerokość pryzmy na koronie nie powinna przekraczać 2 m, natomiast szerokość u podstawy nasypu nie powinna być większa niż 4 m. Powierzchnię pryzm przez okres składowania należy chronić przed zachwaszczeniem i nasłonecznieniem przez przykrycie matami słomianymi, geowłókniną lub obsia</w:t>
      </w:r>
      <w:r w:rsidRPr="00177E3D">
        <w:rPr>
          <w:rFonts w:ascii="Arial" w:hAnsi="Arial" w:cs="Arial"/>
        </w:rPr>
        <w:t>nie</w:t>
      </w:r>
      <w:r w:rsidRPr="00177E3D">
        <w:rPr>
          <w:rFonts w:ascii="Arial" w:hAnsi="Arial" w:cs="Arial"/>
        </w:rPr>
        <w:t xml:space="preserve"> mieszakami traw ochronnych z domieszką roślin motylkowatych pastewnych (np. koniczyna czerwona, lucerna siewna) o udziale masowym nasion motylkowatych minimum 1%. Humus</w:t>
      </w:r>
      <w:r w:rsidRPr="00177E3D">
        <w:rPr>
          <w:rFonts w:ascii="Arial" w:hAnsi="Arial" w:cs="Arial"/>
        </w:rPr>
        <w:t xml:space="preserve"> i darninę</w:t>
      </w:r>
      <w:r w:rsidRPr="00177E3D">
        <w:rPr>
          <w:rFonts w:ascii="Arial" w:hAnsi="Arial" w:cs="Arial"/>
        </w:rPr>
        <w:t xml:space="preserve"> wykorzystać do tworzenia wierzchniej warstwy biologicznej powierzchni ziemi (np. skarp nasypów, rowów, wykopów, przejść dla zwierząt, a w szczególności przy sadzeniu drzew i krzewów, zakładaniu trawników)</w:t>
      </w:r>
      <w:r w:rsidRPr="00177E3D">
        <w:rPr>
          <w:rFonts w:ascii="Arial" w:hAnsi="Arial" w:cs="Arial"/>
        </w:rPr>
        <w:t>;</w:t>
      </w:r>
    </w:p>
    <w:p w14:paraId="5E501824" w14:textId="77777777" w:rsidR="008558F5" w:rsidRPr="00177E3D" w:rsidRDefault="008558F5" w:rsidP="0041292D">
      <w:pPr>
        <w:pStyle w:val="Akapitzlist"/>
        <w:numPr>
          <w:ilvl w:val="0"/>
          <w:numId w:val="6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zmagazynowane pryzmy </w:t>
      </w:r>
      <w:r w:rsidRPr="00177E3D">
        <w:rPr>
          <w:rFonts w:cs="Arial"/>
        </w:rPr>
        <w:t>humusu</w:t>
      </w:r>
      <w:r w:rsidRPr="00177E3D">
        <w:rPr>
          <w:rFonts w:cs="Arial"/>
        </w:rPr>
        <w:t xml:space="preserve"> i darniny</w:t>
      </w:r>
      <w:r w:rsidRPr="00177E3D">
        <w:rPr>
          <w:rFonts w:cs="Arial"/>
        </w:rPr>
        <w:t xml:space="preserve">, o których mowa w lit. </w:t>
      </w:r>
      <w:r w:rsidRPr="00177E3D">
        <w:rPr>
          <w:rFonts w:cs="Arial"/>
        </w:rPr>
        <w:t>c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masy ziemi, o których mowa </w:t>
      </w:r>
      <w:r w:rsidRPr="00177E3D">
        <w:rPr>
          <w:rFonts w:cs="Arial"/>
        </w:rPr>
        <w:t xml:space="preserve">w pkt 3.j, </w:t>
      </w:r>
      <w:r w:rsidRPr="00177E3D">
        <w:rPr>
          <w:rFonts w:cs="Arial"/>
        </w:rPr>
        <w:t xml:space="preserve">oraz wykopy budowlane </w:t>
      </w:r>
      <w:r w:rsidRPr="00177E3D">
        <w:rPr>
          <w:rFonts w:cs="Arial"/>
        </w:rPr>
        <w:t>należy ukształtować w taki sposób, aby ich skarpy miały nachylenie nie większe niż 30°. W przypadku braku możliwości ukształtowania takiego nachylenia skarp, należy zabezpieczyć je siatką o oczkach nie większych niż 2</w:t>
      </w:r>
      <w:r w:rsidRPr="00177E3D">
        <w:t>×</w:t>
      </w:r>
      <w:r w:rsidRPr="00177E3D">
        <w:rPr>
          <w:rFonts w:cs="Arial"/>
        </w:rPr>
        <w:t xml:space="preserve">2 cm. W okresie od </w:t>
      </w:r>
      <w:r w:rsidRPr="00177E3D">
        <w:rPr>
          <w:rFonts w:cs="Arial"/>
        </w:rPr>
        <w:t>1 marca do 31 sierpnia</w:t>
      </w:r>
      <w:r w:rsidRPr="00177E3D">
        <w:rPr>
          <w:rFonts w:cs="Arial"/>
        </w:rPr>
        <w:t xml:space="preserve"> pobieranie gruntu lub gleby z nasypu należy poprzedzić kontrolą specjalisty ornitologa</w:t>
      </w:r>
      <w:r w:rsidRPr="00177E3D">
        <w:rPr>
          <w:rFonts w:cs="Arial"/>
        </w:rPr>
        <w:t xml:space="preserve"> z nadzoru przyrodniczego</w:t>
      </w:r>
      <w:r w:rsidRPr="00177E3D">
        <w:rPr>
          <w:rFonts w:cs="Arial"/>
        </w:rPr>
        <w:t xml:space="preserve">, który przeprowadzi oględziny pod kątem obecności nor lub kolonii lęgowych ptaków. W przypadku stwierdzenia ich obecności, należy </w:t>
      </w:r>
      <w:r w:rsidRPr="00177E3D">
        <w:t>wstrzymać prace do czasu wyprowadzenia młodych</w:t>
      </w:r>
      <w:r w:rsidRPr="00177E3D">
        <w:rPr>
          <w:rFonts w:cs="Arial"/>
        </w:rPr>
        <w:t>.</w:t>
      </w:r>
    </w:p>
    <w:p w14:paraId="41BB06CD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</w:rPr>
        <w:t>Zaplecza budowy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należy lokalizować w pierwszej kolejności</w:t>
      </w:r>
      <w:r w:rsidRPr="00177E3D">
        <w:rPr>
          <w:rFonts w:cs="Arial"/>
        </w:rPr>
        <w:t xml:space="preserve"> na obszarze kolejowym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lub </w:t>
      </w:r>
      <w:r w:rsidRPr="00177E3D">
        <w:rPr>
          <w:rFonts w:cs="Arial"/>
        </w:rPr>
        <w:t xml:space="preserve">na </w:t>
      </w:r>
      <w:r w:rsidRPr="00177E3D">
        <w:rPr>
          <w:rFonts w:cs="Arial"/>
        </w:rPr>
        <w:t>innych obszarach przekształconych antropogenicznie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możliwości</w:t>
      </w:r>
      <w:r w:rsidRPr="00177E3D">
        <w:rPr>
          <w:rFonts w:cs="Arial"/>
        </w:rPr>
        <w:t xml:space="preserve"> lokalizacji </w:t>
      </w:r>
      <w:r w:rsidRPr="00177E3D">
        <w:rPr>
          <w:rFonts w:cs="Arial"/>
        </w:rPr>
        <w:t>zapleczy budowy na</w:t>
      </w:r>
      <w:r w:rsidRPr="00177E3D">
        <w:rPr>
          <w:rFonts w:cs="Arial"/>
        </w:rPr>
        <w:t xml:space="preserve">leży wykluczyć </w:t>
      </w:r>
      <w:r w:rsidRPr="00177E3D">
        <w:rPr>
          <w:rFonts w:cs="Arial"/>
        </w:rPr>
        <w:t>obszary</w:t>
      </w:r>
      <w:r w:rsidRPr="00177E3D">
        <w:rPr>
          <w:rFonts w:cs="Arial"/>
        </w:rPr>
        <w:t>:</w:t>
      </w:r>
    </w:p>
    <w:p w14:paraId="3F00CBA0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występowania </w:t>
      </w:r>
      <w:r w:rsidRPr="00177E3D">
        <w:rPr>
          <w:rFonts w:cs="Arial"/>
        </w:rPr>
        <w:t xml:space="preserve">zwierciadła </w:t>
      </w:r>
      <w:r w:rsidRPr="00177E3D">
        <w:rPr>
          <w:rFonts w:cs="Arial"/>
        </w:rPr>
        <w:t>wód gruntowych na głębokości mniejszej niż 1 m p.p.t.;</w:t>
      </w:r>
    </w:p>
    <w:p w14:paraId="1C909B35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eastAsia="en-US" w:bidi="en-US"/>
        </w:rPr>
        <w:t xml:space="preserve">położone </w:t>
      </w:r>
      <w:r w:rsidRPr="00177E3D">
        <w:rPr>
          <w:rFonts w:cs="Arial"/>
          <w:lang w:eastAsia="en-US" w:bidi="en-US"/>
        </w:rPr>
        <w:t xml:space="preserve">w dolinach rzek </w:t>
      </w:r>
      <w:r w:rsidRPr="00177E3D">
        <w:rPr>
          <w:rFonts w:cs="Arial"/>
          <w:lang w:eastAsia="en-US" w:bidi="en-US"/>
        </w:rPr>
        <w:t xml:space="preserve">w granicach obszarów zagrożonych powodzią </w:t>
      </w:r>
      <w:r w:rsidRPr="00177E3D">
        <w:rPr>
          <w:rFonts w:cs="Arial"/>
          <w:lang w:eastAsia="en-US" w:bidi="en-US"/>
        </w:rPr>
        <w:t xml:space="preserve">lub podtopieniami </w:t>
      </w:r>
      <w:r w:rsidRPr="00177E3D">
        <w:rPr>
          <w:rFonts w:cs="Arial"/>
          <w:lang w:eastAsia="en-US" w:bidi="en-US"/>
        </w:rPr>
        <w:t>(tj.</w:t>
      </w:r>
      <w:r w:rsidRPr="00177E3D">
        <w:rPr>
          <w:rFonts w:cs="Arial"/>
          <w:lang w:eastAsia="en-US" w:bidi="en-US"/>
        </w:rPr>
        <w:t> </w:t>
      </w:r>
      <w:r w:rsidRPr="00177E3D">
        <w:rPr>
          <w:rFonts w:cs="Arial"/>
          <w:lang w:eastAsia="en-US" w:bidi="en-US"/>
        </w:rPr>
        <w:t>w</w:t>
      </w:r>
      <w:r w:rsidRPr="00177E3D">
        <w:rPr>
          <w:rFonts w:cs="Arial"/>
          <w:lang w:eastAsia="en-US" w:bidi="en-US"/>
        </w:rPr>
        <w:t> </w:t>
      </w:r>
      <w:r w:rsidRPr="00177E3D">
        <w:rPr>
          <w:rFonts w:cs="Arial"/>
          <w:lang w:eastAsia="en-US" w:bidi="en-US"/>
        </w:rPr>
        <w:t xml:space="preserve">km </w:t>
      </w:r>
      <w:r w:rsidRPr="00177E3D">
        <w:rPr>
          <w:rFonts w:cs="Arial"/>
          <w:lang w:eastAsia="en-US" w:bidi="en-US"/>
        </w:rPr>
        <w:t>1+100-2</w:t>
      </w:r>
      <w:r w:rsidRPr="00177E3D">
        <w:rPr>
          <w:rFonts w:cs="Arial"/>
          <w:lang w:eastAsia="en-US" w:bidi="en-US"/>
        </w:rPr>
        <w:t>+</w:t>
      </w:r>
      <w:r w:rsidRPr="00177E3D">
        <w:rPr>
          <w:rFonts w:cs="Arial"/>
          <w:lang w:eastAsia="en-US" w:bidi="en-US"/>
        </w:rPr>
        <w:t>700</w:t>
      </w:r>
      <w:r w:rsidRPr="00177E3D">
        <w:rPr>
          <w:rFonts w:cs="Arial"/>
          <w:lang w:eastAsia="en-US" w:bidi="en-US"/>
        </w:rPr>
        <w:t>,</w:t>
      </w:r>
      <w:r w:rsidRPr="00177E3D">
        <w:rPr>
          <w:rFonts w:cs="Arial"/>
          <w:lang w:eastAsia="en-US" w:bidi="en-US"/>
        </w:rPr>
        <w:t xml:space="preserve"> 9+600-9+750</w:t>
      </w:r>
      <w:r w:rsidRPr="00177E3D">
        <w:rPr>
          <w:rFonts w:cs="Arial"/>
          <w:lang w:eastAsia="en-US" w:bidi="en-US"/>
        </w:rPr>
        <w:t>);</w:t>
      </w:r>
    </w:p>
    <w:p w14:paraId="729F112C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</w:rPr>
      </w:pPr>
      <w:r w:rsidRPr="00177E3D">
        <w:rPr>
          <w:rFonts w:cs="Arial"/>
          <w:lang w:eastAsia="en-US" w:bidi="en-US"/>
        </w:rPr>
        <w:lastRenderedPageBreak/>
        <w:t xml:space="preserve">położone </w:t>
      </w:r>
      <w:r w:rsidRPr="00177E3D">
        <w:rPr>
          <w:rFonts w:cs="Arial"/>
          <w:lang w:eastAsia="en-US" w:bidi="en-US"/>
        </w:rPr>
        <w:t xml:space="preserve">w </w:t>
      </w:r>
      <w:r w:rsidRPr="00177E3D">
        <w:rPr>
          <w:rFonts w:cs="Arial"/>
        </w:rPr>
        <w:t xml:space="preserve">odległości </w:t>
      </w:r>
      <w:r w:rsidRPr="00177E3D">
        <w:rPr>
          <w:rFonts w:cs="Arial"/>
          <w:lang w:eastAsia="en-US" w:bidi="en-US"/>
        </w:rPr>
        <w:t>mniejszej niż</w:t>
      </w:r>
      <w:r w:rsidRPr="00177E3D">
        <w:rPr>
          <w:rFonts w:cs="Arial"/>
          <w:lang w:eastAsia="en-US" w:bidi="en-US"/>
        </w:rPr>
        <w:t xml:space="preserve"> 50 m o</w:t>
      </w:r>
      <w:r w:rsidRPr="00177E3D">
        <w:rPr>
          <w:rFonts w:cs="Arial"/>
          <w:lang w:eastAsia="en-US" w:bidi="en-US"/>
        </w:rPr>
        <w:t>d brzegów koryt cieków</w:t>
      </w:r>
      <w:r w:rsidRPr="00177E3D">
        <w:rPr>
          <w:rFonts w:cs="Arial"/>
          <w:lang w:eastAsia="en-US" w:bidi="en-US"/>
        </w:rPr>
        <w:t xml:space="preserve"> i </w:t>
      </w:r>
      <w:r w:rsidRPr="00177E3D">
        <w:rPr>
          <w:rFonts w:cs="Arial"/>
        </w:rPr>
        <w:t xml:space="preserve">zbiorników </w:t>
      </w:r>
      <w:r w:rsidRPr="00177E3D">
        <w:rPr>
          <w:rFonts w:cs="Arial"/>
          <w:lang w:eastAsia="en-US" w:bidi="en-US"/>
        </w:rPr>
        <w:t>wodnych</w:t>
      </w:r>
      <w:r w:rsidRPr="00177E3D">
        <w:rPr>
          <w:rFonts w:cs="Arial"/>
        </w:rPr>
        <w:t>;</w:t>
      </w:r>
    </w:p>
    <w:p w14:paraId="5B62CBC7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</w:rPr>
      </w:pPr>
      <w:r w:rsidRPr="00177E3D">
        <w:rPr>
          <w:rFonts w:cs="Arial"/>
        </w:rPr>
        <w:t>lasów;</w:t>
      </w:r>
    </w:p>
    <w:p w14:paraId="783088CD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powierzchniowych form o</w:t>
      </w:r>
      <w:r w:rsidRPr="00177E3D">
        <w:rPr>
          <w:rFonts w:cs="Arial"/>
          <w:lang w:bidi="en-US"/>
        </w:rPr>
        <w:t>ch</w:t>
      </w:r>
      <w:r w:rsidRPr="00177E3D">
        <w:rPr>
          <w:rFonts w:cs="Arial"/>
          <w:lang w:bidi="en-US"/>
        </w:rPr>
        <w:t>rony przyrody</w:t>
      </w:r>
      <w:r w:rsidRPr="00177E3D">
        <w:rPr>
          <w:rFonts w:cs="Arial"/>
          <w:lang w:bidi="en-US"/>
        </w:rPr>
        <w:t>;</w:t>
      </w:r>
    </w:p>
    <w:p w14:paraId="78FD15CF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eastAsia="en-US" w:bidi="en-US"/>
        </w:rPr>
        <w:t xml:space="preserve">siedlisk </w:t>
      </w:r>
      <w:r w:rsidRPr="00177E3D">
        <w:rPr>
          <w:rFonts w:cs="Arial"/>
          <w:lang w:bidi="en-US"/>
        </w:rPr>
        <w:t>przyrodniczych:</w:t>
      </w:r>
    </w:p>
    <w:p w14:paraId="203A916D" w14:textId="77777777" w:rsidR="008558F5" w:rsidRPr="00177E3D" w:rsidRDefault="008558F5" w:rsidP="008558F5">
      <w:pPr>
        <w:pStyle w:val="Akapitzlist"/>
        <w:numPr>
          <w:ilvl w:val="0"/>
          <w:numId w:val="36"/>
        </w:numPr>
        <w:ind w:left="1276" w:hanging="425"/>
        <w:rPr>
          <w:rFonts w:cs="Arial"/>
        </w:rPr>
      </w:pPr>
      <w:r w:rsidRPr="00177E3D">
        <w:rPr>
          <w:rFonts w:cs="Arial"/>
        </w:rPr>
        <w:t>6510 (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km 9+0</w:t>
      </w:r>
      <w:r w:rsidRPr="00177E3D">
        <w:rPr>
          <w:rFonts w:cs="Arial"/>
        </w:rPr>
        <w:t>0</w:t>
      </w:r>
      <w:r w:rsidRPr="00177E3D">
        <w:rPr>
          <w:rFonts w:cs="Arial"/>
        </w:rPr>
        <w:t>0-9+100; 14+460-14+600);</w:t>
      </w:r>
    </w:p>
    <w:p w14:paraId="01E9B361" w14:textId="77777777" w:rsidR="008558F5" w:rsidRPr="00177E3D" w:rsidRDefault="008558F5" w:rsidP="008558F5">
      <w:pPr>
        <w:pStyle w:val="Akapitzlist"/>
        <w:numPr>
          <w:ilvl w:val="0"/>
          <w:numId w:val="36"/>
        </w:numPr>
        <w:ind w:left="1276" w:hanging="425"/>
        <w:rPr>
          <w:rFonts w:cs="Arial"/>
        </w:rPr>
      </w:pPr>
      <w:r w:rsidRPr="00177E3D">
        <w:rPr>
          <w:rFonts w:cs="Arial"/>
        </w:rPr>
        <w:t>9160 (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km 9+100, 14+800, 21+600-21+900; 29+200-29+400, 38+050-38+450);</w:t>
      </w:r>
    </w:p>
    <w:p w14:paraId="7D934D3A" w14:textId="77777777" w:rsidR="008558F5" w:rsidRPr="00177E3D" w:rsidRDefault="008558F5" w:rsidP="008558F5">
      <w:pPr>
        <w:pStyle w:val="Akapitzlist"/>
        <w:numPr>
          <w:ilvl w:val="0"/>
          <w:numId w:val="36"/>
        </w:numPr>
        <w:ind w:left="1276" w:hanging="425"/>
        <w:rPr>
          <w:rFonts w:cs="Arial"/>
        </w:rPr>
      </w:pPr>
      <w:r w:rsidRPr="00177E3D">
        <w:rPr>
          <w:rFonts w:cs="Arial"/>
        </w:rPr>
        <w:t>91E0 (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km 9+600, 14+500-14+800, 15+550-15+800, 17+100-17+300, 30+250-30+850, 40+600-41+100, 46+100-46+250);</w:t>
      </w:r>
    </w:p>
    <w:p w14:paraId="1706A4BC" w14:textId="77777777" w:rsidR="008558F5" w:rsidRPr="00177E3D" w:rsidRDefault="008558F5" w:rsidP="008558F5">
      <w:pPr>
        <w:pStyle w:val="Akapitzlist"/>
        <w:numPr>
          <w:ilvl w:val="0"/>
          <w:numId w:val="36"/>
        </w:numPr>
        <w:ind w:left="1276" w:hanging="425"/>
        <w:rPr>
          <w:rFonts w:cs="Arial"/>
        </w:rPr>
      </w:pPr>
      <w:r w:rsidRPr="00177E3D">
        <w:rPr>
          <w:rFonts w:cs="Arial"/>
        </w:rPr>
        <w:t>9130 (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km 17+850-18+450, 29+100-29+400, 40+600, 40+800-41+100);</w:t>
      </w:r>
    </w:p>
    <w:p w14:paraId="74EA71AC" w14:textId="77777777" w:rsidR="008558F5" w:rsidRPr="00177E3D" w:rsidRDefault="008558F5" w:rsidP="008558F5">
      <w:pPr>
        <w:pStyle w:val="Akapitzlist"/>
        <w:numPr>
          <w:ilvl w:val="0"/>
          <w:numId w:val="36"/>
        </w:numPr>
        <w:ind w:left="1276" w:hanging="425"/>
        <w:rPr>
          <w:rFonts w:cs="Arial"/>
        </w:rPr>
      </w:pPr>
      <w:r w:rsidRPr="00177E3D">
        <w:rPr>
          <w:rFonts w:cs="Arial"/>
        </w:rPr>
        <w:t>2180 (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km 47+600-48+200, 48+700-50+373);</w:t>
      </w:r>
    </w:p>
    <w:p w14:paraId="6117C839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 xml:space="preserve">miejsc rozrodu chronionego gatunku motyla czerwończyk nieparek </w:t>
      </w:r>
      <w:r w:rsidRPr="00177E3D">
        <w:rPr>
          <w:rFonts w:cs="Arial"/>
          <w:i/>
          <w:iCs/>
          <w:lang w:bidi="en-US"/>
        </w:rPr>
        <w:t>Lycaena dispar</w:t>
      </w:r>
      <w:r w:rsidRPr="00177E3D">
        <w:rPr>
          <w:rFonts w:cs="Arial"/>
          <w:lang w:bidi="en-US"/>
        </w:rPr>
        <w:t xml:space="preserve"> – podmokłe łąki na terenie Wejherowa (km 1+000, km 2+650 LK 230), na wysokości </w:t>
      </w:r>
      <w:r w:rsidRPr="00177E3D">
        <w:rPr>
          <w:rFonts w:cs="Arial"/>
          <w:lang w:bidi="en-US"/>
        </w:rPr>
        <w:t xml:space="preserve">miejscowości </w:t>
      </w:r>
      <w:r w:rsidRPr="00177E3D">
        <w:rPr>
          <w:rFonts w:cs="Arial"/>
          <w:lang w:bidi="en-US"/>
        </w:rPr>
        <w:t>Rybska Karczma (km 11+350 LK 230) oraz nad Kanałem Biebrowskim na wysokości miejscowości Kopalino (km 47+300 LK230);</w:t>
      </w:r>
    </w:p>
    <w:p w14:paraId="68690C8B" w14:textId="77777777" w:rsidR="008558F5" w:rsidRPr="00177E3D" w:rsidRDefault="008558F5" w:rsidP="008558F5">
      <w:pPr>
        <w:pStyle w:val="Akapitzlist"/>
        <w:numPr>
          <w:ilvl w:val="0"/>
          <w:numId w:val="29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położone w odległości mniejszej niż </w:t>
      </w:r>
      <w:r w:rsidRPr="00177E3D">
        <w:rPr>
          <w:rFonts w:cs="Arial"/>
        </w:rPr>
        <w:t>100</w:t>
      </w:r>
      <w:r w:rsidRPr="00177E3D">
        <w:rPr>
          <w:rFonts w:cs="Arial"/>
        </w:rPr>
        <w:t xml:space="preserve"> m od zabudowy mieszkaniowej</w:t>
      </w:r>
      <w:r w:rsidRPr="00177E3D">
        <w:rPr>
          <w:rFonts w:cs="Arial"/>
        </w:rPr>
        <w:t xml:space="preserve"> i obiektów wpisanych do rejestru zabytków</w:t>
      </w:r>
      <w:r w:rsidRPr="00177E3D">
        <w:rPr>
          <w:rFonts w:cs="Arial"/>
        </w:rPr>
        <w:t>.</w:t>
      </w:r>
    </w:p>
    <w:p w14:paraId="21132889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  <w:b/>
        </w:rPr>
      </w:pPr>
      <w:r w:rsidRPr="00177E3D">
        <w:rPr>
          <w:rFonts w:cs="Arial"/>
        </w:rPr>
        <w:t>Warunki dotyczące funkcjonowania placów budowy oraz zapleczy budowy:</w:t>
      </w:r>
    </w:p>
    <w:p w14:paraId="7706C2CB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  <w:bCs/>
        </w:rPr>
      </w:pPr>
      <w:r w:rsidRPr="00177E3D">
        <w:rPr>
          <w:rFonts w:cs="Arial"/>
        </w:rPr>
        <w:t xml:space="preserve">dojazd do </w:t>
      </w:r>
      <w:r w:rsidRPr="00177E3D">
        <w:rPr>
          <w:rFonts w:cs="Arial"/>
        </w:rPr>
        <w:t xml:space="preserve">placów budowy oraz zapleczy budowy </w:t>
      </w:r>
      <w:r w:rsidRPr="00177E3D">
        <w:rPr>
          <w:rFonts w:cs="Arial"/>
        </w:rPr>
        <w:t xml:space="preserve">należy prowadzić w </w:t>
      </w:r>
      <w:r w:rsidRPr="00177E3D">
        <w:rPr>
          <w:rFonts w:cs="Arial"/>
          <w:color w:val="000000"/>
          <w:lang w:bidi="pl-PL"/>
        </w:rPr>
        <w:t>oparciu o</w:t>
      </w:r>
      <w:r w:rsidRPr="00177E3D">
        <w:rPr>
          <w:rFonts w:cs="Arial"/>
          <w:color w:val="000000"/>
          <w:lang w:bidi="pl-PL"/>
        </w:rPr>
        <w:t> </w:t>
      </w:r>
      <w:r w:rsidRPr="00177E3D">
        <w:rPr>
          <w:rFonts w:cs="Arial"/>
          <w:color w:val="000000"/>
          <w:lang w:bidi="pl-PL"/>
        </w:rPr>
        <w:t xml:space="preserve">istniejącą sieć </w:t>
      </w:r>
      <w:r w:rsidRPr="00177E3D">
        <w:rPr>
          <w:rFonts w:cs="Arial"/>
        </w:rPr>
        <w:t>dróg. W razie konieczności dodatkowe drogi dojazdowe należy wytyczyć w miejscach niekolidujących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ciekami i zbiornikami wodnymi oraz siedliskami płazów i siedliskami przyrodniczymi będącymi przedmiotem zainteresowania </w:t>
      </w:r>
      <w:r w:rsidRPr="00177E3D">
        <w:rPr>
          <w:rFonts w:cs="Arial"/>
        </w:rPr>
        <w:t>Unii Europejskiej</w:t>
      </w:r>
      <w:r w:rsidRPr="00177E3D">
        <w:rPr>
          <w:rFonts w:cs="Arial"/>
        </w:rPr>
        <w:t>. W przypadku konieczności przekroczenia drogą dojazdową cieku, należy zapewnić swobodny przepływ wód w cieku</w:t>
      </w:r>
      <w:r w:rsidRPr="00177E3D">
        <w:rPr>
          <w:rFonts w:cs="Arial"/>
        </w:rPr>
        <w:t>;</w:t>
      </w:r>
    </w:p>
    <w:p w14:paraId="596BDA55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  <w:bCs/>
        </w:rPr>
      </w:pPr>
      <w:r w:rsidRPr="00177E3D">
        <w:rPr>
          <w:rFonts w:cs="Arial"/>
        </w:rPr>
        <w:t>place budowy i zaplecza budowy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należy wyposażyć w techniczne i chemiczne środki do ograniczania rozprzestrzeniania się, usuwania lub neutralizacji zanieczyszczeń ropopochodnych. W przypadku wycieku substancji ropopochodnych należy je niezwłocznie usunąć lub zneutralizować;</w:t>
      </w:r>
    </w:p>
    <w:p w14:paraId="19A3E0FF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</w:rPr>
      </w:pPr>
      <w:r w:rsidRPr="00177E3D">
        <w:rPr>
          <w:rFonts w:cs="Arial"/>
        </w:rPr>
        <w:t>w obrębie zapleczy budowy</w:t>
      </w:r>
      <w:r w:rsidRPr="00177E3D">
        <w:rPr>
          <w:rFonts w:cs="Arial"/>
          <w:bCs/>
        </w:rPr>
        <w:t xml:space="preserve"> należy zlokalizować place parkingowo-serwisowe, </w:t>
      </w:r>
      <w:r w:rsidRPr="00177E3D">
        <w:rPr>
          <w:rFonts w:cs="Arial"/>
        </w:rPr>
        <w:t>myjnie</w:t>
      </w:r>
      <w:r w:rsidRPr="00177E3D">
        <w:rPr>
          <w:rFonts w:cs="Arial"/>
        </w:rPr>
        <w:t xml:space="preserve"> maszyn i </w:t>
      </w:r>
      <w:r w:rsidRPr="00177E3D">
        <w:rPr>
          <w:rFonts w:cs="Arial"/>
        </w:rPr>
        <w:t>urządzeń oraz pojazdów budowlanych, miejsca magazynowania materiałów budowlanych oraz miejsca magazynowania odpadów;</w:t>
      </w:r>
    </w:p>
    <w:p w14:paraId="3EFB629D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  <w:bCs/>
        </w:rPr>
      </w:pPr>
      <w:r w:rsidRPr="00177E3D">
        <w:rPr>
          <w:rFonts w:cs="Arial"/>
        </w:rPr>
        <w:t>tankowanie, serwisowanie oraz parkowanie maszyn i urządzeń oraz pojazdów budowlanych należy prowadzić na terenie placów parkingowo-serwisowych;</w:t>
      </w:r>
    </w:p>
    <w:p w14:paraId="4D0301EB" w14:textId="77777777" w:rsidR="008558F5" w:rsidRPr="00177E3D" w:rsidRDefault="008558F5" w:rsidP="008558F5">
      <w:pPr>
        <w:pStyle w:val="Akapitzlist4"/>
        <w:numPr>
          <w:ilvl w:val="0"/>
          <w:numId w:val="28"/>
        </w:numPr>
        <w:spacing w:after="0" w:line="312" w:lineRule="auto"/>
        <w:ind w:left="851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 xml:space="preserve">dopuszcza się tankowanie i serwisowanie maszyn i urządzeń </w:t>
      </w:r>
      <w:r w:rsidRPr="00177E3D">
        <w:rPr>
          <w:rFonts w:ascii="Arial" w:hAnsi="Arial" w:cs="Arial"/>
        </w:rPr>
        <w:t>oraz pojazdów</w:t>
      </w:r>
      <w:r w:rsidRPr="00177E3D">
        <w:rPr>
          <w:rFonts w:ascii="Arial" w:hAnsi="Arial" w:cs="Arial"/>
          <w:sz w:val="24"/>
          <w:szCs w:val="24"/>
        </w:rPr>
        <w:t xml:space="preserve"> </w:t>
      </w:r>
      <w:r w:rsidRPr="00177E3D">
        <w:rPr>
          <w:rFonts w:ascii="Arial" w:hAnsi="Arial" w:cs="Arial"/>
        </w:rPr>
        <w:t>budowlanych poza placami parkingowo-serwisowymi, pod warunkiem zabezpieczenia gleby w miejscu ich posadowienia za pomocą materiałów technicznych umożliwiających ujęcie ewentualnych wycieków substancji ropopochodnych;</w:t>
      </w:r>
    </w:p>
    <w:p w14:paraId="076D68E5" w14:textId="77777777" w:rsidR="008558F5" w:rsidRPr="00177E3D" w:rsidRDefault="008558F5" w:rsidP="008558F5">
      <w:pPr>
        <w:pStyle w:val="Akapitzlist4"/>
        <w:numPr>
          <w:ilvl w:val="0"/>
          <w:numId w:val="28"/>
        </w:numPr>
        <w:spacing w:after="0" w:line="312" w:lineRule="auto"/>
        <w:ind w:left="851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 xml:space="preserve">materiały pędne oraz oleje i smary wykorzystywane na etapie realizacji przedsięwzięcia należy magazynować na terenie placów parkingowo-serwisowych. Powyższe substancje należy magazynować w zamykanych i szczelnych pojemnikach, odpornych na działanie przechowywanych w nich substancji, </w:t>
      </w:r>
      <w:r w:rsidRPr="00177E3D">
        <w:rPr>
          <w:rFonts w:ascii="Arial" w:hAnsi="Arial" w:cs="Arial"/>
        </w:rPr>
        <w:lastRenderedPageBreak/>
        <w:t>w</w:t>
      </w:r>
      <w:r w:rsidRPr="00177E3D">
        <w:rPr>
          <w:rFonts w:ascii="Arial" w:hAnsi="Arial" w:cs="Arial"/>
        </w:rPr>
        <w:t> </w:t>
      </w:r>
      <w:r w:rsidRPr="00177E3D">
        <w:rPr>
          <w:rFonts w:ascii="Arial" w:hAnsi="Arial" w:cs="Arial"/>
        </w:rPr>
        <w:t>miejscach osłoniętych przed działani</w:t>
      </w:r>
      <w:r w:rsidRPr="00177E3D">
        <w:rPr>
          <w:rFonts w:ascii="Arial" w:hAnsi="Arial" w:cs="Arial"/>
        </w:rPr>
        <w:t>e</w:t>
      </w:r>
      <w:r w:rsidRPr="00177E3D">
        <w:rPr>
          <w:rFonts w:ascii="Arial" w:hAnsi="Arial" w:cs="Arial"/>
        </w:rPr>
        <w:t>m czynników atmosferycznych oraz zabezpieczonych przed dostępem osób nieuprawnionych;</w:t>
      </w:r>
    </w:p>
    <w:p w14:paraId="0B5DC87A" w14:textId="77777777" w:rsidR="008558F5" w:rsidRPr="00177E3D" w:rsidRDefault="008558F5" w:rsidP="008558F5">
      <w:pPr>
        <w:pStyle w:val="Akapitzlist4"/>
        <w:numPr>
          <w:ilvl w:val="0"/>
          <w:numId w:val="28"/>
        </w:numPr>
        <w:spacing w:after="0" w:line="312" w:lineRule="auto"/>
        <w:ind w:left="851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>mycie maszyn i urządzeń oraz pojazdów budowlanych należy prowadzić na terenie myjni;</w:t>
      </w:r>
    </w:p>
    <w:p w14:paraId="27E09509" w14:textId="77777777" w:rsidR="008558F5" w:rsidRPr="00177E3D" w:rsidRDefault="008558F5" w:rsidP="008558F5">
      <w:pPr>
        <w:pStyle w:val="Akapitzlist4"/>
        <w:numPr>
          <w:ilvl w:val="0"/>
          <w:numId w:val="28"/>
        </w:numPr>
        <w:spacing w:after="0" w:line="312" w:lineRule="auto"/>
        <w:ind w:left="851" w:hanging="425"/>
        <w:jc w:val="both"/>
        <w:rPr>
          <w:rFonts w:ascii="Arial" w:hAnsi="Arial" w:cs="Arial"/>
        </w:rPr>
      </w:pPr>
      <w:r w:rsidRPr="00177E3D">
        <w:rPr>
          <w:rFonts w:ascii="Arial" w:hAnsi="Arial" w:cs="Arial"/>
        </w:rPr>
        <w:t>place parkingowo-serwisowe oraz myjnie należy</w:t>
      </w:r>
      <w:r w:rsidRPr="00177E3D">
        <w:rPr>
          <w:rFonts w:ascii="Arial" w:hAnsi="Arial" w:cs="Arial"/>
        </w:rPr>
        <w:t xml:space="preserve"> zlokalizować na utwardzonym i </w:t>
      </w:r>
      <w:r w:rsidRPr="00177E3D">
        <w:rPr>
          <w:rFonts w:ascii="Arial" w:hAnsi="Arial" w:cs="Arial"/>
        </w:rPr>
        <w:t>uszczelnionym podłożu. Ponadto należy wyposażyć je w urządzenia do podczyszczania ścieków z zawiesin oraz substancji ropopochodnych;</w:t>
      </w:r>
    </w:p>
    <w:p w14:paraId="6DC25442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</w:rPr>
      </w:pPr>
      <w:r w:rsidRPr="00177E3D">
        <w:rPr>
          <w:rFonts w:cs="Arial"/>
          <w:bCs/>
        </w:rPr>
        <w:t>m</w:t>
      </w:r>
      <w:r w:rsidRPr="00177E3D">
        <w:rPr>
          <w:rFonts w:cs="Arial"/>
        </w:rPr>
        <w:t>ateriały budowlane oraz substancje i preparaty stosowane na etapie realizacji przedsięwzięcia, z kart charakterystyki których wynika, że mogą stanowić zagrożenie dla wód lub dla gleby, należy magazynować na terenie zaplecza budowy na utwardzonym i uszczeln</w:t>
      </w:r>
      <w:r w:rsidRPr="00177E3D">
        <w:rPr>
          <w:rFonts w:cs="Arial"/>
        </w:rPr>
        <w:t>ionym podłożu, w </w:t>
      </w:r>
      <w:r w:rsidRPr="00177E3D">
        <w:rPr>
          <w:rFonts w:cs="Arial"/>
        </w:rPr>
        <w:t>miejscach osłoniętych przed działaniem czynników atmosferycznych oraz zabezpieczonych przed dostępem osób nieuprawnionych. Miejsca te należy wyposażyć w urządzenia lub środki umożliwiające ich zebranie lub neutralizację w sytuacji przypadk</w:t>
      </w:r>
      <w:r w:rsidRPr="00177E3D">
        <w:rPr>
          <w:rFonts w:cs="Arial"/>
        </w:rPr>
        <w:t>owego wydostania się z </w:t>
      </w:r>
      <w:r w:rsidRPr="00177E3D">
        <w:rPr>
          <w:rFonts w:cs="Arial"/>
        </w:rPr>
        <w:t>opakowań. Rodzaje i ilość urządzeń lub środków dostosować do rodzaju i ilości magazynowanych materiałów, substancji i</w:t>
      </w:r>
      <w:r w:rsidRPr="00177E3D">
        <w:rPr>
          <w:rFonts w:cs="Arial"/>
        </w:rPr>
        <w:t> </w:t>
      </w:r>
      <w:r w:rsidRPr="00177E3D">
        <w:rPr>
          <w:rFonts w:cs="Arial"/>
        </w:rPr>
        <w:t>preparatów. P</w:t>
      </w:r>
      <w:r w:rsidRPr="00177E3D">
        <w:rPr>
          <w:rFonts w:cs="Arial"/>
        </w:rPr>
        <w:t>owyższe materiały, substancje i </w:t>
      </w:r>
      <w:r w:rsidRPr="00177E3D">
        <w:rPr>
          <w:rFonts w:cs="Arial"/>
        </w:rPr>
        <w:t>preparaty magazynować i przemieszczać w</w:t>
      </w:r>
      <w:r w:rsidRPr="00177E3D">
        <w:rPr>
          <w:rFonts w:cs="Arial"/>
        </w:rPr>
        <w:t> </w:t>
      </w:r>
      <w:r w:rsidRPr="00177E3D">
        <w:rPr>
          <w:rFonts w:cs="Arial"/>
        </w:rPr>
        <w:t>opakowaniach producenta. W przypadku ich wydostania się z opakowań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należy je niezwłocznie usunąć lub zneutralizować;</w:t>
      </w:r>
    </w:p>
    <w:p w14:paraId="53274796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</w:rPr>
      </w:pPr>
      <w:r w:rsidRPr="00177E3D">
        <w:rPr>
          <w:rFonts w:cs="Arial"/>
        </w:rPr>
        <w:t>dopuszcza się magazynowanie niezanieczyszczonej gleby i ziemi przewidzian</w:t>
      </w:r>
      <w:r w:rsidRPr="00177E3D">
        <w:rPr>
          <w:rFonts w:cs="Arial"/>
        </w:rPr>
        <w:t>ych</w:t>
      </w:r>
      <w:r w:rsidRPr="00177E3D">
        <w:rPr>
          <w:rFonts w:cs="Arial"/>
        </w:rPr>
        <w:t xml:space="preserve"> do wykorzystania do realizacji </w:t>
      </w:r>
      <w:r w:rsidRPr="00177E3D">
        <w:rPr>
          <w:rFonts w:cs="Arial"/>
        </w:rPr>
        <w:t>przedsięwzięcia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oraz humusu </w:t>
      </w:r>
      <w:r w:rsidRPr="00177E3D">
        <w:rPr>
          <w:rFonts w:cs="Arial"/>
        </w:rPr>
        <w:t>poza zapleczem budowy, z</w:t>
      </w:r>
      <w:r w:rsidRPr="00177E3D">
        <w:rPr>
          <w:rFonts w:cs="Arial"/>
        </w:rPr>
        <w:t xml:space="preserve"> wyjątkiem odcinków wykluczonych</w:t>
      </w:r>
      <w:r w:rsidRPr="00177E3D">
        <w:rPr>
          <w:rFonts w:cs="Arial"/>
        </w:rPr>
        <w:t>, o których mowa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 xml:space="preserve">pkt </w:t>
      </w:r>
      <w:r w:rsidRPr="00177E3D">
        <w:rPr>
          <w:rFonts w:cs="Arial"/>
        </w:rPr>
        <w:t>2</w:t>
      </w:r>
      <w:r w:rsidRPr="00177E3D">
        <w:rPr>
          <w:rFonts w:cs="Arial"/>
        </w:rPr>
        <w:t>;</w:t>
      </w:r>
    </w:p>
    <w:p w14:paraId="24F216A4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podłoże, o którym mowa w lit. </w:t>
      </w:r>
      <w:r w:rsidRPr="00177E3D">
        <w:rPr>
          <w:rFonts w:cs="Arial"/>
        </w:rPr>
        <w:t>h</w:t>
      </w:r>
      <w:r w:rsidRPr="00177E3D">
        <w:rPr>
          <w:rFonts w:cs="Arial"/>
        </w:rPr>
        <w:t>-</w:t>
      </w:r>
      <w:r w:rsidRPr="00177E3D">
        <w:rPr>
          <w:rFonts w:cs="Arial"/>
        </w:rPr>
        <w:t>i, należy wyko</w:t>
      </w:r>
      <w:r w:rsidRPr="00177E3D">
        <w:rPr>
          <w:rFonts w:cs="Arial"/>
        </w:rPr>
        <w:t>nać przy użyciu wodoodpornych i </w:t>
      </w:r>
      <w:r w:rsidRPr="00177E3D">
        <w:rPr>
          <w:rFonts w:cs="Arial"/>
        </w:rPr>
        <w:t>mrozoodpornych płyt betonowych o klasie wytrzymałości minimum C35/45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uszczelnionych za pomocą elastycznych spoin odpornych na działanie czynników atmosferycznych (temperatury, promieni UV, deszczu i powietrza) oraz substancji ropopochodnych lub przy użyciu geomembran;</w:t>
      </w:r>
    </w:p>
    <w:p w14:paraId="765B608D" w14:textId="77777777" w:rsidR="008558F5" w:rsidRPr="00177E3D" w:rsidRDefault="008558F5" w:rsidP="008558F5">
      <w:pPr>
        <w:pStyle w:val="Akapitzlist"/>
        <w:numPr>
          <w:ilvl w:val="0"/>
          <w:numId w:val="28"/>
        </w:numPr>
        <w:ind w:left="851" w:hanging="425"/>
        <w:rPr>
          <w:rFonts w:cs="Arial"/>
        </w:rPr>
      </w:pPr>
      <w:r w:rsidRPr="00177E3D">
        <w:rPr>
          <w:rFonts w:cs="Arial"/>
        </w:rPr>
        <w:t>należy</w:t>
      </w:r>
      <w:r w:rsidRPr="00177E3D">
        <w:rPr>
          <w:rFonts w:cs="Arial"/>
        </w:rPr>
        <w:t xml:space="preserve"> stosować oświetlenie </w:t>
      </w:r>
      <w:r w:rsidRPr="00177E3D">
        <w:rPr>
          <w:rFonts w:cs="Arial"/>
        </w:rPr>
        <w:t xml:space="preserve">spełniające wytyczne określone w pkt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4</w:t>
      </w:r>
      <w:r w:rsidRPr="00177E3D">
        <w:t>.</w:t>
      </w:r>
    </w:p>
    <w:p w14:paraId="2A93EC4C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</w:rPr>
        <w:t>Należy ograniczać emisję zanieczyszczeń pyłowo-gazowych do powietrza na etapie budowy poprzez:</w:t>
      </w:r>
    </w:p>
    <w:p w14:paraId="07DCE8D1" w14:textId="77777777" w:rsidR="008558F5" w:rsidRPr="00177E3D" w:rsidRDefault="008558F5" w:rsidP="00EE6D3D">
      <w:pPr>
        <w:pStyle w:val="Akapitzlist"/>
        <w:numPr>
          <w:ilvl w:val="0"/>
          <w:numId w:val="9"/>
        </w:numPr>
        <w:ind w:left="851" w:hanging="425"/>
        <w:rPr>
          <w:rFonts w:cs="Arial"/>
        </w:rPr>
      </w:pPr>
      <w:r w:rsidRPr="00177E3D">
        <w:rPr>
          <w:rFonts w:cs="Arial"/>
        </w:rPr>
        <w:t>wyłącza</w:t>
      </w:r>
      <w:r w:rsidRPr="00177E3D">
        <w:rPr>
          <w:rFonts w:cs="Arial"/>
        </w:rPr>
        <w:t>nie</w:t>
      </w:r>
      <w:r w:rsidRPr="00177E3D">
        <w:rPr>
          <w:rFonts w:cs="Arial"/>
        </w:rPr>
        <w:t xml:space="preserve"> silnik</w:t>
      </w:r>
      <w:r w:rsidRPr="00177E3D">
        <w:rPr>
          <w:rFonts w:cs="Arial"/>
        </w:rPr>
        <w:t>ów</w:t>
      </w:r>
      <w:r w:rsidRPr="00177E3D">
        <w:rPr>
          <w:rFonts w:cs="Arial"/>
        </w:rPr>
        <w:t xml:space="preserve"> pojazdów </w:t>
      </w:r>
      <w:r w:rsidRPr="00177E3D">
        <w:rPr>
          <w:rFonts w:cs="Arial"/>
        </w:rPr>
        <w:t xml:space="preserve">i maszyn budowlanych </w:t>
      </w:r>
      <w:r w:rsidRPr="00177E3D">
        <w:rPr>
          <w:rFonts w:cs="Arial"/>
        </w:rPr>
        <w:t>w czasie postoju</w:t>
      </w:r>
      <w:r w:rsidRPr="00177E3D">
        <w:rPr>
          <w:rFonts w:cs="Arial"/>
        </w:rPr>
        <w:t>;</w:t>
      </w:r>
    </w:p>
    <w:p w14:paraId="40DC5F29" w14:textId="77777777" w:rsidR="008558F5" w:rsidRPr="00177E3D" w:rsidRDefault="008558F5" w:rsidP="00EE6D3D">
      <w:pPr>
        <w:pStyle w:val="Akapitzlist"/>
        <w:numPr>
          <w:ilvl w:val="0"/>
          <w:numId w:val="9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stosowanie do podbudowy gotowych mieszanek </w:t>
      </w:r>
      <w:r w:rsidRPr="00177E3D">
        <w:rPr>
          <w:rFonts w:cs="Arial"/>
        </w:rPr>
        <w:t xml:space="preserve">bitumicznych </w:t>
      </w:r>
      <w:r w:rsidRPr="00177E3D">
        <w:rPr>
          <w:rFonts w:cs="Arial"/>
        </w:rPr>
        <w:t>wytwarzanych w</w:t>
      </w:r>
      <w:r w:rsidRPr="00177E3D">
        <w:rPr>
          <w:rFonts w:cs="Arial"/>
        </w:rPr>
        <w:t> </w:t>
      </w:r>
      <w:r w:rsidRPr="00177E3D">
        <w:rPr>
          <w:rFonts w:cs="Arial"/>
        </w:rPr>
        <w:t>wytwórniach</w:t>
      </w:r>
      <w:r w:rsidRPr="00177E3D">
        <w:rPr>
          <w:rFonts w:cs="Arial"/>
        </w:rPr>
        <w:t>;</w:t>
      </w:r>
    </w:p>
    <w:p w14:paraId="613B7B70" w14:textId="77777777" w:rsidR="008558F5" w:rsidRPr="00177E3D" w:rsidRDefault="008558F5" w:rsidP="00EE6D3D">
      <w:pPr>
        <w:pStyle w:val="Akapitzlist"/>
        <w:numPr>
          <w:ilvl w:val="0"/>
          <w:numId w:val="9"/>
        </w:numPr>
        <w:ind w:left="851" w:hanging="425"/>
        <w:rPr>
          <w:rFonts w:cs="Arial"/>
        </w:rPr>
      </w:pPr>
      <w:r w:rsidRPr="00177E3D">
        <w:rPr>
          <w:rFonts w:cs="Arial"/>
        </w:rPr>
        <w:t>mycie kół pojazdów opuszczających teren budowy</w:t>
      </w:r>
      <w:r w:rsidRPr="00177E3D">
        <w:rPr>
          <w:rFonts w:cs="Arial"/>
        </w:rPr>
        <w:t>;</w:t>
      </w:r>
    </w:p>
    <w:p w14:paraId="41FB65D5" w14:textId="77777777" w:rsidR="008558F5" w:rsidRPr="00177E3D" w:rsidRDefault="008558F5" w:rsidP="00EE6D3D">
      <w:pPr>
        <w:pStyle w:val="Akapitzlist"/>
        <w:numPr>
          <w:ilvl w:val="0"/>
          <w:numId w:val="9"/>
        </w:numPr>
        <w:ind w:left="851" w:hanging="425"/>
        <w:rPr>
          <w:rFonts w:cs="Arial"/>
        </w:rPr>
      </w:pPr>
      <w:r w:rsidRPr="00177E3D">
        <w:rPr>
          <w:rFonts w:cs="Arial"/>
        </w:rPr>
        <w:t>drogi dojazdowe, plac budowy i zaplecza budowy oraz zmagazynowane pryzmy gruntu utrzymywać w stanie ograniczającym pylenie; w przypadku dróg dojazdowych, placu budowy i zapleczy budowy – przez ich czyszczenie lub zraszanie w warunkach suchej i wietrznej pogody, w przypadku pryzm gruntu – przez ich hydroobsiew, zraszanie lub przykrywanie w warunkach suchej i wietrznej pogody</w:t>
      </w:r>
      <w:r w:rsidRPr="00177E3D">
        <w:rPr>
          <w:rFonts w:cs="Arial"/>
        </w:rPr>
        <w:t>.</w:t>
      </w:r>
    </w:p>
    <w:p w14:paraId="647E76AA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  <w:b/>
        </w:rPr>
      </w:pPr>
      <w:r w:rsidRPr="00177E3D">
        <w:rPr>
          <w:rFonts w:cs="Arial"/>
        </w:rPr>
        <w:t>Obiekty budowlan</w:t>
      </w:r>
      <w:r w:rsidRPr="00177E3D">
        <w:rPr>
          <w:rFonts w:cs="Arial"/>
        </w:rPr>
        <w:t>e, zlokalizowane w sąsiedztwie miejsc prowadzenia prac budowlanych, należy chronić przed skutkami nadmiernych wibracji</w:t>
      </w:r>
      <w:r w:rsidRPr="00177E3D">
        <w:rPr>
          <w:rFonts w:cs="Arial"/>
        </w:rPr>
        <w:t>:</w:t>
      </w:r>
    </w:p>
    <w:p w14:paraId="629B533D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lastRenderedPageBreak/>
        <w:t>p</w:t>
      </w:r>
      <w:r w:rsidRPr="00177E3D">
        <w:rPr>
          <w:rFonts w:cs="Arial"/>
        </w:rPr>
        <w:t>rzed przystąpieniem do prac budowlanych, w trakcie których będą wykorzystywane maszyny i urządzenia mogące być źródłem drgań technologicznych (</w:t>
      </w:r>
      <w:r w:rsidRPr="00177E3D">
        <w:rPr>
          <w:rFonts w:cs="Arial"/>
        </w:rPr>
        <w:t>w tym: walce statyczne i wibracyjne, ubijaki mechaniczne, płyty wibracyjne)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należy dokonać oceny stanu technicznego budynków zlokalizowanych w odległości do </w:t>
      </w:r>
      <w:r w:rsidRPr="00177E3D">
        <w:rPr>
          <w:rFonts w:cs="Arial"/>
        </w:rPr>
        <w:t>2</w:t>
      </w:r>
      <w:r w:rsidRPr="00177E3D">
        <w:rPr>
          <w:rFonts w:cs="Arial"/>
        </w:rPr>
        <w:t>0 m od źródła drgań oraz oceny ich podatności na drgania</w:t>
      </w:r>
      <w:r w:rsidRPr="00177E3D">
        <w:rPr>
          <w:rFonts w:cs="Arial"/>
        </w:rPr>
        <w:t>. W przypadku miejsc, gdzie prace będą prowadzone z wykorzystaniem walców wibracyjnych, ocen t</w:t>
      </w:r>
      <w:r w:rsidRPr="00177E3D">
        <w:rPr>
          <w:rFonts w:cs="Arial"/>
        </w:rPr>
        <w:t>ych</w:t>
      </w:r>
      <w:r w:rsidRPr="00177E3D">
        <w:rPr>
          <w:rFonts w:cs="Arial"/>
        </w:rPr>
        <w:t xml:space="preserve"> należy dokonać w</w:t>
      </w:r>
      <w:r w:rsidRPr="00177E3D">
        <w:rPr>
          <w:rFonts w:cs="Arial"/>
        </w:rPr>
        <w:t> </w:t>
      </w:r>
      <w:r w:rsidRPr="00177E3D">
        <w:rPr>
          <w:rFonts w:cs="Arial"/>
        </w:rPr>
        <w:t>odległości do 60 m od źródła drgań;</w:t>
      </w:r>
    </w:p>
    <w:p w14:paraId="7BD5322F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t>parametry pracy maszyn i urządzeń będących źródłem drgań dostosować do stanu technicznego budynków znajdujących się w zasięgu oddziaływania tych drgań;</w:t>
      </w:r>
    </w:p>
    <w:p w14:paraId="3CF32BE9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podczas prowadzenia prac, o których mowa w </w:t>
      </w:r>
      <w:r w:rsidRPr="00177E3D">
        <w:rPr>
          <w:rFonts w:cs="Arial"/>
        </w:rPr>
        <w:t xml:space="preserve">lit. </w:t>
      </w:r>
      <w:r w:rsidRPr="00177E3D">
        <w:rPr>
          <w:rFonts w:cs="Arial"/>
        </w:rPr>
        <w:t>a, należy monitorować stan techniczny budynków, z których oceny wynika, że emitowane drgania mogą być szkodliwe dla ich konstrukcji, a także poziom drgań i ich wpływ na konstrukcję tych budynków;</w:t>
      </w:r>
    </w:p>
    <w:p w14:paraId="57E866C7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jeżeli przeprowadzona ocena i monitoring, o których mowa w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a i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c, wykażą możliwość wystąpienia szkodliwego wpływu drgań na konstrukcję budynków, prace budowlane, o których mowa w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a, należy prowadzić z zastosowaniem technologii bezwibracyjnych (np. stosowanie </w:t>
      </w:r>
      <w:r w:rsidRPr="00177E3D">
        <w:rPr>
          <w:rFonts w:cs="Arial"/>
        </w:rPr>
        <w:t>walców statycznych</w:t>
      </w:r>
      <w:r w:rsidRPr="00177E3D">
        <w:rPr>
          <w:rFonts w:cs="Arial"/>
        </w:rPr>
        <w:t>) lub z wykorzystaniem maszyn i urządzeń o niskiej emisji drgań (np. do zagęszczania gruntu podczas zasypywania wykopów stosować maszyny i urządzenia nieprzekraczające masy 300 kg);</w:t>
      </w:r>
    </w:p>
    <w:p w14:paraId="09BBD808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ocena i monitoring, o których mowa w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a i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c, powinny być przeprowadzone przez osobę posiadającą uprawnienia budowlane;</w:t>
      </w:r>
    </w:p>
    <w:p w14:paraId="065B686D" w14:textId="77777777" w:rsidR="008558F5" w:rsidRPr="00177E3D" w:rsidRDefault="008558F5" w:rsidP="00EE6D3D">
      <w:pPr>
        <w:pStyle w:val="Akapitzlist"/>
        <w:numPr>
          <w:ilvl w:val="0"/>
          <w:numId w:val="10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ocena i monitoring, o których mowa w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a i 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c, powinny być przeprowadzone zgodnie z odpowiednimi normami znajdującymi się w zbiorze Polskich Norm</w:t>
      </w:r>
      <w:r w:rsidRPr="00177E3D">
        <w:rPr>
          <w:rFonts w:cs="Arial"/>
        </w:rPr>
        <w:t>.</w:t>
      </w:r>
    </w:p>
    <w:p w14:paraId="7BC1D5F1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</w:rPr>
        <w:t xml:space="preserve">Należy ograniczyć emisję hałasu na etapie budowy przedsięwzięcia: </w:t>
      </w:r>
    </w:p>
    <w:p w14:paraId="56396F2B" w14:textId="77777777" w:rsidR="008558F5" w:rsidRPr="00177E3D" w:rsidRDefault="008558F5" w:rsidP="00846A07">
      <w:pPr>
        <w:pStyle w:val="Akapitzlist"/>
        <w:ind w:left="851" w:hanging="425"/>
        <w:rPr>
          <w:rFonts w:cs="Arial"/>
        </w:rPr>
      </w:pPr>
      <w:bookmarkStart w:id="7" w:name="_Hlk122524733"/>
      <w:r w:rsidRPr="00177E3D">
        <w:rPr>
          <w:rFonts w:cs="Arial"/>
        </w:rPr>
        <w:t xml:space="preserve">zabrania się prowadzenia </w:t>
      </w:r>
      <w:r w:rsidRPr="00177E3D">
        <w:rPr>
          <w:rFonts w:cs="Arial"/>
        </w:rPr>
        <w:t>p</w:t>
      </w:r>
      <w:r w:rsidRPr="00177E3D">
        <w:rPr>
          <w:rFonts w:cs="Arial"/>
        </w:rPr>
        <w:t>rac budowlan</w:t>
      </w:r>
      <w:r w:rsidRPr="00177E3D">
        <w:rPr>
          <w:rFonts w:cs="Arial"/>
        </w:rPr>
        <w:t>ych</w:t>
      </w:r>
      <w:r w:rsidRPr="00177E3D">
        <w:rPr>
          <w:rFonts w:cs="Arial"/>
        </w:rPr>
        <w:t xml:space="preserve"> na terenach występujących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odległości do </w:t>
      </w:r>
      <w:r w:rsidRPr="00177E3D">
        <w:rPr>
          <w:rFonts w:cs="Arial"/>
        </w:rPr>
        <w:t>1</w:t>
      </w:r>
      <w:r w:rsidRPr="00177E3D">
        <w:rPr>
          <w:rFonts w:cs="Arial"/>
        </w:rPr>
        <w:t xml:space="preserve">00 m </w:t>
      </w:r>
      <w:r w:rsidRPr="00177E3D">
        <w:rPr>
          <w:rFonts w:cs="Arial"/>
        </w:rPr>
        <w:t>od</w:t>
      </w:r>
      <w:r w:rsidRPr="00177E3D">
        <w:rPr>
          <w:rFonts w:cs="Arial"/>
        </w:rPr>
        <w:t xml:space="preserve"> obszarów chronionych akustycznie </w:t>
      </w:r>
      <w:r w:rsidRPr="00177E3D">
        <w:rPr>
          <w:rFonts w:cs="Arial"/>
        </w:rPr>
        <w:t>w porze nocnej, tj.</w:t>
      </w:r>
      <w:r w:rsidRPr="00177E3D">
        <w:rPr>
          <w:rFonts w:cs="Arial"/>
        </w:rPr>
        <w:t> 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godzinach 22:00 – </w:t>
      </w:r>
      <w:r w:rsidRPr="00177E3D">
        <w:rPr>
          <w:rFonts w:cs="Arial"/>
        </w:rPr>
        <w:t>6:00</w:t>
      </w:r>
      <w:r w:rsidRPr="00177E3D">
        <w:rPr>
          <w:rFonts w:cs="Arial"/>
        </w:rPr>
        <w:t xml:space="preserve"> (poniedziałek – sobota</w:t>
      </w:r>
      <w:r w:rsidRPr="00177E3D">
        <w:rPr>
          <w:rFonts w:cs="Arial"/>
        </w:rPr>
        <w:t>)</w:t>
      </w:r>
      <w:r w:rsidRPr="00177E3D">
        <w:rPr>
          <w:rFonts w:cs="Arial"/>
        </w:rPr>
        <w:t>, oraz w dniach ustawowo wolnych od pracy</w:t>
      </w:r>
      <w:r w:rsidRPr="00177E3D">
        <w:rPr>
          <w:rFonts w:cs="Arial"/>
        </w:rPr>
        <w:t>;</w:t>
      </w:r>
    </w:p>
    <w:p w14:paraId="746A9EC2" w14:textId="77777777" w:rsidR="008558F5" w:rsidRPr="00177E3D" w:rsidRDefault="008558F5" w:rsidP="00846A07">
      <w:pPr>
        <w:pStyle w:val="Akapitzlist"/>
        <w:ind w:left="851" w:hanging="425"/>
        <w:rPr>
          <w:rFonts w:cs="Arial"/>
        </w:rPr>
      </w:pPr>
      <w:r w:rsidRPr="00177E3D">
        <w:t xml:space="preserve">dopuszcza się prowadzenie prac, o których mowa w lit. a, </w:t>
      </w:r>
      <w:bookmarkStart w:id="8" w:name="_Hlk103844549"/>
      <w:r w:rsidRPr="00177E3D">
        <w:t xml:space="preserve">również w porze nocnej oraz w dniach ustawowo wolnych od pracy, jeżeli ich technologia wymaga zachowania ciągłości </w:t>
      </w:r>
      <w:bookmarkEnd w:id="8"/>
      <w:r w:rsidRPr="00177E3D">
        <w:t>robót</w:t>
      </w:r>
      <w:r w:rsidRPr="00177E3D">
        <w:t xml:space="preserve"> </w:t>
      </w:r>
      <w:r w:rsidRPr="00177E3D">
        <w:t>(</w:t>
      </w:r>
      <w:r w:rsidRPr="00177E3D">
        <w:t>układanie nawierzchni betonowej, asfaltowej, wykonywanie ustroju nośnego obiektów mostowych, odwadnianie wykopów budowlanych, usuwanie kolizji z sieciami przesyłowymi</w:t>
      </w:r>
      <w:r w:rsidRPr="00177E3D">
        <w:t>)</w:t>
      </w:r>
      <w:r w:rsidRPr="00177E3D">
        <w:t>, pod następującymi warunkami:</w:t>
      </w:r>
    </w:p>
    <w:p w14:paraId="39596606" w14:textId="77777777" w:rsidR="008558F5" w:rsidRPr="00177E3D" w:rsidRDefault="008558F5" w:rsidP="00EE6D3D">
      <w:pPr>
        <w:pStyle w:val="Akapitzlist"/>
        <w:numPr>
          <w:ilvl w:val="0"/>
          <w:numId w:val="11"/>
        </w:numPr>
        <w:ind w:left="1276" w:hanging="426"/>
        <w:rPr>
          <w:rFonts w:cs="Arial"/>
        </w:rPr>
      </w:pPr>
      <w:r w:rsidRPr="00177E3D">
        <w:t>po uprzednim zawiadomieniu, z 1-tygodniowym wyprzedzeniem, mieszkańców terenów narażonych na hałas, a także władz właściwego miejscowo samorządu gminnego o miejscu i czasie trwania prac;</w:t>
      </w:r>
    </w:p>
    <w:p w14:paraId="35ABBD3C" w14:textId="77777777" w:rsidR="008558F5" w:rsidRPr="00177E3D" w:rsidRDefault="008558F5" w:rsidP="00EE6D3D">
      <w:pPr>
        <w:pStyle w:val="Akapitzlist"/>
        <w:numPr>
          <w:ilvl w:val="0"/>
          <w:numId w:val="11"/>
        </w:numPr>
        <w:ind w:left="1276" w:hanging="426"/>
        <w:rPr>
          <w:rFonts w:cs="Arial"/>
        </w:rPr>
      </w:pPr>
      <w:r w:rsidRPr="00177E3D">
        <w:t>przy zastosowaniu na całej długości frontu robót przenośnych ekranów akustycznych, osłon lub obudów o izolacyjności akustycznej wynoszącej minimum 15 dB, o wysokości większej o co najmniej 1 m w stosunku do źródła hałasu i nie niższej niż 2 m, a w przypadku stacjonarnych źródeł hałasu: dodatkowo z zastosowaniem mat wibroakustycznych;</w:t>
      </w:r>
    </w:p>
    <w:p w14:paraId="18878476" w14:textId="77777777" w:rsidR="008558F5" w:rsidRPr="00177E3D" w:rsidRDefault="008558F5" w:rsidP="003D140E">
      <w:pPr>
        <w:pStyle w:val="Akapitzlist"/>
        <w:ind w:left="851" w:hanging="425"/>
        <w:rPr>
          <w:rFonts w:cs="Arial"/>
        </w:rPr>
      </w:pPr>
      <w:r w:rsidRPr="00177E3D">
        <w:rPr>
          <w:rFonts w:cs="Arial"/>
        </w:rPr>
        <w:t>szlifowanie szyn należy prowadzić wyłącznie w porze dziennej</w:t>
      </w:r>
      <w:r w:rsidRPr="00177E3D">
        <w:t>.</w:t>
      </w:r>
    </w:p>
    <w:bookmarkEnd w:id="7"/>
    <w:p w14:paraId="21F1584B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  <w:b/>
        </w:rPr>
      </w:pPr>
      <w:r w:rsidRPr="00177E3D">
        <w:rPr>
          <w:rFonts w:cs="Arial"/>
        </w:rPr>
        <w:lastRenderedPageBreak/>
        <w:t xml:space="preserve">Gospodarkę odpadami należy prowadzić w </w:t>
      </w:r>
      <w:r w:rsidRPr="00177E3D">
        <w:rPr>
          <w:rFonts w:cs="Arial"/>
        </w:rPr>
        <w:t xml:space="preserve">następujący </w:t>
      </w:r>
      <w:r w:rsidRPr="00177E3D">
        <w:rPr>
          <w:rFonts w:cs="Arial"/>
        </w:rPr>
        <w:t>sposób</w:t>
      </w:r>
      <w:r w:rsidRPr="00177E3D">
        <w:rPr>
          <w:rFonts w:cs="Arial"/>
        </w:rPr>
        <w:t>:</w:t>
      </w:r>
      <w:r w:rsidRPr="00177E3D">
        <w:rPr>
          <w:rFonts w:cs="Arial"/>
        </w:rPr>
        <w:t xml:space="preserve"> </w:t>
      </w:r>
    </w:p>
    <w:p w14:paraId="42D4FC47" w14:textId="77777777" w:rsidR="008558F5" w:rsidRPr="00177E3D" w:rsidRDefault="008558F5" w:rsidP="00EE6D3D">
      <w:pPr>
        <w:pStyle w:val="Akapitzlist"/>
        <w:numPr>
          <w:ilvl w:val="0"/>
          <w:numId w:val="13"/>
        </w:numPr>
        <w:ind w:left="851" w:hanging="425"/>
        <w:rPr>
          <w:rFonts w:cs="Arial"/>
        </w:rPr>
      </w:pPr>
      <w:r w:rsidRPr="00177E3D">
        <w:rPr>
          <w:rFonts w:cs="Arial"/>
        </w:rPr>
        <w:t>odpady powsta</w:t>
      </w:r>
      <w:r w:rsidRPr="00177E3D">
        <w:rPr>
          <w:rFonts w:cs="Arial"/>
        </w:rPr>
        <w:t>jące</w:t>
      </w:r>
      <w:r w:rsidRPr="00177E3D">
        <w:rPr>
          <w:rFonts w:cs="Arial"/>
        </w:rPr>
        <w:t xml:space="preserve"> na etapie realizacji przedsięwzięcia należy magazynować na terenie specjalnie przygotowanych placów zlokalizowanych w obrębie zaplecza budowy;</w:t>
      </w:r>
    </w:p>
    <w:p w14:paraId="7FDF111F" w14:textId="77777777" w:rsidR="008558F5" w:rsidRPr="00177E3D" w:rsidRDefault="008558F5" w:rsidP="00A23A06">
      <w:pPr>
        <w:pStyle w:val="Akapitzlist"/>
        <w:numPr>
          <w:ilvl w:val="0"/>
          <w:numId w:val="13"/>
        </w:numPr>
        <w:ind w:left="851" w:hanging="425"/>
      </w:pPr>
      <w:r w:rsidRPr="00177E3D">
        <w:t>dopuszcza się magazynowanie odpadów:</w:t>
      </w:r>
    </w:p>
    <w:p w14:paraId="2BA0D098" w14:textId="77777777" w:rsidR="008558F5" w:rsidRPr="00177E3D" w:rsidRDefault="008558F5" w:rsidP="008558F5">
      <w:pPr>
        <w:pStyle w:val="Akapitzlist"/>
        <w:numPr>
          <w:ilvl w:val="0"/>
          <w:numId w:val="37"/>
        </w:numPr>
        <w:ind w:left="1276" w:hanging="425"/>
      </w:pPr>
      <w:r w:rsidRPr="00177E3D">
        <w:t>powstałych z wycinki drzew i krzewów (kod: 02 01 07);</w:t>
      </w:r>
    </w:p>
    <w:p w14:paraId="536F1449" w14:textId="77777777" w:rsidR="008558F5" w:rsidRPr="00177E3D" w:rsidRDefault="008558F5" w:rsidP="008558F5">
      <w:pPr>
        <w:pStyle w:val="Akapitzlist"/>
        <w:numPr>
          <w:ilvl w:val="0"/>
          <w:numId w:val="37"/>
        </w:numPr>
        <w:ind w:left="1276" w:hanging="425"/>
      </w:pPr>
      <w:r w:rsidRPr="00177E3D">
        <w:rPr>
          <w:rFonts w:cs="Arial"/>
        </w:rPr>
        <w:t>gleby i ziemi, w tym kamieni, niezawierających substancji niebezpiecznych (kod: 17 05 04)</w:t>
      </w:r>
    </w:p>
    <w:p w14:paraId="676A0FC8" w14:textId="77777777" w:rsidR="008558F5" w:rsidRPr="00177E3D" w:rsidRDefault="008558F5" w:rsidP="00A23A06">
      <w:pPr>
        <w:pStyle w:val="Akapitzlist"/>
        <w:numPr>
          <w:ilvl w:val="0"/>
          <w:numId w:val="0"/>
        </w:numPr>
        <w:ind w:left="851"/>
        <w:rPr>
          <w:rFonts w:cs="Arial"/>
        </w:rPr>
      </w:pPr>
      <w:r w:rsidRPr="00177E3D">
        <w:t>w stosach lub pryzmach w wyznaczonym miejscu poza zapleczem budowy, z wyjątkiem miejsc, o których mowa w pkt 2;</w:t>
      </w:r>
    </w:p>
    <w:p w14:paraId="6AEC4EA2" w14:textId="77777777" w:rsidR="008558F5" w:rsidRPr="00177E3D" w:rsidRDefault="008558F5" w:rsidP="00EE6D3D">
      <w:pPr>
        <w:pStyle w:val="Akapitzlist"/>
        <w:numPr>
          <w:ilvl w:val="0"/>
          <w:numId w:val="13"/>
        </w:numPr>
        <w:ind w:left="851" w:hanging="425"/>
        <w:rPr>
          <w:rFonts w:cs="Arial"/>
        </w:rPr>
      </w:pPr>
      <w:r w:rsidRPr="00177E3D">
        <w:rPr>
          <w:rFonts w:cs="Arial"/>
        </w:rPr>
        <w:t>place przeznaczone do magazynowania odpadów niebezpiecznych należy zlokalizować na utwardzonym i uszczelnionym podłożu;</w:t>
      </w:r>
    </w:p>
    <w:p w14:paraId="06919B09" w14:textId="77777777" w:rsidR="008558F5" w:rsidRPr="00177E3D" w:rsidRDefault="008558F5" w:rsidP="00EE6D3D">
      <w:pPr>
        <w:pStyle w:val="Akapitzlist"/>
        <w:numPr>
          <w:ilvl w:val="0"/>
          <w:numId w:val="13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podłoże, o którym mowa w lit. </w:t>
      </w:r>
      <w:r w:rsidRPr="00177E3D">
        <w:rPr>
          <w:rFonts w:cs="Arial"/>
        </w:rPr>
        <w:t>c</w:t>
      </w:r>
      <w:r w:rsidRPr="00177E3D">
        <w:rPr>
          <w:rFonts w:cs="Arial"/>
        </w:rPr>
        <w:t>, należy wykonać przy użyciu wodoodpornych i</w:t>
      </w:r>
      <w:r w:rsidRPr="00177E3D">
        <w:rPr>
          <w:rFonts w:cs="Arial"/>
        </w:rPr>
        <w:t> </w:t>
      </w:r>
      <w:r w:rsidRPr="00177E3D">
        <w:rPr>
          <w:rFonts w:cs="Arial"/>
        </w:rPr>
        <w:t>mrozoodpornych płyt betonowych o klasie wytrzymałości minimum C35/45 uszczelnionych za pomocą elastycznych spoin odpornych na działanie czynników atmosferycznych (temperatury, promieni UV, deszczu i powietrza) oraz substancji chemicznych lub przy użyciu geomembran;</w:t>
      </w:r>
    </w:p>
    <w:p w14:paraId="1AF55741" w14:textId="77777777" w:rsidR="008558F5" w:rsidRPr="00177E3D" w:rsidRDefault="008558F5" w:rsidP="00EE6D3D">
      <w:pPr>
        <w:pStyle w:val="Akapitzlist"/>
        <w:numPr>
          <w:ilvl w:val="0"/>
          <w:numId w:val="13"/>
        </w:numPr>
        <w:ind w:left="851" w:hanging="425"/>
        <w:rPr>
          <w:rFonts w:cs="Arial"/>
        </w:rPr>
      </w:pPr>
      <w:r w:rsidRPr="00177E3D">
        <w:rPr>
          <w:rFonts w:cs="Arial"/>
        </w:rPr>
        <w:t>place i miejsca przeznaczone do magazynowania odpadów niebezpiecznych należy wyposażyć w urządzenia lub środki umożliwiające zebranie lub neutralizację odpadów, w sytuacji ich przypadkowego wydostania się z pojemników. Rodzaje i ilość tych urządzeń lub środków należy dostosować do rodzaju i ilości magazynowanych odpadów. W przypadku wydostania się odpadów z pojemników należy je niezwłocznie usunąć lub zneutralizować;</w:t>
      </w:r>
    </w:p>
    <w:p w14:paraId="512107D1" w14:textId="77777777" w:rsidR="008558F5" w:rsidRPr="00177E3D" w:rsidRDefault="008558F5" w:rsidP="00EE6D3D">
      <w:pPr>
        <w:pStyle w:val="Akapitzlist"/>
        <w:numPr>
          <w:ilvl w:val="0"/>
          <w:numId w:val="13"/>
        </w:numPr>
        <w:ind w:left="851" w:hanging="425"/>
        <w:rPr>
          <w:rFonts w:cs="Arial"/>
        </w:rPr>
      </w:pPr>
      <w:r w:rsidRPr="00177E3D">
        <w:rPr>
          <w:rFonts w:cs="Arial"/>
        </w:rPr>
        <w:t>ciekłe odpady niebezpieczne należy magazynować w</w:t>
      </w:r>
      <w:r w:rsidRPr="00177E3D">
        <w:rPr>
          <w:rFonts w:cs="Arial"/>
        </w:rPr>
        <w:t xml:space="preserve"> miejscach</w:t>
      </w:r>
      <w:r w:rsidRPr="00177E3D">
        <w:rPr>
          <w:rFonts w:cs="Arial"/>
        </w:rPr>
        <w:t xml:space="preserve"> wyposażonych w</w:t>
      </w:r>
      <w:r w:rsidRPr="00177E3D">
        <w:rPr>
          <w:rFonts w:cs="Arial"/>
        </w:rPr>
        <w:t> </w:t>
      </w:r>
      <w:r w:rsidRPr="00177E3D">
        <w:rPr>
          <w:rFonts w:cs="Arial"/>
        </w:rPr>
        <w:t>wannę zabezpieczającą do wychwytywania wycieków. Przy magazynowaniu cieczy należy stosować zasadę, że ogólna objętość zmagazynowanych cieczy nie może przekroczyć ilości stanowiącej 10</w:t>
      </w:r>
      <w:r>
        <w:rPr>
          <w:rFonts w:cs="Arial"/>
        </w:rPr>
        <w:t>-</w:t>
      </w:r>
      <w:r w:rsidRPr="00177E3D">
        <w:rPr>
          <w:rFonts w:cs="Arial"/>
        </w:rPr>
        <w:t>krotność pojemności wanny zabezpieczającej, która jednocześnie musi być większa niż pojemność największego zmagazynowanego pojemnika</w:t>
      </w:r>
      <w:r w:rsidRPr="00177E3D">
        <w:rPr>
          <w:rFonts w:cs="Arial"/>
        </w:rPr>
        <w:t>.</w:t>
      </w:r>
    </w:p>
    <w:p w14:paraId="7B35C765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color w:val="000000"/>
          <w:lang w:bidi="pl-PL"/>
        </w:rPr>
        <w:t>W toku</w:t>
      </w:r>
      <w:r w:rsidRPr="00177E3D">
        <w:rPr>
          <w:rFonts w:cs="Arial"/>
        </w:rPr>
        <w:t xml:space="preserve"> realizacji </w:t>
      </w:r>
      <w:r w:rsidRPr="00177E3D">
        <w:rPr>
          <w:rFonts w:cs="Arial"/>
        </w:rPr>
        <w:t>p</w:t>
      </w:r>
      <w:r w:rsidRPr="00177E3D">
        <w:rPr>
          <w:rFonts w:cs="Arial"/>
        </w:rPr>
        <w:t xml:space="preserve">rzedsięwzięcia </w:t>
      </w:r>
      <w:r w:rsidRPr="00177E3D">
        <w:rPr>
          <w:color w:val="000000"/>
          <w:lang w:bidi="pl-PL"/>
        </w:rPr>
        <w:t>zapewnić nadzór przyrodniczy:</w:t>
      </w:r>
    </w:p>
    <w:p w14:paraId="592F722A" w14:textId="77777777" w:rsidR="008558F5" w:rsidRPr="00177E3D" w:rsidRDefault="008558F5" w:rsidP="00EE6D3D">
      <w:pPr>
        <w:pStyle w:val="Akapitzlist"/>
        <w:numPr>
          <w:ilvl w:val="2"/>
          <w:numId w:val="11"/>
        </w:numPr>
        <w:ind w:left="851" w:hanging="425"/>
        <w:rPr>
          <w:rFonts w:cs="Arial"/>
        </w:rPr>
      </w:pPr>
      <w:r w:rsidRPr="00177E3D">
        <w:rPr>
          <w:rFonts w:cs="Arial"/>
        </w:rPr>
        <w:t>nadzór ma składać się z wykwalifikowanych specjalistów, posiadających doświadczenie praktyczne, zdobyte w trakcie pracy w terenie. Nadzór ma obejmować specjalistów posiadających wiedzę w szczególności z: herpetologii, ichtiologii, ornitologii, chiropterologii, botaniki i dendrologii. Skład nadzoru należy każdorazowo dostosowywać do aktualnie prowadzonych prac;</w:t>
      </w:r>
    </w:p>
    <w:p w14:paraId="0C3B947F" w14:textId="77777777" w:rsidR="008558F5" w:rsidRPr="00177E3D" w:rsidRDefault="008558F5" w:rsidP="00EE6D3D">
      <w:pPr>
        <w:pStyle w:val="Akapitzlist"/>
        <w:numPr>
          <w:ilvl w:val="2"/>
          <w:numId w:val="11"/>
        </w:numPr>
        <w:ind w:left="851" w:hanging="425"/>
        <w:rPr>
          <w:rFonts w:cs="Arial"/>
        </w:rPr>
      </w:pPr>
      <w:r w:rsidRPr="00177E3D">
        <w:rPr>
          <w:rFonts w:cs="Arial"/>
        </w:rPr>
        <w:t>nadz</w:t>
      </w:r>
      <w:r w:rsidRPr="00177E3D">
        <w:rPr>
          <w:rFonts w:cs="Arial"/>
        </w:rPr>
        <w:t>ór ma za zadanie</w:t>
      </w:r>
      <w:r w:rsidRPr="00177E3D">
        <w:rPr>
          <w:rFonts w:cs="Arial"/>
        </w:rPr>
        <w:t xml:space="preserve"> kontrol</w:t>
      </w:r>
      <w:r w:rsidRPr="00177E3D">
        <w:rPr>
          <w:rFonts w:cs="Arial"/>
        </w:rPr>
        <w:t>ę</w:t>
      </w:r>
      <w:r w:rsidRPr="00177E3D">
        <w:rPr>
          <w:rFonts w:cs="Arial"/>
        </w:rPr>
        <w:t xml:space="preserve"> wpływu prowadzonych prac przygotowawczych i</w:t>
      </w:r>
      <w:r w:rsidRPr="00177E3D">
        <w:rPr>
          <w:rFonts w:cs="Arial"/>
        </w:rPr>
        <w:t> </w:t>
      </w:r>
      <w:r w:rsidRPr="00177E3D">
        <w:rPr>
          <w:rFonts w:cs="Arial"/>
        </w:rPr>
        <w:t>budowlanych na gatunki flory i fauny oraz siedliska przyrodnicze</w:t>
      </w:r>
      <w:r w:rsidRPr="00177E3D">
        <w:rPr>
          <w:rFonts w:cs="Arial"/>
        </w:rPr>
        <w:t xml:space="preserve"> występujące w obszarze inwestycji i na terenach sąsiednich</w:t>
      </w:r>
      <w:r w:rsidRPr="00177E3D">
        <w:rPr>
          <w:rFonts w:cs="Arial"/>
        </w:rPr>
        <w:t xml:space="preserve">. Poszczególni specjaliści z nadzoru przyrodniczego będą przedstawiać, w ramach swoich kompetencji, wskazania co do </w:t>
      </w:r>
      <w:r w:rsidRPr="00177E3D">
        <w:rPr>
          <w:rFonts w:cs="Arial"/>
        </w:rPr>
        <w:t xml:space="preserve">sposobu </w:t>
      </w:r>
      <w:r w:rsidRPr="00177E3D">
        <w:rPr>
          <w:rFonts w:cs="Arial"/>
        </w:rPr>
        <w:t xml:space="preserve">prowadzenia prac przygotowawczych, robót budowlanych oraz eksploatacji przedsięwzięcia. Zakres i częstotliwość </w:t>
      </w:r>
      <w:r w:rsidRPr="00177E3D">
        <w:rPr>
          <w:rFonts w:cs="Arial"/>
        </w:rPr>
        <w:t xml:space="preserve">kontroli </w:t>
      </w:r>
      <w:r w:rsidRPr="00177E3D">
        <w:rPr>
          <w:rFonts w:cs="Arial"/>
        </w:rPr>
        <w:t xml:space="preserve">prowadzonych przez nadzór </w:t>
      </w:r>
      <w:r w:rsidRPr="00177E3D">
        <w:rPr>
          <w:rFonts w:cs="Arial"/>
        </w:rPr>
        <w:lastRenderedPageBreak/>
        <w:t xml:space="preserve">przyrodniczy </w:t>
      </w:r>
      <w:r w:rsidRPr="00177E3D">
        <w:rPr>
          <w:rFonts w:cs="Arial"/>
        </w:rPr>
        <w:t>należy</w:t>
      </w:r>
      <w:r w:rsidRPr="00177E3D">
        <w:rPr>
          <w:rFonts w:cs="Arial"/>
        </w:rPr>
        <w:t xml:space="preserve"> dostosowa</w:t>
      </w:r>
      <w:r w:rsidRPr="00177E3D">
        <w:rPr>
          <w:rFonts w:cs="Arial"/>
        </w:rPr>
        <w:t>ć</w:t>
      </w:r>
      <w:r w:rsidRPr="00177E3D">
        <w:rPr>
          <w:rFonts w:cs="Arial"/>
        </w:rPr>
        <w:t xml:space="preserve"> do biologii danego gatunku oraz </w:t>
      </w:r>
      <w:r w:rsidRPr="00177E3D">
        <w:rPr>
          <w:rFonts w:cs="Arial"/>
        </w:rPr>
        <w:t xml:space="preserve">do </w:t>
      </w:r>
      <w:r w:rsidRPr="00177E3D">
        <w:rPr>
          <w:rFonts w:cs="Arial"/>
        </w:rPr>
        <w:t>warunków pogodowych</w:t>
      </w:r>
      <w:r w:rsidRPr="00177E3D">
        <w:rPr>
          <w:rFonts w:cs="Arial"/>
        </w:rPr>
        <w:t>;</w:t>
      </w:r>
    </w:p>
    <w:p w14:paraId="64BC7A71" w14:textId="77777777" w:rsidR="008558F5" w:rsidRPr="00177E3D" w:rsidRDefault="008558F5" w:rsidP="00EE6D3D">
      <w:pPr>
        <w:pStyle w:val="Akapitzlist"/>
        <w:numPr>
          <w:ilvl w:val="2"/>
          <w:numId w:val="11"/>
        </w:numPr>
        <w:ind w:left="851" w:hanging="425"/>
        <w:rPr>
          <w:rFonts w:cs="Arial"/>
        </w:rPr>
      </w:pPr>
      <w:r w:rsidRPr="00177E3D">
        <w:t xml:space="preserve">nadzór nad prowadzeniem prac w sąsiedztwie gniazd myszołowa </w:t>
      </w:r>
      <w:r w:rsidRPr="00177E3D">
        <w:rPr>
          <w:color w:val="000000"/>
        </w:rPr>
        <w:t xml:space="preserve">i </w:t>
      </w:r>
      <w:r w:rsidRPr="00177E3D">
        <w:t>kruka (km 18+200-18+500, strona lewa)</w:t>
      </w:r>
      <w:r w:rsidRPr="00177E3D">
        <w:t>;</w:t>
      </w:r>
    </w:p>
    <w:p w14:paraId="2DB224A2" w14:textId="77777777" w:rsidR="008558F5" w:rsidRPr="00177E3D" w:rsidRDefault="008558F5" w:rsidP="00EE6D3D">
      <w:pPr>
        <w:pStyle w:val="Akapitzlist"/>
        <w:numPr>
          <w:ilvl w:val="2"/>
          <w:numId w:val="11"/>
        </w:numPr>
        <w:ind w:left="851" w:hanging="425"/>
        <w:rPr>
          <w:rFonts w:cs="Arial"/>
        </w:rPr>
      </w:pPr>
      <w:r w:rsidRPr="00177E3D">
        <w:rPr>
          <w:color w:val="000000"/>
          <w:lang w:bidi="pl-PL"/>
        </w:rPr>
        <w:t xml:space="preserve">kontrola wszystkich obiektów budowlanych (w tym mostowych) przeznaczonych do </w:t>
      </w:r>
      <w:r w:rsidRPr="00177E3D">
        <w:rPr>
          <w:rFonts w:cs="Arial"/>
        </w:rPr>
        <w:t>pr</w:t>
      </w:r>
      <w:r w:rsidRPr="00177E3D">
        <w:rPr>
          <w:color w:val="000000"/>
          <w:lang w:bidi="pl-PL"/>
        </w:rPr>
        <w:t xml:space="preserve">zebudowy lub rozbiórki pod kątem zasiedlenia ich przez ptaki i nietoperze. Kontrolę </w:t>
      </w:r>
      <w:r w:rsidRPr="00177E3D">
        <w:rPr>
          <w:color w:val="000000"/>
          <w:lang w:bidi="pl-PL"/>
        </w:rPr>
        <w:t>obowiązani są przeprowadzić</w:t>
      </w:r>
      <w:r w:rsidRPr="00177E3D">
        <w:rPr>
          <w:color w:val="000000"/>
          <w:lang w:bidi="pl-PL"/>
        </w:rPr>
        <w:t xml:space="preserve"> </w:t>
      </w:r>
      <w:r w:rsidRPr="00177E3D">
        <w:rPr>
          <w:color w:val="000000"/>
          <w:lang w:bidi="pl-PL"/>
        </w:rPr>
        <w:t xml:space="preserve">specjaliści z nadzoru przyrodniczego – </w:t>
      </w:r>
      <w:r w:rsidRPr="00177E3D">
        <w:rPr>
          <w:color w:val="000000"/>
          <w:lang w:bidi="pl-PL"/>
        </w:rPr>
        <w:t xml:space="preserve">ornitolog i chiropterolog maksymalnie na 3 dni przed rozpoczęciem prac. W przypadku stwierdzenia </w:t>
      </w:r>
      <w:r w:rsidRPr="00177E3D">
        <w:rPr>
          <w:rFonts w:cs="Arial"/>
        </w:rPr>
        <w:t>lęgów ptaków lub bytowania nietoperzy</w:t>
      </w:r>
      <w:r w:rsidRPr="00177E3D">
        <w:rPr>
          <w:color w:val="000000"/>
          <w:lang w:bidi="pl-PL"/>
        </w:rPr>
        <w:t>, należy wstrzymać prace na obiektach oraz podjąć działania określone przez odpowiednio specjalistę ornitologa lub chiropterologa;</w:t>
      </w:r>
    </w:p>
    <w:p w14:paraId="26341DB1" w14:textId="77777777" w:rsidR="008558F5" w:rsidRPr="00177E3D" w:rsidRDefault="008558F5" w:rsidP="00EE6D3D">
      <w:pPr>
        <w:pStyle w:val="Akapitzlist"/>
        <w:numPr>
          <w:ilvl w:val="2"/>
          <w:numId w:val="11"/>
        </w:numPr>
        <w:ind w:left="851" w:hanging="425"/>
        <w:rPr>
          <w:rFonts w:cs="Arial"/>
        </w:rPr>
      </w:pPr>
      <w:r w:rsidRPr="00177E3D">
        <w:rPr>
          <w:rFonts w:cs="Arial"/>
        </w:rPr>
        <w:t>coroczne raporty z rezultatów nadzoru przyrodniczego należy przekazywać do GDOŚ i RDOŚ w Gdańsku do końca marca następnego roku. W raportach należy zawrzeć m.in.: wyniki przeprowadzonych kontroli, stwierdzone zagrożenia, wnioski co do skuteczności działań minimalizujących określonych w decyzji, informacje o podjętych dodatkowych działaniach minimalizujących.</w:t>
      </w:r>
    </w:p>
    <w:p w14:paraId="3863C3AD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 xml:space="preserve">Przed rozpoczęciem prac budowlanych, przy udziale specjalisty </w:t>
      </w:r>
      <w:r w:rsidRPr="00177E3D">
        <w:rPr>
          <w:rFonts w:cs="Arial"/>
        </w:rPr>
        <w:t>botanika</w:t>
      </w:r>
      <w:r w:rsidRPr="00177E3D">
        <w:rPr>
          <w:rFonts w:cs="Arial"/>
        </w:rPr>
        <w:t xml:space="preserve"> z nadzoru przyrodniczego</w:t>
      </w:r>
      <w:r>
        <w:rPr>
          <w:rFonts w:cs="Arial"/>
        </w:rPr>
        <w:t>,</w:t>
      </w:r>
      <w:r w:rsidRPr="00177E3D">
        <w:rPr>
          <w:rFonts w:cs="Arial"/>
        </w:rPr>
        <w:t xml:space="preserve"> należy</w:t>
      </w:r>
      <w:r w:rsidRPr="00177E3D">
        <w:rPr>
          <w:rFonts w:cs="Arial"/>
        </w:rPr>
        <w:t xml:space="preserve"> od strony linii kolejow</w:t>
      </w:r>
      <w:r w:rsidRPr="00177E3D">
        <w:rPr>
          <w:rFonts w:cs="Arial"/>
        </w:rPr>
        <w:t>ej</w:t>
      </w:r>
      <w:r w:rsidRPr="00177E3D">
        <w:rPr>
          <w:rFonts w:cs="Arial"/>
        </w:rPr>
        <w:t xml:space="preserve"> wygrodzić płaty siedlisk przyrodniczych będących przedmiotem zainteresowania </w:t>
      </w:r>
      <w:r w:rsidRPr="00177E3D">
        <w:rPr>
          <w:rFonts w:cs="Arial"/>
        </w:rPr>
        <w:t xml:space="preserve">Unii </w:t>
      </w:r>
      <w:r w:rsidRPr="00177E3D">
        <w:rPr>
          <w:rFonts w:cs="Arial"/>
        </w:rPr>
        <w:t>Europejski</w:t>
      </w:r>
      <w:r w:rsidRPr="00177E3D">
        <w:rPr>
          <w:rFonts w:cs="Arial"/>
        </w:rPr>
        <w:t>ej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 xml:space="preserve">Wygrodzenie ma </w:t>
      </w:r>
      <w:r w:rsidRPr="00177E3D">
        <w:rPr>
          <w:rFonts w:cs="Arial"/>
        </w:rPr>
        <w:t>być oznaczone</w:t>
      </w:r>
      <w:r w:rsidRPr="00177E3D">
        <w:rPr>
          <w:rFonts w:cs="Arial"/>
        </w:rPr>
        <w:t xml:space="preserve"> t</w:t>
      </w:r>
      <w:r w:rsidRPr="00177E3D">
        <w:rPr>
          <w:rFonts w:cs="Arial"/>
        </w:rPr>
        <w:t>aśm</w:t>
      </w:r>
      <w:r w:rsidRPr="00177E3D">
        <w:rPr>
          <w:rFonts w:cs="Arial"/>
        </w:rPr>
        <w:t>ą</w:t>
      </w:r>
      <w:r w:rsidRPr="00177E3D">
        <w:rPr>
          <w:rFonts w:cs="Arial"/>
        </w:rPr>
        <w:t xml:space="preserve"> ostrzegawcz</w:t>
      </w:r>
      <w:r w:rsidRPr="00177E3D">
        <w:rPr>
          <w:rFonts w:cs="Arial"/>
        </w:rPr>
        <w:t>ą</w:t>
      </w:r>
      <w:r w:rsidRPr="00177E3D">
        <w:rPr>
          <w:rFonts w:cs="Arial"/>
        </w:rPr>
        <w:t xml:space="preserve"> w jaskrawym kolorze, o szerokości minimum </w:t>
      </w:r>
      <w:r w:rsidRPr="00177E3D">
        <w:rPr>
          <w:rFonts w:cs="Arial"/>
        </w:rPr>
        <w:t>7</w:t>
      </w:r>
      <w:r w:rsidRPr="00177E3D">
        <w:rPr>
          <w:rFonts w:cs="Arial"/>
        </w:rPr>
        <w:t xml:space="preserve"> cm,</w:t>
      </w:r>
      <w:r w:rsidRPr="00177E3D">
        <w:rPr>
          <w:rFonts w:cs="Arial"/>
        </w:rPr>
        <w:t xml:space="preserve"> rozpiętą na wysokości 1,0-1,5 m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oraz tablic</w:t>
      </w:r>
      <w:r w:rsidRPr="00177E3D">
        <w:rPr>
          <w:rFonts w:cs="Arial"/>
        </w:rPr>
        <w:t>ą</w:t>
      </w:r>
      <w:r w:rsidRPr="00177E3D">
        <w:rPr>
          <w:rFonts w:cs="Arial"/>
        </w:rPr>
        <w:t xml:space="preserve"> informac</w:t>
      </w:r>
      <w:r w:rsidRPr="00177E3D">
        <w:rPr>
          <w:rFonts w:cs="Arial"/>
        </w:rPr>
        <w:t>yjną</w:t>
      </w:r>
      <w:r w:rsidRPr="00177E3D">
        <w:rPr>
          <w:rFonts w:cs="Arial"/>
        </w:rPr>
        <w:t xml:space="preserve"> o zakazie wstępu. Wygrodzeniu podlegają siedliska</w:t>
      </w:r>
      <w:r w:rsidRPr="00177E3D">
        <w:rPr>
          <w:rFonts w:cs="Arial"/>
        </w:rPr>
        <w:t xml:space="preserve"> na odcinkach wymienionych w pkt 2.</w:t>
      </w:r>
      <w:r w:rsidRPr="00177E3D">
        <w:rPr>
          <w:rFonts w:cs="Arial"/>
        </w:rPr>
        <w:t>e</w:t>
      </w:r>
      <w:r w:rsidRPr="00177E3D">
        <w:rPr>
          <w:rFonts w:cs="Arial"/>
        </w:rPr>
        <w:t>.</w:t>
      </w:r>
    </w:p>
    <w:p w14:paraId="66569C69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  <w:szCs w:val="22"/>
        </w:rPr>
        <w:t xml:space="preserve">Pod nadzorem specjalisty botanika </w:t>
      </w:r>
      <w:r w:rsidRPr="00177E3D">
        <w:rPr>
          <w:rFonts w:cs="Arial"/>
          <w:szCs w:val="22"/>
        </w:rPr>
        <w:t xml:space="preserve">z nadzoru przyrodniczego </w:t>
      </w:r>
      <w:r w:rsidRPr="00177E3D">
        <w:rPr>
          <w:rFonts w:cs="Arial"/>
          <w:szCs w:val="22"/>
        </w:rPr>
        <w:t>wykonać metaplantacj</w:t>
      </w:r>
      <w:r w:rsidRPr="00177E3D">
        <w:rPr>
          <w:rFonts w:cs="Arial"/>
          <w:szCs w:val="22"/>
        </w:rPr>
        <w:t>ę</w:t>
      </w:r>
      <w:r w:rsidRPr="00177E3D">
        <w:rPr>
          <w:rFonts w:cs="Arial"/>
          <w:szCs w:val="22"/>
        </w:rPr>
        <w:t xml:space="preserve"> (przeniesienie w środowisku) wrzośca bagiennego </w:t>
      </w:r>
      <w:r w:rsidRPr="00177E3D">
        <w:rPr>
          <w:rFonts w:cs="Arial"/>
          <w:szCs w:val="22"/>
          <w:lang w:bidi="pl-PL"/>
        </w:rPr>
        <w:t xml:space="preserve">zinwentaryzowanego </w:t>
      </w:r>
      <w:r w:rsidRPr="00177E3D">
        <w:rPr>
          <w:rFonts w:cs="Arial"/>
          <w:szCs w:val="22"/>
          <w:lang w:bidi="pl-PL"/>
        </w:rPr>
        <w:t>w</w:t>
      </w:r>
      <w:r w:rsidRPr="00177E3D">
        <w:rPr>
          <w:rFonts w:cs="Arial"/>
          <w:szCs w:val="22"/>
          <w:lang w:bidi="pl-PL"/>
        </w:rPr>
        <w:t xml:space="preserve"> km </w:t>
      </w:r>
      <w:r w:rsidRPr="00177E3D">
        <w:rPr>
          <w:rFonts w:cs="Arial"/>
          <w:szCs w:val="22"/>
          <w:lang w:bidi="pl-PL"/>
        </w:rPr>
        <w:t xml:space="preserve">około </w:t>
      </w:r>
      <w:r w:rsidRPr="00177E3D">
        <w:rPr>
          <w:rFonts w:cs="Arial"/>
          <w:szCs w:val="22"/>
          <w:lang w:bidi="pl-PL"/>
        </w:rPr>
        <w:t>48+150</w:t>
      </w:r>
      <w:r w:rsidRPr="00177E3D">
        <w:rPr>
          <w:rFonts w:cs="Arial"/>
          <w:szCs w:val="22"/>
        </w:rPr>
        <w:t>, zgodnie z poniższymi wytycznymi:</w:t>
      </w:r>
    </w:p>
    <w:p w14:paraId="23BB5CCF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przesadzanie przeprowadzić w okresie wrzesień-październik lub marzec-kwiecień;</w:t>
      </w:r>
    </w:p>
    <w:p w14:paraId="65E443EB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pobrane rośliny zabezpieczyć przed przesuszeniem i mechanicznym uszkodzeniem. Sposób zabezpieczenia ustali specjalista botanik;</w:t>
      </w:r>
    </w:p>
    <w:p w14:paraId="010E7C98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transport pobranych roślin i przesadzenie należy przeprowadzić tego samego dnia, w którym nastąpiło pobranie roślin;</w:t>
      </w:r>
    </w:p>
    <w:p w14:paraId="23CE8E1D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lokalizacje docelowych miejsc metaplantacji i miejsca formowania poszczególnych płatów ustali specjalista botanik w porozumieniu z</w:t>
      </w:r>
      <w:r w:rsidRPr="00177E3D">
        <w:rPr>
          <w:rFonts w:cs="Arial"/>
          <w:lang w:bidi="en-US"/>
        </w:rPr>
        <w:t> </w:t>
      </w:r>
      <w:r w:rsidRPr="00177E3D">
        <w:rPr>
          <w:rFonts w:cs="Arial"/>
          <w:lang w:bidi="en-US"/>
        </w:rPr>
        <w:t>przedstawicielem właściwego nadleśnictwa;</w:t>
      </w:r>
    </w:p>
    <w:p w14:paraId="462EBF89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 xml:space="preserve">prowadzić cotygodniową kontrolę wilgotności wokół przesadzonych roślin, wykonywaną </w:t>
      </w:r>
      <w:r w:rsidRPr="00177E3D">
        <w:rPr>
          <w:rFonts w:cs="Arial"/>
          <w:lang w:bidi="en-US"/>
        </w:rPr>
        <w:t>przez</w:t>
      </w:r>
      <w:r w:rsidRPr="00177E3D">
        <w:rPr>
          <w:rFonts w:cs="Arial"/>
          <w:lang w:bidi="en-US"/>
        </w:rPr>
        <w:t xml:space="preserve"> co najmniej 6 tygodni od posadzenia</w:t>
      </w:r>
      <w:r w:rsidRPr="00177E3D">
        <w:rPr>
          <w:rFonts w:cs="Arial"/>
          <w:lang w:bidi="en-US"/>
        </w:rPr>
        <w:t>.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  <w:lang w:bidi="en-US"/>
        </w:rPr>
        <w:t>W</w:t>
      </w:r>
      <w:r w:rsidRPr="00177E3D">
        <w:rPr>
          <w:rFonts w:cs="Arial"/>
          <w:lang w:bidi="en-US"/>
        </w:rPr>
        <w:t xml:space="preserve"> przypadku spadku wilgotności poniżej odpowiedniej dla </w:t>
      </w:r>
      <w:r w:rsidRPr="00177E3D">
        <w:rPr>
          <w:rFonts w:cs="Arial"/>
          <w:lang w:bidi="en-US"/>
        </w:rPr>
        <w:t xml:space="preserve">tego </w:t>
      </w:r>
      <w:r w:rsidRPr="00177E3D">
        <w:rPr>
          <w:rFonts w:cs="Arial"/>
          <w:lang w:bidi="en-US"/>
        </w:rPr>
        <w:t>gatunku, rośliny należy obficie podlać. Od kontroli można odstąpić, jeżeli w okresie 2 dni przed planowaną kontrolą suma opadów wyniesie przynajmniej 5 mm</w:t>
      </w:r>
      <w:r w:rsidRPr="00177E3D">
        <w:rPr>
          <w:rFonts w:cs="Arial"/>
          <w:lang w:bidi="en-US"/>
        </w:rPr>
        <w:t>;</w:t>
      </w:r>
    </w:p>
    <w:p w14:paraId="0A76B750" w14:textId="77777777" w:rsidR="008558F5" w:rsidRPr="00177E3D" w:rsidRDefault="008558F5" w:rsidP="00013814">
      <w:pPr>
        <w:pStyle w:val="Akapitzlist"/>
        <w:numPr>
          <w:ilvl w:val="1"/>
          <w:numId w:val="14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 xml:space="preserve">w okresie suszy rośliny należy regularnie obficie podlewać oraz </w:t>
      </w:r>
      <w:r w:rsidRPr="00177E3D">
        <w:rPr>
          <w:rFonts w:cs="Arial"/>
          <w:lang w:bidi="en-US"/>
        </w:rPr>
        <w:t>kontrolować</w:t>
      </w:r>
      <w:r w:rsidRPr="00177E3D">
        <w:rPr>
          <w:rFonts w:cs="Arial"/>
          <w:lang w:bidi="en-US"/>
        </w:rPr>
        <w:t xml:space="preserve"> ich stan zdrowotny przez okres trzech lat od przesadzenia; częstotliwość </w:t>
      </w:r>
      <w:r w:rsidRPr="00177E3D">
        <w:rPr>
          <w:rFonts w:cs="Arial"/>
          <w:lang w:bidi="en-US"/>
        </w:rPr>
        <w:t xml:space="preserve">podlewania oraz </w:t>
      </w:r>
      <w:r w:rsidRPr="00177E3D">
        <w:rPr>
          <w:rFonts w:cs="Arial"/>
          <w:lang w:bidi="en-US"/>
        </w:rPr>
        <w:t>kontroli</w:t>
      </w:r>
      <w:r w:rsidRPr="00177E3D">
        <w:rPr>
          <w:rFonts w:cs="Arial"/>
          <w:lang w:bidi="en-US"/>
        </w:rPr>
        <w:t xml:space="preserve"> określi specjalista botanik</w:t>
      </w:r>
      <w:r w:rsidRPr="00177E3D">
        <w:rPr>
          <w:rFonts w:cs="Arial"/>
          <w:lang w:bidi="en-US"/>
        </w:rPr>
        <w:t>.</w:t>
      </w:r>
    </w:p>
    <w:p w14:paraId="07632D44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lastRenderedPageBreak/>
        <w:t xml:space="preserve">Zasady prowadzenia </w:t>
      </w:r>
      <w:r w:rsidRPr="00177E3D">
        <w:rPr>
          <w:rFonts w:cs="Arial"/>
        </w:rPr>
        <w:t>wycinki roślinności</w:t>
      </w:r>
      <w:r w:rsidRPr="00177E3D">
        <w:rPr>
          <w:rFonts w:cs="Arial"/>
        </w:rPr>
        <w:t>:</w:t>
      </w:r>
    </w:p>
    <w:p w14:paraId="02CC3BD6" w14:textId="77777777" w:rsidR="008558F5" w:rsidRPr="00177E3D" w:rsidRDefault="008558F5" w:rsidP="008558F5">
      <w:pPr>
        <w:pStyle w:val="Akapitzlist"/>
        <w:numPr>
          <w:ilvl w:val="0"/>
          <w:numId w:val="38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wycinkę </w:t>
      </w:r>
      <w:r w:rsidRPr="00177E3D">
        <w:rPr>
          <w:rFonts w:cs="Arial"/>
          <w:lang w:bidi="en-US"/>
        </w:rPr>
        <w:t xml:space="preserve">drzew i </w:t>
      </w:r>
      <w:r w:rsidRPr="00177E3D">
        <w:rPr>
          <w:rFonts w:cs="Arial"/>
        </w:rPr>
        <w:t xml:space="preserve">krzewów należy ograniczyć </w:t>
      </w:r>
      <w:r w:rsidRPr="00177E3D">
        <w:rPr>
          <w:rFonts w:cs="Arial"/>
          <w:lang w:bidi="en-US"/>
        </w:rPr>
        <w:t xml:space="preserve">do egzemplarzy </w:t>
      </w:r>
      <w:r w:rsidRPr="00177E3D">
        <w:rPr>
          <w:rFonts w:cs="Arial"/>
        </w:rPr>
        <w:t xml:space="preserve">kolidujących </w:t>
      </w:r>
      <w:r w:rsidRPr="00177E3D">
        <w:rPr>
          <w:rFonts w:cs="Arial"/>
          <w:lang w:bidi="en-US"/>
        </w:rPr>
        <w:t>z </w:t>
      </w:r>
      <w:r w:rsidRPr="00177E3D">
        <w:rPr>
          <w:rFonts w:cs="Arial"/>
        </w:rPr>
        <w:t xml:space="preserve">realizacją </w:t>
      </w:r>
      <w:r w:rsidRPr="00177E3D">
        <w:rPr>
          <w:rFonts w:cs="Arial"/>
          <w:lang w:bidi="en-US"/>
        </w:rPr>
        <w:t xml:space="preserve">inwestycji i </w:t>
      </w:r>
      <w:r w:rsidRPr="00177E3D">
        <w:rPr>
          <w:rFonts w:cs="Arial"/>
        </w:rPr>
        <w:t xml:space="preserve">prowadzić </w:t>
      </w:r>
      <w:r w:rsidRPr="00177E3D">
        <w:rPr>
          <w:rFonts w:cs="Arial"/>
          <w:lang w:bidi="en-US"/>
        </w:rPr>
        <w:t xml:space="preserve">zgodnie z wytycznymi specjalistów z nadzoru przyrodniczego, </w:t>
      </w:r>
      <w:r w:rsidRPr="00177E3D">
        <w:rPr>
          <w:rFonts w:cs="Arial"/>
          <w:lang w:bidi="en-US"/>
        </w:rPr>
        <w:t>poza okresem od 1 marca do 31 sierpnia;</w:t>
      </w:r>
    </w:p>
    <w:p w14:paraId="702021B5" w14:textId="77777777" w:rsidR="008558F5" w:rsidRPr="00177E3D" w:rsidRDefault="008558F5" w:rsidP="008558F5">
      <w:pPr>
        <w:pStyle w:val="Akapitzlist"/>
        <w:numPr>
          <w:ilvl w:val="0"/>
          <w:numId w:val="38"/>
        </w:numPr>
        <w:ind w:left="851" w:hanging="425"/>
        <w:rPr>
          <w:rFonts w:cs="Arial"/>
        </w:rPr>
      </w:pPr>
      <w:r w:rsidRPr="00177E3D">
        <w:rPr>
          <w:rFonts w:cs="Arial"/>
          <w:lang w:bidi="en-US"/>
        </w:rPr>
        <w:t xml:space="preserve">na maksymalnie 3 dni przed </w:t>
      </w:r>
      <w:r w:rsidRPr="00177E3D">
        <w:rPr>
          <w:rFonts w:cs="Arial"/>
        </w:rPr>
        <w:t>wycink</w:t>
      </w:r>
      <w:r w:rsidRPr="00177E3D">
        <w:rPr>
          <w:rFonts w:cs="Arial"/>
        </w:rPr>
        <w:t>ą</w:t>
      </w:r>
      <w:r w:rsidRPr="00177E3D">
        <w:rPr>
          <w:rFonts w:cs="Arial"/>
        </w:rPr>
        <w:t xml:space="preserve"> </w:t>
      </w:r>
      <w:r w:rsidRPr="00177E3D">
        <w:rPr>
          <w:rFonts w:cs="Arial"/>
          <w:lang w:bidi="en-US"/>
        </w:rPr>
        <w:t xml:space="preserve">drzew o obwodzie pni </w:t>
      </w:r>
      <w:r w:rsidRPr="00177E3D">
        <w:rPr>
          <w:rFonts w:cs="Arial"/>
        </w:rPr>
        <w:t xml:space="preserve">powyżej </w:t>
      </w:r>
      <w:r w:rsidRPr="00177E3D">
        <w:rPr>
          <w:rFonts w:cs="Arial"/>
          <w:lang w:bidi="en-US"/>
        </w:rPr>
        <w:t xml:space="preserve">50 cm, mierzonym na </w:t>
      </w:r>
      <w:r w:rsidRPr="00177E3D">
        <w:rPr>
          <w:rFonts w:cs="Arial"/>
        </w:rPr>
        <w:t xml:space="preserve">wysokości </w:t>
      </w:r>
      <w:r w:rsidRPr="00177E3D">
        <w:rPr>
          <w:rFonts w:cs="Arial"/>
          <w:lang w:bidi="en-US"/>
        </w:rPr>
        <w:t>130 cm, oraz z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</w:rPr>
        <w:t xml:space="preserve">odstającą korą </w:t>
      </w:r>
      <w:r w:rsidRPr="00177E3D">
        <w:rPr>
          <w:rFonts w:cs="Arial"/>
          <w:lang w:bidi="en-US"/>
        </w:rPr>
        <w:t xml:space="preserve">lub </w:t>
      </w:r>
      <w:r w:rsidRPr="00177E3D">
        <w:rPr>
          <w:rFonts w:cs="Arial"/>
        </w:rPr>
        <w:t xml:space="preserve">obecnością </w:t>
      </w:r>
      <w:r w:rsidRPr="00177E3D">
        <w:rPr>
          <w:rFonts w:cs="Arial"/>
          <w:lang w:bidi="en-US"/>
        </w:rPr>
        <w:t>dziupli</w:t>
      </w:r>
      <w:r w:rsidRPr="00177E3D">
        <w:rPr>
          <w:rFonts w:cs="Arial"/>
          <w:lang w:bidi="en-US"/>
        </w:rPr>
        <w:t xml:space="preserve">, </w:t>
      </w:r>
      <w:r w:rsidRPr="00177E3D">
        <w:rPr>
          <w:rFonts w:cs="Arial"/>
        </w:rPr>
        <w:t>specjalista chiropterolog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  <w:lang w:bidi="en-US"/>
        </w:rPr>
        <w:t xml:space="preserve">z nadzoru przyrodniczego </w:t>
      </w:r>
      <w:r w:rsidRPr="00177E3D">
        <w:rPr>
          <w:rFonts w:cs="Arial"/>
          <w:lang w:bidi="en-US"/>
        </w:rPr>
        <w:t>powinien s</w:t>
      </w:r>
      <w:r w:rsidRPr="00177E3D">
        <w:rPr>
          <w:rFonts w:cs="Arial"/>
        </w:rPr>
        <w:t xml:space="preserve">kontrolować je </w:t>
      </w:r>
      <w:r w:rsidRPr="00177E3D">
        <w:rPr>
          <w:rFonts w:cs="Arial"/>
          <w:lang w:bidi="en-US"/>
        </w:rPr>
        <w:t xml:space="preserve">pod </w:t>
      </w:r>
      <w:r w:rsidRPr="00177E3D">
        <w:rPr>
          <w:rFonts w:cs="Arial"/>
        </w:rPr>
        <w:t xml:space="preserve">kątem obecności </w:t>
      </w:r>
      <w:r w:rsidRPr="00177E3D">
        <w:rPr>
          <w:rFonts w:cs="Arial"/>
          <w:lang w:bidi="en-US"/>
        </w:rPr>
        <w:t xml:space="preserve">kolonii rozrodczych nietoperzy. </w:t>
      </w:r>
      <w:r w:rsidRPr="00177E3D">
        <w:rPr>
          <w:rFonts w:cs="Arial"/>
        </w:rPr>
        <w:t>W przypadku potwierdzenia ich obecności w drzewach przeznaczonych do wycinki, należy wstrzymać wycinkę tych drzew do czasu opuszczenia przez nietoperze kryjówki rozrodczej</w:t>
      </w:r>
      <w:r w:rsidRPr="00177E3D">
        <w:rPr>
          <w:rFonts w:cs="Arial"/>
        </w:rPr>
        <w:t>.</w:t>
      </w:r>
    </w:p>
    <w:p w14:paraId="1BBA19F7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  <w:color w:val="000000"/>
          <w:lang w:bidi="pl-PL"/>
        </w:rPr>
      </w:pPr>
      <w:r w:rsidRPr="00177E3D">
        <w:rPr>
          <w:rFonts w:cs="Arial"/>
        </w:rPr>
        <w:t>N</w:t>
      </w:r>
      <w:r w:rsidRPr="00177E3D">
        <w:rPr>
          <w:rFonts w:cs="Arial"/>
          <w:lang w:bidi="en-US"/>
        </w:rPr>
        <w:t>ieprzeznaczon</w:t>
      </w:r>
      <w:r w:rsidRPr="00177E3D">
        <w:rPr>
          <w:rFonts w:cs="Arial"/>
          <w:lang w:bidi="en-US"/>
        </w:rPr>
        <w:t>e</w:t>
      </w:r>
      <w:r w:rsidRPr="00177E3D">
        <w:rPr>
          <w:rFonts w:cs="Arial"/>
          <w:lang w:bidi="en-US"/>
        </w:rPr>
        <w:t xml:space="preserve"> do </w:t>
      </w:r>
      <w:r w:rsidRPr="00177E3D">
        <w:rPr>
          <w:rFonts w:cs="Arial"/>
        </w:rPr>
        <w:t>wycinki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  <w:lang w:bidi="en-US"/>
        </w:rPr>
        <w:t>drzew</w:t>
      </w:r>
      <w:r w:rsidRPr="00177E3D">
        <w:rPr>
          <w:rFonts w:cs="Arial"/>
          <w:lang w:bidi="en-US"/>
        </w:rPr>
        <w:t>a</w:t>
      </w:r>
      <w:r w:rsidRPr="00177E3D">
        <w:rPr>
          <w:rFonts w:cs="Arial"/>
          <w:lang w:bidi="en-US"/>
        </w:rPr>
        <w:t xml:space="preserve"> i krzew</w:t>
      </w:r>
      <w:r w:rsidRPr="00177E3D">
        <w:rPr>
          <w:rFonts w:cs="Arial"/>
          <w:lang w:bidi="en-US"/>
        </w:rPr>
        <w:t>y</w:t>
      </w:r>
      <w:r w:rsidRPr="00177E3D">
        <w:rPr>
          <w:rFonts w:cs="Arial"/>
          <w:lang w:bidi="en-US"/>
        </w:rPr>
        <w:t xml:space="preserve">, </w:t>
      </w:r>
      <w:r w:rsidRPr="00177E3D">
        <w:rPr>
          <w:rFonts w:cs="Arial"/>
          <w:color w:val="000000"/>
          <w:lang w:bidi="pl-PL"/>
        </w:rPr>
        <w:t xml:space="preserve">rosnące w sąsiedztwie placu budowy i zapleczy budowy, </w:t>
      </w:r>
      <w:r w:rsidRPr="00177E3D">
        <w:rPr>
          <w:rFonts w:cs="Arial"/>
          <w:color w:val="000000"/>
          <w:lang w:bidi="pl-PL"/>
        </w:rPr>
        <w:t>należy zabezpieczyć</w:t>
      </w:r>
      <w:r w:rsidRPr="00177E3D">
        <w:rPr>
          <w:rFonts w:cs="Arial"/>
          <w:color w:val="000000"/>
          <w:lang w:bidi="pl-PL"/>
        </w:rPr>
        <w:t xml:space="preserve"> </w:t>
      </w:r>
      <w:r w:rsidRPr="00177E3D">
        <w:rPr>
          <w:rFonts w:cs="Arial"/>
          <w:color w:val="000000"/>
          <w:lang w:bidi="pl-PL"/>
        </w:rPr>
        <w:t>zgodnie z wytycznymi</w:t>
      </w:r>
      <w:r w:rsidRPr="00177E3D">
        <w:rPr>
          <w:rFonts w:cs="Arial"/>
          <w:color w:val="000000"/>
          <w:lang w:bidi="pl-PL"/>
        </w:rPr>
        <w:t xml:space="preserve"> specjalisty dendrologa</w:t>
      </w:r>
      <w:r w:rsidRPr="00177E3D">
        <w:rPr>
          <w:rFonts w:cs="Arial"/>
          <w:color w:val="000000"/>
          <w:lang w:bidi="pl-PL"/>
        </w:rPr>
        <w:t xml:space="preserve"> z nadzoru przyrodniczego</w:t>
      </w:r>
      <w:r w:rsidRPr="00177E3D">
        <w:rPr>
          <w:rFonts w:cs="Arial"/>
          <w:color w:val="000000"/>
          <w:lang w:bidi="pl-PL"/>
        </w:rPr>
        <w:t xml:space="preserve"> w</w:t>
      </w:r>
      <w:r w:rsidRPr="00177E3D">
        <w:rPr>
          <w:rFonts w:cs="Arial"/>
          <w:color w:val="000000"/>
          <w:lang w:bidi="pl-PL"/>
        </w:rPr>
        <w:t> </w:t>
      </w:r>
      <w:r w:rsidRPr="00177E3D">
        <w:rPr>
          <w:rFonts w:cs="Arial"/>
          <w:color w:val="000000"/>
          <w:lang w:bidi="pl-PL"/>
        </w:rPr>
        <w:t>następujący sposób</w:t>
      </w:r>
      <w:r w:rsidRPr="00177E3D">
        <w:rPr>
          <w:rFonts w:cs="Arial"/>
          <w:color w:val="000000"/>
          <w:lang w:bidi="pl-PL"/>
        </w:rPr>
        <w:t>:</w:t>
      </w:r>
    </w:p>
    <w:p w14:paraId="4D82D0DA" w14:textId="77777777" w:rsidR="008558F5" w:rsidRPr="00177E3D" w:rsidRDefault="008558F5" w:rsidP="00466F42">
      <w:pPr>
        <w:pStyle w:val="Akapitzlist"/>
        <w:numPr>
          <w:ilvl w:val="0"/>
          <w:numId w:val="15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należy wyznaczyć strefy ochronne drzew zgodnie z następującymi zasadami:</w:t>
      </w:r>
    </w:p>
    <w:p w14:paraId="2E9316E9" w14:textId="77777777" w:rsidR="008558F5" w:rsidRPr="00177E3D" w:rsidRDefault="008558F5" w:rsidP="008558F5">
      <w:pPr>
        <w:pStyle w:val="Akapitzlist"/>
        <w:numPr>
          <w:ilvl w:val="0"/>
          <w:numId w:val="53"/>
        </w:numPr>
        <w:ind w:left="1276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wielkość stref ochronnych należy uzależnić od gabarytów drzew przy jednoczesnym uwzględnieniu kondycji, przewidywanej długości życia oraz zdolności regeneracyjnych gatunków. Przed rozpoczęciem prac przygotowawczych i budowlanych należy wygrodzić je ogrodzeniem ochronnym o wysokości co najmniej 1,2 m;</w:t>
      </w:r>
    </w:p>
    <w:p w14:paraId="5BE2A8B5" w14:textId="77777777" w:rsidR="008558F5" w:rsidRPr="00177E3D" w:rsidRDefault="008558F5" w:rsidP="008558F5">
      <w:pPr>
        <w:pStyle w:val="Akapitzlist"/>
        <w:numPr>
          <w:ilvl w:val="0"/>
          <w:numId w:val="53"/>
        </w:numPr>
        <w:ind w:left="1276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w</w:t>
      </w:r>
      <w:r w:rsidRPr="00177E3D">
        <w:rPr>
          <w:rFonts w:cs="Arial"/>
          <w:color w:val="000000"/>
          <w:lang w:bidi="pl-PL"/>
        </w:rPr>
        <w:t xml:space="preserve"> przypadku drzew rosnących w grupie</w:t>
      </w:r>
      <w:r w:rsidRPr="00177E3D">
        <w:rPr>
          <w:rFonts w:cs="Arial"/>
          <w:color w:val="000000"/>
          <w:lang w:bidi="pl-PL"/>
        </w:rPr>
        <w:t>,</w:t>
      </w:r>
      <w:r w:rsidRPr="00177E3D">
        <w:rPr>
          <w:rFonts w:cs="Arial"/>
          <w:color w:val="000000"/>
          <w:lang w:bidi="pl-PL"/>
        </w:rPr>
        <w:t xml:space="preserve"> strefę ochrony należy wyznaczyć dla każdego drzewa z grupy, a następnie umieścić ogrodzenie ochronne obejmujące wszystkie obszary strefy ochronne drzew. Ustalając kształt stref ochronnych należy wziąć pod uwagę kształt systemu korzeniowego</w:t>
      </w:r>
      <w:r w:rsidRPr="00177E3D">
        <w:rPr>
          <w:rFonts w:cs="Arial"/>
          <w:color w:val="000000"/>
          <w:lang w:bidi="pl-PL"/>
        </w:rPr>
        <w:t>;</w:t>
      </w:r>
    </w:p>
    <w:p w14:paraId="216F0D36" w14:textId="77777777" w:rsidR="008558F5" w:rsidRPr="00177E3D" w:rsidRDefault="008558F5" w:rsidP="008558F5">
      <w:pPr>
        <w:pStyle w:val="Akapitzlist"/>
        <w:numPr>
          <w:ilvl w:val="0"/>
          <w:numId w:val="53"/>
        </w:numPr>
        <w:ind w:left="1276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strefy ochronne drzew muszą pozostać nienaruszone i niezmieniane przez cały okres trwania budowy</w:t>
      </w:r>
      <w:r w:rsidRPr="00177E3D">
        <w:rPr>
          <w:rFonts w:cs="Arial"/>
          <w:color w:val="000000"/>
          <w:lang w:bidi="pl-PL"/>
        </w:rPr>
        <w:t>;</w:t>
      </w:r>
    </w:p>
    <w:p w14:paraId="3C5A81D8" w14:textId="77777777" w:rsidR="008558F5" w:rsidRPr="00177E3D" w:rsidRDefault="008558F5" w:rsidP="00466F42">
      <w:pPr>
        <w:pStyle w:val="Akapitzlist"/>
        <w:numPr>
          <w:ilvl w:val="0"/>
          <w:numId w:val="15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w przypadku braku możliwości ogrodzenia całych stref ochronnych drzew, pozostałą poza ogrodzeniem ochronnym część strefy korzeniowej należy zabezpieczyć poprzez wysypanie warstwy około 10-15 cm drewnianych zrąbków</w:t>
      </w:r>
      <w:r w:rsidRPr="00177E3D">
        <w:rPr>
          <w:rFonts w:cs="Arial"/>
          <w:color w:val="000000"/>
          <w:lang w:bidi="pl-PL"/>
        </w:rPr>
        <w:t xml:space="preserve"> lub </w:t>
      </w:r>
      <w:r w:rsidRPr="00177E3D">
        <w:rPr>
          <w:rFonts w:cs="Arial"/>
          <w:color w:val="000000"/>
          <w:lang w:bidi="pl-PL"/>
        </w:rPr>
        <w:t xml:space="preserve">przekompostowanej kory lub kruszywa naturalnego. </w:t>
      </w:r>
      <w:r w:rsidRPr="00177E3D">
        <w:rPr>
          <w:rFonts w:cs="Arial"/>
          <w:color w:val="000000"/>
          <w:lang w:bidi="pl-PL"/>
        </w:rPr>
        <w:t>N</w:t>
      </w:r>
      <w:r w:rsidRPr="00177E3D">
        <w:rPr>
          <w:rFonts w:cs="Arial"/>
          <w:color w:val="000000"/>
          <w:lang w:bidi="pl-PL"/>
        </w:rPr>
        <w:t xml:space="preserve">a warstwie kruszywa organicznego lub naturalnego należy ułożyć metalowe, drewniane lub betonowe płyty. W przypadku konieczności przeprowadzenia maszyn przez główne korzenie drzewa, w odległości do 2 m od pnia drzew dojrzałych i starodrzewu, należy rozłożyć pomiędzy nabiegami korzeniowymi belki drewniane i ułożyć na nich płytę, po której będzie przemieszczał się sprzęt budowlany. </w:t>
      </w:r>
      <w:r w:rsidRPr="00177E3D">
        <w:rPr>
          <w:rFonts w:cs="Arial"/>
          <w:color w:val="000000"/>
          <w:lang w:bidi="pl-PL"/>
        </w:rPr>
        <w:t>D</w:t>
      </w:r>
      <w:r w:rsidRPr="00177E3D">
        <w:rPr>
          <w:rFonts w:cs="Arial"/>
          <w:color w:val="000000"/>
          <w:lang w:bidi="pl-PL"/>
        </w:rPr>
        <w:t xml:space="preserve">okładną technologię wykonania </w:t>
      </w:r>
      <w:r w:rsidRPr="00177E3D">
        <w:rPr>
          <w:rFonts w:cs="Arial"/>
          <w:color w:val="000000"/>
          <w:lang w:bidi="pl-PL"/>
        </w:rPr>
        <w:t xml:space="preserve">zabezpieczenia </w:t>
      </w:r>
      <w:r w:rsidRPr="00177E3D">
        <w:rPr>
          <w:rFonts w:cs="Arial"/>
          <w:color w:val="000000"/>
          <w:lang w:bidi="pl-PL"/>
        </w:rPr>
        <w:t>ustali specjalista dendrolog</w:t>
      </w:r>
      <w:r w:rsidRPr="00177E3D">
        <w:rPr>
          <w:rFonts w:cs="Arial"/>
          <w:color w:val="000000"/>
          <w:lang w:bidi="pl-PL"/>
        </w:rPr>
        <w:t>;</w:t>
      </w:r>
    </w:p>
    <w:p w14:paraId="77342244" w14:textId="77777777" w:rsidR="008558F5" w:rsidRPr="00177E3D" w:rsidRDefault="008558F5" w:rsidP="00466F42">
      <w:pPr>
        <w:pStyle w:val="Akapitzlist"/>
        <w:numPr>
          <w:ilvl w:val="0"/>
          <w:numId w:val="15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w strefach ochronnych drzew zakazane jest zmienianie poziomu gruntu, magazynowanie odpadów i materiałów budowlanych;</w:t>
      </w:r>
    </w:p>
    <w:p w14:paraId="26139300" w14:textId="77777777" w:rsidR="008558F5" w:rsidRPr="00177E3D" w:rsidRDefault="008558F5" w:rsidP="00466F42">
      <w:pPr>
        <w:pStyle w:val="Akapitzlist"/>
        <w:numPr>
          <w:ilvl w:val="0"/>
          <w:numId w:val="15"/>
        </w:numPr>
        <w:ind w:left="851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szCs w:val="22"/>
        </w:rPr>
        <w:t>w przypadku konieczności wykonywania wykopów w strefach ochronnych drzew:</w:t>
      </w:r>
    </w:p>
    <w:p w14:paraId="57FB2A0F" w14:textId="77777777" w:rsidR="008558F5" w:rsidRPr="00177E3D" w:rsidRDefault="008558F5" w:rsidP="008558F5">
      <w:pPr>
        <w:pStyle w:val="Akapitzlist"/>
        <w:numPr>
          <w:ilvl w:val="0"/>
          <w:numId w:val="54"/>
        </w:numPr>
        <w:ind w:left="1276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szCs w:val="22"/>
        </w:rPr>
        <w:t xml:space="preserve">należy </w:t>
      </w:r>
      <w:r w:rsidRPr="00177E3D">
        <w:rPr>
          <w:rFonts w:cs="Arial"/>
          <w:szCs w:val="22"/>
        </w:rPr>
        <w:t>je wykonywać</w:t>
      </w:r>
      <w:r w:rsidRPr="00177E3D">
        <w:rPr>
          <w:rFonts w:cs="Arial"/>
          <w:szCs w:val="22"/>
        </w:rPr>
        <w:t xml:space="preserve"> ręcznie, na krótkich odcinkach, ograniczając czas otwarcia wykopów powodujących przesuszanie bryły korzeniowej. Prace należy wykonywać w technologii </w:t>
      </w:r>
      <w:r w:rsidRPr="00177E3D">
        <w:rPr>
          <w:rFonts w:cs="Arial"/>
          <w:szCs w:val="22"/>
        </w:rPr>
        <w:t>zmniejszającej ryzyko przerwania korzeni drzew (np. z wykorzystaniem sprężonego powietrza)</w:t>
      </w:r>
      <w:r w:rsidRPr="00177E3D">
        <w:rPr>
          <w:rFonts w:cs="Arial"/>
          <w:szCs w:val="22"/>
        </w:rPr>
        <w:t>;</w:t>
      </w:r>
    </w:p>
    <w:p w14:paraId="59897117" w14:textId="77777777" w:rsidR="008558F5" w:rsidRPr="00177E3D" w:rsidRDefault="008558F5" w:rsidP="008558F5">
      <w:pPr>
        <w:pStyle w:val="Akapitzlist"/>
        <w:numPr>
          <w:ilvl w:val="0"/>
          <w:numId w:val="54"/>
        </w:numPr>
        <w:ind w:left="1276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color w:val="000000"/>
          <w:szCs w:val="22"/>
          <w:lang w:bidi="pl-PL"/>
        </w:rPr>
        <w:lastRenderedPageBreak/>
        <w:t xml:space="preserve">wykop należy </w:t>
      </w:r>
      <w:r w:rsidRPr="00177E3D">
        <w:rPr>
          <w:rFonts w:cs="Arial"/>
          <w:color w:val="000000"/>
          <w:szCs w:val="22"/>
          <w:lang w:bidi="pl-PL"/>
        </w:rPr>
        <w:t xml:space="preserve">zasypać </w:t>
      </w:r>
      <w:r w:rsidRPr="00177E3D">
        <w:rPr>
          <w:rFonts w:cs="Arial"/>
          <w:color w:val="000000"/>
          <w:szCs w:val="22"/>
          <w:lang w:bidi="pl-PL"/>
        </w:rPr>
        <w:t xml:space="preserve">niezwłocznie </w:t>
      </w:r>
      <w:r w:rsidRPr="00177E3D">
        <w:rPr>
          <w:rFonts w:cs="Arial"/>
          <w:color w:val="000000"/>
          <w:szCs w:val="22"/>
          <w:lang w:bidi="pl-PL"/>
        </w:rPr>
        <w:t xml:space="preserve">po zakończeniu prac, na potrzeby których został wykonany, </w:t>
      </w:r>
      <w:r w:rsidRPr="00177E3D">
        <w:rPr>
          <w:rFonts w:cs="Arial"/>
          <w:color w:val="000000"/>
          <w:szCs w:val="22"/>
          <w:lang w:bidi="pl-PL"/>
        </w:rPr>
        <w:t>i podlać glebę z korzeniami;</w:t>
      </w:r>
    </w:p>
    <w:p w14:paraId="08C471ED" w14:textId="77777777" w:rsidR="008558F5" w:rsidRPr="00177E3D" w:rsidRDefault="008558F5" w:rsidP="008558F5">
      <w:pPr>
        <w:pStyle w:val="Akapitzlist"/>
        <w:numPr>
          <w:ilvl w:val="0"/>
          <w:numId w:val="54"/>
        </w:numPr>
        <w:ind w:left="1276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color w:val="000000"/>
          <w:szCs w:val="22"/>
          <w:lang w:bidi="pl-PL"/>
        </w:rPr>
        <w:t>o</w:t>
      </w:r>
      <w:r w:rsidRPr="00177E3D">
        <w:rPr>
          <w:rFonts w:cs="Arial"/>
          <w:color w:val="000000"/>
          <w:szCs w:val="22"/>
          <w:lang w:bidi="pl-PL"/>
        </w:rPr>
        <w:t xml:space="preserve">dsłonięte korzenie należy zraszać wodą oraz </w:t>
      </w:r>
      <w:r w:rsidRPr="00177E3D">
        <w:rPr>
          <w:rFonts w:cs="Arial"/>
          <w:color w:val="000000"/>
          <w:szCs w:val="22"/>
          <w:lang w:bidi="pl-PL"/>
        </w:rPr>
        <w:t>przykrywać</w:t>
      </w:r>
      <w:r w:rsidRPr="00177E3D">
        <w:rPr>
          <w:rFonts w:cs="Arial"/>
          <w:color w:val="000000"/>
          <w:szCs w:val="22"/>
          <w:lang w:bidi="pl-PL"/>
        </w:rPr>
        <w:t xml:space="preserve"> mat</w:t>
      </w:r>
      <w:r w:rsidRPr="00177E3D">
        <w:rPr>
          <w:rFonts w:cs="Arial"/>
          <w:color w:val="000000"/>
          <w:szCs w:val="22"/>
          <w:lang w:bidi="pl-PL"/>
        </w:rPr>
        <w:t>ami</w:t>
      </w:r>
      <w:r w:rsidRPr="00177E3D">
        <w:rPr>
          <w:rFonts w:cs="Arial"/>
          <w:color w:val="000000"/>
          <w:szCs w:val="22"/>
          <w:lang w:bidi="pl-PL"/>
        </w:rPr>
        <w:t xml:space="preserve"> ograniczając</w:t>
      </w:r>
      <w:r w:rsidRPr="00177E3D">
        <w:rPr>
          <w:rFonts w:cs="Arial"/>
          <w:color w:val="000000"/>
          <w:szCs w:val="22"/>
          <w:lang w:bidi="pl-PL"/>
        </w:rPr>
        <w:t>ymi</w:t>
      </w:r>
      <w:r w:rsidRPr="00177E3D">
        <w:rPr>
          <w:rFonts w:cs="Arial"/>
          <w:color w:val="000000"/>
          <w:szCs w:val="22"/>
          <w:lang w:bidi="pl-PL"/>
        </w:rPr>
        <w:t xml:space="preserve"> parowanie, a w okresie zimowym zabezpieczać odsłonięte korzenie przed przemarzaniem za pomocą np. mat jutowych, koców</w:t>
      </w:r>
      <w:r w:rsidRPr="00177E3D">
        <w:rPr>
          <w:rFonts w:cs="Arial"/>
          <w:color w:val="000000"/>
          <w:szCs w:val="22"/>
          <w:lang w:bidi="pl-PL"/>
        </w:rPr>
        <w:t>;</w:t>
      </w:r>
    </w:p>
    <w:p w14:paraId="73533A28" w14:textId="77777777" w:rsidR="008558F5" w:rsidRPr="00177E3D" w:rsidRDefault="008558F5" w:rsidP="008558F5">
      <w:pPr>
        <w:pStyle w:val="Akapitzlist"/>
        <w:numPr>
          <w:ilvl w:val="0"/>
          <w:numId w:val="54"/>
        </w:numPr>
        <w:ind w:left="1276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color w:val="000000"/>
          <w:szCs w:val="22"/>
          <w:lang w:bidi="pl-PL"/>
        </w:rPr>
        <w:t>p</w:t>
      </w:r>
      <w:r w:rsidRPr="00177E3D">
        <w:rPr>
          <w:rFonts w:cs="Arial"/>
          <w:color w:val="000000"/>
          <w:szCs w:val="22"/>
          <w:lang w:bidi="pl-PL"/>
        </w:rPr>
        <w:t xml:space="preserve">rzycięcie korzeni </w:t>
      </w:r>
      <w:r w:rsidRPr="00177E3D">
        <w:rPr>
          <w:rFonts w:cs="Arial"/>
          <w:color w:val="000000"/>
          <w:szCs w:val="22"/>
          <w:lang w:bidi="pl-PL"/>
        </w:rPr>
        <w:t>jest dopuszczalne w przypadkach</w:t>
      </w:r>
      <w:r w:rsidRPr="00177E3D">
        <w:rPr>
          <w:rFonts w:cs="Arial"/>
          <w:color w:val="000000"/>
          <w:szCs w:val="22"/>
          <w:lang w:bidi="pl-PL"/>
        </w:rPr>
        <w:t>, gdy kolizja z wykonywaną inwestycją może być rozwiązana przez usunięcie mniej niż 33% korzeni drzewa, przy czym mniej niż 25% po jednej stronie drzewa</w:t>
      </w:r>
      <w:r w:rsidRPr="00177E3D">
        <w:rPr>
          <w:rFonts w:cs="Arial"/>
          <w:color w:val="000000"/>
          <w:szCs w:val="22"/>
          <w:lang w:bidi="pl-PL"/>
        </w:rPr>
        <w:t>;</w:t>
      </w:r>
    </w:p>
    <w:p w14:paraId="5AEAFF0D" w14:textId="77777777" w:rsidR="008558F5" w:rsidRPr="00177E3D" w:rsidRDefault="008558F5" w:rsidP="008558F5">
      <w:pPr>
        <w:pStyle w:val="Akapitzlist"/>
        <w:numPr>
          <w:ilvl w:val="0"/>
          <w:numId w:val="54"/>
        </w:numPr>
        <w:ind w:left="1276" w:hanging="425"/>
        <w:rPr>
          <w:rFonts w:cs="Arial"/>
          <w:color w:val="000000"/>
          <w:szCs w:val="22"/>
          <w:lang w:bidi="pl-PL"/>
        </w:rPr>
      </w:pPr>
      <w:r w:rsidRPr="00177E3D">
        <w:rPr>
          <w:rFonts w:cs="Arial"/>
          <w:color w:val="000000"/>
          <w:szCs w:val="22"/>
          <w:lang w:bidi="pl-PL"/>
        </w:rPr>
        <w:t>cięcie</w:t>
      </w:r>
      <w:r w:rsidRPr="00177E3D">
        <w:rPr>
          <w:rFonts w:cs="Arial"/>
          <w:color w:val="000000"/>
          <w:szCs w:val="22"/>
          <w:lang w:bidi="pl-PL"/>
        </w:rPr>
        <w:t xml:space="preserve"> korzeni należy wykonywać naostrzonym oraz zdezynfekowanym narzędziem tnącym (tzw. czyste cięcie). Zakazane jest rwanie i miażdżenie korzeni. Cięcie należy wykonywać pod kątem 90</w:t>
      </w:r>
      <w:r w:rsidRPr="00177E3D">
        <w:rPr>
          <w:rFonts w:ascii="Times New Roman" w:hAnsi="Times New Roman"/>
          <w:color w:val="000000"/>
          <w:szCs w:val="22"/>
          <w:lang w:bidi="pl-PL"/>
        </w:rPr>
        <w:t>°</w:t>
      </w:r>
      <w:r w:rsidRPr="00177E3D">
        <w:rPr>
          <w:rFonts w:cs="Arial"/>
          <w:color w:val="000000"/>
          <w:szCs w:val="22"/>
          <w:lang w:bidi="pl-PL"/>
        </w:rPr>
        <w:t xml:space="preserve"> w stosunku do korzenia, nie należy uszkadzać ani usuwać korzeni szkieletowych. W przypadku identyfikacji korzeni zmiażdżonych, poszarpanych lub o obdartym łyku, należy je przyciąć w</w:t>
      </w:r>
      <w:r w:rsidRPr="00177E3D">
        <w:rPr>
          <w:rFonts w:cs="Arial"/>
          <w:color w:val="000000"/>
          <w:szCs w:val="22"/>
          <w:lang w:bidi="pl-PL"/>
        </w:rPr>
        <w:t> </w:t>
      </w:r>
      <w:r w:rsidRPr="00177E3D">
        <w:rPr>
          <w:rFonts w:cs="Arial"/>
          <w:color w:val="000000"/>
          <w:szCs w:val="22"/>
          <w:lang w:bidi="pl-PL"/>
        </w:rPr>
        <w:t>wykopie aż do miejsca, gdzie nie ma uszkodzeń. W miejscach po odciętych korzeniach nie stosować preparatów grzybobójczych.</w:t>
      </w:r>
    </w:p>
    <w:p w14:paraId="04476C92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Należy zapewnić</w:t>
      </w:r>
      <w:r w:rsidRPr="00177E3D">
        <w:rPr>
          <w:rFonts w:cs="Arial"/>
        </w:rPr>
        <w:t xml:space="preserve"> kompens</w:t>
      </w:r>
      <w:r w:rsidRPr="00177E3D">
        <w:rPr>
          <w:rFonts w:cs="Arial"/>
        </w:rPr>
        <w:t>ację</w:t>
      </w:r>
      <w:r w:rsidRPr="00177E3D">
        <w:rPr>
          <w:rFonts w:cs="Arial"/>
        </w:rPr>
        <w:t xml:space="preserve"> wycink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 drzew i krzewów oraz likwidacj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 płatów siedlisk przyrodniczych poprzez:</w:t>
      </w:r>
    </w:p>
    <w:p w14:paraId="431CBE28" w14:textId="77777777" w:rsidR="008558F5" w:rsidRPr="00177E3D" w:rsidRDefault="008558F5" w:rsidP="00EE6D3D">
      <w:pPr>
        <w:pStyle w:val="Akapitzlist"/>
        <w:numPr>
          <w:ilvl w:val="0"/>
          <w:numId w:val="7"/>
        </w:numPr>
        <w:ind w:left="851" w:hanging="425"/>
        <w:rPr>
          <w:rFonts w:cs="Arial"/>
        </w:rPr>
      </w:pPr>
      <w:bookmarkStart w:id="9" w:name="_Hlk122339304"/>
      <w:r w:rsidRPr="00177E3D">
        <w:rPr>
          <w:rFonts w:cs="Arial"/>
        </w:rPr>
        <w:t>realizację nasadzeń zastępczych:</w:t>
      </w:r>
    </w:p>
    <w:p w14:paraId="40B7E94F" w14:textId="77777777" w:rsidR="008558F5" w:rsidRPr="00177E3D" w:rsidRDefault="008558F5" w:rsidP="008558F5">
      <w:pPr>
        <w:pStyle w:val="Akapitzlist"/>
        <w:numPr>
          <w:ilvl w:val="0"/>
          <w:numId w:val="46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minimum 293 drzew oraz 2110 krzewów wzdłuż planowanego przedsięwzięcia, przy wykorzystaniu gatunków rodzimych, z następujących rodzajów: głóg, dereń, śliwa, róża, jeżyna, wiciokrzew, trzmielina, szakłak;</w:t>
      </w:r>
    </w:p>
    <w:p w14:paraId="6A7E614D" w14:textId="77777777" w:rsidR="008558F5" w:rsidRPr="00177E3D" w:rsidRDefault="008558F5" w:rsidP="008558F5">
      <w:pPr>
        <w:pStyle w:val="Akapitzlist"/>
        <w:numPr>
          <w:ilvl w:val="0"/>
          <w:numId w:val="46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minimum 450 drzew rodzimych gatunków liściastych przy każdym planowanym przystanku kolejowym;</w:t>
      </w:r>
    </w:p>
    <w:p w14:paraId="0D67AC81" w14:textId="77777777" w:rsidR="008558F5" w:rsidRPr="00177E3D" w:rsidRDefault="008558F5" w:rsidP="008558F5">
      <w:pPr>
        <w:pStyle w:val="Akapitzlist"/>
        <w:numPr>
          <w:ilvl w:val="0"/>
          <w:numId w:val="46"/>
        </w:numPr>
        <w:ind w:left="1276" w:hanging="425"/>
        <w:rPr>
          <w:rFonts w:cs="Arial"/>
        </w:rPr>
      </w:pPr>
      <w:r w:rsidRPr="00177E3D">
        <w:rPr>
          <w:rFonts w:cs="Arial"/>
          <w:color w:val="000000"/>
          <w:lang w:bidi="pl-PL"/>
        </w:rPr>
        <w:t>minimum 80 ha lasów, poprzez wykonanie nasadzeń</w:t>
      </w:r>
      <w:r w:rsidRPr="00177E3D">
        <w:rPr>
          <w:rFonts w:cs="Arial"/>
          <w:color w:val="000000"/>
          <w:lang w:bidi="pl-PL"/>
        </w:rPr>
        <w:t xml:space="preserve"> kompensacyjnych z udziałem rodzimych gatunków drzew, zgodnych ze składem gatunkowym zbiorowiska roślinnego właściwego dla obszaru przeznaczonego do objęcia tymi nasadzeniami;</w:t>
      </w:r>
    </w:p>
    <w:p w14:paraId="5D51890F" w14:textId="77777777" w:rsidR="008558F5" w:rsidRPr="00177E3D" w:rsidRDefault="008558F5" w:rsidP="00EE6D3D">
      <w:pPr>
        <w:pStyle w:val="Akapitzlist"/>
        <w:numPr>
          <w:ilvl w:val="0"/>
          <w:numId w:val="7"/>
        </w:numPr>
        <w:ind w:left="851" w:hanging="425"/>
        <w:rPr>
          <w:rFonts w:cs="Arial"/>
        </w:rPr>
      </w:pPr>
      <w:r w:rsidRPr="00177E3D">
        <w:rPr>
          <w:rFonts w:cs="Arial"/>
        </w:rPr>
        <w:t>wykonanie nasadzeń w formie zieleni naprowadzającej przy przejściach dla zwierząt, złożonych z rodzimych gatunków drzew i krzewów, w orientacyjnych lokalizacjach:</w:t>
      </w:r>
    </w:p>
    <w:p w14:paraId="1C03E722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0+900-1+200 (strona prawa i lewa);</w:t>
      </w:r>
    </w:p>
    <w:p w14:paraId="5CC6BF4B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17+292 (strona prawa i lewa);</w:t>
      </w:r>
    </w:p>
    <w:p w14:paraId="4FA58613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29+625 (strona prawa i lewa);</w:t>
      </w:r>
    </w:p>
    <w:p w14:paraId="1C155AF9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33+347 (strona prawa i lewa);</w:t>
      </w:r>
    </w:p>
    <w:p w14:paraId="7A4FD4A6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35+474 (strona prawa);</w:t>
      </w:r>
    </w:p>
    <w:p w14:paraId="639DEE78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40+600-40+800 (strona prawa i lewa);</w:t>
      </w:r>
    </w:p>
    <w:p w14:paraId="3CD26FB3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41+100-41+200 (strona prawa i lewa);</w:t>
      </w:r>
    </w:p>
    <w:p w14:paraId="7013F466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42+300-42+350 (strona prawa);</w:t>
      </w:r>
    </w:p>
    <w:p w14:paraId="4893ED1B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44+400-44+500 (strona prawa);</w:t>
      </w:r>
    </w:p>
    <w:p w14:paraId="6DFC0EFB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47+000-47+050 (strona prawa i lewa);</w:t>
      </w:r>
    </w:p>
    <w:p w14:paraId="79D79BC8" w14:textId="77777777" w:rsidR="008558F5" w:rsidRPr="00177E3D" w:rsidRDefault="008558F5" w:rsidP="008558F5">
      <w:pPr>
        <w:pStyle w:val="Akapitzlist"/>
        <w:numPr>
          <w:ilvl w:val="0"/>
          <w:numId w:val="55"/>
        </w:numPr>
        <w:ind w:left="1276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w km 47+290-47+350 (strona prawa i lewa);</w:t>
      </w:r>
    </w:p>
    <w:p w14:paraId="5F80375F" w14:textId="77777777" w:rsidR="008558F5" w:rsidRPr="00177E3D" w:rsidRDefault="008558F5" w:rsidP="00EE6D3D">
      <w:pPr>
        <w:pStyle w:val="Akapitzlist"/>
        <w:numPr>
          <w:ilvl w:val="0"/>
          <w:numId w:val="7"/>
        </w:numPr>
        <w:ind w:left="851" w:hanging="425"/>
        <w:rPr>
          <w:rFonts w:cs="Arial"/>
        </w:rPr>
      </w:pPr>
      <w:r w:rsidRPr="00177E3D">
        <w:rPr>
          <w:rFonts w:cs="Arial"/>
        </w:rPr>
        <w:lastRenderedPageBreak/>
        <w:t xml:space="preserve">poprawę stanu ochrony siedlisk przyrodniczych wymienionych w załączniku I do </w:t>
      </w:r>
      <w:r w:rsidRPr="00177E3D">
        <w:rPr>
          <w:rFonts w:eastAsiaTheme="minorHAnsi" w:cs="Arial"/>
          <w:lang w:eastAsia="en-US"/>
        </w:rPr>
        <w:t>dyrektywy Rady 92/43/EWG z dnia 21 maja 1992 r. w sprawie ochrony siedlisk przyrodniczych oraz dzikiej fauny i flory (</w:t>
      </w:r>
      <w:r w:rsidRPr="00177E3D">
        <w:rPr>
          <w:rFonts w:cs="Arial"/>
          <w:color w:val="000000"/>
          <w:lang w:bidi="en-US"/>
        </w:rPr>
        <w:t xml:space="preserve">Dz. Urz. UE L 206, </w:t>
      </w:r>
      <w:r w:rsidRPr="00177E3D">
        <w:rPr>
          <w:rFonts w:cs="Arial"/>
        </w:rPr>
        <w:t xml:space="preserve">z 22.07.1992, </w:t>
      </w:r>
      <w:r w:rsidRPr="00177E3D">
        <w:rPr>
          <w:rFonts w:cs="Arial"/>
          <w:color w:val="000000"/>
          <w:lang w:bidi="en-US"/>
        </w:rPr>
        <w:t>str. 7</w:t>
      </w:r>
      <w:r w:rsidRPr="00177E3D">
        <w:rPr>
          <w:rFonts w:eastAsiaTheme="minorHAnsi" w:cs="Arial"/>
          <w:lang w:eastAsia="en-US"/>
        </w:rPr>
        <w:t>), dalej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dyrektyw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siedliskow</w:t>
      </w:r>
      <w:r w:rsidRPr="00177E3D">
        <w:rPr>
          <w:rFonts w:cs="Arial"/>
        </w:rPr>
        <w:t>a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do stanu FV</w:t>
      </w:r>
      <w:r w:rsidRPr="00177E3D">
        <w:rPr>
          <w:rFonts w:cs="Arial"/>
        </w:rPr>
        <w:t>, planowanych do zniszczenia w związku z</w:t>
      </w:r>
      <w:r w:rsidRPr="00177E3D">
        <w:rPr>
          <w:rFonts w:cs="Arial"/>
        </w:rPr>
        <w:t> </w:t>
      </w:r>
      <w:r w:rsidRPr="00177E3D">
        <w:rPr>
          <w:rFonts w:cs="Arial"/>
        </w:rPr>
        <w:t>realizacją inwestycji:</w:t>
      </w:r>
    </w:p>
    <w:p w14:paraId="54D9311F" w14:textId="77777777" w:rsidR="008558F5" w:rsidRPr="00177E3D" w:rsidRDefault="008558F5" w:rsidP="008558F5">
      <w:pPr>
        <w:pStyle w:val="Akapitzlist"/>
        <w:numPr>
          <w:ilvl w:val="0"/>
          <w:numId w:val="47"/>
        </w:numPr>
        <w:ind w:left="1276" w:hanging="425"/>
        <w:rPr>
          <w:rFonts w:cs="Arial"/>
        </w:rPr>
      </w:pPr>
      <w:r w:rsidRPr="00177E3D">
        <w:rPr>
          <w:rFonts w:cs="Arial"/>
          <w:color w:val="000000"/>
          <w:lang w:bidi="pl-PL"/>
        </w:rPr>
        <w:t>6510 niżowe i górskie świeże łąki użytkowane ekstensywnie (</w:t>
      </w:r>
      <w:r w:rsidRPr="00177E3D">
        <w:rPr>
          <w:rFonts w:cs="Arial"/>
          <w:i/>
          <w:iCs/>
          <w:color w:val="000000"/>
          <w:lang w:bidi="pl-PL"/>
        </w:rPr>
        <w:t>Arrhenatherion elatioris</w:t>
      </w:r>
      <w:r w:rsidRPr="00177E3D">
        <w:rPr>
          <w:rFonts w:cs="Arial"/>
          <w:color w:val="000000"/>
          <w:lang w:bidi="pl-PL"/>
        </w:rPr>
        <w:t>) na powierzchni 0,</w:t>
      </w:r>
      <w:r w:rsidRPr="00177E3D">
        <w:rPr>
          <w:rFonts w:cs="Arial"/>
          <w:color w:val="000000"/>
          <w:lang w:bidi="pl-PL"/>
        </w:rPr>
        <w:t>9</w:t>
      </w:r>
      <w:r w:rsidRPr="00177E3D">
        <w:rPr>
          <w:rFonts w:cs="Arial"/>
          <w:color w:val="000000"/>
          <w:lang w:bidi="pl-PL"/>
        </w:rPr>
        <w:t>3 ha;</w:t>
      </w:r>
    </w:p>
    <w:p w14:paraId="2B3E4489" w14:textId="77777777" w:rsidR="008558F5" w:rsidRPr="00177E3D" w:rsidRDefault="008558F5" w:rsidP="008558F5">
      <w:pPr>
        <w:pStyle w:val="Akapitzlist"/>
        <w:numPr>
          <w:ilvl w:val="0"/>
          <w:numId w:val="47"/>
        </w:numPr>
        <w:ind w:left="1276" w:hanging="425"/>
        <w:rPr>
          <w:rFonts w:cs="Arial"/>
        </w:rPr>
      </w:pPr>
      <w:r w:rsidRPr="00177E3D">
        <w:rPr>
          <w:rFonts w:cs="Arial"/>
        </w:rPr>
        <w:t>2180 lasy mieszane i bory na wydmach nadmorskich (</w:t>
      </w:r>
      <w:r w:rsidRPr="00177E3D">
        <w:rPr>
          <w:rFonts w:cs="Arial"/>
          <w:i/>
          <w:iCs/>
        </w:rPr>
        <w:t>Empetro nigri-Pinetum</w:t>
      </w:r>
      <w:r w:rsidRPr="00177E3D">
        <w:rPr>
          <w:rFonts w:cs="Arial"/>
        </w:rPr>
        <w:t>) na powierzchni 11,33 ha;</w:t>
      </w:r>
    </w:p>
    <w:p w14:paraId="0ED8002F" w14:textId="77777777" w:rsidR="008558F5" w:rsidRPr="00177E3D" w:rsidRDefault="008558F5" w:rsidP="008558F5">
      <w:pPr>
        <w:pStyle w:val="Akapitzlist"/>
        <w:numPr>
          <w:ilvl w:val="0"/>
          <w:numId w:val="47"/>
        </w:numPr>
        <w:ind w:left="1276" w:hanging="425"/>
        <w:rPr>
          <w:rFonts w:cs="Arial"/>
        </w:rPr>
      </w:pPr>
      <w:r w:rsidRPr="00177E3D">
        <w:rPr>
          <w:rFonts w:cs="Arial"/>
        </w:rPr>
        <w:t>*91E0 łęgi wierzbowe, topolowe, olszowe i jesionowe (</w:t>
      </w:r>
      <w:r w:rsidRPr="00177E3D">
        <w:rPr>
          <w:rFonts w:cs="Arial"/>
          <w:i/>
          <w:iCs/>
        </w:rPr>
        <w:t>Salicetum albo-fragilis, Populetum albae, Alnenion glutinoso-incanae</w:t>
      </w:r>
      <w:r w:rsidRPr="00177E3D">
        <w:rPr>
          <w:rFonts w:cs="Arial"/>
        </w:rPr>
        <w:t>) na powierzchni 8,43 ha.</w:t>
      </w:r>
    </w:p>
    <w:p w14:paraId="0F8BB856" w14:textId="77777777" w:rsidR="008558F5" w:rsidRPr="00177E3D" w:rsidRDefault="008558F5" w:rsidP="008558F5">
      <w:pPr>
        <w:pStyle w:val="Akapitzlist"/>
        <w:numPr>
          <w:ilvl w:val="0"/>
          <w:numId w:val="47"/>
        </w:numPr>
        <w:ind w:left="1276" w:hanging="425"/>
        <w:rPr>
          <w:rFonts w:cs="Arial"/>
        </w:rPr>
      </w:pPr>
      <w:r w:rsidRPr="00177E3D">
        <w:rPr>
          <w:rFonts w:cs="Arial"/>
        </w:rPr>
        <w:t>9130 żyzne buczyny (</w:t>
      </w:r>
      <w:r w:rsidRPr="00177E3D">
        <w:rPr>
          <w:rFonts w:cs="Arial"/>
          <w:i/>
          <w:iCs/>
        </w:rPr>
        <w:t>Dentario glandulosae-Fagenion, Galio odorati-Fagenion</w:t>
      </w:r>
      <w:r w:rsidRPr="00177E3D">
        <w:rPr>
          <w:rFonts w:cs="Arial"/>
        </w:rPr>
        <w:t>) na powierzchni 3,62 ha;</w:t>
      </w:r>
    </w:p>
    <w:p w14:paraId="7E2B63A0" w14:textId="77777777" w:rsidR="008558F5" w:rsidRPr="00177E3D" w:rsidRDefault="008558F5" w:rsidP="008558F5">
      <w:pPr>
        <w:pStyle w:val="Akapitzlist"/>
        <w:numPr>
          <w:ilvl w:val="0"/>
          <w:numId w:val="47"/>
        </w:numPr>
        <w:ind w:left="1276" w:hanging="425"/>
        <w:rPr>
          <w:rFonts w:cs="Arial"/>
        </w:rPr>
      </w:pPr>
      <w:r w:rsidRPr="00177E3D">
        <w:rPr>
          <w:rFonts w:cs="Arial"/>
        </w:rPr>
        <w:t>9110 kwaśne buczyny (</w:t>
      </w:r>
      <w:r w:rsidRPr="00177E3D">
        <w:rPr>
          <w:rFonts w:cs="Arial"/>
          <w:i/>
          <w:iCs/>
        </w:rPr>
        <w:t>Luzulo-Fagenion</w:t>
      </w:r>
      <w:r w:rsidRPr="00177E3D">
        <w:rPr>
          <w:rFonts w:cs="Arial"/>
        </w:rPr>
        <w:t xml:space="preserve">) na powierzchni </w:t>
      </w:r>
      <w:r w:rsidRPr="00177E3D">
        <w:rPr>
          <w:rFonts w:cs="Arial"/>
        </w:rPr>
        <w:t>2,60</w:t>
      </w:r>
      <w:r w:rsidRPr="00177E3D">
        <w:rPr>
          <w:rFonts w:cs="Arial"/>
        </w:rPr>
        <w:t xml:space="preserve"> ha</w:t>
      </w:r>
      <w:r w:rsidRPr="00177E3D">
        <w:rPr>
          <w:rFonts w:cs="Arial"/>
        </w:rPr>
        <w:t>.</w:t>
      </w:r>
    </w:p>
    <w:bookmarkEnd w:id="9"/>
    <w:p w14:paraId="6199EDA7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  <w:color w:val="000000"/>
          <w:lang w:bidi="pl-PL"/>
        </w:rPr>
      </w:pPr>
      <w:r w:rsidRPr="00177E3D">
        <w:rPr>
          <w:color w:val="000000"/>
          <w:lang w:eastAsia="en-US" w:bidi="en-US"/>
        </w:rPr>
        <w:t xml:space="preserve">Przed </w:t>
      </w:r>
      <w:r w:rsidRPr="00177E3D">
        <w:rPr>
          <w:color w:val="000000"/>
          <w:lang w:bidi="pl-PL"/>
        </w:rPr>
        <w:t xml:space="preserve">wycinką </w:t>
      </w:r>
      <w:r w:rsidRPr="00177E3D">
        <w:rPr>
          <w:color w:val="000000"/>
          <w:lang w:eastAsia="en-US" w:bidi="en-US"/>
        </w:rPr>
        <w:t xml:space="preserve">drzew </w:t>
      </w:r>
      <w:r w:rsidRPr="00177E3D">
        <w:rPr>
          <w:color w:val="000000"/>
          <w:lang w:eastAsia="en-US" w:bidi="en-US"/>
        </w:rPr>
        <w:t xml:space="preserve">należy </w:t>
      </w:r>
      <w:r w:rsidRPr="00177E3D">
        <w:rPr>
          <w:color w:val="000000"/>
          <w:lang w:bidi="pl-PL"/>
        </w:rPr>
        <w:t xml:space="preserve">zapewnić montaż </w:t>
      </w:r>
      <w:r w:rsidRPr="00177E3D">
        <w:rPr>
          <w:color w:val="000000"/>
          <w:lang w:eastAsia="en-US" w:bidi="en-US"/>
        </w:rPr>
        <w:t xml:space="preserve">skrzynek dla </w:t>
      </w:r>
      <w:r w:rsidRPr="00177E3D">
        <w:rPr>
          <w:color w:val="000000"/>
          <w:lang w:bidi="pl-PL"/>
        </w:rPr>
        <w:t xml:space="preserve">ptaków </w:t>
      </w:r>
      <w:r w:rsidRPr="00177E3D">
        <w:rPr>
          <w:color w:val="000000"/>
          <w:lang w:eastAsia="en-US" w:bidi="en-US"/>
        </w:rPr>
        <w:t xml:space="preserve">oraz skrzynek dla nietoperzy, zgodnie z </w:t>
      </w:r>
      <w:r w:rsidRPr="00177E3D">
        <w:rPr>
          <w:color w:val="000000"/>
          <w:lang w:bidi="pl-PL"/>
        </w:rPr>
        <w:t xml:space="preserve">poniższymi </w:t>
      </w:r>
      <w:r w:rsidRPr="00177E3D">
        <w:rPr>
          <w:color w:val="000000"/>
          <w:lang w:bidi="pl-PL"/>
        </w:rPr>
        <w:t>wytycznymi</w:t>
      </w:r>
      <w:r w:rsidRPr="00177E3D">
        <w:rPr>
          <w:color w:val="000000"/>
          <w:lang w:eastAsia="en-US" w:bidi="en-US"/>
        </w:rPr>
        <w:t>:</w:t>
      </w:r>
    </w:p>
    <w:p w14:paraId="693F1BAC" w14:textId="77777777" w:rsidR="008558F5" w:rsidRPr="00177E3D" w:rsidRDefault="008558F5" w:rsidP="008558F5">
      <w:pPr>
        <w:pStyle w:val="Akapitzlist"/>
        <w:numPr>
          <w:ilvl w:val="0"/>
          <w:numId w:val="32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color w:val="000000"/>
          <w:lang w:eastAsia="en-US" w:bidi="en-US"/>
        </w:rPr>
        <w:t xml:space="preserve">skrzynki </w:t>
      </w:r>
      <w:r w:rsidRPr="00177E3D">
        <w:rPr>
          <w:color w:val="000000"/>
          <w:lang w:bidi="pl-PL"/>
        </w:rPr>
        <w:t xml:space="preserve">lęgowe </w:t>
      </w:r>
      <w:r w:rsidRPr="00177E3D">
        <w:rPr>
          <w:color w:val="000000"/>
          <w:lang w:eastAsia="en-US" w:bidi="en-US"/>
        </w:rPr>
        <w:t xml:space="preserve">dla </w:t>
      </w:r>
      <w:r w:rsidRPr="00177E3D">
        <w:rPr>
          <w:color w:val="000000"/>
          <w:lang w:bidi="pl-PL"/>
        </w:rPr>
        <w:t xml:space="preserve">ptaków </w:t>
      </w:r>
      <w:r w:rsidRPr="00177E3D">
        <w:rPr>
          <w:color w:val="000000"/>
          <w:lang w:bidi="pl-PL"/>
        </w:rPr>
        <w:t>należy wykonać i zawiesić według następujących zasad</w:t>
      </w:r>
      <w:r w:rsidRPr="00177E3D">
        <w:rPr>
          <w:color w:val="000000"/>
          <w:lang w:bidi="pl-PL"/>
        </w:rPr>
        <w:t>:</w:t>
      </w:r>
    </w:p>
    <w:p w14:paraId="351586ED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rFonts w:cs="Arial"/>
          <w:lang w:bidi="en-US"/>
        </w:rPr>
        <w:t>otwierana przednia ścianka ma umożliwiać czyszczenie ich wnętrza</w:t>
      </w:r>
      <w:r w:rsidRPr="00177E3D">
        <w:rPr>
          <w:rFonts w:cs="Arial"/>
        </w:rPr>
        <w:t>;</w:t>
      </w:r>
    </w:p>
    <w:p w14:paraId="15E60C17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rFonts w:cs="Arial"/>
        </w:rPr>
        <w:t>należy je wykonać z trocinobetonu lub desek drewnianych, o grubości 2-4 cm</w:t>
      </w:r>
      <w:r w:rsidRPr="00177E3D">
        <w:rPr>
          <w:rFonts w:cs="Arial"/>
        </w:rPr>
        <w:t>. Nie należy ich impregnować ani stosować sklejek i płyt wiórowych. Zadaszenie budek należy obić papą lub blachą</w:t>
      </w:r>
      <w:r w:rsidRPr="00177E3D">
        <w:rPr>
          <w:rFonts w:cs="Arial"/>
        </w:rPr>
        <w:t>;</w:t>
      </w:r>
    </w:p>
    <w:p w14:paraId="356A879A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rFonts w:cs="Arial"/>
        </w:rPr>
        <w:t>drewniane skrzynki wieszane na drzewach mają posiadać listwy tylne, o grubości co najmniej 2,5 cm, z nawierconymi otworami pod gwoździe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D</w:t>
      </w:r>
      <w:r w:rsidRPr="00177E3D">
        <w:rPr>
          <w:rFonts w:cs="Arial"/>
        </w:rPr>
        <w:t xml:space="preserve">rewniane skrzynki lęgowe mocować do drzew za pomocą gwoździ </w:t>
      </w:r>
      <w:r w:rsidRPr="00177E3D">
        <w:rPr>
          <w:rFonts w:cs="Arial"/>
        </w:rPr>
        <w:t>aluminiowych lub stalowych (zabezpieczonych przed korozją). Zakazane jest używanie gwoździ miedzianych</w:t>
      </w:r>
      <w:r w:rsidRPr="00177E3D">
        <w:rPr>
          <w:rFonts w:cs="Arial"/>
        </w:rPr>
        <w:t>;</w:t>
      </w:r>
    </w:p>
    <w:p w14:paraId="52E0F018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rFonts w:cs="Arial"/>
        </w:rPr>
        <w:t>należy zastosować następujące średnice otworów wlotowych w skrzynkach lęgowych dla ptaków: typ A1 – 28 mm, typ A – 33 mm, typ B – 47 mm, typ D – 85 mm. Pozostałe wymiary skrzynek (wysokość tylnej ścianki, wysokość przedniej ścianki, wewnętrzny wymiar dna, wysokość umieszczenia otworu wlotowego od dna skrzynki) zostaną dobrane przez specjalistę ornitologa;</w:t>
      </w:r>
    </w:p>
    <w:p w14:paraId="1A6797B2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color w:val="000000"/>
          <w:lang w:eastAsia="en-US" w:bidi="en-US"/>
        </w:rPr>
        <w:t xml:space="preserve">skrzynki dla ptaków </w:t>
      </w:r>
      <w:r w:rsidRPr="00177E3D">
        <w:rPr>
          <w:color w:val="000000"/>
          <w:lang w:bidi="pl-PL"/>
        </w:rPr>
        <w:t xml:space="preserve">należy zamontować </w:t>
      </w:r>
      <w:r w:rsidRPr="00177E3D">
        <w:rPr>
          <w:color w:val="000000"/>
          <w:lang w:eastAsia="en-US" w:bidi="en-US"/>
        </w:rPr>
        <w:t xml:space="preserve">na </w:t>
      </w:r>
      <w:r w:rsidRPr="00177E3D">
        <w:rPr>
          <w:color w:val="000000"/>
          <w:lang w:bidi="pl-PL"/>
        </w:rPr>
        <w:t xml:space="preserve">młodych </w:t>
      </w:r>
      <w:r w:rsidRPr="00177E3D">
        <w:rPr>
          <w:color w:val="000000"/>
          <w:lang w:eastAsia="en-US" w:bidi="en-US"/>
        </w:rPr>
        <w:t xml:space="preserve">drzewach, </w:t>
      </w:r>
      <w:r w:rsidRPr="00177E3D">
        <w:rPr>
          <w:color w:val="000000"/>
          <w:lang w:bidi="pl-PL"/>
        </w:rPr>
        <w:t xml:space="preserve">nieposiadających </w:t>
      </w:r>
      <w:r w:rsidRPr="00177E3D">
        <w:rPr>
          <w:color w:val="000000"/>
          <w:lang w:eastAsia="en-US" w:bidi="en-US"/>
        </w:rPr>
        <w:t>naturalnych dziupli, na terenach leśnych znajdujących się w okolicach miejsc wycinek. Skrzynki nie mogą być wystawione na bezpośrednie działanie silnego światła słonecznego. Należy je wieszać w kierunku południowo-wschodnim, północno-zachodnim i północnym;</w:t>
      </w:r>
    </w:p>
    <w:p w14:paraId="13334C60" w14:textId="77777777" w:rsidR="008558F5" w:rsidRPr="00177E3D" w:rsidRDefault="008558F5" w:rsidP="008558F5">
      <w:pPr>
        <w:pStyle w:val="Akapitzlist"/>
        <w:numPr>
          <w:ilvl w:val="0"/>
          <w:numId w:val="26"/>
        </w:numPr>
        <w:ind w:left="1276" w:hanging="426"/>
        <w:rPr>
          <w:rFonts w:cs="Arial"/>
        </w:rPr>
      </w:pPr>
      <w:r w:rsidRPr="00177E3D">
        <w:rPr>
          <w:color w:val="000000"/>
          <w:lang w:bidi="pl-PL"/>
        </w:rPr>
        <w:t>należy zastosować: 40 skrzynek typu A1, 40 skrzynek typu A, 38 skrzynek typu B i 2 skrzynki typu D</w:t>
      </w:r>
      <w:r w:rsidRPr="00177E3D">
        <w:rPr>
          <w:color w:val="000000"/>
          <w:lang w:bidi="pl-PL"/>
        </w:rPr>
        <w:t>;</w:t>
      </w:r>
    </w:p>
    <w:p w14:paraId="3205C802" w14:textId="77777777" w:rsidR="008558F5" w:rsidRPr="00177E3D" w:rsidRDefault="008558F5" w:rsidP="008558F5">
      <w:pPr>
        <w:pStyle w:val="Akapitzlist"/>
        <w:numPr>
          <w:ilvl w:val="0"/>
          <w:numId w:val="32"/>
        </w:numPr>
        <w:ind w:left="851" w:hanging="425"/>
        <w:rPr>
          <w:rFonts w:cs="Arial"/>
          <w:lang w:bidi="en-US"/>
        </w:rPr>
      </w:pPr>
      <w:r w:rsidRPr="00177E3D">
        <w:rPr>
          <w:color w:val="000000"/>
          <w:lang w:bidi="pl-PL"/>
        </w:rPr>
        <w:t>w przypadku skrzynek dla nietoperzy:</w:t>
      </w:r>
    </w:p>
    <w:p w14:paraId="22D6B2FE" w14:textId="77777777" w:rsidR="008558F5" w:rsidRPr="00177E3D" w:rsidRDefault="008558F5" w:rsidP="008558F5">
      <w:pPr>
        <w:pStyle w:val="Akapitzlist"/>
        <w:numPr>
          <w:ilvl w:val="0"/>
          <w:numId w:val="56"/>
        </w:numPr>
        <w:ind w:left="1276" w:hanging="425"/>
        <w:rPr>
          <w:rFonts w:cs="Arial"/>
        </w:rPr>
      </w:pPr>
      <w:r w:rsidRPr="00177E3D">
        <w:rPr>
          <w:color w:val="000000"/>
          <w:lang w:bidi="pl-PL"/>
        </w:rPr>
        <w:t xml:space="preserve">należy je </w:t>
      </w:r>
      <w:r w:rsidRPr="00177E3D">
        <w:rPr>
          <w:color w:val="000000"/>
          <w:lang w:eastAsia="en-US" w:bidi="en-US"/>
        </w:rPr>
        <w:t>umieszczać w miejscach nasłonecznionych, ale osłoniętych od silnego wiatru, w ekspozycjach południowych, południowo-wschodnich lub południowo-</w:t>
      </w:r>
      <w:r w:rsidRPr="00177E3D">
        <w:rPr>
          <w:color w:val="000000"/>
          <w:lang w:eastAsia="en-US" w:bidi="en-US"/>
        </w:rPr>
        <w:lastRenderedPageBreak/>
        <w:t>zachodnich. N</w:t>
      </w:r>
      <w:r w:rsidRPr="00177E3D">
        <w:rPr>
          <w:color w:val="000000"/>
          <w:lang w:bidi="pl-PL"/>
        </w:rPr>
        <w:t>ależy je wieszać w grupach, najlepiej po 5 schronień, wiszących stosunkowo blisko siebie, tj. co ok. 10 – 50 m, w różnych ekspozycjach</w:t>
      </w:r>
      <w:r w:rsidRPr="00177E3D">
        <w:rPr>
          <w:color w:val="000000"/>
          <w:lang w:eastAsia="en-US" w:bidi="en-US"/>
        </w:rPr>
        <w:t>;</w:t>
      </w:r>
    </w:p>
    <w:p w14:paraId="219D91F1" w14:textId="77777777" w:rsidR="008558F5" w:rsidRPr="00177E3D" w:rsidRDefault="008558F5" w:rsidP="008558F5">
      <w:pPr>
        <w:pStyle w:val="Akapitzlist"/>
        <w:numPr>
          <w:ilvl w:val="0"/>
          <w:numId w:val="56"/>
        </w:numPr>
        <w:ind w:left="1276" w:hanging="425"/>
        <w:rPr>
          <w:rFonts w:cs="Arial"/>
        </w:rPr>
      </w:pPr>
      <w:r w:rsidRPr="00177E3D">
        <w:rPr>
          <w:color w:val="000000"/>
          <w:lang w:bidi="pl-PL"/>
        </w:rPr>
        <w:t>należy zastosować 100 trocinobetonowych schronów typu Stratmann</w:t>
      </w:r>
      <w:r w:rsidRPr="00177E3D">
        <w:rPr>
          <w:color w:val="000000"/>
          <w:lang w:eastAsia="en-US" w:bidi="en-US"/>
        </w:rPr>
        <w:t>;</w:t>
      </w:r>
    </w:p>
    <w:p w14:paraId="34F491F5" w14:textId="77777777" w:rsidR="008558F5" w:rsidRPr="00177E3D" w:rsidRDefault="008558F5" w:rsidP="008558F5">
      <w:pPr>
        <w:pStyle w:val="Akapitzlist"/>
        <w:numPr>
          <w:ilvl w:val="0"/>
          <w:numId w:val="32"/>
        </w:numPr>
        <w:ind w:left="851" w:hanging="425"/>
        <w:rPr>
          <w:rFonts w:cs="Arial"/>
          <w:lang w:bidi="en-US"/>
        </w:rPr>
      </w:pPr>
      <w:r w:rsidRPr="00177E3D">
        <w:rPr>
          <w:color w:val="000000"/>
          <w:lang w:bidi="pl-PL"/>
        </w:rPr>
        <w:t xml:space="preserve">szczegółową lokalizację </w:t>
      </w:r>
      <w:r w:rsidRPr="00177E3D">
        <w:rPr>
          <w:color w:val="000000"/>
          <w:lang w:eastAsia="en-US" w:bidi="en-US"/>
        </w:rPr>
        <w:t xml:space="preserve">skrzynek dla </w:t>
      </w:r>
      <w:r w:rsidRPr="00177E3D">
        <w:rPr>
          <w:color w:val="000000"/>
          <w:lang w:bidi="pl-PL"/>
        </w:rPr>
        <w:t xml:space="preserve">ptaków </w:t>
      </w:r>
      <w:r w:rsidRPr="00177E3D">
        <w:rPr>
          <w:color w:val="000000"/>
          <w:lang w:eastAsia="en-US" w:bidi="en-US"/>
        </w:rPr>
        <w:t xml:space="preserve">i nietoperzy </w:t>
      </w:r>
      <w:r w:rsidRPr="00177E3D">
        <w:rPr>
          <w:rFonts w:cs="Arial"/>
        </w:rPr>
        <w:t>ustalą specjaliści</w:t>
      </w:r>
      <w:r w:rsidRPr="00177E3D">
        <w:rPr>
          <w:rFonts w:cs="Arial"/>
        </w:rPr>
        <w:t xml:space="preserve"> z nadzoru przyrodniczego,</w:t>
      </w:r>
      <w:r w:rsidRPr="00177E3D">
        <w:rPr>
          <w:rFonts w:cs="Arial"/>
        </w:rPr>
        <w:t xml:space="preserve"> odpowiednio ornitolog lub chiropterolog</w:t>
      </w:r>
      <w:r w:rsidRPr="00177E3D">
        <w:rPr>
          <w:rFonts w:cs="Arial"/>
        </w:rPr>
        <w:t xml:space="preserve">, w porozumieniu </w:t>
      </w:r>
      <w:r w:rsidRPr="00177E3D">
        <w:rPr>
          <w:rFonts w:cs="Arial"/>
        </w:rPr>
        <w:t>z przedstawicielem właściwego nadleśnictwa</w:t>
      </w:r>
      <w:r w:rsidRPr="00177E3D">
        <w:rPr>
          <w:rFonts w:cs="Arial"/>
        </w:rPr>
        <w:t>, uwzględniając ekologię gatunków ptaków i nietoperzy. Lokalizacja ta musi wykluczać miejsca, w których w okresie funkcjonowania skrzynek będą dokonywane rębnie, mogące wpłynąć na skuteczność kompensacji. W przypadku gdy dana skrzynka nie będzie mogła zajmować nadal swojej lokalizacji, należy ją przenieść</w:t>
      </w:r>
      <w:r w:rsidRPr="00177E3D">
        <w:rPr>
          <w:color w:val="000000"/>
          <w:lang w:bidi="pl-PL"/>
        </w:rPr>
        <w:t>;</w:t>
      </w:r>
    </w:p>
    <w:p w14:paraId="259041D1" w14:textId="77777777" w:rsidR="008558F5" w:rsidRPr="00177E3D" w:rsidRDefault="008558F5" w:rsidP="008558F5">
      <w:pPr>
        <w:pStyle w:val="Akapitzlist"/>
        <w:numPr>
          <w:ilvl w:val="0"/>
          <w:numId w:val="32"/>
        </w:numPr>
        <w:ind w:left="851" w:hanging="425"/>
        <w:rPr>
          <w:rFonts w:cs="Arial"/>
          <w:lang w:bidi="en-US"/>
        </w:rPr>
      </w:pPr>
      <w:r w:rsidRPr="00177E3D">
        <w:rPr>
          <w:rFonts w:cs="Arial"/>
          <w:lang w:bidi="en-US"/>
        </w:rPr>
        <w:t>należy zapewnić skuteczność i trwałość kompensacji przez okres co najmniej 20 lat od zamontowania skrzynek, w szczególności poprzez:</w:t>
      </w:r>
    </w:p>
    <w:p w14:paraId="2A39B24A" w14:textId="77777777" w:rsidR="008558F5" w:rsidRPr="00177E3D" w:rsidRDefault="008558F5" w:rsidP="008558F5">
      <w:pPr>
        <w:pStyle w:val="Akapitzlist"/>
        <w:numPr>
          <w:ilvl w:val="0"/>
          <w:numId w:val="56"/>
        </w:numPr>
        <w:ind w:left="1276" w:hanging="425"/>
        <w:rPr>
          <w:rFonts w:cs="Arial"/>
        </w:rPr>
      </w:pPr>
      <w:r w:rsidRPr="00177E3D">
        <w:rPr>
          <w:color w:val="000000"/>
          <w:lang w:bidi="pl-PL"/>
        </w:rPr>
        <w:t>utrzymywanie skrzynek w stanie technicznym zapewniającym możliwość ich zasiedlenia przez ptaki i nietoperze</w:t>
      </w:r>
      <w:r w:rsidRPr="00177E3D">
        <w:rPr>
          <w:color w:val="000000"/>
          <w:lang w:eastAsia="en-US" w:bidi="en-US"/>
        </w:rPr>
        <w:t>;</w:t>
      </w:r>
    </w:p>
    <w:p w14:paraId="02797FAD" w14:textId="77777777" w:rsidR="008558F5" w:rsidRPr="00177E3D" w:rsidRDefault="008558F5" w:rsidP="008558F5">
      <w:pPr>
        <w:pStyle w:val="Akapitzlist"/>
        <w:numPr>
          <w:ilvl w:val="0"/>
          <w:numId w:val="56"/>
        </w:numPr>
        <w:ind w:left="1276" w:hanging="425"/>
        <w:rPr>
          <w:rFonts w:cs="Arial"/>
        </w:rPr>
      </w:pPr>
      <w:r w:rsidRPr="00177E3D">
        <w:rPr>
          <w:rFonts w:cs="Arial"/>
        </w:rPr>
        <w:t>czyszczenie i konserwację, w tym wymianę w przypadku zużycia lub zniszczenia zamontowanych skrzynek, corocznie w okresie od 15 października do 28 lutego (w przypadku skrzynek dla nietoperzy po uprzednim potwierdzeniu braku ich zasiedlenia).</w:t>
      </w:r>
    </w:p>
    <w:p w14:paraId="0A23CB92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</w:rPr>
        <w:t>Warunki dotyczące minimalizacji oddziaływania w związku z likwidacją siedlisk płazów i</w:t>
      </w:r>
      <w:r w:rsidRPr="00177E3D">
        <w:rPr>
          <w:rFonts w:cs="Arial"/>
        </w:rPr>
        <w:t> </w:t>
      </w:r>
      <w:r w:rsidRPr="00177E3D">
        <w:rPr>
          <w:rFonts w:cs="Arial"/>
        </w:rPr>
        <w:t>gadów:</w:t>
      </w:r>
    </w:p>
    <w:p w14:paraId="1A454A9A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t xml:space="preserve">przed rozpoczęciem prac budowlanych, pod nadzorem specjalisty herpetologa </w:t>
      </w:r>
      <w:r w:rsidRPr="00177E3D">
        <w:t xml:space="preserve">z nadzoru przyrodniczego, </w:t>
      </w:r>
      <w:r w:rsidRPr="00177E3D">
        <w:t xml:space="preserve">należy zamontować tymczasowe </w:t>
      </w:r>
      <w:r w:rsidRPr="00177E3D">
        <w:rPr>
          <w:rFonts w:cs="Arial"/>
        </w:rPr>
        <w:t>ogrodzenia</w:t>
      </w:r>
      <w:r w:rsidRPr="00177E3D">
        <w:rPr>
          <w:rFonts w:cs="Arial"/>
        </w:rPr>
        <w:t xml:space="preserve"> herpetologiczne. Ogrodzeni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należy zamontować w następujących lokalizacjach:</w:t>
      </w:r>
    </w:p>
    <w:p w14:paraId="6F4BC701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</w:rPr>
        <w:t xml:space="preserve">w </w:t>
      </w:r>
      <w:r w:rsidRPr="00177E3D">
        <w:rPr>
          <w:rFonts w:eastAsiaTheme="minorHAnsi"/>
          <w:kern w:val="2"/>
        </w:rPr>
        <w:t>km 1+150-1+250 (strona prawa);</w:t>
      </w:r>
    </w:p>
    <w:p w14:paraId="491E76D9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</w:rPr>
        <w:t xml:space="preserve">w </w:t>
      </w:r>
      <w:r w:rsidRPr="00177E3D">
        <w:rPr>
          <w:rFonts w:eastAsiaTheme="minorHAnsi"/>
          <w:kern w:val="2"/>
        </w:rPr>
        <w:t>km 13+850-14+000 (strona prawa);</w:t>
      </w:r>
    </w:p>
    <w:p w14:paraId="30C24045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</w:rPr>
        <w:t xml:space="preserve">w </w:t>
      </w:r>
      <w:r w:rsidRPr="00177E3D">
        <w:rPr>
          <w:rFonts w:eastAsiaTheme="minorHAnsi"/>
          <w:kern w:val="2"/>
        </w:rPr>
        <w:t>km 14+050-14+100 (strona prawa);</w:t>
      </w:r>
    </w:p>
    <w:p w14:paraId="27285DF3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15+500-15+650 (strona prawa);</w:t>
      </w:r>
    </w:p>
    <w:p w14:paraId="52A906AC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15+700-15+800 (obustronnie);</w:t>
      </w:r>
    </w:p>
    <w:p w14:paraId="3971D4B1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30+000-30+800 (strona lewa);</w:t>
      </w:r>
    </w:p>
    <w:p w14:paraId="5EF96CD4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30+850-31+200 (strona prawa);</w:t>
      </w:r>
    </w:p>
    <w:p w14:paraId="21D0FBC0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40+000-40+600 (strona lewa);</w:t>
      </w:r>
    </w:p>
    <w:p w14:paraId="6956BC74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40+700-41+150 (strona prawa);</w:t>
      </w:r>
    </w:p>
    <w:p w14:paraId="3F88A7D3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41+200-41+400 (strona lewa);</w:t>
      </w:r>
    </w:p>
    <w:p w14:paraId="789B22E4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47+000-47+250 (strona prawa);</w:t>
      </w:r>
    </w:p>
    <w:p w14:paraId="72966B7A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47+100-47+250 (strona lewa);</w:t>
      </w:r>
    </w:p>
    <w:p w14:paraId="0FA621D5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w km 47+300-47+600 (strona lewa);</w:t>
      </w:r>
    </w:p>
    <w:p w14:paraId="736C9B41" w14:textId="77777777" w:rsidR="008558F5" w:rsidRPr="00177E3D" w:rsidRDefault="008558F5" w:rsidP="00777D12">
      <w:pPr>
        <w:ind w:left="851"/>
        <w:rPr>
          <w:rFonts w:eastAsiaTheme="minorHAnsi"/>
          <w:kern w:val="2"/>
        </w:rPr>
      </w:pPr>
      <w:r w:rsidRPr="00177E3D">
        <w:rPr>
          <w:rFonts w:eastAsiaTheme="minorHAnsi"/>
          <w:kern w:val="2"/>
        </w:rPr>
        <w:t>Szczegółową lokalizację ogrodzeń należy uzgodnić ze specjalistą herpetologiem na placu budowy. Specjalista herpetolog winien dostosować szczegółową lokalizację ogrodzenia dla płazów do lokalnych uwarunkowań terenowych i korytarzy migracyjnych lub wskazać nowe miejsca wymagające zabezpieczenia</w:t>
      </w:r>
      <w:r w:rsidRPr="00177E3D">
        <w:rPr>
          <w:rFonts w:eastAsiaTheme="minorHAnsi"/>
          <w:kern w:val="2"/>
        </w:rPr>
        <w:t>;</w:t>
      </w:r>
    </w:p>
    <w:p w14:paraId="288CF344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rPr>
          <w:rFonts w:eastAsiaTheme="minorHAnsi"/>
          <w:kern w:val="2"/>
        </w:rPr>
        <w:t>ogrodzenia, o których mowa w lit. a, należy wykonać z materiałów takich</w:t>
      </w:r>
      <w:r w:rsidRPr="00177E3D">
        <w:rPr>
          <w:rFonts w:eastAsiaTheme="minorHAnsi"/>
          <w:kern w:val="2"/>
        </w:rPr>
        <w:t>,</w:t>
      </w:r>
      <w:r w:rsidRPr="00177E3D">
        <w:rPr>
          <w:rFonts w:eastAsiaTheme="minorHAnsi"/>
          <w:kern w:val="2"/>
        </w:rPr>
        <w:t xml:space="preserve"> jak np.: agrotkaniny, agrowłókniny, geotkaniny, folie ogrodowe</w:t>
      </w:r>
      <w:r w:rsidRPr="00177E3D">
        <w:rPr>
          <w:rFonts w:eastAsiaTheme="minorHAnsi"/>
          <w:kern w:val="2"/>
        </w:rPr>
        <w:t xml:space="preserve">. Nie należy stosować </w:t>
      </w:r>
      <w:r w:rsidRPr="00177E3D">
        <w:rPr>
          <w:rFonts w:eastAsiaTheme="minorHAnsi"/>
          <w:kern w:val="2"/>
        </w:rPr>
        <w:lastRenderedPageBreak/>
        <w:t>metalowych siatek</w:t>
      </w:r>
      <w:r w:rsidRPr="00177E3D">
        <w:rPr>
          <w:rFonts w:eastAsiaTheme="minorHAnsi"/>
          <w:kern w:val="2"/>
        </w:rPr>
        <w:t>. Ogrodzenia winny mieć wysokość minimum 50 cm nad powierzchnię gruntu i być rozpięte na drewnianych palikach oraz wkopane w grunt na głębokość około 20 cm. Góra wygrodzenia winna być zaopatrzona w tzw. „przewieszkę” o długości minimum 10 cm, wygiętą na zewnątrz od placu budowy. Każdorazowo wygrodzenie należy zakończyć w formie C lub U-kształtnej, czyli tzw. zawrotki</w:t>
      </w:r>
      <w:r w:rsidRPr="00177E3D">
        <w:rPr>
          <w:rFonts w:eastAsiaTheme="minorHAnsi"/>
          <w:kern w:val="2"/>
        </w:rPr>
        <w:t>;</w:t>
      </w:r>
    </w:p>
    <w:p w14:paraId="425D4BD9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rPr>
          <w:rFonts w:eastAsiaTheme="minorHAnsi"/>
          <w:kern w:val="2"/>
        </w:rPr>
        <w:t xml:space="preserve">po zewnętrznej stronie </w:t>
      </w:r>
      <w:r w:rsidRPr="00177E3D">
        <w:rPr>
          <w:rFonts w:eastAsiaTheme="minorHAnsi"/>
          <w:kern w:val="2"/>
        </w:rPr>
        <w:t xml:space="preserve">ogrodzeń, w odległości </w:t>
      </w:r>
      <w:r w:rsidRPr="00177E3D">
        <w:rPr>
          <w:rFonts w:eastAsiaTheme="minorHAnsi"/>
          <w:kern w:val="2"/>
        </w:rPr>
        <w:t>co 50 m oraz na obu końcach</w:t>
      </w:r>
      <w:r w:rsidRPr="00177E3D">
        <w:rPr>
          <w:rFonts w:eastAsiaTheme="minorHAnsi"/>
          <w:kern w:val="2"/>
        </w:rPr>
        <w:t xml:space="preserve"> ogrodzeń, należy zastosować pułapki łowne (wiaderka)</w:t>
      </w:r>
      <w:r w:rsidRPr="00177E3D">
        <w:rPr>
          <w:rFonts w:eastAsiaTheme="minorHAnsi"/>
          <w:kern w:val="2"/>
        </w:rPr>
        <w:t xml:space="preserve">. Odcinki </w:t>
      </w:r>
      <w:r w:rsidRPr="00177E3D">
        <w:rPr>
          <w:rFonts w:eastAsiaTheme="minorHAnsi"/>
          <w:kern w:val="2"/>
        </w:rPr>
        <w:t>ogrodzeń</w:t>
      </w:r>
      <w:r w:rsidRPr="00177E3D">
        <w:rPr>
          <w:rFonts w:eastAsiaTheme="minorHAnsi"/>
          <w:kern w:val="2"/>
        </w:rPr>
        <w:t>, na których konieczne jest zastosowanie wiaderek</w:t>
      </w:r>
      <w:r w:rsidRPr="00177E3D">
        <w:rPr>
          <w:rFonts w:eastAsiaTheme="minorHAnsi"/>
          <w:kern w:val="2"/>
        </w:rPr>
        <w:t>,</w:t>
      </w:r>
      <w:r w:rsidRPr="00177E3D">
        <w:rPr>
          <w:rFonts w:eastAsiaTheme="minorHAnsi"/>
          <w:kern w:val="2"/>
        </w:rPr>
        <w:t xml:space="preserve"> wskaże specjalista herpetolog</w:t>
      </w:r>
      <w:r w:rsidRPr="00177E3D">
        <w:rPr>
          <w:rFonts w:eastAsiaTheme="minorHAnsi"/>
          <w:kern w:val="2"/>
        </w:rPr>
        <w:t xml:space="preserve"> z nadzoru przyrodniczego</w:t>
      </w:r>
      <w:r w:rsidRPr="00177E3D">
        <w:rPr>
          <w:rFonts w:eastAsiaTheme="minorHAnsi"/>
          <w:kern w:val="2"/>
        </w:rPr>
        <w:t xml:space="preserve">. Wiaderka </w:t>
      </w:r>
      <w:r w:rsidRPr="00177E3D">
        <w:rPr>
          <w:rFonts w:eastAsiaTheme="minorHAnsi"/>
          <w:kern w:val="2"/>
        </w:rPr>
        <w:t xml:space="preserve">mają mieć </w:t>
      </w:r>
      <w:r w:rsidRPr="00177E3D">
        <w:rPr>
          <w:rFonts w:eastAsiaTheme="minorHAnsi"/>
          <w:kern w:val="2"/>
        </w:rPr>
        <w:t>wysokoś</w:t>
      </w:r>
      <w:r w:rsidRPr="00177E3D">
        <w:rPr>
          <w:rFonts w:eastAsiaTheme="minorHAnsi"/>
          <w:kern w:val="2"/>
        </w:rPr>
        <w:t>ć</w:t>
      </w:r>
      <w:r w:rsidRPr="00177E3D">
        <w:rPr>
          <w:rFonts w:eastAsiaTheme="minorHAnsi"/>
          <w:kern w:val="2"/>
        </w:rPr>
        <w:t xml:space="preserve"> minimum 40 cm</w:t>
      </w:r>
      <w:r w:rsidRPr="00177E3D">
        <w:rPr>
          <w:rFonts w:eastAsiaTheme="minorHAnsi"/>
          <w:kern w:val="2"/>
        </w:rPr>
        <w:t>, posiadać</w:t>
      </w:r>
      <w:r w:rsidRPr="00177E3D">
        <w:rPr>
          <w:rFonts w:eastAsiaTheme="minorHAnsi"/>
          <w:kern w:val="2"/>
        </w:rPr>
        <w:t xml:space="preserve"> przepuszczalne dno</w:t>
      </w:r>
      <w:r w:rsidRPr="00177E3D">
        <w:rPr>
          <w:rFonts w:eastAsiaTheme="minorHAnsi"/>
          <w:kern w:val="2"/>
        </w:rPr>
        <w:t>, a ich górn</w:t>
      </w:r>
      <w:r w:rsidRPr="00177E3D">
        <w:rPr>
          <w:rFonts w:eastAsiaTheme="minorHAnsi"/>
          <w:kern w:val="2"/>
        </w:rPr>
        <w:t>ą</w:t>
      </w:r>
      <w:r w:rsidRPr="00177E3D">
        <w:rPr>
          <w:rFonts w:eastAsiaTheme="minorHAnsi"/>
          <w:kern w:val="2"/>
        </w:rPr>
        <w:t xml:space="preserve"> krawędź należy</w:t>
      </w:r>
      <w:r w:rsidRPr="00177E3D">
        <w:rPr>
          <w:rFonts w:eastAsiaTheme="minorHAnsi"/>
          <w:kern w:val="2"/>
        </w:rPr>
        <w:t xml:space="preserve"> wkopa</w:t>
      </w:r>
      <w:r w:rsidRPr="00177E3D">
        <w:rPr>
          <w:rFonts w:eastAsiaTheme="minorHAnsi"/>
          <w:kern w:val="2"/>
        </w:rPr>
        <w:t>ć</w:t>
      </w:r>
      <w:r w:rsidRPr="00177E3D">
        <w:rPr>
          <w:rFonts w:eastAsiaTheme="minorHAnsi"/>
          <w:kern w:val="2"/>
        </w:rPr>
        <w:t xml:space="preserve"> równo z </w:t>
      </w:r>
      <w:r w:rsidRPr="00177E3D">
        <w:rPr>
          <w:rFonts w:eastAsiaTheme="minorHAnsi"/>
          <w:kern w:val="2"/>
        </w:rPr>
        <w:t>powierzchnią gruntu</w:t>
      </w:r>
      <w:r w:rsidRPr="00177E3D">
        <w:rPr>
          <w:rFonts w:eastAsiaTheme="minorHAnsi"/>
          <w:kern w:val="2"/>
        </w:rPr>
        <w:t xml:space="preserve">. W pułapkach należy umieścić materiał osłaniający płazy przed słońcem, np. mech, liście. Do każdej pułapki należy włożyć kij, w taki sposób, aby wystawał z pułapki pod dużym kątem i umożliwiał wyjście małym gryzoniom i ryjówkom. Wiaderka </w:t>
      </w:r>
      <w:r w:rsidRPr="00177E3D">
        <w:rPr>
          <w:rFonts w:eastAsiaTheme="minorHAnsi"/>
          <w:kern w:val="2"/>
        </w:rPr>
        <w:t>p</w:t>
      </w:r>
      <w:r w:rsidRPr="00177E3D">
        <w:rPr>
          <w:rFonts w:eastAsiaTheme="minorHAnsi"/>
          <w:kern w:val="2"/>
        </w:rPr>
        <w:t>owinny przylegać</w:t>
      </w:r>
      <w:r w:rsidRPr="00177E3D">
        <w:rPr>
          <w:rFonts w:eastAsiaTheme="minorHAnsi"/>
          <w:kern w:val="2"/>
        </w:rPr>
        <w:t xml:space="preserve"> do ogrodzenia</w:t>
      </w:r>
      <w:r w:rsidRPr="00177E3D">
        <w:rPr>
          <w:rFonts w:eastAsiaTheme="minorHAnsi"/>
          <w:kern w:val="2"/>
        </w:rPr>
        <w:t>. W</w:t>
      </w:r>
      <w:r w:rsidRPr="00177E3D">
        <w:rPr>
          <w:rFonts w:eastAsiaTheme="minorHAnsi"/>
          <w:kern w:val="2"/>
        </w:rPr>
        <w:t> </w:t>
      </w:r>
      <w:r w:rsidRPr="00177E3D">
        <w:rPr>
          <w:rFonts w:eastAsiaTheme="minorHAnsi"/>
          <w:kern w:val="2"/>
        </w:rPr>
        <w:t xml:space="preserve">szczycie sezonowych migracji wiosennych (od 1 marca do 15 maja) i jesiennych (od 15 września do 15 października) zamontowane na terenie inwestycji </w:t>
      </w:r>
      <w:r w:rsidRPr="00177E3D">
        <w:rPr>
          <w:rFonts w:eastAsiaTheme="minorHAnsi"/>
          <w:kern w:val="2"/>
        </w:rPr>
        <w:t xml:space="preserve">ogrodzenia </w:t>
      </w:r>
      <w:r w:rsidRPr="00177E3D">
        <w:rPr>
          <w:rFonts w:eastAsiaTheme="minorHAnsi"/>
          <w:kern w:val="2"/>
        </w:rPr>
        <w:t>z</w:t>
      </w:r>
      <w:r w:rsidRPr="00177E3D">
        <w:rPr>
          <w:rFonts w:eastAsiaTheme="minorHAnsi"/>
          <w:kern w:val="2"/>
        </w:rPr>
        <w:t> </w:t>
      </w:r>
      <w:r w:rsidRPr="00177E3D">
        <w:rPr>
          <w:rFonts w:eastAsiaTheme="minorHAnsi"/>
          <w:kern w:val="2"/>
        </w:rPr>
        <w:t xml:space="preserve">wiaderkami należy </w:t>
      </w:r>
      <w:r w:rsidRPr="00177E3D">
        <w:rPr>
          <w:rFonts w:eastAsiaTheme="minorHAnsi"/>
          <w:kern w:val="2"/>
        </w:rPr>
        <w:t>kontrolować</w:t>
      </w:r>
      <w:r w:rsidRPr="00177E3D">
        <w:rPr>
          <w:rFonts w:eastAsiaTheme="minorHAnsi"/>
          <w:kern w:val="2"/>
        </w:rPr>
        <w:t xml:space="preserve"> dwa razy dziennie (w porze porannej i</w:t>
      </w:r>
      <w:r w:rsidRPr="00177E3D">
        <w:rPr>
          <w:rFonts w:eastAsiaTheme="minorHAnsi"/>
          <w:kern w:val="2"/>
        </w:rPr>
        <w:t> </w:t>
      </w:r>
      <w:r w:rsidRPr="00177E3D">
        <w:rPr>
          <w:rFonts w:eastAsiaTheme="minorHAnsi"/>
          <w:kern w:val="2"/>
        </w:rPr>
        <w:t>przedwieczornej)</w:t>
      </w:r>
      <w:r w:rsidRPr="00177E3D">
        <w:rPr>
          <w:rFonts w:eastAsiaTheme="minorHAnsi"/>
          <w:kern w:val="2"/>
        </w:rPr>
        <w:t xml:space="preserve"> i uwalniać znalezione w nich zwierzęta</w:t>
      </w:r>
      <w:r w:rsidRPr="00177E3D">
        <w:rPr>
          <w:rFonts w:eastAsiaTheme="minorHAnsi"/>
          <w:kern w:val="2"/>
        </w:rPr>
        <w:t>.</w:t>
      </w:r>
      <w:r w:rsidRPr="00177E3D">
        <w:rPr>
          <w:rFonts w:eastAsiaTheme="minorHAnsi"/>
          <w:kern w:val="2"/>
        </w:rPr>
        <w:t xml:space="preserve"> </w:t>
      </w:r>
      <w:r w:rsidRPr="00177E3D">
        <w:rPr>
          <w:rFonts w:eastAsiaTheme="minorHAnsi"/>
          <w:kern w:val="2"/>
        </w:rPr>
        <w:t xml:space="preserve">W pozostałym okresie aktywności płazów, przypadającym na okres od początku lutego do końca października, </w:t>
      </w:r>
      <w:r w:rsidRPr="00177E3D">
        <w:rPr>
          <w:rFonts w:eastAsiaTheme="minorHAnsi"/>
          <w:kern w:val="2"/>
        </w:rPr>
        <w:t xml:space="preserve">ogrodzenia </w:t>
      </w:r>
      <w:r w:rsidRPr="00177E3D">
        <w:rPr>
          <w:rFonts w:eastAsiaTheme="minorHAnsi"/>
          <w:kern w:val="2"/>
        </w:rPr>
        <w:t xml:space="preserve">z wiaderkami należy </w:t>
      </w:r>
      <w:r w:rsidRPr="00177E3D">
        <w:rPr>
          <w:rFonts w:eastAsiaTheme="minorHAnsi"/>
          <w:kern w:val="2"/>
        </w:rPr>
        <w:t>kontrolować</w:t>
      </w:r>
      <w:r w:rsidRPr="00177E3D">
        <w:rPr>
          <w:rFonts w:eastAsiaTheme="minorHAnsi"/>
          <w:kern w:val="2"/>
        </w:rPr>
        <w:t xml:space="preserve"> raz na 2 dni</w:t>
      </w:r>
      <w:r w:rsidRPr="00177E3D">
        <w:rPr>
          <w:rFonts w:eastAsiaTheme="minorHAnsi"/>
          <w:kern w:val="2"/>
        </w:rPr>
        <w:t>;</w:t>
      </w:r>
    </w:p>
    <w:p w14:paraId="10339D00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t xml:space="preserve">prace budowlane w rejonie miejsc migracji płazów: od km 5+900 do km 8+700 oraz w km 16+200 prowadzić poza okresem rozrodu i migracji płazów, tj. poza okresem od 1 marca do </w:t>
      </w:r>
      <w:r w:rsidRPr="00177E3D">
        <w:t>30 czerwca</w:t>
      </w:r>
      <w:r w:rsidRPr="00177E3D">
        <w:t xml:space="preserve"> i od 1 września do 15 października; dopuszcza się prowadzenie prac w tym okresie po stwierdzeniu przez specjalistę herpetologa braku migracji i rozrodu płazów</w:t>
      </w:r>
      <w:r w:rsidRPr="00177E3D">
        <w:t>;</w:t>
      </w:r>
    </w:p>
    <w:p w14:paraId="271AC252" w14:textId="77777777" w:rsidR="008558F5" w:rsidRPr="00177E3D" w:rsidRDefault="008558F5" w:rsidP="008558F5">
      <w:pPr>
        <w:pStyle w:val="Akapitzlist"/>
        <w:numPr>
          <w:ilvl w:val="0"/>
          <w:numId w:val="39"/>
        </w:numPr>
        <w:ind w:left="851" w:hanging="425"/>
        <w:rPr>
          <w:rFonts w:cs="Arial"/>
          <w:szCs w:val="22"/>
        </w:rPr>
      </w:pPr>
      <w:r w:rsidRPr="00177E3D">
        <w:rPr>
          <w:rFonts w:eastAsiaTheme="minorHAnsi"/>
          <w:kern w:val="2"/>
          <w:lang w:eastAsia="en-US"/>
        </w:rPr>
        <w:t xml:space="preserve">likwidację zbiorników stanowiących siedliska rozrodcze płazów </w:t>
      </w:r>
      <w:r w:rsidRPr="00177E3D">
        <w:rPr>
          <w:rFonts w:eastAsiaTheme="minorHAnsi"/>
          <w:kern w:val="2"/>
          <w:lang w:eastAsia="en-US"/>
        </w:rPr>
        <w:t xml:space="preserve">(w km 14+100, 35+400-35+500, 40+700, 50+200) </w:t>
      </w:r>
      <w:r w:rsidRPr="00177E3D">
        <w:rPr>
          <w:rFonts w:eastAsiaTheme="minorHAnsi"/>
          <w:kern w:val="2"/>
          <w:lang w:eastAsia="en-US"/>
        </w:rPr>
        <w:t xml:space="preserve">należy prowadzić </w:t>
      </w:r>
      <w:r w:rsidRPr="00177E3D">
        <w:rPr>
          <w:rFonts w:eastAsiaTheme="minorHAnsi"/>
          <w:kern w:val="2"/>
          <w:lang w:eastAsia="en-US"/>
        </w:rPr>
        <w:t>pod stałym nadzorem specjalisty herpetologa</w:t>
      </w:r>
      <w:r w:rsidRPr="00177E3D">
        <w:rPr>
          <w:rFonts w:eastAsiaTheme="minorHAnsi"/>
          <w:kern w:val="2"/>
          <w:lang w:eastAsia="en-US"/>
        </w:rPr>
        <w:t xml:space="preserve"> z nadzoru przyrodniczego</w:t>
      </w:r>
      <w:r w:rsidRPr="00177E3D">
        <w:rPr>
          <w:rFonts w:eastAsiaTheme="minorHAnsi"/>
          <w:kern w:val="2"/>
          <w:lang w:eastAsia="en-US"/>
        </w:rPr>
        <w:t>, po uprzednim odłowieniu osobników i przeniesieniu w dogodne siedliska zastępcze</w:t>
      </w:r>
      <w:r w:rsidRPr="00177E3D">
        <w:rPr>
          <w:rFonts w:eastAsiaTheme="minorHAnsi"/>
          <w:kern w:val="2"/>
          <w:lang w:eastAsia="en-US"/>
        </w:rPr>
        <w:t>.</w:t>
      </w:r>
      <w:r w:rsidRPr="00177E3D">
        <w:rPr>
          <w:rFonts w:eastAsiaTheme="minorHAnsi"/>
          <w:kern w:val="2"/>
          <w:lang w:eastAsia="en-US"/>
        </w:rPr>
        <w:t xml:space="preserve"> </w:t>
      </w:r>
      <w:r w:rsidRPr="00177E3D">
        <w:rPr>
          <w:rFonts w:cs="Arial"/>
          <w:szCs w:val="22"/>
        </w:rPr>
        <w:t>Zakres prac powinien obejmować kolejno następujące czynności:</w:t>
      </w:r>
    </w:p>
    <w:p w14:paraId="489D9BE8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 xml:space="preserve">obniżenie lustra wody – przerwanie linii brzegowej poprzez rów odwadniający. Miejsce przerwania linii brzegowej należy zabezpieczyć poprzez </w:t>
      </w:r>
      <w:r w:rsidRPr="00177E3D">
        <w:rPr>
          <w:rFonts w:cs="Arial"/>
          <w:szCs w:val="22"/>
        </w:rPr>
        <w:t xml:space="preserve">szczelne </w:t>
      </w:r>
      <w:r w:rsidRPr="00177E3D">
        <w:rPr>
          <w:rFonts w:cs="Arial"/>
          <w:szCs w:val="22"/>
        </w:rPr>
        <w:t xml:space="preserve">rozpięcie siatki o oczkach </w:t>
      </w:r>
      <w:r w:rsidRPr="00177E3D">
        <w:rPr>
          <w:rFonts w:cs="Arial"/>
          <w:szCs w:val="22"/>
        </w:rPr>
        <w:t>nie większych niż</w:t>
      </w:r>
      <w:r w:rsidRPr="00177E3D">
        <w:rPr>
          <w:rFonts w:cs="Arial"/>
          <w:szCs w:val="22"/>
        </w:rPr>
        <w:t xml:space="preserve"> 5</w:t>
      </w:r>
      <w:r w:rsidRPr="00177E3D">
        <w:rPr>
          <w:rFonts w:cs="Arial"/>
          <w:szCs w:val="22"/>
        </w:rPr>
        <w:t>×</w:t>
      </w:r>
      <w:r w:rsidRPr="00177E3D">
        <w:rPr>
          <w:rFonts w:cs="Arial"/>
          <w:szCs w:val="22"/>
        </w:rPr>
        <w:t>5 mm. Zatrzymujące się na siatce płazy należy natychmiast wyłowić;</w:t>
      </w:r>
    </w:p>
    <w:p w14:paraId="6172DE22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penetrację dna i odłowienie zwierząt (osobników dorosłych i młodocianych);</w:t>
      </w:r>
    </w:p>
    <w:p w14:paraId="0EC0A9CD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zabezpieczenie odłowionych zwierząt w przygotowanych uprzednio pojemnikach w miejscu zacienionym, aby temperatura wody, w której będą przechowywane, nie była wyższa niż 20</w:t>
      </w:r>
      <w:r w:rsidRPr="00177E3D">
        <w:rPr>
          <w:rFonts w:ascii="Times New Roman" w:hAnsi="Times New Roman"/>
          <w:szCs w:val="22"/>
        </w:rPr>
        <w:t>°</w:t>
      </w:r>
      <w:r w:rsidRPr="00177E3D">
        <w:rPr>
          <w:rFonts w:cs="Arial"/>
          <w:szCs w:val="22"/>
        </w:rPr>
        <w:t>C;</w:t>
      </w:r>
    </w:p>
    <w:p w14:paraId="103EE316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 xml:space="preserve">transport i wypuszczenie zwierząt w optymalne dla nich siedliska, w których wcześniej stwierdzano płazy; </w:t>
      </w:r>
    </w:p>
    <w:p w14:paraId="579A6CA7" w14:textId="77777777" w:rsidR="008558F5" w:rsidRPr="00177E3D" w:rsidRDefault="008558F5" w:rsidP="008558F5">
      <w:pPr>
        <w:pStyle w:val="Akapitzlist"/>
        <w:numPr>
          <w:ilvl w:val="0"/>
          <w:numId w:val="40"/>
        </w:numPr>
        <w:ind w:left="1276" w:hanging="426"/>
        <w:rPr>
          <w:rFonts w:cs="Arial"/>
          <w:szCs w:val="22"/>
        </w:rPr>
      </w:pPr>
      <w:r w:rsidRPr="00177E3D">
        <w:rPr>
          <w:rFonts w:cs="Arial"/>
          <w:szCs w:val="22"/>
        </w:rPr>
        <w:t>zasypanie osuszonej niszy zbiornika jednostronnym frontem roboczym bezpośrednio po odłowieniu zwierząt;</w:t>
      </w:r>
    </w:p>
    <w:p w14:paraId="5A471C35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rPr>
          <w:rFonts w:eastAsiaTheme="minorHAnsi"/>
          <w:kern w:val="2"/>
        </w:rPr>
        <w:lastRenderedPageBreak/>
        <w:t xml:space="preserve">optymalnym terminem na </w:t>
      </w:r>
      <w:r w:rsidRPr="00177E3D">
        <w:rPr>
          <w:rFonts w:eastAsiaTheme="minorHAnsi"/>
          <w:kern w:val="2"/>
        </w:rPr>
        <w:t xml:space="preserve">likwidację siedlisk płazów </w:t>
      </w:r>
      <w:r w:rsidRPr="00177E3D">
        <w:rPr>
          <w:rFonts w:eastAsiaTheme="minorHAnsi"/>
          <w:kern w:val="2"/>
        </w:rPr>
        <w:t>jest</w:t>
      </w:r>
      <w:r w:rsidRPr="00177E3D">
        <w:rPr>
          <w:rFonts w:eastAsiaTheme="minorHAnsi"/>
          <w:kern w:val="2"/>
        </w:rPr>
        <w:t xml:space="preserve"> wrze</w:t>
      </w:r>
      <w:r w:rsidRPr="00177E3D">
        <w:rPr>
          <w:rFonts w:eastAsiaTheme="minorHAnsi"/>
          <w:kern w:val="2"/>
        </w:rPr>
        <w:t>sień</w:t>
      </w:r>
      <w:r w:rsidRPr="00177E3D">
        <w:rPr>
          <w:rFonts w:eastAsiaTheme="minorHAnsi"/>
          <w:kern w:val="2"/>
        </w:rPr>
        <w:t xml:space="preserve">. </w:t>
      </w:r>
      <w:r w:rsidRPr="00177E3D">
        <w:rPr>
          <w:rFonts w:eastAsiaTheme="minorHAnsi"/>
          <w:kern w:val="2"/>
        </w:rPr>
        <w:t>Ze względu na</w:t>
      </w:r>
      <w:r w:rsidRPr="00177E3D">
        <w:rPr>
          <w:rFonts w:eastAsiaTheme="minorHAnsi"/>
          <w:kern w:val="2"/>
        </w:rPr>
        <w:t xml:space="preserve"> uwarunkowania projektowe </w:t>
      </w:r>
      <w:r w:rsidRPr="00177E3D">
        <w:rPr>
          <w:rFonts w:eastAsiaTheme="minorHAnsi"/>
          <w:kern w:val="2"/>
        </w:rPr>
        <w:t xml:space="preserve">dopuszczalna jest </w:t>
      </w:r>
      <w:r w:rsidRPr="00177E3D">
        <w:rPr>
          <w:rFonts w:eastAsiaTheme="minorHAnsi"/>
          <w:kern w:val="2"/>
        </w:rPr>
        <w:t>likwidacj</w:t>
      </w:r>
      <w:r w:rsidRPr="00177E3D">
        <w:rPr>
          <w:rFonts w:eastAsiaTheme="minorHAnsi"/>
          <w:kern w:val="2"/>
        </w:rPr>
        <w:t>a</w:t>
      </w:r>
      <w:r w:rsidRPr="00177E3D">
        <w:rPr>
          <w:rFonts w:eastAsiaTheme="minorHAnsi"/>
          <w:kern w:val="2"/>
        </w:rPr>
        <w:t xml:space="preserve"> </w:t>
      </w:r>
      <w:r w:rsidRPr="00177E3D">
        <w:rPr>
          <w:rFonts w:eastAsiaTheme="minorHAnsi"/>
          <w:kern w:val="2"/>
        </w:rPr>
        <w:t>siedlisk</w:t>
      </w:r>
      <w:r w:rsidRPr="00177E3D">
        <w:rPr>
          <w:rFonts w:eastAsiaTheme="minorHAnsi"/>
          <w:kern w:val="2"/>
        </w:rPr>
        <w:t xml:space="preserve"> w innym terminie,</w:t>
      </w:r>
      <w:r w:rsidRPr="00177E3D">
        <w:rPr>
          <w:rFonts w:eastAsiaTheme="minorHAnsi"/>
          <w:kern w:val="2"/>
        </w:rPr>
        <w:t xml:space="preserve"> jednak</w:t>
      </w:r>
      <w:r w:rsidRPr="00177E3D">
        <w:rPr>
          <w:rFonts w:eastAsiaTheme="minorHAnsi"/>
          <w:kern w:val="2"/>
        </w:rPr>
        <w:t xml:space="preserve"> w</w:t>
      </w:r>
      <w:r w:rsidRPr="00177E3D">
        <w:rPr>
          <w:rFonts w:eastAsiaTheme="minorHAnsi"/>
          <w:kern w:val="2"/>
        </w:rPr>
        <w:t xml:space="preserve"> </w:t>
      </w:r>
      <w:r w:rsidRPr="00177E3D">
        <w:rPr>
          <w:rFonts w:eastAsiaTheme="minorHAnsi"/>
          <w:kern w:val="2"/>
        </w:rPr>
        <w:t>każdym przypadku pod nadzorem specjalisty herpetologa</w:t>
      </w:r>
      <w:r w:rsidRPr="00177E3D">
        <w:rPr>
          <w:rFonts w:eastAsiaTheme="minorHAnsi"/>
          <w:kern w:val="2"/>
        </w:rPr>
        <w:t xml:space="preserve"> z nadzoru przyrodniczego</w:t>
      </w:r>
      <w:r w:rsidRPr="00177E3D">
        <w:rPr>
          <w:rFonts w:eastAsiaTheme="minorHAnsi"/>
          <w:kern w:val="2"/>
        </w:rPr>
        <w:t>. Dokładny termin ustali specjalista herpetolog na podstawie warunków pogodowych i obserwacji terenowych. Wyławianie i przenoszenie zwierząt</w:t>
      </w:r>
      <w:r w:rsidRPr="00177E3D">
        <w:rPr>
          <w:rFonts w:eastAsiaTheme="minorHAnsi"/>
          <w:kern w:val="2"/>
        </w:rPr>
        <w:t xml:space="preserve"> należy</w:t>
      </w:r>
      <w:r w:rsidRPr="00177E3D">
        <w:rPr>
          <w:rFonts w:eastAsiaTheme="minorHAnsi"/>
          <w:kern w:val="2"/>
        </w:rPr>
        <w:t xml:space="preserve"> wykonywać przy użyciu rękawiczek ochronnych. W przypadku stwierdzenia</w:t>
      </w:r>
      <w:r w:rsidRPr="00177E3D">
        <w:rPr>
          <w:rFonts w:eastAsiaTheme="minorHAnsi"/>
          <w:kern w:val="2"/>
        </w:rPr>
        <w:t xml:space="preserve">, że możliwe jest zachowanie </w:t>
      </w:r>
      <w:r w:rsidRPr="00177E3D">
        <w:rPr>
          <w:rFonts w:eastAsiaTheme="minorHAnsi"/>
          <w:kern w:val="2"/>
        </w:rPr>
        <w:t>części</w:t>
      </w:r>
      <w:r w:rsidRPr="00177E3D">
        <w:rPr>
          <w:rFonts w:eastAsiaTheme="minorHAnsi"/>
          <w:kern w:val="2"/>
        </w:rPr>
        <w:t xml:space="preserve"> likwidowanego zbiornika</w:t>
      </w:r>
      <w:r w:rsidRPr="00177E3D">
        <w:rPr>
          <w:rFonts w:eastAsiaTheme="minorHAnsi"/>
          <w:kern w:val="2"/>
        </w:rPr>
        <w:t xml:space="preserve">, zachowaną część zbiornika należy oddzielić od drogi </w:t>
      </w:r>
      <w:r w:rsidRPr="00177E3D">
        <w:rPr>
          <w:rFonts w:eastAsiaTheme="minorHAnsi"/>
          <w:kern w:val="2"/>
        </w:rPr>
        <w:t xml:space="preserve">lub linii kolejowej </w:t>
      </w:r>
      <w:r w:rsidRPr="00177E3D">
        <w:rPr>
          <w:rFonts w:eastAsiaTheme="minorHAnsi"/>
          <w:kern w:val="2"/>
        </w:rPr>
        <w:t>za pomocą ścianki szczelnej</w:t>
      </w:r>
      <w:r w:rsidRPr="00177E3D">
        <w:rPr>
          <w:rFonts w:eastAsiaTheme="minorHAnsi"/>
          <w:kern w:val="2"/>
        </w:rPr>
        <w:t>;</w:t>
      </w:r>
    </w:p>
    <w:p w14:paraId="7511F96A" w14:textId="77777777" w:rsidR="008558F5" w:rsidRPr="00177E3D" w:rsidRDefault="008558F5" w:rsidP="008558F5">
      <w:pPr>
        <w:numPr>
          <w:ilvl w:val="0"/>
          <w:numId w:val="39"/>
        </w:numPr>
        <w:ind w:left="851" w:hanging="425"/>
        <w:rPr>
          <w:rFonts w:eastAsiaTheme="minorHAnsi"/>
          <w:kern w:val="2"/>
        </w:rPr>
      </w:pPr>
      <w:r w:rsidRPr="00177E3D">
        <w:rPr>
          <w:rFonts w:eastAsiaTheme="minorHAnsi"/>
          <w:kern w:val="2"/>
        </w:rPr>
        <w:t>w okresie od 15 lutego do 31 października specjaliści z nadzoru przyrodniczego zobowiązani są do prowadzenia codziennych kontroli wykopów na terenie placu budowy w rejonie miejsc migracji płazów. W szczycie migracji płazów, tj. od 1 marca do 15 maja oraz od 15 września do 15 października, kontrole wykopów prowadzić dwa razy dziennie, w porze porannej oraz przedwieczornej. Znalezione na terenie budowy oraz uwięzione w pułapkach zwierzęta należy przenieść poza teren prowadzonych prac, do stanowisk zastępczych</w:t>
      </w:r>
      <w:r w:rsidRPr="00177E3D">
        <w:rPr>
          <w:rFonts w:eastAsiaTheme="minorHAnsi"/>
          <w:kern w:val="2"/>
        </w:rPr>
        <w:t xml:space="preserve"> wskazanych przez specjalistę herpetologa, co najmniej 1 km od placu budowy. Przenoszenie prowadzić przy użyciu rękawiczek ochronnych, a używany do tego sprzęt dezynfekować</w:t>
      </w:r>
      <w:r w:rsidRPr="00177E3D">
        <w:rPr>
          <w:rFonts w:eastAsiaTheme="minorHAnsi"/>
          <w:kern w:val="2"/>
        </w:rPr>
        <w:t>.</w:t>
      </w:r>
    </w:p>
    <w:p w14:paraId="4D9A4162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</w:rPr>
        <w:t xml:space="preserve">Zasady prowadzenia prac </w:t>
      </w:r>
      <w:r w:rsidRPr="00177E3D">
        <w:rPr>
          <w:rFonts w:cs="Arial"/>
        </w:rPr>
        <w:t xml:space="preserve">budowlanych </w:t>
      </w:r>
      <w:r w:rsidRPr="00177E3D">
        <w:rPr>
          <w:rFonts w:cs="Arial"/>
        </w:rPr>
        <w:t>w rejonie cieków:</w:t>
      </w:r>
    </w:p>
    <w:p w14:paraId="31CB1967" w14:textId="77777777" w:rsidR="008558F5" w:rsidRPr="00177E3D" w:rsidRDefault="008558F5" w:rsidP="008558F5">
      <w:pPr>
        <w:pStyle w:val="Akapitzlist"/>
        <w:numPr>
          <w:ilvl w:val="0"/>
          <w:numId w:val="41"/>
        </w:numPr>
        <w:ind w:left="851" w:hanging="425"/>
        <w:rPr>
          <w:rFonts w:cs="Arial"/>
        </w:rPr>
      </w:pPr>
      <w:r w:rsidRPr="00177E3D">
        <w:rPr>
          <w:rFonts w:cs="Arial"/>
        </w:rPr>
        <w:t>prace w obrębie koryt cieków prowadzić z zastosowaniem rozwiązań technicznych i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organizacyjnych zabezpieczających przed niszczeniem brzegów, zwężeniem koryta oraz ograniczeniem swobodnego przepływu wód </w:t>
      </w:r>
      <w:r w:rsidRPr="00177E3D">
        <w:rPr>
          <w:rFonts w:cs="Arial"/>
        </w:rPr>
        <w:t>(np. prace pod osłoną grodz, wykonanie kanałów obiegowych, kanałów zastępczych)</w:t>
      </w:r>
      <w:r w:rsidRPr="00177E3D">
        <w:t xml:space="preserve">. </w:t>
      </w:r>
      <w:r w:rsidRPr="00177E3D">
        <w:rPr>
          <w:rFonts w:cs="Arial"/>
        </w:rPr>
        <w:t>Należy także zastosować rozwiązania techniczne i organizacyjne zabezpieczające przed zasypywaniem cieku, zmętnieniem wód oraz przed przedostaniem się substancji chemicznych, odpadów i makrozawiesin do wód powierzchniowych, np. poprzez stosowanie podwieszonych siatek, wygrodzenie przegrodami przeciwmułowymi lub płotkami z geowłókniny;</w:t>
      </w:r>
      <w:r w:rsidRPr="00177E3D">
        <w:t xml:space="preserve"> </w:t>
      </w:r>
    </w:p>
    <w:p w14:paraId="579A6539" w14:textId="77777777" w:rsidR="008558F5" w:rsidRPr="00177E3D" w:rsidRDefault="008558F5" w:rsidP="008558F5">
      <w:pPr>
        <w:pStyle w:val="Akapitzlist"/>
        <w:numPr>
          <w:ilvl w:val="0"/>
          <w:numId w:val="41"/>
        </w:numPr>
        <w:ind w:left="851" w:hanging="425"/>
        <w:rPr>
          <w:rFonts w:cs="Arial"/>
        </w:rPr>
      </w:pPr>
      <w:r w:rsidRPr="00177E3D">
        <w:t>prace na ciekach wykonywać z brzegu, bez wjazdu maszyn i pojazdów do koryta cieków</w:t>
      </w:r>
      <w:r w:rsidRPr="00177E3D">
        <w:rPr>
          <w:rFonts w:cs="Arial"/>
        </w:rPr>
        <w:t>;</w:t>
      </w:r>
    </w:p>
    <w:p w14:paraId="592A2F9F" w14:textId="77777777" w:rsidR="008558F5" w:rsidRPr="00177E3D" w:rsidRDefault="008558F5" w:rsidP="008558F5">
      <w:pPr>
        <w:pStyle w:val="Akapitzlist"/>
        <w:numPr>
          <w:ilvl w:val="0"/>
          <w:numId w:val="41"/>
        </w:numPr>
        <w:ind w:left="851" w:hanging="425"/>
        <w:rPr>
          <w:rFonts w:cs="Arial"/>
        </w:rPr>
      </w:pPr>
      <w:r w:rsidRPr="00177E3D">
        <w:t>odprowadzanie wód opadowych, roztopowych i wód pochodzących z odwodnień</w:t>
      </w:r>
      <w:r w:rsidRPr="00177E3D">
        <w:t xml:space="preserve"> z terenu budowy należy prowadzić przez poletka sedymentacyjne. W przypadku gdy codzienn</w:t>
      </w:r>
      <w:r w:rsidRPr="00177E3D">
        <w:t>a kontrola</w:t>
      </w:r>
      <w:r w:rsidRPr="00177E3D">
        <w:t xml:space="preserve"> stężenia zawiesiny ogólnej wykaże przekroczenie wartości 100</w:t>
      </w:r>
      <w:r w:rsidRPr="00177E3D">
        <w:t> </w:t>
      </w:r>
      <w:r w:rsidRPr="00177E3D">
        <w:t>mg/l w odbiorniku, należy wstrzymać zrzuty do czasu zmniejszenia się koncentracji zawiesiny ogólnej poniżej tej wartości;</w:t>
      </w:r>
    </w:p>
    <w:p w14:paraId="4271C087" w14:textId="77777777" w:rsidR="008558F5" w:rsidRPr="00177E3D" w:rsidRDefault="008558F5" w:rsidP="008558F5">
      <w:pPr>
        <w:pStyle w:val="Akapitzlist"/>
        <w:numPr>
          <w:ilvl w:val="0"/>
          <w:numId w:val="41"/>
        </w:numPr>
        <w:ind w:left="851" w:hanging="425"/>
        <w:rPr>
          <w:rFonts w:cs="Arial"/>
        </w:rPr>
      </w:pPr>
      <w:r w:rsidRPr="00177E3D">
        <w:rPr>
          <w:rFonts w:cs="Arial"/>
        </w:rPr>
        <w:t>p</w:t>
      </w:r>
      <w:r w:rsidRPr="00177E3D">
        <w:rPr>
          <w:rFonts w:cs="Arial"/>
        </w:rPr>
        <w:t xml:space="preserve">race budowlane ingerujące </w:t>
      </w:r>
      <w:r w:rsidRPr="00177E3D">
        <w:rPr>
          <w:rFonts w:cs="Arial"/>
        </w:rPr>
        <w:t xml:space="preserve">w koryta cieków należy prowadzić pod nadzorem </w:t>
      </w:r>
      <w:r w:rsidRPr="00177E3D">
        <w:rPr>
          <w:rFonts w:cs="Arial"/>
        </w:rPr>
        <w:t>specjalist</w:t>
      </w:r>
      <w:r w:rsidRPr="00177E3D">
        <w:rPr>
          <w:rFonts w:cs="Arial"/>
        </w:rPr>
        <w:t>y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ichtiologa</w:t>
      </w:r>
      <w:bookmarkStart w:id="10" w:name="_Hlk123023087"/>
      <w:r w:rsidRPr="00177E3D">
        <w:rPr>
          <w:rFonts w:cs="Arial"/>
        </w:rPr>
        <w:t xml:space="preserve"> z nadzoru przyrodniczego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>p</w:t>
      </w:r>
      <w:r w:rsidRPr="00177E3D">
        <w:rPr>
          <w:rFonts w:cs="Arial"/>
        </w:rPr>
        <w:t xml:space="preserve">oza okresem tarła ryb i inkubacji ikry, który przypada na okres </w:t>
      </w:r>
      <w:r w:rsidRPr="00177E3D">
        <w:rPr>
          <w:rFonts w:cs="Arial"/>
        </w:rPr>
        <w:t>1 marca – 31 lipca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W przypadku przebudowy cieków p</w:t>
      </w:r>
      <w:r w:rsidRPr="00177E3D">
        <w:rPr>
          <w:rFonts w:cs="Arial"/>
        </w:rPr>
        <w:t>race na</w:t>
      </w:r>
      <w:r w:rsidRPr="00177E3D">
        <w:rPr>
          <w:rFonts w:cs="Arial"/>
        </w:rPr>
        <w:t>l</w:t>
      </w:r>
      <w:r w:rsidRPr="00177E3D">
        <w:rPr>
          <w:rFonts w:cs="Arial"/>
        </w:rPr>
        <w:t>eży prowadzić według następujących zasad</w:t>
      </w:r>
      <w:r w:rsidRPr="00177E3D">
        <w:rPr>
          <w:rFonts w:cs="Arial"/>
        </w:rPr>
        <w:t>;</w:t>
      </w:r>
    </w:p>
    <w:p w14:paraId="20F3C5C0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wykonać nowy odcinek koryta</w:t>
      </w:r>
      <w:r w:rsidRPr="00177E3D">
        <w:rPr>
          <w:rFonts w:cs="Arial"/>
        </w:rPr>
        <w:t>;</w:t>
      </w:r>
    </w:p>
    <w:p w14:paraId="42F60DE6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włączyć nowopowstały odcinek do naturalnego koryta</w:t>
      </w:r>
      <w:r w:rsidRPr="00177E3D">
        <w:rPr>
          <w:rFonts w:cs="Arial"/>
        </w:rPr>
        <w:t>;</w:t>
      </w:r>
    </w:p>
    <w:p w14:paraId="747FFE67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odciąć stary fragment koryta (w pierwszej kolejności od strony górnego odcinka cieku) przez zastosowanie przegrody, z jednoczesnym zachowaniem ciągłości przepływu wody w nowopowstałym odcinku koryta</w:t>
      </w:r>
      <w:r w:rsidRPr="00177E3D">
        <w:rPr>
          <w:rFonts w:cs="Arial"/>
        </w:rPr>
        <w:t>;</w:t>
      </w:r>
    </w:p>
    <w:p w14:paraId="6D4FAB0E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lastRenderedPageBreak/>
        <w:t xml:space="preserve">skontrolować odcięty odcinek koryta pod kątem występowania w nim zwierząt, a w przypadku ich znalezienia, przenieść je do odpowiedniego dla danego gatunku siedliska (najlepiej do odcinka cieku położonego poniżej fragmentu objętego pracami). Następnie należy stopniowo obniżać poziom lustra wody w odciętym korycie (przy ciągłym odławianiu zwierząt), a w dalszej kolejności sprawdzić dno, celem odłowienia zwierząt zagrzebanych w mule. </w:t>
      </w:r>
      <w:bookmarkStart w:id="11" w:name="_Hlk123023989"/>
      <w:r w:rsidRPr="00177E3D">
        <w:rPr>
          <w:rFonts w:cs="Arial"/>
        </w:rPr>
        <w:t>Przed ostateczną likwidacją odciętego koryta ponownie skontrolować jego dno i odłowić napotkane w nim osobniki</w:t>
      </w:r>
      <w:bookmarkEnd w:id="11"/>
      <w:r w:rsidRPr="00177E3D">
        <w:rPr>
          <w:rFonts w:cs="Arial"/>
        </w:rPr>
        <w:t>;</w:t>
      </w:r>
    </w:p>
    <w:p w14:paraId="246218D2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zasypanie odciętego koryta prowadzić jednostronnym frontem roboczym; do zasypania wykorzystać ziemię pochodzącą z wykopu nowego odcinka koryta</w:t>
      </w:r>
      <w:r w:rsidRPr="00177E3D">
        <w:rPr>
          <w:rFonts w:cs="Arial"/>
        </w:rPr>
        <w:t>;</w:t>
      </w:r>
    </w:p>
    <w:p w14:paraId="625EF6F2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brzegi nowego koryta umocnić za pomocą naturalnych materiałów, np. kamień, faszyna, darnina</w:t>
      </w:r>
      <w:r w:rsidRPr="00177E3D">
        <w:rPr>
          <w:rFonts w:cs="Arial"/>
        </w:rPr>
        <w:t>;</w:t>
      </w:r>
    </w:p>
    <w:p w14:paraId="703486C4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w przypadku zastosowania tymczasowego obiegu zastępczego, należy przywrócić przepływ wody w starym korycie, powtarzając sposób prowadzenia prac</w:t>
      </w:r>
      <w:r w:rsidRPr="00177E3D">
        <w:rPr>
          <w:rFonts w:cs="Arial"/>
        </w:rPr>
        <w:t>;</w:t>
      </w:r>
    </w:p>
    <w:p w14:paraId="2A22F9C7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rPr>
          <w:rFonts w:cs="Arial"/>
        </w:rPr>
        <w:t>zakazuje się przemieszczania sprzętu budowlanego korytem cieku</w:t>
      </w:r>
      <w:r w:rsidRPr="00177E3D">
        <w:rPr>
          <w:rFonts w:cs="Arial"/>
        </w:rPr>
        <w:t>;</w:t>
      </w:r>
    </w:p>
    <w:p w14:paraId="1AD5026A" w14:textId="77777777" w:rsidR="008558F5" w:rsidRPr="00177E3D" w:rsidRDefault="008558F5" w:rsidP="00466F42">
      <w:pPr>
        <w:pStyle w:val="Akapitzlist"/>
        <w:numPr>
          <w:ilvl w:val="0"/>
          <w:numId w:val="16"/>
        </w:numPr>
        <w:ind w:left="1276" w:hanging="426"/>
        <w:rPr>
          <w:rFonts w:cs="Arial"/>
        </w:rPr>
      </w:pPr>
      <w:r w:rsidRPr="00177E3D">
        <w:t>prace należy prowadzić przy niskich stanach wód</w:t>
      </w:r>
      <w:r w:rsidRPr="00177E3D">
        <w:t>.</w:t>
      </w:r>
    </w:p>
    <w:bookmarkEnd w:id="10"/>
    <w:p w14:paraId="78CA5C0B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Zasady prowadzenia odwodnienia gruntu na etapie budowy:</w:t>
      </w:r>
    </w:p>
    <w:p w14:paraId="063A1367" w14:textId="77777777" w:rsidR="008558F5" w:rsidRPr="00177E3D" w:rsidRDefault="008558F5" w:rsidP="00466F42">
      <w:pPr>
        <w:pStyle w:val="Akapitzlist"/>
        <w:numPr>
          <w:ilvl w:val="1"/>
          <w:numId w:val="16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należy </w:t>
      </w:r>
      <w:r w:rsidRPr="00177E3D">
        <w:rPr>
          <w:rFonts w:cs="Arial"/>
        </w:rPr>
        <w:t>wykorzystać</w:t>
      </w:r>
      <w:r w:rsidRPr="00177E3D">
        <w:rPr>
          <w:rFonts w:cs="Arial"/>
        </w:rPr>
        <w:t xml:space="preserve"> rozwiązania techniczne służące ograniczeniu zasięgu leja depresji </w:t>
      </w:r>
      <w:r w:rsidRPr="00177E3D">
        <w:rPr>
          <w:rFonts w:cs="Arial"/>
        </w:rPr>
        <w:t xml:space="preserve">(np. poprzez zastosowanie </w:t>
      </w:r>
      <w:r w:rsidRPr="00177E3D">
        <w:rPr>
          <w:rFonts w:cs="Arial"/>
        </w:rPr>
        <w:t xml:space="preserve">ścianek szczelnych, </w:t>
      </w:r>
      <w:r w:rsidRPr="00177E3D">
        <w:rPr>
          <w:rFonts w:cs="Arial"/>
        </w:rPr>
        <w:t xml:space="preserve">igłofiltrów </w:t>
      </w:r>
      <w:r w:rsidRPr="00177E3D">
        <w:rPr>
          <w:rFonts w:cs="Arial"/>
        </w:rPr>
        <w:t>lub drenaży drogowych</w:t>
      </w:r>
      <w:r w:rsidRPr="00177E3D">
        <w:rPr>
          <w:rFonts w:cs="Arial"/>
        </w:rPr>
        <w:t>)</w:t>
      </w:r>
      <w:r w:rsidRPr="00177E3D">
        <w:rPr>
          <w:rFonts w:cs="Arial"/>
        </w:rPr>
        <w:t>;</w:t>
      </w:r>
    </w:p>
    <w:p w14:paraId="7D06FE34" w14:textId="77777777" w:rsidR="008558F5" w:rsidRPr="00177E3D" w:rsidRDefault="008558F5" w:rsidP="00466F42">
      <w:pPr>
        <w:pStyle w:val="Akapitzlist"/>
        <w:numPr>
          <w:ilvl w:val="1"/>
          <w:numId w:val="16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wody pochodzące z odwodnienia terenu budowy należy oczyścić w </w:t>
      </w:r>
      <w:r w:rsidRPr="00177E3D">
        <w:rPr>
          <w:rFonts w:cs="Arial"/>
        </w:rPr>
        <w:t>poletkach sedymentacyjnych</w:t>
      </w:r>
      <w:r w:rsidRPr="00177E3D">
        <w:rPr>
          <w:rFonts w:cs="Arial"/>
        </w:rPr>
        <w:t xml:space="preserve"> przed odprowadzeniem ich do </w:t>
      </w:r>
      <w:r w:rsidRPr="00177E3D">
        <w:rPr>
          <w:rFonts w:cs="Arial"/>
        </w:rPr>
        <w:t>cieków i urządzeń wodnych</w:t>
      </w:r>
      <w:r w:rsidRPr="00177E3D">
        <w:rPr>
          <w:rFonts w:cs="Arial"/>
        </w:rPr>
        <w:t>.</w:t>
      </w:r>
    </w:p>
    <w:p w14:paraId="1052FC0B" w14:textId="77777777" w:rsidR="008558F5" w:rsidRPr="00177E3D" w:rsidRDefault="008558F5" w:rsidP="008558F5">
      <w:pPr>
        <w:pStyle w:val="Akapitzlist"/>
        <w:numPr>
          <w:ilvl w:val="3"/>
          <w:numId w:val="33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Zasady eksploatacji systemu odwodnienia linii kolejowych:</w:t>
      </w:r>
    </w:p>
    <w:p w14:paraId="5A9BDBE1" w14:textId="77777777" w:rsidR="008558F5" w:rsidRPr="00177E3D" w:rsidRDefault="008558F5" w:rsidP="008558F5">
      <w:pPr>
        <w:pStyle w:val="Akapitzlist"/>
        <w:numPr>
          <w:ilvl w:val="0"/>
          <w:numId w:val="23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należy </w:t>
      </w:r>
      <w:r w:rsidRPr="00177E3D">
        <w:rPr>
          <w:rFonts w:cs="Arial"/>
        </w:rPr>
        <w:t xml:space="preserve">zapewnić drożność </w:t>
      </w:r>
      <w:r w:rsidRPr="00177E3D">
        <w:rPr>
          <w:rFonts w:cs="Arial"/>
        </w:rPr>
        <w:t>przepust</w:t>
      </w:r>
      <w:r w:rsidRPr="00177E3D">
        <w:rPr>
          <w:rFonts w:cs="Arial"/>
        </w:rPr>
        <w:t>ów,</w:t>
      </w:r>
      <w:r w:rsidRPr="00177E3D">
        <w:rPr>
          <w:rFonts w:cs="Arial"/>
        </w:rPr>
        <w:t xml:space="preserve"> row</w:t>
      </w:r>
      <w:r w:rsidRPr="00177E3D">
        <w:rPr>
          <w:rFonts w:cs="Arial"/>
        </w:rPr>
        <w:t>ów i innych elementów</w:t>
      </w:r>
      <w:r w:rsidRPr="00177E3D">
        <w:rPr>
          <w:rFonts w:cs="Arial"/>
        </w:rPr>
        <w:t xml:space="preserve"> odwodnieni</w:t>
      </w:r>
      <w:r w:rsidRPr="00177E3D">
        <w:rPr>
          <w:rFonts w:cs="Arial"/>
        </w:rPr>
        <w:t xml:space="preserve">a, poprzez </w:t>
      </w:r>
      <w:r w:rsidRPr="00177E3D">
        <w:rPr>
          <w:rFonts w:cs="Arial"/>
        </w:rPr>
        <w:t xml:space="preserve">ich koszenie i </w:t>
      </w:r>
      <w:r w:rsidRPr="00177E3D">
        <w:rPr>
          <w:rFonts w:cs="Arial"/>
        </w:rPr>
        <w:t xml:space="preserve">oczyszczanie </w:t>
      </w:r>
      <w:r w:rsidRPr="00177E3D">
        <w:rPr>
          <w:rFonts w:cs="Arial"/>
        </w:rPr>
        <w:t xml:space="preserve">nie rzadziej niż </w:t>
      </w:r>
      <w:r w:rsidRPr="00177E3D">
        <w:rPr>
          <w:rFonts w:cs="Arial"/>
        </w:rPr>
        <w:t>1</w:t>
      </w:r>
      <w:r w:rsidRPr="00177E3D">
        <w:rPr>
          <w:rFonts w:cs="Arial"/>
        </w:rPr>
        <w:t xml:space="preserve"> raz w ciągu roku</w:t>
      </w:r>
      <w:r w:rsidRPr="00177E3D">
        <w:rPr>
          <w:rFonts w:cs="Arial"/>
        </w:rPr>
        <w:t>, nie później niż do 15 maja danego roku</w:t>
      </w:r>
      <w:r w:rsidRPr="00177E3D">
        <w:rPr>
          <w:rFonts w:cs="Arial"/>
        </w:rPr>
        <w:t>;</w:t>
      </w:r>
    </w:p>
    <w:p w14:paraId="284F352F" w14:textId="77777777" w:rsidR="008558F5" w:rsidRPr="00177E3D" w:rsidRDefault="008558F5" w:rsidP="008558F5">
      <w:pPr>
        <w:pStyle w:val="Akapitzlist"/>
        <w:numPr>
          <w:ilvl w:val="0"/>
          <w:numId w:val="23"/>
        </w:numPr>
        <w:ind w:left="851" w:hanging="425"/>
        <w:rPr>
          <w:rFonts w:cs="Arial"/>
        </w:rPr>
      </w:pPr>
      <w:r w:rsidRPr="00177E3D">
        <w:rPr>
          <w:rFonts w:cs="Arial"/>
        </w:rPr>
        <w:t>wody opadowe i roztopowe</w:t>
      </w:r>
      <w:r w:rsidRPr="00177E3D">
        <w:rPr>
          <w:rFonts w:cs="Arial"/>
        </w:rPr>
        <w:t xml:space="preserve"> z terenów kolejowych</w:t>
      </w:r>
      <w:r w:rsidRPr="00177E3D">
        <w:rPr>
          <w:rFonts w:cs="Arial"/>
        </w:rPr>
        <w:t xml:space="preserve"> odprowadzać do </w:t>
      </w:r>
      <w:r w:rsidRPr="00177E3D">
        <w:rPr>
          <w:rFonts w:cs="Arial"/>
        </w:rPr>
        <w:t xml:space="preserve">urządzeń wodnych, do </w:t>
      </w:r>
      <w:r w:rsidRPr="00177E3D">
        <w:rPr>
          <w:rFonts w:cs="Arial"/>
        </w:rPr>
        <w:t xml:space="preserve">cieków </w:t>
      </w:r>
      <w:r w:rsidRPr="00177E3D">
        <w:rPr>
          <w:rFonts w:cs="Arial"/>
        </w:rPr>
        <w:t>lub</w:t>
      </w:r>
      <w:r w:rsidRPr="00177E3D">
        <w:rPr>
          <w:rFonts w:cs="Arial"/>
        </w:rPr>
        <w:t xml:space="preserve"> do ziemi</w:t>
      </w:r>
      <w:r w:rsidRPr="00177E3D">
        <w:rPr>
          <w:rFonts w:cs="Arial"/>
        </w:rPr>
        <w:t xml:space="preserve">. Odwodnienie peronów wyspowych należy prowadzić za pomocą </w:t>
      </w:r>
      <w:r w:rsidRPr="00177E3D">
        <w:t>ciągów korytek odwodnieniowych lub kanalizacji deszczowej ze studniami osadnikowymi</w:t>
      </w:r>
      <w:r w:rsidRPr="00177E3D">
        <w:rPr>
          <w:rFonts w:cs="Arial"/>
        </w:rPr>
        <w:t>;</w:t>
      </w:r>
    </w:p>
    <w:p w14:paraId="01B81BE1" w14:textId="77777777" w:rsidR="008558F5" w:rsidRPr="00177E3D" w:rsidRDefault="008558F5" w:rsidP="008558F5">
      <w:pPr>
        <w:pStyle w:val="Akapitzlist"/>
        <w:numPr>
          <w:ilvl w:val="0"/>
          <w:numId w:val="23"/>
        </w:numPr>
        <w:ind w:left="851" w:hanging="425"/>
        <w:rPr>
          <w:rFonts w:cs="Arial"/>
        </w:rPr>
      </w:pPr>
      <w:r w:rsidRPr="00177E3D">
        <w:rPr>
          <w:rFonts w:cs="Arial"/>
        </w:rPr>
        <w:t xml:space="preserve">wody opadowe i roztopowe </w:t>
      </w:r>
      <w:r w:rsidRPr="00177E3D">
        <w:t>z projektowanych odcinków dróg oraz terenów utwardzonych odprowadzać do kanalizacji deszczowej,</w:t>
      </w:r>
      <w:r w:rsidRPr="00177E3D">
        <w:rPr>
          <w:color w:val="000000"/>
        </w:rPr>
        <w:t xml:space="preserve"> </w:t>
      </w:r>
      <w:r w:rsidRPr="00177E3D">
        <w:t>rowów drogowych lub urządzeń odwadniających</w:t>
      </w:r>
      <w:r w:rsidRPr="00177E3D">
        <w:rPr>
          <w:rFonts w:cs="Arial"/>
        </w:rPr>
        <w:t>.</w:t>
      </w:r>
      <w:r w:rsidRPr="00177E3D">
        <w:rPr>
          <w:rFonts w:cs="Arial"/>
        </w:rPr>
        <w:t>”</w:t>
      </w:r>
      <w:r w:rsidRPr="00177E3D">
        <w:rPr>
          <w:rFonts w:cs="Arial"/>
        </w:rPr>
        <w:t>.</w:t>
      </w:r>
    </w:p>
    <w:p w14:paraId="0F122503" w14:textId="77777777" w:rsidR="008558F5" w:rsidRPr="00177E3D" w:rsidRDefault="008558F5" w:rsidP="004F2332">
      <w:pPr>
        <w:pStyle w:val="Akapitzlist"/>
        <w:numPr>
          <w:ilvl w:val="0"/>
          <w:numId w:val="1"/>
        </w:numPr>
        <w:spacing w:before="120"/>
        <w:ind w:left="426" w:hanging="426"/>
        <w:contextualSpacing w:val="0"/>
        <w:rPr>
          <w:rFonts w:cs="Arial"/>
          <w:b/>
          <w:bCs/>
        </w:rPr>
      </w:pPr>
      <w:r w:rsidRPr="00177E3D">
        <w:rPr>
          <w:rFonts w:cs="Arial"/>
          <w:b/>
          <w:bCs/>
        </w:rPr>
        <w:t>Uchyla punk</w:t>
      </w:r>
      <w:r w:rsidRPr="00177E3D">
        <w:rPr>
          <w:rFonts w:cs="Arial"/>
          <w:b/>
          <w:bCs/>
        </w:rPr>
        <w:t>t</w:t>
      </w:r>
      <w:r w:rsidRPr="00177E3D">
        <w:rPr>
          <w:rFonts w:cs="Arial"/>
          <w:b/>
          <w:bCs/>
        </w:rPr>
        <w:t xml:space="preserve"> </w:t>
      </w:r>
      <w:r w:rsidRPr="00177E3D">
        <w:rPr>
          <w:rFonts w:cs="Arial"/>
          <w:b/>
          <w:bCs/>
        </w:rPr>
        <w:t>I</w:t>
      </w:r>
      <w:r w:rsidRPr="00177E3D">
        <w:rPr>
          <w:rFonts w:cs="Arial"/>
          <w:b/>
          <w:bCs/>
        </w:rPr>
        <w:t xml:space="preserve">.3 decyzji w </w:t>
      </w:r>
      <w:r w:rsidRPr="00177E3D">
        <w:rPr>
          <w:rFonts w:cs="Arial"/>
          <w:b/>
          <w:bCs/>
        </w:rPr>
        <w:t>całości i w tym zakresie orzeka</w:t>
      </w:r>
      <w:r w:rsidRPr="00177E3D">
        <w:rPr>
          <w:rFonts w:cs="Arial"/>
          <w:b/>
          <w:bCs/>
        </w:rPr>
        <w:t>:</w:t>
      </w:r>
    </w:p>
    <w:p w14:paraId="4622A641" w14:textId="77777777" w:rsidR="008558F5" w:rsidRPr="00177E3D" w:rsidRDefault="008558F5" w:rsidP="00EF71F9">
      <w:pPr>
        <w:rPr>
          <w:rFonts w:cs="Arial"/>
          <w:b/>
          <w:bCs/>
        </w:rPr>
      </w:pPr>
      <w:bookmarkStart w:id="12" w:name="bookmark8"/>
      <w:bookmarkStart w:id="13" w:name="bookmark9"/>
      <w:r w:rsidRPr="00177E3D">
        <w:rPr>
          <w:rFonts w:cs="Arial"/>
          <w:b/>
          <w:bCs/>
        </w:rPr>
        <w:t>„Wymagania dotyczące ochrony środowiska konieczne do uwzględnienia w</w:t>
      </w:r>
      <w:r w:rsidRPr="00177E3D">
        <w:rPr>
          <w:rFonts w:cs="Arial"/>
          <w:b/>
          <w:bCs/>
        </w:rPr>
        <w:t> </w:t>
      </w:r>
      <w:r w:rsidRPr="00177E3D">
        <w:rPr>
          <w:rFonts w:cs="Arial"/>
          <w:b/>
          <w:bCs/>
        </w:rPr>
        <w:t>dokumentacj</w:t>
      </w:r>
      <w:r w:rsidRPr="00177E3D">
        <w:rPr>
          <w:rFonts w:cs="Arial"/>
          <w:b/>
          <w:bCs/>
        </w:rPr>
        <w:t>ach</w:t>
      </w:r>
      <w:r w:rsidRPr="00177E3D">
        <w:rPr>
          <w:rFonts w:cs="Arial"/>
          <w:b/>
          <w:bCs/>
        </w:rPr>
        <w:t xml:space="preserve"> wymagan</w:t>
      </w:r>
      <w:r w:rsidRPr="00177E3D">
        <w:rPr>
          <w:rFonts w:cs="Arial"/>
          <w:b/>
          <w:bCs/>
        </w:rPr>
        <w:t>ych</w:t>
      </w:r>
      <w:r w:rsidRPr="00177E3D">
        <w:rPr>
          <w:rFonts w:cs="Arial"/>
          <w:b/>
          <w:bCs/>
        </w:rPr>
        <w:t xml:space="preserve"> do wydania decyzji, o któr</w:t>
      </w:r>
      <w:r w:rsidRPr="00177E3D">
        <w:rPr>
          <w:rFonts w:cs="Arial"/>
          <w:b/>
          <w:bCs/>
        </w:rPr>
        <w:t>ych</w:t>
      </w:r>
      <w:r w:rsidRPr="00177E3D">
        <w:rPr>
          <w:rFonts w:cs="Arial"/>
          <w:b/>
          <w:bCs/>
        </w:rPr>
        <w:t xml:space="preserve"> mowa w </w:t>
      </w:r>
      <w:r w:rsidRPr="00177E3D">
        <w:rPr>
          <w:rFonts w:cs="Arial"/>
          <w:b/>
          <w:bCs/>
          <w:lang w:bidi="en-US"/>
        </w:rPr>
        <w:t xml:space="preserve">art. </w:t>
      </w:r>
      <w:r w:rsidRPr="00177E3D">
        <w:rPr>
          <w:rFonts w:cs="Arial"/>
          <w:b/>
          <w:bCs/>
        </w:rPr>
        <w:t xml:space="preserve">72 ust. 1 </w:t>
      </w:r>
      <w:r w:rsidRPr="00177E3D">
        <w:rPr>
          <w:rFonts w:cs="Arial"/>
          <w:b/>
          <w:bCs/>
          <w:szCs w:val="24"/>
        </w:rPr>
        <w:t>u.o.o.ś.</w:t>
      </w:r>
      <w:r w:rsidRPr="00177E3D">
        <w:rPr>
          <w:rFonts w:cs="Arial"/>
          <w:b/>
          <w:bCs/>
        </w:rPr>
        <w:t>:</w:t>
      </w:r>
      <w:bookmarkEnd w:id="12"/>
      <w:bookmarkEnd w:id="13"/>
    </w:p>
    <w:p w14:paraId="3A50E501" w14:textId="77777777" w:rsidR="008558F5" w:rsidRPr="00177E3D" w:rsidRDefault="008558F5" w:rsidP="008558F5">
      <w:pPr>
        <w:pStyle w:val="Akapitzlist"/>
        <w:keepNext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lastRenderedPageBreak/>
        <w:t>Należy zaprojektować i wykonać następujące zabezpieczenia przed hałasem:</w:t>
      </w:r>
    </w:p>
    <w:tbl>
      <w:tblPr>
        <w:tblOverlap w:val="never"/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Wykaz czynności  zabezpieczajacych przed hałasem"/>
        <w:tblDescription w:val="Wykaz czynności, które należy zaprojektować i wykonać w zakresie ochrony przed hałasem. Rodzaj zabezpieczenia, kilometraż, strona, długość, wysokość oraz typ wypełnienia.&#10;Ekran akustyczny 2+905 2+925 lewa 20 4 pochłaniający&#10;Absorber przyszynowy 2+910 2+970 - 60 - -&#10;Ekran akustyczny 2+940 2+960 prawa 20 4 pochłaniający&#10;Ekran akustyczny 2+960 2+985 prawa 25 6 pochłaniający&#10;Ekran akustyczny 2+985 3+205 prawa 220 4 pochłaniający&#10;Ekran akustyczny 3+060 3+200 lewa 140 4 pochłaniający&#10;Ekran akustyczny 3+215 3+750 lewa 535 4 pochłaniający&#10;Ekran akustyczny 3+230 3+550 prawa 320 4 pochłaniający&#10;Ekran akustyczny 4+895 5+225 prawa 330 4 pochłaniający&#10;Ekran akustyczny 5+200 5+235 lewa 35 4 pochłaniający&#10;Ekran akustyczny 5+810 5+975 prawa 165 4 pochłaniający&#10;Ekran akustyczny 6+065 6+495 lewa 430 4 pochłaniający&#10;Ekran akustyczny 6+515 6+880 lewa 365 4 pochłaniający&#10;Ekran akustyczny 6+895 7+310 lewa 415 4 pochłaniający&#10;Absorber przyszynowy 9+100 9+200 - 100 - -&#10;Ekran akustyczny 9+740 9+925 lewa 185 4 pochłaniający&#10;Ekran akustyczny 9+775 9+920 prawa 145 4 pochłaniający&#10;Ekran akustyczny 9+975 10+030 prawa 55 4 pochłaniający&#10;Ekran akustyczny 16+070 16+120 prawa 50 4 pochłaniający&#10;Ekran akustyczny 16+145 16+300 prawa 155 4 pochłaniający&#10;Ekran akustyczny 16+150 16+255 lewa 105 4 pochłaniający&#10;Ekran akustyczny 36+465 36+555 prawa 90 4 pochłaniający&#10;Ekran akustyczny 36+655 36+700 lewa 45 4 odbijający&#10;Ekran akustyczny 36+705 36+775 lewa 70 4 odbijający&#10;Ekran akustyczny 36+770 36+805 lewa 40 4 pochłaniający&#10;Ekran akustyczny 36+805 36+830 lewa 25 6,5 pochłaniający&#10;Absorber przyszynowy 36+825 36+870 - 45 - -&#10;Ekran akustyczny 36+860 36+890 prawa 30 4 pochłaniający&#10;Ekran akustyczny 36+860 37+160 lewa 295 4 pochłaniający&#10;Ekran akustyczny 37+500 37+930 lewa 430 4 pochłaniający&#10;"/>
      </w:tblPr>
      <w:tblGrid>
        <w:gridCol w:w="421"/>
        <w:gridCol w:w="2033"/>
        <w:gridCol w:w="797"/>
        <w:gridCol w:w="1000"/>
        <w:gridCol w:w="991"/>
        <w:gridCol w:w="1093"/>
        <w:gridCol w:w="1145"/>
        <w:gridCol w:w="1580"/>
      </w:tblGrid>
      <w:tr w:rsidR="00E62FDA" w14:paraId="1BAE6F77" w14:textId="77777777" w:rsidTr="007512F8">
        <w:trPr>
          <w:trHeight w:hRule="exact" w:val="59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6E2597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Lp.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4DD9C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Rodzaj zabezpieczenia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675A7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Kilometraż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C422F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Strona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3FFF4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Długość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br/>
              <w:t>[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m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]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F2FA5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Wysokość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br/>
              <w:t>[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m</w:t>
            </w: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]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3BE76" w14:textId="77777777" w:rsidR="008558F5" w:rsidRPr="00177E3D" w:rsidRDefault="008558F5" w:rsidP="001915B6">
            <w:pPr>
              <w:keepNext/>
              <w:widowControl w:val="0"/>
              <w:spacing w:line="240" w:lineRule="auto"/>
              <w:jc w:val="center"/>
              <w:rPr>
                <w:rFonts w:eastAsia="Arial" w:cs="Arial"/>
                <w:b/>
                <w:bCs/>
                <w:color w:val="272727"/>
                <w:lang w:eastAsia="pl-PL" w:bidi="pl-PL"/>
              </w:rPr>
            </w:pPr>
            <w:r w:rsidRPr="00177E3D">
              <w:rPr>
                <w:rFonts w:eastAsia="Arial" w:cs="Arial"/>
                <w:b/>
                <w:bCs/>
                <w:color w:val="272727"/>
                <w:lang w:eastAsia="pl-PL" w:bidi="pl-PL"/>
              </w:rPr>
              <w:t>Typ wypełnienia</w:t>
            </w:r>
          </w:p>
        </w:tc>
      </w:tr>
      <w:tr w:rsidR="00E62FDA" w14:paraId="71D6178B" w14:textId="77777777" w:rsidTr="007512F8">
        <w:trPr>
          <w:trHeight w:hRule="exact" w:val="403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F6DD5C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96BD94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F3C89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2D29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2+925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3602BC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3C742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FE419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E8AF7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3452B9A2" w14:textId="77777777" w:rsidTr="007512F8">
        <w:trPr>
          <w:trHeight w:hRule="exact" w:val="58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522C67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E3D78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Absorber przyszynowy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08D419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2+910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DA311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2+970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2590CD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0E93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60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F5CD5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929292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95BC7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  <w:t>-</w:t>
            </w:r>
          </w:p>
        </w:tc>
      </w:tr>
      <w:tr w:rsidR="00E62FDA" w14:paraId="0269EAC6" w14:textId="77777777" w:rsidTr="007512F8">
        <w:trPr>
          <w:trHeight w:hRule="exact" w:val="403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A85B9C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6D6D6D"/>
                <w:sz w:val="20"/>
                <w:szCs w:val="20"/>
                <w:lang w:eastAsia="pl-PL" w:bidi="pl-PL"/>
              </w:rPr>
              <w:t>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F4EC2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D2F36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2+940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D8F013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2+960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7EF15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DEB7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F82BB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730D9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0E89DA2D" w14:textId="77777777" w:rsidTr="007512F8">
        <w:trPr>
          <w:trHeight w:hRule="exact" w:val="40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05DA9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5EAEB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23800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2+960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B30F1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2+985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1585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E672FE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66A5F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B67CB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026D6382" w14:textId="77777777" w:rsidTr="007512F8">
        <w:trPr>
          <w:trHeight w:hRule="exact" w:val="403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3AB77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5DA22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E256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2+985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0D3B6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3+205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ACC29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B23BCE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220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D079B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A0DE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0118B787" w14:textId="77777777" w:rsidTr="007512F8">
        <w:trPr>
          <w:trHeight w:hRule="exact" w:val="40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F1345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E31BE1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1611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</w:t>
            </w: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+</w:t>
            </w: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060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6FE89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3+200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F8A51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9EFE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140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5971C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2E28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4145A3C5" w14:textId="77777777" w:rsidTr="007512F8">
        <w:trPr>
          <w:trHeight w:hRule="exact" w:val="40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553CB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7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C4A7E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B2AE82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3+215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D94A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3+750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CCC4B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63C3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sz w:val="20"/>
                <w:szCs w:val="20"/>
                <w:lang w:eastAsia="pl-PL" w:bidi="pl-PL"/>
              </w:rPr>
              <w:t>535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154E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25DCE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12D08CA5" w14:textId="77777777" w:rsidTr="007512F8">
        <w:trPr>
          <w:trHeight w:hRule="exact" w:val="40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897AE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CFC342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8274AD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3+230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2BF14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3+550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93EE2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E1BB3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320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597353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A1410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197BC5EB" w14:textId="77777777" w:rsidTr="007512F8">
        <w:trPr>
          <w:trHeight w:hRule="exact" w:val="403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B05FD2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8D8E0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4DE31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4+895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CEF51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5+225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5D775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A7860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330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CDDBA3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6D6D6D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FEA4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2ED19287" w14:textId="77777777" w:rsidTr="007512F8">
        <w:trPr>
          <w:trHeight w:hRule="exact" w:val="403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48237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45A82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127F6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5+200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16D039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5+235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EFBF7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5503BA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CDDF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C6668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3659B78C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F0A81" w14:textId="77777777" w:rsidR="008558F5" w:rsidRPr="00177E3D" w:rsidRDefault="008558F5" w:rsidP="00451F4D">
            <w:pPr>
              <w:widowControl w:val="0"/>
              <w:spacing w:line="240" w:lineRule="auto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2B8F3" w14:textId="77777777" w:rsidR="008558F5" w:rsidRPr="00177E3D" w:rsidRDefault="008558F5" w:rsidP="00D472D7">
            <w:pPr>
              <w:widowControl w:val="0"/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E240F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5+810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A2EDC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5+975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49ED7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E6DAE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2824D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DB8DD" w14:textId="77777777" w:rsidR="008558F5" w:rsidRPr="00177E3D" w:rsidRDefault="008558F5" w:rsidP="00D472D7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31946242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357B8" w14:textId="77777777" w:rsidR="008558F5" w:rsidRPr="00177E3D" w:rsidRDefault="008558F5" w:rsidP="00D472D7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A8E9DC" w14:textId="77777777" w:rsidR="008558F5" w:rsidRPr="00177E3D" w:rsidRDefault="008558F5" w:rsidP="00D472D7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089B7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6+065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027CB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6+495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136950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C28B5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430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29155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E1ABB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32FD8AF2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A4E27" w14:textId="77777777" w:rsidR="008558F5" w:rsidRPr="00177E3D" w:rsidRDefault="008558F5" w:rsidP="00D472D7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4EF47" w14:textId="77777777" w:rsidR="008558F5" w:rsidRPr="00177E3D" w:rsidRDefault="008558F5" w:rsidP="00D472D7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C7114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6+515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AD087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6+880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E90BA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30691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F97BB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BD79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46B7867D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84466" w14:textId="77777777" w:rsidR="008558F5" w:rsidRPr="00177E3D" w:rsidRDefault="008558F5" w:rsidP="00D472D7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4D8C4" w14:textId="77777777" w:rsidR="008558F5" w:rsidRPr="00177E3D" w:rsidRDefault="008558F5" w:rsidP="00D472D7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CBDA1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6+895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3AF03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7+310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E0B17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C34B6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415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F35A3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96A16" w14:textId="77777777" w:rsidR="008558F5" w:rsidRPr="00177E3D" w:rsidRDefault="008558F5" w:rsidP="00D472D7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72B8C86B" w14:textId="77777777" w:rsidTr="008F1A92">
        <w:trPr>
          <w:trHeight w:hRule="exact" w:val="56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F419B" w14:textId="77777777" w:rsidR="008558F5" w:rsidRPr="00177E3D" w:rsidRDefault="008558F5" w:rsidP="008F1A92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14a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482C5" w14:textId="77777777" w:rsidR="008558F5" w:rsidRPr="00177E3D" w:rsidRDefault="008558F5" w:rsidP="008F1A92">
            <w:pPr>
              <w:spacing w:line="240" w:lineRule="auto"/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Absorber przyszynowy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98087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9+100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4A764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9+200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673D5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67750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100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C1619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929292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8AC5A" w14:textId="77777777" w:rsidR="008558F5" w:rsidRPr="00177E3D" w:rsidRDefault="008558F5" w:rsidP="008F1A92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Courier New" w:cs="Arial"/>
                <w:color w:val="000000"/>
                <w:sz w:val="20"/>
                <w:szCs w:val="20"/>
                <w:lang w:eastAsia="pl-PL" w:bidi="pl-PL"/>
              </w:rPr>
              <w:t>-</w:t>
            </w:r>
          </w:p>
        </w:tc>
      </w:tr>
      <w:tr w:rsidR="00E62FDA" w14:paraId="069D6359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D94E7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62846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3F4C6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9+740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226C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9+925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6416A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83DEE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185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C8355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7211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275834F2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907B3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95679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71E8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9+775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AC7DB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9+920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1F9D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AB2C8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145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A957EE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F24EB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2AC15C3D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3FF21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17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F7F51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3F04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9+975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6F52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10+030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75C3D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A7B3B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675EE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6E9BA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1040EC5D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FC5791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8337D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C05C6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16+070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63BB8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16+120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DE3EE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DCC18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B9C2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11E3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2649882F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87119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19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7803C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F417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16+145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F002B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</w:t>
            </w: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+</w:t>
            </w: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6435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34D82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155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13E5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10F0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3417082F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A3F5A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D4D17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34CA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16+150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81D3E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16+255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B285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7B998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105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7DF3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A7F6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642CF9A3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1C485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21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D0D2A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EDF0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36+465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DB53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36+555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D5A31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9E7F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90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594B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85A4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54C9C8F7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1CEDD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9B64D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35C6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36+655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D7AC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36+700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A1C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8EFA1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DEC1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84C0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odbijający</w:t>
            </w:r>
          </w:p>
        </w:tc>
      </w:tr>
      <w:tr w:rsidR="00E62FDA" w14:paraId="626D965D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2F8172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23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5EAD3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E7686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36+705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65AC4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36+775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FD39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B5755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70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626B0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0099D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odbijający</w:t>
            </w:r>
          </w:p>
        </w:tc>
      </w:tr>
      <w:tr w:rsidR="00E62FDA" w14:paraId="420AFCA4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E4ED2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24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28A63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39F0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36+770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7B53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36+805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EEBC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6DB2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215B2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74625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5E30164E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AFB84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25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FCBED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EF5D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36+805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9785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36+830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B95E2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1FE98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0E1D0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6,5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3C52C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144A6C1D" w14:textId="77777777" w:rsidTr="007512F8">
        <w:trPr>
          <w:trHeight w:hRule="exact" w:val="726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488B2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26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D171C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Absorber przyszynowy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968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36+825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71DD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36+870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0C3C8" w14:textId="77777777" w:rsidR="008558F5" w:rsidRPr="00177E3D" w:rsidRDefault="008558F5" w:rsidP="007512F8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3A11A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84D4B" w14:textId="77777777" w:rsidR="008558F5" w:rsidRPr="00177E3D" w:rsidRDefault="008558F5" w:rsidP="007512F8">
            <w:pPr>
              <w:widowControl w:val="0"/>
              <w:spacing w:line="240" w:lineRule="auto"/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-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A10FC" w14:textId="77777777" w:rsidR="008558F5" w:rsidRPr="00177E3D" w:rsidRDefault="008558F5" w:rsidP="007512F8">
            <w:pPr>
              <w:widowControl w:val="0"/>
              <w:spacing w:line="240" w:lineRule="auto"/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-</w:t>
            </w:r>
          </w:p>
        </w:tc>
      </w:tr>
      <w:tr w:rsidR="00E62FDA" w14:paraId="59E4E024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262D7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27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67E76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E6315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36+860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C245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36+890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A5C31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prawa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4FAE0D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4F21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7BC6F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681A5F0E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779B9F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28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9F4BB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4E9F32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36+860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E254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37+160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89551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528AD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295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67665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9032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  <w:tr w:rsidR="00E62FDA" w14:paraId="49732838" w14:textId="77777777" w:rsidTr="007512F8">
        <w:trPr>
          <w:trHeight w:hRule="exact" w:val="418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D9A57" w14:textId="77777777" w:rsidR="008558F5" w:rsidRPr="00177E3D" w:rsidRDefault="008558F5" w:rsidP="007512F8">
            <w:pPr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29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6D7EB" w14:textId="77777777" w:rsidR="008558F5" w:rsidRPr="00177E3D" w:rsidRDefault="008558F5" w:rsidP="007512F8">
            <w:pPr>
              <w:jc w:val="left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Ekran akustyczny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623D1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37+500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8F3C7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37+930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CCD85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lewa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531F3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430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9E774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404040"/>
                <w:sz w:val="20"/>
                <w:szCs w:val="20"/>
                <w:lang w:eastAsia="pl-PL" w:bidi="pl-PL"/>
              </w:rPr>
              <w:t>4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14579" w14:textId="77777777" w:rsidR="008558F5" w:rsidRPr="00177E3D" w:rsidRDefault="008558F5" w:rsidP="007512F8">
            <w:pPr>
              <w:jc w:val="center"/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</w:pPr>
            <w:r w:rsidRPr="00177E3D">
              <w:rPr>
                <w:rFonts w:eastAsia="Arial" w:cs="Arial"/>
                <w:color w:val="272727"/>
                <w:sz w:val="20"/>
                <w:szCs w:val="20"/>
                <w:lang w:eastAsia="pl-PL" w:bidi="pl-PL"/>
              </w:rPr>
              <w:t>pochłaniający</w:t>
            </w:r>
          </w:p>
        </w:tc>
      </w:tr>
    </w:tbl>
    <w:p w14:paraId="61DAD072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24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lastRenderedPageBreak/>
        <w:t>Sposób wykonania zabezpieczeń przed hałasem:</w:t>
      </w:r>
    </w:p>
    <w:p w14:paraId="227B9908" w14:textId="77777777" w:rsidR="008558F5" w:rsidRPr="00177E3D" w:rsidRDefault="008558F5" w:rsidP="008558F5">
      <w:pPr>
        <w:pStyle w:val="Akapitzlist"/>
        <w:numPr>
          <w:ilvl w:val="0"/>
          <w:numId w:val="51"/>
        </w:numPr>
        <w:ind w:left="850" w:hanging="425"/>
        <w:contextualSpacing w:val="0"/>
        <w:rPr>
          <w:rFonts w:cs="Arial"/>
        </w:rPr>
      </w:pPr>
      <w:r w:rsidRPr="00177E3D">
        <w:t>należy zapewnić szczelność pomiędzy modułami ekranów oraz między modułami i słupami (stosować uszczelki dźwiękoizolacyjne). Uszczelnić miejsce styku modułów i podwaliny żelbetowej. Ekrany winny być zaprojektowane bez szczeliny pomiędzy dolną krawędzią ekranu a podłożem;</w:t>
      </w:r>
    </w:p>
    <w:p w14:paraId="7AAA85CB" w14:textId="77777777" w:rsidR="008558F5" w:rsidRPr="00177E3D" w:rsidRDefault="008558F5" w:rsidP="008558F5">
      <w:pPr>
        <w:pStyle w:val="Akapitzlist"/>
        <w:numPr>
          <w:ilvl w:val="0"/>
          <w:numId w:val="51"/>
        </w:numPr>
        <w:ind w:left="850" w:hanging="425"/>
        <w:contextualSpacing w:val="0"/>
        <w:rPr>
          <w:rFonts w:cs="Arial"/>
        </w:rPr>
      </w:pPr>
      <w:r w:rsidRPr="00177E3D">
        <w:rPr>
          <w:rFonts w:cs="Arial"/>
        </w:rPr>
        <w:t xml:space="preserve">ekrany należy wykonać w naturalnych barwach </w:t>
      </w:r>
      <w:r w:rsidRPr="00177E3D">
        <w:t>i odcieniach, dostosowanych do lokalnych uwarunkowań (np. na terenach zadrzewionych – zielony; na terenach otwartych – brąz, beż; na terenach zurbanizowanych – jasne kolory wszystkich barw; na mostach, wiaduktach i skarpach – niebieski, błękitny, szary). Dopuszcza się stosowanie pionowych i poziomych przejść tonalnych;</w:t>
      </w:r>
    </w:p>
    <w:p w14:paraId="7ADBBE4B" w14:textId="77777777" w:rsidR="008558F5" w:rsidRPr="00177E3D" w:rsidRDefault="008558F5" w:rsidP="008558F5">
      <w:pPr>
        <w:pStyle w:val="Akapitzlist"/>
        <w:numPr>
          <w:ilvl w:val="0"/>
          <w:numId w:val="51"/>
        </w:numPr>
        <w:ind w:left="850" w:hanging="425"/>
        <w:contextualSpacing w:val="0"/>
        <w:rPr>
          <w:rFonts w:cs="Arial"/>
        </w:rPr>
      </w:pPr>
      <w:r w:rsidRPr="00177E3D">
        <w:t>w</w:t>
      </w:r>
      <w:r w:rsidRPr="00177E3D">
        <w:t xml:space="preserve"> przypadku wykonania odbijających (przezroczystych) ekranów akustycznych lub budowy innych obiektów z powierzchniami przezroczystymi (np. wiaty </w:t>
      </w:r>
      <w:r w:rsidRPr="00177E3D">
        <w:t>na stacjach kolejowych</w:t>
      </w:r>
      <w:r w:rsidRPr="00177E3D">
        <w:t>), powierzchnie te należy wyposażyć w czarne pionowe pasy o szerokości nie mniejszej niż 2 cm, umieszczone w odstępach nie większych niż 10 cm. Powierzchnie przezroczyste mają być wyposażone w pasy fabrycznie, z zastosowaniem trwałej technologii, odpowiadającej trwałości tych powierzchni. Zabrania się montowania nowych powierzchni przezroczystych bez pasów i naklejania ich w późniejszym terminie</w:t>
      </w:r>
      <w:r w:rsidRPr="00177E3D">
        <w:t>;</w:t>
      </w:r>
    </w:p>
    <w:p w14:paraId="5B2045B2" w14:textId="77777777" w:rsidR="008558F5" w:rsidRPr="00177E3D" w:rsidRDefault="008558F5" w:rsidP="008558F5">
      <w:pPr>
        <w:pStyle w:val="Akapitzlist"/>
        <w:numPr>
          <w:ilvl w:val="0"/>
          <w:numId w:val="51"/>
        </w:numPr>
        <w:ind w:left="850" w:hanging="425"/>
        <w:contextualSpacing w:val="0"/>
        <w:rPr>
          <w:rFonts w:cs="Arial"/>
        </w:rPr>
      </w:pPr>
      <w:r w:rsidRPr="00177E3D">
        <w:t>w przypadku lokalizacji absorberów przyszynowych</w:t>
      </w:r>
      <w:r w:rsidRPr="00177E3D">
        <w:t xml:space="preserve"> na przejeździe kolejowo-drogowym, gdzie ich zastosowanie nie jest niemożliwe, tłumienie hałasu należy zapewnić poprzez doprowadzenie masy asfaltowej do główki szyny oraz ułożenie płyt przejazdowych gumowych lub betonowych za pośrednictwem przekładek gumowych.</w:t>
      </w:r>
    </w:p>
    <w:p w14:paraId="001EA0A6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W konstrukcji przebudowywanych linii kolejowych należy zastosować maty antywibracyjne na następujących odcinkach:</w:t>
      </w:r>
    </w:p>
    <w:tbl>
      <w:tblPr>
        <w:tblW w:w="687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Zastosowanie mat wibracyjnych"/>
        <w:tblDescription w:val="Nr odcinka Km początkowy Km końcowy&#10;1 0+380 0+740&#10;2 2+950 2+980&#10;3 3+050 3+180&#10;4 3+240 3+260&#10;5 5+200 5+235&#10;6 9+800 9+900&#10;7 9+975 10+030&#10;8 16+070 16+280&#10;9 36+750 36+950&#10;"/>
      </w:tblPr>
      <w:tblGrid>
        <w:gridCol w:w="1271"/>
        <w:gridCol w:w="2803"/>
        <w:gridCol w:w="2804"/>
      </w:tblGrid>
      <w:tr w:rsidR="00E62FDA" w14:paraId="7BB17033" w14:textId="77777777" w:rsidTr="00EA2E20">
        <w:trPr>
          <w:trHeight w:val="300"/>
          <w:tblHeader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B1C2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 w:rsidRPr="00177E3D">
              <w:rPr>
                <w:rFonts w:cs="Arial"/>
                <w:b/>
                <w:bCs/>
              </w:rPr>
              <w:t>Nr odcinka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134D3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 w:rsidRPr="00177E3D">
              <w:rPr>
                <w:rFonts w:cs="Arial"/>
                <w:b/>
                <w:bCs/>
              </w:rPr>
              <w:t>Km początkowy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4403E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 w:rsidRPr="00177E3D">
              <w:rPr>
                <w:rFonts w:cs="Arial"/>
                <w:b/>
                <w:bCs/>
              </w:rPr>
              <w:t>Km końcowy</w:t>
            </w:r>
          </w:p>
        </w:tc>
      </w:tr>
      <w:tr w:rsidR="00E62FDA" w14:paraId="04ED95EE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4106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5D9F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0+380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5973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0+740</w:t>
            </w:r>
          </w:p>
        </w:tc>
      </w:tr>
      <w:tr w:rsidR="00E62FDA" w14:paraId="19407F2D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7666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2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DD9B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2+</w:t>
            </w:r>
            <w:r w:rsidRPr="00177E3D">
              <w:rPr>
                <w:rFonts w:cs="Arial"/>
              </w:rPr>
              <w:t>9</w:t>
            </w:r>
            <w:r w:rsidRPr="00177E3D">
              <w:rPr>
                <w:rFonts w:cs="Arial"/>
              </w:rPr>
              <w:t>50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3FC7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2+</w:t>
            </w:r>
            <w:r w:rsidRPr="00177E3D">
              <w:rPr>
                <w:rFonts w:cs="Arial"/>
              </w:rPr>
              <w:t>98</w:t>
            </w:r>
            <w:r w:rsidRPr="00177E3D">
              <w:rPr>
                <w:rFonts w:cs="Arial"/>
              </w:rPr>
              <w:t>0</w:t>
            </w:r>
          </w:p>
        </w:tc>
      </w:tr>
      <w:tr w:rsidR="00E62FDA" w14:paraId="590CA5DC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9892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EDDD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3+050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DC14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3+180</w:t>
            </w:r>
          </w:p>
        </w:tc>
      </w:tr>
      <w:tr w:rsidR="00E62FDA" w14:paraId="63F045DE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C469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4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2C1AB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3+240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C8892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3+260</w:t>
            </w:r>
          </w:p>
        </w:tc>
      </w:tr>
      <w:tr w:rsidR="00E62FDA" w14:paraId="517230B6" w14:textId="77777777" w:rsidTr="001E106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54705" w14:textId="77777777" w:rsidR="008558F5" w:rsidRPr="00177E3D" w:rsidRDefault="008558F5" w:rsidP="001E1064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5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377A" w14:textId="77777777" w:rsidR="008558F5" w:rsidRPr="00177E3D" w:rsidRDefault="008558F5" w:rsidP="001E1064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t>5+200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00B0" w14:textId="77777777" w:rsidR="008558F5" w:rsidRPr="00177E3D" w:rsidRDefault="008558F5" w:rsidP="001E1064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t>5+235</w:t>
            </w:r>
          </w:p>
        </w:tc>
      </w:tr>
      <w:tr w:rsidR="00E62FDA" w14:paraId="362EBF97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889D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6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C859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9+800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EBF5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9+900</w:t>
            </w:r>
          </w:p>
        </w:tc>
      </w:tr>
      <w:tr w:rsidR="00E62FDA" w14:paraId="39883C69" w14:textId="77777777" w:rsidTr="00B5430D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D66D" w14:textId="77777777" w:rsidR="008558F5" w:rsidRPr="00177E3D" w:rsidRDefault="008558F5" w:rsidP="00B5430D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7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F3E1" w14:textId="77777777" w:rsidR="008558F5" w:rsidRPr="00177E3D" w:rsidRDefault="008558F5" w:rsidP="00B5430D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t>9+975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6E83E" w14:textId="77777777" w:rsidR="008558F5" w:rsidRPr="00177E3D" w:rsidRDefault="008558F5" w:rsidP="00B5430D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t>10+030</w:t>
            </w:r>
          </w:p>
        </w:tc>
      </w:tr>
      <w:tr w:rsidR="00E62FDA" w14:paraId="5C53C577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503A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8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90DF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1</w:t>
            </w:r>
            <w:r w:rsidRPr="00177E3D">
              <w:rPr>
                <w:rFonts w:cs="Arial"/>
              </w:rPr>
              <w:t>6</w:t>
            </w:r>
            <w:r w:rsidRPr="00177E3D">
              <w:rPr>
                <w:rFonts w:cs="Arial"/>
              </w:rPr>
              <w:t>+0</w:t>
            </w:r>
            <w:r w:rsidRPr="00177E3D">
              <w:rPr>
                <w:rFonts w:cs="Arial"/>
              </w:rPr>
              <w:t>7</w:t>
            </w:r>
            <w:r w:rsidRPr="00177E3D">
              <w:rPr>
                <w:rFonts w:cs="Arial"/>
              </w:rPr>
              <w:t>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E7FA5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1</w:t>
            </w:r>
            <w:r w:rsidRPr="00177E3D">
              <w:rPr>
                <w:rFonts w:cs="Arial"/>
              </w:rPr>
              <w:t>6</w:t>
            </w:r>
            <w:r w:rsidRPr="00177E3D">
              <w:rPr>
                <w:rFonts w:cs="Arial"/>
              </w:rPr>
              <w:t>+2</w:t>
            </w:r>
            <w:r w:rsidRPr="00177E3D">
              <w:rPr>
                <w:rFonts w:cs="Arial"/>
              </w:rPr>
              <w:t>8</w:t>
            </w:r>
            <w:r w:rsidRPr="00177E3D">
              <w:rPr>
                <w:rFonts w:cs="Arial"/>
              </w:rPr>
              <w:t>0</w:t>
            </w:r>
          </w:p>
        </w:tc>
      </w:tr>
      <w:tr w:rsidR="00E62FDA" w14:paraId="42A83481" w14:textId="77777777" w:rsidTr="00EA2E20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4F0F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9</w:t>
            </w:r>
          </w:p>
        </w:tc>
        <w:tc>
          <w:tcPr>
            <w:tcW w:w="2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AA58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36+750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DF25" w14:textId="77777777" w:rsidR="008558F5" w:rsidRPr="00177E3D" w:rsidRDefault="008558F5" w:rsidP="005203E5">
            <w:pPr>
              <w:spacing w:line="240" w:lineRule="auto"/>
              <w:jc w:val="center"/>
              <w:rPr>
                <w:rFonts w:cs="Arial"/>
              </w:rPr>
            </w:pPr>
            <w:r w:rsidRPr="00177E3D">
              <w:rPr>
                <w:rFonts w:cs="Arial"/>
              </w:rPr>
              <w:t>36+950</w:t>
            </w:r>
          </w:p>
        </w:tc>
      </w:tr>
    </w:tbl>
    <w:p w14:paraId="49F31D31" w14:textId="77777777" w:rsidR="008558F5" w:rsidRPr="00177E3D" w:rsidRDefault="008558F5" w:rsidP="008558F5">
      <w:pPr>
        <w:pStyle w:val="Akapitzlist"/>
        <w:keepNext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Wymagania projektowe dotyczące oświetlenia przedsięwzięcia:</w:t>
      </w:r>
    </w:p>
    <w:p w14:paraId="0EB3C2F6" w14:textId="77777777" w:rsidR="008558F5" w:rsidRPr="00177E3D" w:rsidRDefault="008558F5" w:rsidP="008558F5">
      <w:pPr>
        <w:numPr>
          <w:ilvl w:val="0"/>
          <w:numId w:val="25"/>
        </w:numPr>
        <w:spacing w:after="160"/>
        <w:ind w:left="851" w:hanging="425"/>
        <w:contextualSpacing/>
        <w:rPr>
          <w:rFonts w:eastAsiaTheme="minorHAnsi" w:cs="Arial"/>
          <w:kern w:val="2"/>
        </w:rPr>
      </w:pPr>
      <w:r w:rsidRPr="00177E3D">
        <w:rPr>
          <w:rFonts w:eastAsiaTheme="minorHAnsi" w:cs="Arial"/>
          <w:kern w:val="2"/>
        </w:rPr>
        <w:t>stosować lampy LED lub niskociśnieniowe lampy sodowe o temperaturze barwowej nie większej niż 3600 K;</w:t>
      </w:r>
    </w:p>
    <w:p w14:paraId="214B08E6" w14:textId="77777777" w:rsidR="008558F5" w:rsidRPr="00177E3D" w:rsidRDefault="008558F5" w:rsidP="008558F5">
      <w:pPr>
        <w:numPr>
          <w:ilvl w:val="0"/>
          <w:numId w:val="25"/>
        </w:numPr>
        <w:ind w:left="851" w:hanging="425"/>
        <w:contextualSpacing/>
        <w:rPr>
          <w:rFonts w:eastAsiaTheme="minorHAnsi" w:cs="Arial"/>
          <w:kern w:val="2"/>
        </w:rPr>
      </w:pPr>
      <w:r w:rsidRPr="00177E3D">
        <w:rPr>
          <w:rFonts w:eastAsiaTheme="minorHAnsi" w:cs="Arial"/>
          <w:kern w:val="2"/>
        </w:rPr>
        <w:t>stosować lampy z zamkniętymi kloszami lub w szczelnych osłonach</w:t>
      </w:r>
      <w:r w:rsidRPr="00177E3D">
        <w:rPr>
          <w:rFonts w:eastAsiaTheme="minorHAnsi" w:cs="Arial"/>
          <w:kern w:val="2"/>
        </w:rPr>
        <w:t>;</w:t>
      </w:r>
    </w:p>
    <w:p w14:paraId="56A11581" w14:textId="77777777" w:rsidR="008558F5" w:rsidRPr="00177E3D" w:rsidRDefault="008558F5" w:rsidP="008558F5">
      <w:pPr>
        <w:numPr>
          <w:ilvl w:val="0"/>
          <w:numId w:val="25"/>
        </w:numPr>
        <w:ind w:left="851" w:hanging="425"/>
        <w:contextualSpacing/>
        <w:rPr>
          <w:rFonts w:eastAsiaTheme="minorHAnsi" w:cs="Arial"/>
          <w:kern w:val="2"/>
        </w:rPr>
      </w:pPr>
      <w:r w:rsidRPr="00177E3D">
        <w:rPr>
          <w:rFonts w:eastAsiaTheme="minorHAnsi" w:cs="Arial"/>
          <w:kern w:val="2"/>
        </w:rPr>
        <w:t>należy stosować źródła światła i oprawy, które kierują strumień światła wyłącznie do oświetlanego obiektu lub terenu; należy</w:t>
      </w:r>
      <w:r w:rsidRPr="00177E3D">
        <w:rPr>
          <w:rFonts w:cs="Arial"/>
        </w:rPr>
        <w:t xml:space="preserve"> stosować oświetlenie z góry na dany obiekt lub teren;</w:t>
      </w:r>
    </w:p>
    <w:p w14:paraId="7CC2C74F" w14:textId="77777777" w:rsidR="008558F5" w:rsidRPr="00177E3D" w:rsidRDefault="008558F5" w:rsidP="008558F5">
      <w:pPr>
        <w:numPr>
          <w:ilvl w:val="0"/>
          <w:numId w:val="25"/>
        </w:numPr>
        <w:ind w:left="851" w:hanging="425"/>
        <w:contextualSpacing/>
        <w:rPr>
          <w:rFonts w:eastAsia="Times New Roman" w:cs="Arial"/>
          <w:lang w:eastAsia="pl-PL"/>
        </w:rPr>
      </w:pPr>
      <w:r w:rsidRPr="00177E3D">
        <w:rPr>
          <w:rFonts w:cs="Arial"/>
        </w:rPr>
        <w:lastRenderedPageBreak/>
        <w:t>należy zaprojektować systemy automatycznego sterowania oświetleniem, w</w:t>
      </w:r>
      <w:r w:rsidRPr="00177E3D">
        <w:rPr>
          <w:rFonts w:cs="Arial"/>
        </w:rPr>
        <w:t> </w:t>
      </w:r>
      <w:r w:rsidRPr="00177E3D">
        <w:rPr>
          <w:rFonts w:cs="Arial"/>
        </w:rPr>
        <w:t>szczególności w strefach niewymagających stałego oświetlenia</w:t>
      </w:r>
      <w:r w:rsidRPr="00177E3D">
        <w:rPr>
          <w:rFonts w:eastAsiaTheme="minorHAnsi" w:cs="Arial"/>
          <w:kern w:val="2"/>
        </w:rPr>
        <w:t>. Należy</w:t>
      </w:r>
      <w:r w:rsidRPr="00177E3D">
        <w:rPr>
          <w:rFonts w:cs="Arial"/>
        </w:rPr>
        <w:t xml:space="preserve"> stosować oświetlenie, którego natężenie będzie regulowane natężeniem światła naturalnego, uruchamiane za pomocą czujników ruchu oraz wyłączniki czasowe;</w:t>
      </w:r>
    </w:p>
    <w:p w14:paraId="57650C8C" w14:textId="77777777" w:rsidR="008558F5" w:rsidRPr="00177E3D" w:rsidRDefault="008558F5" w:rsidP="008558F5">
      <w:pPr>
        <w:numPr>
          <w:ilvl w:val="0"/>
          <w:numId w:val="25"/>
        </w:numPr>
        <w:ind w:left="851" w:hanging="425"/>
        <w:contextualSpacing/>
        <w:rPr>
          <w:rFonts w:cs="Arial"/>
        </w:rPr>
      </w:pPr>
      <w:r w:rsidRPr="00177E3D">
        <w:rPr>
          <w:rFonts w:cs="Arial"/>
        </w:rPr>
        <w:t>wytyczne wskazane w lit. a-</w:t>
      </w:r>
      <w:r w:rsidRPr="00177E3D">
        <w:rPr>
          <w:rFonts w:cs="Arial"/>
        </w:rPr>
        <w:t>d</w:t>
      </w:r>
      <w:r w:rsidRPr="00177E3D">
        <w:rPr>
          <w:rFonts w:cs="Arial"/>
        </w:rPr>
        <w:t xml:space="preserve"> nie dotyczą oświetlenia związanego z bezpieczeństwem ruchu</w:t>
      </w:r>
      <w:r w:rsidRPr="00177E3D">
        <w:rPr>
          <w:rFonts w:cs="Arial"/>
        </w:rPr>
        <w:t xml:space="preserve"> drogowego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kolejowego</w:t>
      </w:r>
      <w:r w:rsidRPr="00177E3D">
        <w:rPr>
          <w:rFonts w:cs="Arial"/>
        </w:rPr>
        <w:t>.</w:t>
      </w:r>
    </w:p>
    <w:p w14:paraId="5A9F3199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Nowe lub przebudowywane obiekty budowlane należy wykonać w naturalnych barwach (np. stonowanych odcieniach zieleni, brązu). Obiekty te w swojej formie, kształcie i kolorze powinny odzwierciedlać lokalny charakter krajobrazu.</w:t>
      </w:r>
    </w:p>
    <w:p w14:paraId="283E9326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Zasady umacniania koryt cieków:</w:t>
      </w:r>
    </w:p>
    <w:p w14:paraId="039FE71C" w14:textId="77777777" w:rsidR="008558F5" w:rsidRPr="00177E3D" w:rsidRDefault="008558F5" w:rsidP="008558F5">
      <w:pPr>
        <w:pStyle w:val="Akapitzlist"/>
        <w:numPr>
          <w:ilvl w:val="0"/>
          <w:numId w:val="27"/>
        </w:numPr>
        <w:ind w:left="851" w:hanging="425"/>
        <w:rPr>
          <w:rFonts w:cs="Arial"/>
        </w:rPr>
      </w:pPr>
      <w:r w:rsidRPr="00177E3D">
        <w:rPr>
          <w:rFonts w:cs="Arial"/>
        </w:rPr>
        <w:t>umocnie</w:t>
      </w:r>
      <w:r w:rsidRPr="00177E3D">
        <w:rPr>
          <w:rFonts w:cs="Arial"/>
        </w:rPr>
        <w:t>nia koryt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i </w:t>
      </w:r>
      <w:r w:rsidRPr="00177E3D">
        <w:rPr>
          <w:rFonts w:cs="Arial"/>
        </w:rPr>
        <w:t>cieków należy w</w:t>
      </w:r>
      <w:r w:rsidRPr="00177E3D">
        <w:rPr>
          <w:rFonts w:cs="Arial"/>
        </w:rPr>
        <w:t xml:space="preserve">ykonywać </w:t>
      </w:r>
      <w:r w:rsidRPr="00177E3D">
        <w:rPr>
          <w:rFonts w:cs="Arial"/>
        </w:rPr>
        <w:t xml:space="preserve">z wykorzystaniem metod i materiałów </w:t>
      </w:r>
      <w:r w:rsidRPr="00177E3D">
        <w:rPr>
          <w:rFonts w:cs="Arial"/>
        </w:rPr>
        <w:t xml:space="preserve">naturalnych </w:t>
      </w:r>
      <w:r w:rsidRPr="00177E3D">
        <w:rPr>
          <w:rFonts w:cs="Arial"/>
        </w:rPr>
        <w:t>(</w:t>
      </w:r>
      <w:r w:rsidRPr="00177E3D">
        <w:rPr>
          <w:rFonts w:cs="Arial"/>
        </w:rPr>
        <w:t>głazy, kamień, żwir, darnina, faszyna</w:t>
      </w:r>
      <w:r w:rsidRPr="00177E3D">
        <w:rPr>
          <w:rFonts w:cs="Arial"/>
        </w:rPr>
        <w:t>);</w:t>
      </w:r>
    </w:p>
    <w:p w14:paraId="2871C988" w14:textId="77777777" w:rsidR="008558F5" w:rsidRPr="00177E3D" w:rsidRDefault="008558F5" w:rsidP="008558F5">
      <w:pPr>
        <w:pStyle w:val="Akapitzlist"/>
        <w:numPr>
          <w:ilvl w:val="0"/>
          <w:numId w:val="27"/>
        </w:numPr>
        <w:ind w:left="851" w:hanging="425"/>
        <w:rPr>
          <w:rFonts w:cs="Arial"/>
        </w:rPr>
      </w:pPr>
      <w:r w:rsidRPr="00177E3D">
        <w:rPr>
          <w:rFonts w:cs="Arial"/>
        </w:rPr>
        <w:t>w</w:t>
      </w:r>
      <w:r w:rsidRPr="00177E3D">
        <w:rPr>
          <w:rFonts w:cs="Arial"/>
        </w:rPr>
        <w:t>yloty urządzeń kanalizacyjnych służących do odprowadzania wód z odwodnienia wykopów oraz wód opadowych i roztopowych do cieków, w tym do Kanału Biebrowskiego, należy umacniać punktowo w zakresie niezbędnym do bezpiecznego funkcjonowania urządzenia wodnego. Do umocnienia należy w pierwszej kolejności stosować materiały naturalne, np. głazy, kamień, żwir, darninę, kiszki faszynowe. Przy braku takiej możliwości dopuszcza się zastosowanie luźnego narzutu kamiennego lub aż</w:t>
      </w:r>
      <w:r w:rsidRPr="00177E3D">
        <w:rPr>
          <w:rFonts w:cs="Arial"/>
        </w:rPr>
        <w:t>urowych płyt betonowych o dużych oczkach. W przypadku użycia narzutu kamiennego o grubej frakcji lub płyt ażurowych, miejsca umocnień należy zadarniać w sposób umożliwiający spontaniczny rozwój roślinności;</w:t>
      </w:r>
    </w:p>
    <w:p w14:paraId="304D2E44" w14:textId="77777777" w:rsidR="008558F5" w:rsidRPr="00177E3D" w:rsidRDefault="008558F5" w:rsidP="008558F5">
      <w:pPr>
        <w:pStyle w:val="Akapitzlist"/>
        <w:numPr>
          <w:ilvl w:val="0"/>
          <w:numId w:val="27"/>
        </w:numPr>
        <w:ind w:left="851" w:hanging="425"/>
        <w:rPr>
          <w:rFonts w:cs="Arial"/>
        </w:rPr>
      </w:pPr>
      <w:r w:rsidRPr="00177E3D">
        <w:rPr>
          <w:rFonts w:cs="Arial"/>
        </w:rPr>
        <w:t>zastosowanie materaców gabionowych dopuszcza się jedynie na Kanale Biebrowskim w rejonie istniejącego jazu w km 3+328, na długości ok. 30 m</w:t>
      </w:r>
      <w:r w:rsidRPr="00177E3D">
        <w:rPr>
          <w:rFonts w:cs="Arial"/>
        </w:rPr>
        <w:t>.</w:t>
      </w:r>
    </w:p>
    <w:p w14:paraId="1BF4A199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P</w:t>
      </w:r>
      <w:r w:rsidRPr="00177E3D">
        <w:rPr>
          <w:rFonts w:cs="Arial"/>
          <w:color w:val="000000"/>
          <w:lang w:bidi="pl-PL"/>
        </w:rPr>
        <w:t xml:space="preserve">rzy projektowaniu systemu </w:t>
      </w:r>
      <w:r w:rsidRPr="00177E3D">
        <w:rPr>
          <w:rFonts w:cs="Arial"/>
          <w:color w:val="000000"/>
          <w:lang w:bidi="pl-PL"/>
        </w:rPr>
        <w:t xml:space="preserve">odwodnienia </w:t>
      </w:r>
      <w:r w:rsidRPr="00177E3D">
        <w:rPr>
          <w:rFonts w:cs="Arial"/>
          <w:color w:val="000000"/>
          <w:lang w:bidi="pl-PL"/>
        </w:rPr>
        <w:t>należy uwzględnić poniższe wytyczne:</w:t>
      </w:r>
    </w:p>
    <w:p w14:paraId="12E83B95" w14:textId="77777777" w:rsidR="008558F5" w:rsidRPr="00177E3D" w:rsidRDefault="008558F5" w:rsidP="008558F5">
      <w:pPr>
        <w:pStyle w:val="Akapitzlist"/>
        <w:numPr>
          <w:ilvl w:val="0"/>
          <w:numId w:val="17"/>
        </w:numPr>
        <w:ind w:left="851" w:hanging="425"/>
        <w:rPr>
          <w:rFonts w:cs="Arial"/>
          <w:color w:val="000000"/>
          <w:lang w:bidi="pl-PL"/>
        </w:rPr>
      </w:pPr>
      <w:r w:rsidRPr="00177E3D">
        <w:t xml:space="preserve">sieci drenarskie kolidujące </w:t>
      </w:r>
      <w:r w:rsidRPr="00177E3D">
        <w:rPr>
          <w:color w:val="404040"/>
        </w:rPr>
        <w:t xml:space="preserve">z </w:t>
      </w:r>
      <w:r w:rsidRPr="00177E3D">
        <w:t xml:space="preserve">planowaną trasą linii kolejowej </w:t>
      </w:r>
      <w:r w:rsidRPr="00177E3D">
        <w:rPr>
          <w:color w:val="000000"/>
        </w:rPr>
        <w:t xml:space="preserve">i </w:t>
      </w:r>
      <w:r w:rsidRPr="00177E3D">
        <w:t>infrastrukturą towarzyszącą</w:t>
      </w:r>
      <w:r w:rsidRPr="00177E3D">
        <w:rPr>
          <w:rFonts w:cs="Arial"/>
        </w:rPr>
        <w:t xml:space="preserve"> należy przebudować w taki sposób, aby zachowały dotychczasową funkcję. Do czasu wybudowania nowego układu sieci drenarsko-melioracyjnej należy zapewnić ciągłość funkcjonowania obecnie istniejącego systemu melioracyjnego</w:t>
      </w:r>
      <w:r w:rsidRPr="00177E3D">
        <w:rPr>
          <w:rFonts w:cs="Arial"/>
        </w:rPr>
        <w:t>;</w:t>
      </w:r>
    </w:p>
    <w:p w14:paraId="7242842A" w14:textId="77777777" w:rsidR="008558F5" w:rsidRPr="00177E3D" w:rsidRDefault="008558F5" w:rsidP="008558F5">
      <w:pPr>
        <w:pStyle w:val="Akapitzlist"/>
        <w:numPr>
          <w:ilvl w:val="0"/>
          <w:numId w:val="17"/>
        </w:numPr>
        <w:ind w:left="851" w:hanging="425"/>
        <w:rPr>
          <w:rFonts w:cs="Arial"/>
          <w:color w:val="000000"/>
          <w:lang w:bidi="pl-PL"/>
        </w:rPr>
      </w:pPr>
      <w:r w:rsidRPr="00177E3D">
        <w:t xml:space="preserve">rowy służące odprowadzaniu wód opadowych i roztopowych z terenu inwestycji wymagają zabezpieczenia przez umocnienie dna </w:t>
      </w:r>
      <w:r w:rsidRPr="00177E3D">
        <w:rPr>
          <w:color w:val="000000"/>
        </w:rPr>
        <w:t xml:space="preserve">i </w:t>
      </w:r>
      <w:r w:rsidRPr="00177E3D">
        <w:t>skarp w formie darniowania;</w:t>
      </w:r>
    </w:p>
    <w:p w14:paraId="7CD53292" w14:textId="77777777" w:rsidR="008558F5" w:rsidRPr="00177E3D" w:rsidRDefault="008558F5" w:rsidP="008558F5">
      <w:pPr>
        <w:pStyle w:val="Akapitzlist"/>
        <w:numPr>
          <w:ilvl w:val="0"/>
          <w:numId w:val="17"/>
        </w:numPr>
        <w:ind w:left="851" w:hanging="425"/>
        <w:rPr>
          <w:rFonts w:cs="Arial"/>
          <w:color w:val="000000"/>
          <w:lang w:bidi="pl-PL"/>
        </w:rPr>
      </w:pPr>
      <w:r w:rsidRPr="00177E3D">
        <w:t xml:space="preserve">wszystkie studnie </w:t>
      </w:r>
      <w:r w:rsidRPr="00177E3D">
        <w:rPr>
          <w:color w:val="000000"/>
        </w:rPr>
        <w:t xml:space="preserve">i </w:t>
      </w:r>
      <w:r w:rsidRPr="00177E3D">
        <w:t>niecki wpadowe należy wyposażyć w szczelną pokrywę górną. Wszystkie studzienki rewizyjne należy wyposażyć w pełne pokrywy. Wpusty zabezpieczać kratą uniemożliwiającą przedostanie się przez nie lub uwięzienie w nich zwierząt;</w:t>
      </w:r>
    </w:p>
    <w:p w14:paraId="1A01F9DC" w14:textId="77777777" w:rsidR="008558F5" w:rsidRPr="00177E3D" w:rsidRDefault="008558F5" w:rsidP="008558F5">
      <w:pPr>
        <w:pStyle w:val="Akapitzlist"/>
        <w:numPr>
          <w:ilvl w:val="0"/>
          <w:numId w:val="17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</w:rPr>
        <w:t>w przypadku konieczności zastosowania głębokich korytek, w tym tzw. korytek krakowskich, należy wyposażyć je w trwałe rozwiązania umożliwiające wydostanie się małych zwierząt z korytka (np. w postaci pochylni);</w:t>
      </w:r>
    </w:p>
    <w:p w14:paraId="58DB3946" w14:textId="77777777" w:rsidR="008558F5" w:rsidRPr="00177E3D" w:rsidRDefault="008558F5" w:rsidP="008558F5">
      <w:pPr>
        <w:pStyle w:val="Akapitzlist"/>
        <w:numPr>
          <w:ilvl w:val="0"/>
          <w:numId w:val="17"/>
        </w:numPr>
        <w:ind w:left="851" w:hanging="425"/>
        <w:rPr>
          <w:rFonts w:cs="Arial"/>
          <w:color w:val="000000"/>
          <w:lang w:bidi="pl-PL"/>
        </w:rPr>
      </w:pPr>
      <w:r w:rsidRPr="00177E3D">
        <w:t>w miejscach, gdzie nie ma możliwości odprowadzania wód opadowych i roztopowych do odbiorników</w:t>
      </w:r>
      <w:r w:rsidRPr="00177E3D">
        <w:t>,</w:t>
      </w:r>
      <w:r w:rsidRPr="00177E3D">
        <w:t xml:space="preserve"> należy zaprojektować i wykonać zbiorniki retencyjne</w:t>
      </w:r>
      <w:r w:rsidRPr="00177E3D">
        <w:t xml:space="preserve"> infiltracyjne lub odparowujące</w:t>
      </w:r>
      <w:r w:rsidRPr="00177E3D">
        <w:t xml:space="preserve">. </w:t>
      </w:r>
      <w:r w:rsidRPr="00177E3D">
        <w:t>N</w:t>
      </w:r>
      <w:r w:rsidRPr="00177E3D">
        <w:t>a terenach o poziomie wód gruntowych wyższym niż 1 m p.p.t. zbiorniki retencyjne</w:t>
      </w:r>
      <w:r w:rsidRPr="00177E3D">
        <w:t xml:space="preserve"> </w:t>
      </w:r>
      <w:r w:rsidRPr="00177E3D">
        <w:t>należy zaprojektować jako szczelne</w:t>
      </w:r>
      <w:r w:rsidRPr="00177E3D">
        <w:t>.</w:t>
      </w:r>
    </w:p>
    <w:p w14:paraId="6D310FCA" w14:textId="77777777" w:rsidR="008558F5" w:rsidRPr="00177E3D" w:rsidRDefault="008558F5" w:rsidP="008558F5">
      <w:pPr>
        <w:pStyle w:val="Akapitzlist"/>
        <w:numPr>
          <w:ilvl w:val="3"/>
          <w:numId w:val="18"/>
        </w:numPr>
        <w:spacing w:before="120"/>
        <w:ind w:left="425" w:hanging="425"/>
        <w:contextualSpacing w:val="0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lastRenderedPageBreak/>
        <w:t>Na</w:t>
      </w:r>
      <w:r w:rsidRPr="00177E3D">
        <w:rPr>
          <w:rFonts w:cs="Arial"/>
          <w:color w:val="000000"/>
          <w:lang w:bidi="pl-PL"/>
        </w:rPr>
        <w:t xml:space="preserve">leży zaprojektować i wykonać przejścia dla zwierząt </w:t>
      </w:r>
      <w:r w:rsidRPr="00177E3D">
        <w:rPr>
          <w:rFonts w:cs="Arial"/>
          <w:color w:val="000000"/>
          <w:lang w:bidi="pl-PL"/>
        </w:rPr>
        <w:t xml:space="preserve">przez linię kolejową nr 230 </w:t>
      </w:r>
      <w:r w:rsidRPr="00177E3D">
        <w:rPr>
          <w:rFonts w:cs="Arial"/>
          <w:color w:val="000000"/>
          <w:lang w:bidi="pl-PL"/>
        </w:rPr>
        <w:t>zgodnie z poniższymi wytycznymi:</w:t>
      </w: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propozycja projektu pzrejśc dla zwierząt dla linii kolejowej nr 230"/>
        <w:tblDescription w:val="Kilometraż&#10;projektowany Rodzaj obiektu Rodzaj przejścia dla zwierząt Parametry przejścia:&#10;   B=szerokość; H=wysokość&#10;[m]&#10;1+126 przepust Suche&#10;PZM/Płazy B≥1,0; H≥1,0&#10;15+655 most Zespolone z ciekiem&#10;PZM/Płazy B=2×≥1,0 + ciek; H≥1,5&#10;17+292 przejście górne Zespolone z drogą&#10;PZD/PZS/PZM B≥15,0&#10;29+695 przepust Suche&#10;PZM/Płazy B≥1,0; H≥1,0&#10;30+816 most Zespolone z ciekiem&#10;PZM/Płazy B=2×≥2,0 + ciek; H≥3,0&#10;33+347 przepust Suche&#10;PZM/Płazy B≥1,0; H≥1,0&#10;35+474 przepust Suche&#10;PZM/Płazy B≥1,0; H≥1,0&#10;40+654 most Zespolone z ciekiem&#10;PZM/Płazy B=2×≥1,0 + ciek; H≥1,5&#10;41+126 most Zespolone z ciekiem&#10;PZD/PZS/PZM/Płazy B=2×≥5,0 + ciek; H≥5,0&#10;42+308 most Zespolone z ciekiem&#10;PZS/PZM/Płazy B=2×≥5,0 + ciek; H≥3,5&#10;44+470 most Zespolone z ciekiem&#10;PZM/Płazy B=2×≥0,5 + ciek; H≥1,0&#10;47+029 most Zespolone z ciekiem&#10;PZD/PZS/PZM/Płazy B=2×≥5,0 + ciek; H≥5,0&#10;47+289 most Zespolone z ciekiem&#10;PZM/Płazy B=2×≥0,5 + ciek; H≥1,0&#10;"/>
      </w:tblPr>
      <w:tblGrid>
        <w:gridCol w:w="357"/>
        <w:gridCol w:w="1348"/>
        <w:gridCol w:w="1410"/>
        <w:gridCol w:w="2126"/>
        <w:gridCol w:w="3685"/>
      </w:tblGrid>
      <w:tr w:rsidR="00E62FDA" w14:paraId="2ADE699D" w14:textId="77777777" w:rsidTr="00CE5580">
        <w:trPr>
          <w:trHeight w:val="330"/>
          <w:jc w:val="center"/>
        </w:trPr>
        <w:tc>
          <w:tcPr>
            <w:tcW w:w="200" w:type="pct"/>
            <w:vMerge w:val="restar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379EAA" w14:textId="77777777" w:rsidR="008558F5" w:rsidRPr="00177E3D" w:rsidRDefault="008558F5" w:rsidP="000272E4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755" w:type="pct"/>
            <w:vMerge w:val="restart"/>
            <w:shd w:val="clear" w:color="auto" w:fill="D9D9D9"/>
            <w:tcMar>
              <w:left w:w="28" w:type="dxa"/>
              <w:right w:w="28" w:type="dxa"/>
            </w:tcMar>
            <w:vAlign w:val="center"/>
            <w:hideMark/>
          </w:tcPr>
          <w:p w14:paraId="06CE90FD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Kilometraż</w:t>
            </w: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br/>
              <w:t>projektowany</w:t>
            </w:r>
          </w:p>
        </w:tc>
        <w:tc>
          <w:tcPr>
            <w:tcW w:w="790" w:type="pct"/>
            <w:vMerge w:val="restart"/>
            <w:shd w:val="clear" w:color="auto" w:fill="D9D9D9"/>
            <w:tcMar>
              <w:left w:w="28" w:type="dxa"/>
              <w:right w:w="28" w:type="dxa"/>
            </w:tcMar>
            <w:vAlign w:val="center"/>
            <w:hideMark/>
          </w:tcPr>
          <w:p w14:paraId="3D9CFA59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Rodzaj obiektu</w:t>
            </w:r>
          </w:p>
        </w:tc>
        <w:tc>
          <w:tcPr>
            <w:tcW w:w="1191" w:type="pct"/>
            <w:vMerge w:val="restart"/>
            <w:shd w:val="clear" w:color="auto" w:fill="D9D9D9"/>
            <w:vAlign w:val="center"/>
          </w:tcPr>
          <w:p w14:paraId="4A3D0A43" w14:textId="77777777" w:rsidR="008558F5" w:rsidRPr="00177E3D" w:rsidRDefault="008558F5" w:rsidP="008314B7">
            <w:pPr>
              <w:tabs>
                <w:tab w:val="left" w:pos="1494"/>
              </w:tabs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Rodzaj przejścia dla zwierząt</w:t>
            </w:r>
          </w:p>
        </w:tc>
        <w:tc>
          <w:tcPr>
            <w:tcW w:w="2065" w:type="pct"/>
            <w:shd w:val="clear" w:color="auto" w:fill="D9D9D9"/>
            <w:tcMar>
              <w:left w:w="28" w:type="dxa"/>
              <w:right w:w="28" w:type="dxa"/>
            </w:tcMar>
            <w:vAlign w:val="center"/>
            <w:hideMark/>
          </w:tcPr>
          <w:p w14:paraId="22BF95B1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Parametry przejścia:</w:t>
            </w:r>
          </w:p>
        </w:tc>
      </w:tr>
      <w:tr w:rsidR="00E62FDA" w14:paraId="74BB3442" w14:textId="77777777" w:rsidTr="00CE5580">
        <w:trPr>
          <w:trHeight w:val="330"/>
          <w:jc w:val="center"/>
        </w:trPr>
        <w:tc>
          <w:tcPr>
            <w:tcW w:w="200" w:type="pct"/>
            <w:vMerge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867C5C" w14:textId="77777777" w:rsidR="008558F5" w:rsidRPr="00177E3D" w:rsidRDefault="008558F5" w:rsidP="008314B7">
            <w:pPr>
              <w:tabs>
                <w:tab w:val="left" w:pos="570"/>
              </w:tabs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55" w:type="pct"/>
            <w:vMerge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5DA479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90" w:type="pct"/>
            <w:vMerge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7B81A3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91" w:type="pct"/>
            <w:vMerge/>
            <w:shd w:val="clear" w:color="auto" w:fill="D9D9D9"/>
            <w:vAlign w:val="center"/>
          </w:tcPr>
          <w:p w14:paraId="1B290F3A" w14:textId="77777777" w:rsidR="008558F5" w:rsidRPr="00177E3D" w:rsidRDefault="008558F5" w:rsidP="008314B7">
            <w:pPr>
              <w:tabs>
                <w:tab w:val="left" w:pos="1494"/>
              </w:tabs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65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39E2B7" w14:textId="77777777" w:rsidR="008558F5" w:rsidRPr="00177E3D" w:rsidRDefault="008558F5" w:rsidP="008314B7">
            <w:pPr>
              <w:tabs>
                <w:tab w:val="left" w:pos="1494"/>
              </w:tabs>
              <w:spacing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t>B=szerokość; H=wysokość</w:t>
            </w:r>
            <w:r w:rsidRPr="00177E3D">
              <w:rPr>
                <w:rFonts w:eastAsia="Times New Roman" w:cs="Arial"/>
                <w:b/>
                <w:sz w:val="20"/>
                <w:szCs w:val="20"/>
                <w:lang w:eastAsia="pl-PL"/>
              </w:rPr>
              <w:br/>
              <w:t>[m]</w:t>
            </w:r>
          </w:p>
        </w:tc>
      </w:tr>
      <w:tr w:rsidR="00E62FDA" w14:paraId="530AC771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CD0C781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00827FB3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1+126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2969B5B8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przepust</w:t>
            </w:r>
          </w:p>
        </w:tc>
        <w:tc>
          <w:tcPr>
            <w:tcW w:w="1191" w:type="pct"/>
            <w:vAlign w:val="center"/>
          </w:tcPr>
          <w:p w14:paraId="576D1674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Suche</w:t>
            </w:r>
          </w:p>
          <w:p w14:paraId="0F0357D8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0E4DA049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B≥1,0; H≥1,0</w:t>
            </w:r>
          </w:p>
        </w:tc>
      </w:tr>
      <w:tr w:rsidR="00E62FDA" w14:paraId="0E100139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F92195C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02E3BA10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15+655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7565B0E8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59409DDB" w14:textId="77777777" w:rsidR="008558F5" w:rsidRPr="00177E3D" w:rsidRDefault="008558F5" w:rsidP="00CB1078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1EF4C8C8" w14:textId="77777777" w:rsidR="008558F5" w:rsidRPr="00177E3D" w:rsidRDefault="008558F5" w:rsidP="00CB1078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2FC75B8D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1,</w:t>
            </w:r>
            <w:r w:rsidRPr="00177E3D">
              <w:rPr>
                <w:sz w:val="18"/>
                <w:szCs w:val="18"/>
              </w:rPr>
              <w:t>0 + ciek; H≥1,5</w:t>
            </w:r>
          </w:p>
        </w:tc>
      </w:tr>
      <w:tr w:rsidR="00E62FDA" w14:paraId="52507195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70BA8BF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35557457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17+292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2A5CF5FD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przejście górne</w:t>
            </w:r>
          </w:p>
        </w:tc>
        <w:tc>
          <w:tcPr>
            <w:tcW w:w="1191" w:type="pct"/>
            <w:vAlign w:val="center"/>
          </w:tcPr>
          <w:p w14:paraId="4B55B038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drogą</w:t>
            </w: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br/>
              <w:t>PZD/PZS/PZM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31562EDC" w14:textId="77777777" w:rsidR="008558F5" w:rsidRPr="00177E3D" w:rsidRDefault="008558F5" w:rsidP="008314B7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B≥15,0</w:t>
            </w:r>
          </w:p>
        </w:tc>
      </w:tr>
      <w:tr w:rsidR="00E62FDA" w14:paraId="4D716388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3223BCA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035CAC59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29+695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154C7E78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przepust</w:t>
            </w:r>
          </w:p>
        </w:tc>
        <w:tc>
          <w:tcPr>
            <w:tcW w:w="1191" w:type="pct"/>
            <w:vAlign w:val="center"/>
          </w:tcPr>
          <w:p w14:paraId="329C748C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Suche</w:t>
            </w:r>
          </w:p>
          <w:p w14:paraId="372FE61E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439BDCC6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B≥1,0; H≥1,0</w:t>
            </w:r>
          </w:p>
        </w:tc>
      </w:tr>
      <w:tr w:rsidR="00E62FDA" w14:paraId="7037F640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2043CD0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479DBA5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30+816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0901D5ED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26789B6C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7BEF4C28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26499724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2,</w:t>
            </w:r>
            <w:r w:rsidRPr="00177E3D">
              <w:rPr>
                <w:sz w:val="18"/>
                <w:szCs w:val="18"/>
              </w:rPr>
              <w:t>0 + ciek; H≥3,0</w:t>
            </w:r>
          </w:p>
        </w:tc>
      </w:tr>
      <w:tr w:rsidR="00E62FDA" w14:paraId="76B0D119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DEEDB9A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</w:tcPr>
          <w:p w14:paraId="3F6B8195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33+347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</w:tcPr>
          <w:p w14:paraId="1A56F46B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przepust</w:t>
            </w:r>
          </w:p>
        </w:tc>
        <w:tc>
          <w:tcPr>
            <w:tcW w:w="1191" w:type="pct"/>
            <w:vAlign w:val="center"/>
          </w:tcPr>
          <w:p w14:paraId="14EB64B2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Suche</w:t>
            </w:r>
          </w:p>
          <w:p w14:paraId="2582C081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241FE56A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B≥1,0; H≥1,0</w:t>
            </w:r>
          </w:p>
        </w:tc>
      </w:tr>
      <w:tr w:rsidR="00E62FDA" w14:paraId="62238F1F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85291C2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12AEAC0D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35+474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520B29D7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przepust</w:t>
            </w:r>
          </w:p>
        </w:tc>
        <w:tc>
          <w:tcPr>
            <w:tcW w:w="1191" w:type="pct"/>
            <w:vAlign w:val="center"/>
          </w:tcPr>
          <w:p w14:paraId="1151030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Suche</w:t>
            </w:r>
          </w:p>
          <w:p w14:paraId="6BED3EC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078DB348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B≥1,0; H≥1,0</w:t>
            </w:r>
          </w:p>
        </w:tc>
      </w:tr>
      <w:tr w:rsidR="00E62FDA" w14:paraId="2C5A9DEE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9367A6C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0A0332C4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40+654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37BF3F27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3EE68C9E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2DAD4DE2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6C91B1B0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1,</w:t>
            </w:r>
            <w:r w:rsidRPr="00177E3D">
              <w:rPr>
                <w:sz w:val="18"/>
                <w:szCs w:val="18"/>
              </w:rPr>
              <w:t>0 + ciek; H≥1,5</w:t>
            </w:r>
          </w:p>
        </w:tc>
      </w:tr>
      <w:tr w:rsidR="00E62FDA" w14:paraId="49605E1E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B698A01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0AE01A57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41+126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525F2424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26FA5D2F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6DD5A15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PZD/PZS/PZM/Płazy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379AD168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5,</w:t>
            </w:r>
            <w:r w:rsidRPr="00177E3D">
              <w:rPr>
                <w:sz w:val="18"/>
                <w:szCs w:val="18"/>
              </w:rPr>
              <w:t>0 + ciek; H≥5,0</w:t>
            </w:r>
          </w:p>
        </w:tc>
      </w:tr>
      <w:tr w:rsidR="00E62FDA" w14:paraId="3F2659E9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1078EDA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69FFEE86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42+308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1A6E86C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1D34B8E4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0AA5B256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PZS/PZM/Płazy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11B746DD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5,</w:t>
            </w:r>
            <w:r w:rsidRPr="00177E3D">
              <w:rPr>
                <w:sz w:val="18"/>
                <w:szCs w:val="18"/>
              </w:rPr>
              <w:t>0 + ciek; H≥3,5</w:t>
            </w:r>
          </w:p>
        </w:tc>
      </w:tr>
      <w:tr w:rsidR="00E62FDA" w14:paraId="469F53B7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D542061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5F6AEFD2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44+470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247F292D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3D5B6DAD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778B66E0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39F6A832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0,5</w:t>
            </w:r>
            <w:r w:rsidRPr="00177E3D">
              <w:rPr>
                <w:sz w:val="18"/>
                <w:szCs w:val="18"/>
              </w:rPr>
              <w:t xml:space="preserve"> + ciek; H≥1,0</w:t>
            </w:r>
          </w:p>
        </w:tc>
      </w:tr>
      <w:tr w:rsidR="00E62FDA" w14:paraId="67189519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95B6D3E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737AD496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47+029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4A3A825E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41A81E00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6993B546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PZD/PZS/PZM/Płazy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629E1F03" w14:textId="77777777" w:rsidR="008558F5" w:rsidRPr="00177E3D" w:rsidRDefault="008558F5" w:rsidP="00710C5B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5,</w:t>
            </w:r>
            <w:r w:rsidRPr="00177E3D">
              <w:rPr>
                <w:sz w:val="18"/>
                <w:szCs w:val="18"/>
              </w:rPr>
              <w:t>0 + ciek; H≥5,0</w:t>
            </w:r>
          </w:p>
        </w:tc>
      </w:tr>
      <w:tr w:rsidR="00E62FDA" w14:paraId="339809A0" w14:textId="77777777" w:rsidTr="00CE5580">
        <w:trPr>
          <w:trHeight w:val="284"/>
          <w:jc w:val="center"/>
        </w:trPr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51CC636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755" w:type="pct"/>
            <w:tcMar>
              <w:left w:w="28" w:type="dxa"/>
              <w:right w:w="28" w:type="dxa"/>
            </w:tcMar>
            <w:vAlign w:val="center"/>
            <w:hideMark/>
          </w:tcPr>
          <w:p w14:paraId="2BECCF33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</w:rPr>
              <w:t>47+289</w:t>
            </w:r>
          </w:p>
        </w:tc>
        <w:tc>
          <w:tcPr>
            <w:tcW w:w="790" w:type="pct"/>
            <w:tcMar>
              <w:left w:w="28" w:type="dxa"/>
              <w:right w:w="28" w:type="dxa"/>
            </w:tcMar>
            <w:vAlign w:val="center"/>
            <w:hideMark/>
          </w:tcPr>
          <w:p w14:paraId="36D5993E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sz w:val="18"/>
                <w:szCs w:val="18"/>
                <w:lang w:eastAsia="pl-PL"/>
              </w:rPr>
              <w:t>most</w:t>
            </w:r>
          </w:p>
        </w:tc>
        <w:tc>
          <w:tcPr>
            <w:tcW w:w="1191" w:type="pct"/>
            <w:vAlign w:val="center"/>
          </w:tcPr>
          <w:p w14:paraId="3B649E77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Zespolone z ciekiem</w:t>
            </w:r>
          </w:p>
          <w:p w14:paraId="1E2004E3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rFonts w:eastAsia="Times New Roman" w:cs="Arial"/>
                <w:noProof/>
                <w:sz w:val="18"/>
                <w:szCs w:val="18"/>
                <w:lang w:eastAsia="pl-PL"/>
              </w:rPr>
              <w:t>PZM/Płazy</w:t>
            </w:r>
          </w:p>
        </w:tc>
        <w:tc>
          <w:tcPr>
            <w:tcW w:w="2065" w:type="pct"/>
            <w:tcMar>
              <w:left w:w="28" w:type="dxa"/>
              <w:right w:w="28" w:type="dxa"/>
            </w:tcMar>
            <w:vAlign w:val="center"/>
          </w:tcPr>
          <w:p w14:paraId="4D684125" w14:textId="77777777" w:rsidR="008558F5" w:rsidRPr="00177E3D" w:rsidRDefault="008558F5" w:rsidP="00F84D65">
            <w:pPr>
              <w:spacing w:line="240" w:lineRule="auto"/>
              <w:jc w:val="center"/>
              <w:rPr>
                <w:rFonts w:eastAsia="Times New Roman" w:cs="Arial"/>
                <w:noProof/>
                <w:sz w:val="18"/>
                <w:szCs w:val="18"/>
                <w:lang w:eastAsia="pl-PL"/>
              </w:rPr>
            </w:pPr>
            <w:r w:rsidRPr="00177E3D">
              <w:rPr>
                <w:sz w:val="18"/>
                <w:szCs w:val="18"/>
              </w:rPr>
              <w:t>B=2</w:t>
            </w:r>
            <w:r w:rsidRPr="00177E3D">
              <w:rPr>
                <w:rFonts w:cs="Arial"/>
                <w:sz w:val="18"/>
                <w:szCs w:val="18"/>
              </w:rPr>
              <w:t>×</w:t>
            </w:r>
            <w:r w:rsidRPr="00177E3D">
              <w:rPr>
                <w:sz w:val="18"/>
                <w:szCs w:val="18"/>
              </w:rPr>
              <w:t>≥</w:t>
            </w:r>
            <w:r w:rsidRPr="00177E3D">
              <w:rPr>
                <w:rFonts w:cs="Arial"/>
                <w:sz w:val="18"/>
                <w:szCs w:val="18"/>
              </w:rPr>
              <w:t>0,5</w:t>
            </w:r>
            <w:r w:rsidRPr="00177E3D">
              <w:rPr>
                <w:sz w:val="18"/>
                <w:szCs w:val="18"/>
              </w:rPr>
              <w:t xml:space="preserve"> + ciek; H≥1,0</w:t>
            </w:r>
          </w:p>
        </w:tc>
      </w:tr>
    </w:tbl>
    <w:p w14:paraId="6AB60927" w14:textId="77777777" w:rsidR="008558F5" w:rsidRPr="00177E3D" w:rsidRDefault="008558F5" w:rsidP="000623BF">
      <w:pPr>
        <w:pStyle w:val="Akapitzlist"/>
        <w:numPr>
          <w:ilvl w:val="0"/>
          <w:numId w:val="0"/>
        </w:numPr>
        <w:autoSpaceDE w:val="0"/>
        <w:autoSpaceDN w:val="0"/>
        <w:adjustRightInd w:val="0"/>
        <w:spacing w:before="120"/>
        <w:ind w:left="425"/>
        <w:rPr>
          <w:rFonts w:cs="Arial"/>
          <w:sz w:val="18"/>
          <w:szCs w:val="20"/>
        </w:rPr>
      </w:pPr>
      <w:r w:rsidRPr="00177E3D">
        <w:rPr>
          <w:rFonts w:cs="Arial"/>
          <w:sz w:val="18"/>
          <w:szCs w:val="20"/>
        </w:rPr>
        <w:t xml:space="preserve">Oznaczenia przejść: PZM – dla </w:t>
      </w:r>
      <w:r w:rsidRPr="00177E3D">
        <w:rPr>
          <w:rFonts w:cs="Arial"/>
          <w:sz w:val="18"/>
          <w:szCs w:val="20"/>
        </w:rPr>
        <w:t xml:space="preserve">zwierząt </w:t>
      </w:r>
      <w:r w:rsidRPr="00177E3D">
        <w:rPr>
          <w:rFonts w:cs="Arial"/>
          <w:sz w:val="18"/>
          <w:szCs w:val="20"/>
        </w:rPr>
        <w:t xml:space="preserve">małych, PZS – dla zwierząt średnich, PZD – dla </w:t>
      </w:r>
      <w:r w:rsidRPr="00177E3D">
        <w:rPr>
          <w:rFonts w:cs="Arial"/>
          <w:sz w:val="18"/>
          <w:szCs w:val="20"/>
        </w:rPr>
        <w:t xml:space="preserve">zwierząt </w:t>
      </w:r>
      <w:r w:rsidRPr="00177E3D">
        <w:rPr>
          <w:rFonts w:cs="Arial"/>
          <w:sz w:val="18"/>
          <w:szCs w:val="20"/>
        </w:rPr>
        <w:t>dużych</w:t>
      </w:r>
      <w:r w:rsidRPr="00177E3D">
        <w:rPr>
          <w:rFonts w:cs="Arial"/>
          <w:sz w:val="18"/>
          <w:szCs w:val="20"/>
        </w:rPr>
        <w:t>, Płazy – dla płazów</w:t>
      </w:r>
    </w:p>
    <w:p w14:paraId="648A08B0" w14:textId="77777777" w:rsidR="008558F5" w:rsidRPr="00177E3D" w:rsidRDefault="008558F5" w:rsidP="008558F5">
      <w:pPr>
        <w:pStyle w:val="Akapitzlist"/>
        <w:numPr>
          <w:ilvl w:val="3"/>
          <w:numId w:val="18"/>
        </w:numPr>
        <w:autoSpaceDE w:val="0"/>
        <w:autoSpaceDN w:val="0"/>
        <w:adjustRightInd w:val="0"/>
        <w:spacing w:before="120"/>
        <w:ind w:left="425" w:hanging="425"/>
        <w:contextualSpacing w:val="0"/>
        <w:rPr>
          <w:rFonts w:cs="Arial"/>
        </w:rPr>
      </w:pPr>
      <w:r w:rsidRPr="00177E3D">
        <w:rPr>
          <w:rFonts w:cs="Arial"/>
        </w:rPr>
        <w:t>Przejścia dla zwierząt mają spełniać następujące wymagania:</w:t>
      </w:r>
    </w:p>
    <w:p w14:paraId="1E7C3AE1" w14:textId="77777777" w:rsidR="008558F5" w:rsidRPr="00177E3D" w:rsidRDefault="008558F5" w:rsidP="008558F5">
      <w:pPr>
        <w:pStyle w:val="Akapitzlist"/>
        <w:numPr>
          <w:ilvl w:val="0"/>
          <w:numId w:val="34"/>
        </w:numPr>
        <w:ind w:left="851" w:hanging="425"/>
        <w:rPr>
          <w:rFonts w:cs="Arial"/>
          <w:color w:val="000000"/>
          <w:lang w:bidi="pl-PL"/>
        </w:rPr>
      </w:pPr>
      <w:r w:rsidRPr="00177E3D">
        <w:t xml:space="preserve">współczynnik względnej ciasnoty przejść </w:t>
      </w:r>
      <w:r w:rsidRPr="00177E3D">
        <w:t xml:space="preserve">dolnych </w:t>
      </w:r>
      <w:r w:rsidRPr="00177E3D">
        <w:t>dl</w:t>
      </w:r>
      <w:r w:rsidRPr="00177E3D">
        <w:t xml:space="preserve">a </w:t>
      </w:r>
      <w:r w:rsidRPr="00177E3D">
        <w:t>zwierząt małych</w:t>
      </w:r>
      <w:r w:rsidRPr="00177E3D">
        <w:t xml:space="preserve"> (w tym płazów)</w:t>
      </w:r>
      <w:r w:rsidRPr="00177E3D">
        <w:t xml:space="preserve"> ma wynieść minimum 0,07, przejść dla zwierząt średnich – minimum 0,7, a przejść dla zwierząt dużych – minimum 1,5</w:t>
      </w:r>
      <w:r w:rsidRPr="00177E3D">
        <w:rPr>
          <w:rFonts w:cs="Arial"/>
        </w:rPr>
        <w:t>;</w:t>
      </w:r>
    </w:p>
    <w:p w14:paraId="1EEB95A5" w14:textId="77777777" w:rsidR="008558F5" w:rsidRPr="00177E3D" w:rsidRDefault="008558F5" w:rsidP="008558F5">
      <w:pPr>
        <w:pStyle w:val="Akapitzlist"/>
        <w:numPr>
          <w:ilvl w:val="0"/>
          <w:numId w:val="34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</w:rPr>
        <w:t>przejścia zespolone z ciekiem należy wyposażyć w obustronne półki lub strefy brzegowe wyniesione ponad poziom wody wysokiej dla danego cieku. Powierzchnie półek wyrównać i pokryć gruntem rodzimym. Półki połączyć z terenem otaczającym przejście w sposób umożliwiający swobodne przechodzenie zwierząt;</w:t>
      </w:r>
    </w:p>
    <w:p w14:paraId="4ED88E7E" w14:textId="77777777" w:rsidR="008558F5" w:rsidRPr="00177E3D" w:rsidRDefault="008558F5" w:rsidP="008558F5">
      <w:pPr>
        <w:pStyle w:val="Akapitzlist"/>
        <w:numPr>
          <w:ilvl w:val="0"/>
          <w:numId w:val="34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</w:rPr>
        <w:t>powierzchnię przejść należy obsadzić rodzimymi gatunkami drzew i krzewów oraz zagospodarować elementami naturalnymi (np. kłodami drewna, karpami korzeniowymi, stosami kamieni);</w:t>
      </w:r>
    </w:p>
    <w:p w14:paraId="64DF5069" w14:textId="77777777" w:rsidR="008558F5" w:rsidRPr="00177E3D" w:rsidRDefault="008558F5" w:rsidP="008558F5">
      <w:pPr>
        <w:pStyle w:val="Akapitzlist"/>
        <w:numPr>
          <w:ilvl w:val="0"/>
          <w:numId w:val="34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>w przypadku przejścia górnego</w:t>
      </w:r>
      <w:r w:rsidRPr="00177E3D">
        <w:rPr>
          <w:rFonts w:cs="Arial"/>
          <w:color w:val="000000"/>
          <w:lang w:bidi="pl-PL"/>
        </w:rPr>
        <w:t xml:space="preserve"> </w:t>
      </w:r>
      <w:r w:rsidRPr="00177E3D">
        <w:rPr>
          <w:rFonts w:cs="Arial"/>
          <w:color w:val="000000"/>
          <w:lang w:bidi="pl-PL"/>
        </w:rPr>
        <w:t>w km 17+292,</w:t>
      </w:r>
      <w:r w:rsidRPr="00177E3D">
        <w:rPr>
          <w:rFonts w:cs="Arial"/>
          <w:color w:val="000000"/>
          <w:lang w:bidi="pl-PL"/>
        </w:rPr>
        <w:t xml:space="preserve"> </w:t>
      </w:r>
      <w:r w:rsidRPr="00177E3D">
        <w:rPr>
          <w:rFonts w:cs="Arial"/>
          <w:color w:val="000000"/>
          <w:lang w:bidi="pl-PL"/>
        </w:rPr>
        <w:t>n</w:t>
      </w:r>
      <w:r w:rsidRPr="00177E3D">
        <w:rPr>
          <w:rFonts w:cs="Arial"/>
          <w:color w:val="000000"/>
          <w:lang w:bidi="pl-PL"/>
        </w:rPr>
        <w:t xml:space="preserve">achylenie skarp najścia </w:t>
      </w:r>
      <w:r w:rsidRPr="00177E3D">
        <w:rPr>
          <w:rFonts w:cs="Arial"/>
          <w:color w:val="000000"/>
          <w:lang w:bidi="pl-PL"/>
        </w:rPr>
        <w:t>nie może przekroczyć</w:t>
      </w:r>
      <w:r w:rsidRPr="00177E3D">
        <w:rPr>
          <w:rFonts w:cs="Arial"/>
          <w:color w:val="000000"/>
          <w:lang w:bidi="pl-PL"/>
        </w:rPr>
        <w:t xml:space="preserve"> 20%</w:t>
      </w:r>
      <w:r w:rsidRPr="00177E3D">
        <w:rPr>
          <w:rFonts w:cs="Arial"/>
          <w:color w:val="000000"/>
          <w:lang w:bidi="pl-PL"/>
        </w:rPr>
        <w:t xml:space="preserve">. Drogę biegnącą wzdłuż przejścia należy </w:t>
      </w:r>
      <w:r w:rsidRPr="00177E3D">
        <w:rPr>
          <w:rFonts w:cs="Arial"/>
          <w:color w:val="000000"/>
          <w:lang w:bidi="pl-PL"/>
        </w:rPr>
        <w:t>pozostawić jako nieutwardzoną</w:t>
      </w:r>
      <w:r w:rsidRPr="00177E3D">
        <w:rPr>
          <w:rFonts w:cs="Arial"/>
          <w:color w:val="000000"/>
          <w:lang w:bidi="pl-PL"/>
        </w:rPr>
        <w:t xml:space="preserve"> lub umocnioną kruszywem naturalnym</w:t>
      </w:r>
      <w:r w:rsidRPr="00177E3D">
        <w:rPr>
          <w:rFonts w:cs="Arial"/>
          <w:color w:val="000000"/>
          <w:lang w:bidi="pl-PL"/>
        </w:rPr>
        <w:t>.</w:t>
      </w:r>
      <w:r w:rsidRPr="00177E3D">
        <w:rPr>
          <w:rFonts w:cs="Arial"/>
          <w:color w:val="000000"/>
          <w:lang w:bidi="pl-PL"/>
        </w:rPr>
        <w:t>”</w:t>
      </w:r>
    </w:p>
    <w:p w14:paraId="661CC7C6" w14:textId="77777777" w:rsidR="008558F5" w:rsidRPr="00177E3D" w:rsidRDefault="008558F5" w:rsidP="004F2332">
      <w:pPr>
        <w:pStyle w:val="Akapitzlist"/>
        <w:numPr>
          <w:ilvl w:val="0"/>
          <w:numId w:val="1"/>
        </w:numPr>
        <w:spacing w:before="120"/>
        <w:ind w:left="426" w:hanging="426"/>
        <w:contextualSpacing w:val="0"/>
        <w:rPr>
          <w:rFonts w:cs="Arial"/>
        </w:rPr>
      </w:pPr>
      <w:r w:rsidRPr="00177E3D">
        <w:rPr>
          <w:rFonts w:cs="Arial"/>
          <w:b/>
        </w:rPr>
        <w:t xml:space="preserve">Uchyla punkt </w:t>
      </w:r>
      <w:r w:rsidRPr="00177E3D">
        <w:rPr>
          <w:rFonts w:cs="Arial"/>
          <w:b/>
        </w:rPr>
        <w:t>I</w:t>
      </w:r>
      <w:r w:rsidRPr="00177E3D">
        <w:rPr>
          <w:rFonts w:cs="Arial"/>
          <w:b/>
        </w:rPr>
        <w:t>.</w:t>
      </w:r>
      <w:r w:rsidRPr="00177E3D">
        <w:rPr>
          <w:rFonts w:cs="Arial"/>
          <w:b/>
        </w:rPr>
        <w:t xml:space="preserve">5 decyzji </w:t>
      </w:r>
      <w:r w:rsidRPr="00177E3D">
        <w:rPr>
          <w:rFonts w:cs="Arial"/>
          <w:b/>
          <w:bCs/>
        </w:rPr>
        <w:t>w całości i w tym zakresie orzeka</w:t>
      </w:r>
      <w:r w:rsidRPr="00177E3D">
        <w:rPr>
          <w:rFonts w:cs="Arial"/>
          <w:b/>
        </w:rPr>
        <w:t>:</w:t>
      </w:r>
    </w:p>
    <w:p w14:paraId="7928EBE4" w14:textId="77777777" w:rsidR="008558F5" w:rsidRPr="00177E3D" w:rsidRDefault="008558F5" w:rsidP="00A004B6">
      <w:pPr>
        <w:rPr>
          <w:rFonts w:cs="Arial"/>
          <w:b/>
          <w:bCs/>
          <w:szCs w:val="24"/>
        </w:rPr>
      </w:pPr>
      <w:r w:rsidRPr="00177E3D">
        <w:rPr>
          <w:rFonts w:cs="Arial"/>
          <w:b/>
          <w:bCs/>
        </w:rPr>
        <w:t>„</w:t>
      </w:r>
      <w:r w:rsidRPr="00177E3D">
        <w:rPr>
          <w:rFonts w:cs="Arial"/>
          <w:b/>
          <w:bCs/>
        </w:rPr>
        <w:t>Nakładam obowiązek przedstawienia analizy porealizacyjnej w następującym zakresie</w:t>
      </w:r>
      <w:r w:rsidRPr="00177E3D">
        <w:rPr>
          <w:rFonts w:cs="Arial"/>
          <w:b/>
          <w:bCs/>
          <w:color w:val="000000"/>
          <w:szCs w:val="24"/>
          <w:lang w:eastAsia="pl-PL" w:bidi="pl-PL"/>
        </w:rPr>
        <w:t>:</w:t>
      </w:r>
    </w:p>
    <w:p w14:paraId="31EE786C" w14:textId="77777777" w:rsidR="008558F5" w:rsidRPr="00177E3D" w:rsidRDefault="008558F5" w:rsidP="008558F5">
      <w:pPr>
        <w:numPr>
          <w:ilvl w:val="0"/>
          <w:numId w:val="30"/>
        </w:numPr>
        <w:shd w:val="clear" w:color="auto" w:fill="FFFFFF"/>
        <w:spacing w:before="120"/>
        <w:ind w:left="425" w:hanging="425"/>
        <w:rPr>
          <w:rFonts w:cs="Arial"/>
        </w:rPr>
      </w:pPr>
      <w:bookmarkStart w:id="14" w:name="_Hlk182925730"/>
      <w:r w:rsidRPr="00177E3D">
        <w:rPr>
          <w:rFonts w:cs="Arial"/>
        </w:rPr>
        <w:t xml:space="preserve">Analizę porealizacyjną w zakresie oddziaływania hałasu należy przeprowadzić zgodnie z następującymi wytycznymi: </w:t>
      </w:r>
    </w:p>
    <w:p w14:paraId="248EA4F9" w14:textId="77777777" w:rsidR="008558F5" w:rsidRPr="00177E3D" w:rsidRDefault="008558F5" w:rsidP="008558F5">
      <w:pPr>
        <w:pStyle w:val="Akapitzlist"/>
        <w:numPr>
          <w:ilvl w:val="0"/>
          <w:numId w:val="48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cs="Arial"/>
        </w:rPr>
        <w:lastRenderedPageBreak/>
        <w:t xml:space="preserve">pomiary </w:t>
      </w:r>
      <w:r w:rsidRPr="00177E3D">
        <w:rPr>
          <w:rFonts w:cs="Arial"/>
        </w:rPr>
        <w:t xml:space="preserve">dźwięku </w:t>
      </w:r>
      <w:r w:rsidRPr="00177E3D">
        <w:rPr>
          <w:rFonts w:cs="Arial"/>
        </w:rPr>
        <w:t xml:space="preserve">należy </w:t>
      </w:r>
      <w:r w:rsidRPr="00177E3D">
        <w:rPr>
          <w:rFonts w:cs="Arial"/>
        </w:rPr>
        <w:t>prowadzić</w:t>
      </w:r>
      <w:r w:rsidRPr="00177E3D">
        <w:rPr>
          <w:rFonts w:cs="Arial"/>
        </w:rPr>
        <w:t xml:space="preserve"> na granicy terenu podlegającego ochronie przed hałasem</w:t>
      </w:r>
      <w:r w:rsidRPr="00177E3D">
        <w:rPr>
          <w:rFonts w:cs="Arial"/>
        </w:rPr>
        <w:t>.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P</w:t>
      </w:r>
      <w:r w:rsidRPr="00177E3D">
        <w:rPr>
          <w:rFonts w:eastAsiaTheme="minorHAnsi" w:cs="Arial"/>
          <w:kern w:val="2"/>
          <w:lang w:eastAsia="en-US"/>
        </w:rPr>
        <w:t xml:space="preserve">unkty pomiaru hałasu: </w:t>
      </w:r>
    </w:p>
    <w:p w14:paraId="0F5BA0DA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 xml:space="preserve">receptor nr </w:t>
      </w:r>
      <w:r w:rsidRPr="00177E3D">
        <w:rPr>
          <w:rFonts w:cs="Arial"/>
        </w:rPr>
        <w:t>P7</w:t>
      </w:r>
      <w:r w:rsidRPr="00177E3D">
        <w:rPr>
          <w:rFonts w:cs="Arial"/>
        </w:rPr>
        <w:t xml:space="preserve"> –</w:t>
      </w:r>
      <w:r w:rsidRPr="00177E3D">
        <w:rPr>
          <w:rFonts w:cs="Arial"/>
          <w:color w:val="363636"/>
        </w:rPr>
        <w:t xml:space="preserve"> </w:t>
      </w:r>
      <w:r w:rsidRPr="00177E3D">
        <w:rPr>
          <w:rFonts w:cs="Arial"/>
        </w:rPr>
        <w:t xml:space="preserve">km </w:t>
      </w:r>
      <w:r w:rsidRPr="00177E3D">
        <w:rPr>
          <w:rFonts w:cs="Arial"/>
        </w:rPr>
        <w:t>0</w:t>
      </w:r>
      <w:r w:rsidRPr="00177E3D">
        <w:rPr>
          <w:rFonts w:cs="Arial"/>
        </w:rPr>
        <w:t>+</w:t>
      </w:r>
      <w:r w:rsidRPr="00177E3D">
        <w:rPr>
          <w:rFonts w:cs="Arial"/>
        </w:rPr>
        <w:t>730</w:t>
      </w:r>
      <w:r w:rsidRPr="00177E3D">
        <w:rPr>
          <w:rFonts w:cs="Arial"/>
        </w:rPr>
        <w:t xml:space="preserve"> </w:t>
      </w:r>
      <w:r w:rsidRPr="00177E3D">
        <w:rPr>
          <w:rFonts w:cs="Arial"/>
          <w:color w:val="363636"/>
        </w:rPr>
        <w:t xml:space="preserve">- </w:t>
      </w:r>
      <w:r w:rsidRPr="00177E3D">
        <w:rPr>
          <w:rFonts w:cs="Arial"/>
        </w:rPr>
        <w:t>strona lewa</w:t>
      </w:r>
      <w:r w:rsidRPr="00177E3D">
        <w:rPr>
          <w:rFonts w:cs="Arial"/>
        </w:rPr>
        <w:t>;</w:t>
      </w:r>
    </w:p>
    <w:p w14:paraId="49368E1B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P5 –</w:t>
      </w:r>
      <w:r w:rsidRPr="00177E3D">
        <w:rPr>
          <w:rFonts w:cs="Arial"/>
          <w:color w:val="363636"/>
        </w:rPr>
        <w:t xml:space="preserve"> </w:t>
      </w:r>
      <w:r w:rsidRPr="00177E3D">
        <w:rPr>
          <w:rFonts w:cs="Arial"/>
        </w:rPr>
        <w:t xml:space="preserve">km 1+450 </w:t>
      </w:r>
      <w:r w:rsidRPr="00177E3D">
        <w:rPr>
          <w:rFonts w:cs="Arial"/>
          <w:color w:val="363636"/>
        </w:rPr>
        <w:t xml:space="preserve">- </w:t>
      </w:r>
      <w:r w:rsidRPr="00177E3D">
        <w:rPr>
          <w:rFonts w:cs="Arial"/>
        </w:rPr>
        <w:t>strona prawa;</w:t>
      </w:r>
    </w:p>
    <w:p w14:paraId="4CF68384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104 –</w:t>
      </w:r>
      <w:r w:rsidRPr="00177E3D">
        <w:t xml:space="preserve"> </w:t>
      </w:r>
      <w:r w:rsidRPr="00177E3D">
        <w:rPr>
          <w:rFonts w:cs="Arial"/>
        </w:rPr>
        <w:t>km 9+130 - strona lewa;</w:t>
      </w:r>
    </w:p>
    <w:p w14:paraId="28203366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 xml:space="preserve">receptor nr </w:t>
      </w:r>
      <w:r w:rsidRPr="00177E3D">
        <w:rPr>
          <w:rFonts w:cs="Arial"/>
        </w:rPr>
        <w:t>101</w:t>
      </w:r>
      <w:r w:rsidRPr="00177E3D">
        <w:rPr>
          <w:rFonts w:cs="Arial"/>
        </w:rPr>
        <w:t xml:space="preserve"> –</w:t>
      </w:r>
      <w:r w:rsidRPr="00177E3D">
        <w:t xml:space="preserve"> </w:t>
      </w:r>
      <w:r w:rsidRPr="00177E3D">
        <w:rPr>
          <w:rFonts w:cs="Arial"/>
        </w:rPr>
        <w:t xml:space="preserve">km </w:t>
      </w:r>
      <w:r w:rsidRPr="00177E3D">
        <w:rPr>
          <w:rFonts w:cs="Arial"/>
        </w:rPr>
        <w:t>9+180</w:t>
      </w:r>
      <w:r w:rsidRPr="00177E3D">
        <w:rPr>
          <w:rFonts w:cs="Arial"/>
        </w:rPr>
        <w:t xml:space="preserve"> - strona </w:t>
      </w:r>
      <w:r w:rsidRPr="00177E3D">
        <w:rPr>
          <w:rFonts w:cs="Arial"/>
        </w:rPr>
        <w:t>lewa;</w:t>
      </w:r>
    </w:p>
    <w:p w14:paraId="76609EBA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99 –</w:t>
      </w:r>
      <w:r w:rsidRPr="00177E3D">
        <w:t xml:space="preserve"> </w:t>
      </w:r>
      <w:r w:rsidRPr="00177E3D">
        <w:rPr>
          <w:rFonts w:cs="Arial"/>
        </w:rPr>
        <w:t>km 9+600 - strona lewa;</w:t>
      </w:r>
    </w:p>
    <w:p w14:paraId="73B63B21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98’ –</w:t>
      </w:r>
      <w:r w:rsidRPr="00177E3D">
        <w:t xml:space="preserve"> </w:t>
      </w:r>
      <w:r w:rsidRPr="00177E3D">
        <w:rPr>
          <w:rFonts w:cs="Arial"/>
        </w:rPr>
        <w:t>km 9+640 - strona lewa;</w:t>
      </w:r>
    </w:p>
    <w:p w14:paraId="3107610B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85 –</w:t>
      </w:r>
      <w:r w:rsidRPr="00177E3D">
        <w:t xml:space="preserve"> </w:t>
      </w:r>
      <w:r w:rsidRPr="00177E3D">
        <w:rPr>
          <w:rFonts w:cs="Arial"/>
        </w:rPr>
        <w:t>km 16+190 - strona lewa;</w:t>
      </w:r>
    </w:p>
    <w:p w14:paraId="0322A6CF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46 –</w:t>
      </w:r>
      <w:r w:rsidRPr="00177E3D">
        <w:t xml:space="preserve"> </w:t>
      </w:r>
      <w:r w:rsidRPr="00177E3D">
        <w:rPr>
          <w:rFonts w:cs="Arial"/>
        </w:rPr>
        <w:t>km 16+220 - strona prawa;</w:t>
      </w:r>
    </w:p>
    <w:p w14:paraId="6366156F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76 –</w:t>
      </w:r>
      <w:r w:rsidRPr="00177E3D">
        <w:t xml:space="preserve"> </w:t>
      </w:r>
      <w:r w:rsidRPr="00177E3D">
        <w:rPr>
          <w:rFonts w:cs="Arial"/>
        </w:rPr>
        <w:t>km 36+820 - strona lewa;</w:t>
      </w:r>
    </w:p>
    <w:p w14:paraId="5E51330B" w14:textId="77777777" w:rsidR="008558F5" w:rsidRPr="00177E3D" w:rsidRDefault="008558F5" w:rsidP="008558F5">
      <w:pPr>
        <w:pStyle w:val="Tekstpodstawowy"/>
        <w:widowControl w:val="0"/>
        <w:numPr>
          <w:ilvl w:val="0"/>
          <w:numId w:val="49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receptor nr 74 –</w:t>
      </w:r>
      <w:r w:rsidRPr="00177E3D">
        <w:t xml:space="preserve"> </w:t>
      </w:r>
      <w:r w:rsidRPr="00177E3D">
        <w:rPr>
          <w:rFonts w:cs="Arial"/>
        </w:rPr>
        <w:t>km 36+930 - strona lewa;</w:t>
      </w:r>
    </w:p>
    <w:p w14:paraId="6C20172B" w14:textId="77777777" w:rsidR="008558F5" w:rsidRPr="00177E3D" w:rsidRDefault="008558F5" w:rsidP="008558F5">
      <w:pPr>
        <w:pStyle w:val="Akapitzlist"/>
        <w:numPr>
          <w:ilvl w:val="0"/>
          <w:numId w:val="48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eastAsiaTheme="minorHAnsi" w:cs="Arial"/>
          <w:kern w:val="2"/>
          <w:lang w:eastAsia="en-US"/>
        </w:rPr>
        <w:t xml:space="preserve">analizę należy wykonać </w:t>
      </w:r>
      <w:r w:rsidRPr="00177E3D">
        <w:rPr>
          <w:rFonts w:eastAsiaTheme="minorHAnsi" w:cs="Arial"/>
          <w:kern w:val="2"/>
          <w:lang w:eastAsia="en-US"/>
        </w:rPr>
        <w:t>w okresie pomiędzy</w:t>
      </w:r>
      <w:r w:rsidRPr="00177E3D">
        <w:rPr>
          <w:rFonts w:eastAsiaTheme="minorHAnsi" w:cs="Arial"/>
          <w:kern w:val="2"/>
          <w:lang w:eastAsia="en-US"/>
        </w:rPr>
        <w:t xml:space="preserve"> 12 </w:t>
      </w:r>
      <w:r w:rsidRPr="00177E3D">
        <w:rPr>
          <w:rFonts w:eastAsiaTheme="minorHAnsi" w:cs="Arial"/>
          <w:kern w:val="2"/>
          <w:lang w:eastAsia="en-US"/>
        </w:rPr>
        <w:t>a</w:t>
      </w:r>
      <w:r w:rsidRPr="00177E3D">
        <w:rPr>
          <w:rFonts w:eastAsiaTheme="minorHAnsi" w:cs="Arial"/>
          <w:kern w:val="2"/>
          <w:lang w:eastAsia="en-US"/>
        </w:rPr>
        <w:t xml:space="preserve"> 18 miesi</w:t>
      </w:r>
      <w:r w:rsidRPr="00177E3D">
        <w:rPr>
          <w:rFonts w:eastAsiaTheme="minorHAnsi" w:cs="Arial"/>
          <w:kern w:val="2"/>
          <w:lang w:eastAsia="en-US"/>
        </w:rPr>
        <w:t>ącem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 xml:space="preserve">od dnia oddania inwestycji do użytkowania </w:t>
      </w:r>
      <w:r w:rsidRPr="00177E3D">
        <w:rPr>
          <w:rFonts w:eastAsiaTheme="minorHAnsi" w:cs="Arial"/>
          <w:kern w:val="2"/>
          <w:lang w:eastAsia="en-US"/>
        </w:rPr>
        <w:t xml:space="preserve">i przedłożyć </w:t>
      </w:r>
      <w:r w:rsidRPr="00177E3D">
        <w:rPr>
          <w:rFonts w:eastAsiaTheme="minorHAnsi" w:cs="Arial"/>
          <w:kern w:val="2"/>
          <w:lang w:eastAsia="en-US"/>
        </w:rPr>
        <w:t>RDOŚ</w:t>
      </w:r>
      <w:r w:rsidRPr="00177E3D">
        <w:rPr>
          <w:rFonts w:eastAsiaTheme="minorHAnsi" w:cs="Arial"/>
          <w:kern w:val="2"/>
          <w:lang w:eastAsia="en-US"/>
        </w:rPr>
        <w:t xml:space="preserve"> w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Gdańsku i</w:t>
      </w:r>
      <w:r w:rsidRPr="00177E3D">
        <w:rPr>
          <w:rFonts w:eastAsiaTheme="minorHAnsi" w:cs="Arial"/>
          <w:kern w:val="2"/>
          <w:lang w:eastAsia="en-US"/>
        </w:rPr>
        <w:t> </w:t>
      </w:r>
      <w:r w:rsidRPr="00177E3D">
        <w:rPr>
          <w:rFonts w:eastAsiaTheme="minorHAnsi" w:cs="Arial"/>
          <w:kern w:val="2"/>
          <w:lang w:eastAsia="en-US"/>
        </w:rPr>
        <w:t>Marszałkowi Województwa Pomorskiego w formie papierowej i na informatycznych nośnikach danych z ich zapisem w formie elektronicznej w terminie do 2</w:t>
      </w:r>
      <w:r w:rsidRPr="00177E3D">
        <w:rPr>
          <w:rFonts w:eastAsiaTheme="minorHAnsi" w:cs="Arial"/>
          <w:kern w:val="2"/>
          <w:lang w:eastAsia="en-US"/>
        </w:rPr>
        <w:t>4</w:t>
      </w:r>
      <w:r w:rsidRPr="00177E3D">
        <w:rPr>
          <w:rFonts w:eastAsiaTheme="minorHAnsi" w:cs="Arial"/>
          <w:kern w:val="2"/>
          <w:lang w:eastAsia="en-US"/>
        </w:rPr>
        <w:t xml:space="preserve"> miesięcy od dnia oddania </w:t>
      </w:r>
      <w:r w:rsidRPr="00177E3D">
        <w:rPr>
          <w:rFonts w:eastAsiaTheme="minorHAnsi" w:cs="Arial"/>
          <w:kern w:val="2"/>
          <w:lang w:eastAsia="en-US"/>
        </w:rPr>
        <w:t>inwestycji do użytkowania</w:t>
      </w:r>
      <w:r w:rsidRPr="00177E3D">
        <w:rPr>
          <w:rFonts w:eastAsiaTheme="minorHAnsi" w:cs="Arial"/>
          <w:kern w:val="2"/>
          <w:lang w:eastAsia="en-US"/>
        </w:rPr>
        <w:t>.</w:t>
      </w:r>
    </w:p>
    <w:p w14:paraId="2625B539" w14:textId="77777777" w:rsidR="008558F5" w:rsidRPr="00177E3D" w:rsidRDefault="008558F5" w:rsidP="008558F5">
      <w:pPr>
        <w:numPr>
          <w:ilvl w:val="0"/>
          <w:numId w:val="30"/>
        </w:numPr>
        <w:shd w:val="clear" w:color="auto" w:fill="FFFFFF"/>
        <w:spacing w:before="120"/>
        <w:ind w:left="425" w:hanging="425"/>
        <w:rPr>
          <w:rFonts w:cs="Arial"/>
        </w:rPr>
      </w:pPr>
      <w:r w:rsidRPr="00177E3D">
        <w:rPr>
          <w:rFonts w:cs="Arial"/>
        </w:rPr>
        <w:t xml:space="preserve">Analizę </w:t>
      </w:r>
      <w:r w:rsidRPr="00177E3D">
        <w:rPr>
          <w:rFonts w:cs="Arial"/>
        </w:rPr>
        <w:t xml:space="preserve">porealizacyjną </w:t>
      </w:r>
      <w:r w:rsidRPr="00177E3D">
        <w:rPr>
          <w:rFonts w:cs="Arial"/>
        </w:rPr>
        <w:t>w zakresie drgań</w:t>
      </w:r>
      <w:r w:rsidRPr="00177E3D">
        <w:rPr>
          <w:rFonts w:cs="Arial"/>
        </w:rPr>
        <w:t xml:space="preserve"> należy przeprowadzić zgodnie z następującymi wytycznymi:</w:t>
      </w:r>
    </w:p>
    <w:p w14:paraId="0FA61511" w14:textId="77777777" w:rsidR="008558F5" w:rsidRPr="00177E3D" w:rsidRDefault="008558F5" w:rsidP="008558F5">
      <w:pPr>
        <w:pStyle w:val="Akapitzlist"/>
        <w:numPr>
          <w:ilvl w:val="0"/>
          <w:numId w:val="52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cs="Arial"/>
        </w:rPr>
        <w:t xml:space="preserve">pomiary </w:t>
      </w:r>
      <w:r w:rsidRPr="00177E3D">
        <w:rPr>
          <w:rFonts w:cs="Arial"/>
        </w:rPr>
        <w:t>intensywności drgań</w:t>
      </w:r>
      <w:r w:rsidRPr="00177E3D">
        <w:rPr>
          <w:rFonts w:cs="Arial"/>
        </w:rPr>
        <w:t xml:space="preserve"> należy wykonać </w:t>
      </w:r>
      <w:r w:rsidRPr="00177E3D">
        <w:rPr>
          <w:rFonts w:cs="Arial"/>
        </w:rPr>
        <w:t>dla budynków położonych w odległości do 25 m od osi toru kolejowego</w:t>
      </w:r>
      <w:r w:rsidRPr="00177E3D">
        <w:rPr>
          <w:rFonts w:cs="Arial"/>
        </w:rPr>
        <w:t>.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P</w:t>
      </w:r>
      <w:r w:rsidRPr="00177E3D">
        <w:rPr>
          <w:rFonts w:eastAsiaTheme="minorHAnsi" w:cs="Arial"/>
          <w:kern w:val="2"/>
          <w:lang w:eastAsia="en-US"/>
        </w:rPr>
        <w:t>omiar</w:t>
      </w:r>
      <w:r w:rsidRPr="00177E3D">
        <w:rPr>
          <w:rFonts w:eastAsiaTheme="minorHAnsi" w:cs="Arial"/>
          <w:kern w:val="2"/>
          <w:lang w:eastAsia="en-US"/>
        </w:rPr>
        <w:t>y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drgań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należy wykonywać w jednym punkcie dla każdego z odcinków wymienionych w pkt III.3;</w:t>
      </w:r>
    </w:p>
    <w:p w14:paraId="7182D9FB" w14:textId="77777777" w:rsidR="008558F5" w:rsidRPr="00177E3D" w:rsidRDefault="008558F5" w:rsidP="008558F5">
      <w:pPr>
        <w:pStyle w:val="Akapitzlist"/>
        <w:numPr>
          <w:ilvl w:val="0"/>
          <w:numId w:val="52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cs="Arial"/>
        </w:rPr>
        <w:t>pomiary powinny zostać przeprowadzone zgodnie z odpowiednimi normami znajdującymi się w zbiorze Polskich Norm</w:t>
      </w:r>
      <w:r w:rsidRPr="00177E3D">
        <w:rPr>
          <w:rFonts w:cs="Arial"/>
        </w:rPr>
        <w:t>;</w:t>
      </w:r>
    </w:p>
    <w:p w14:paraId="43F163DA" w14:textId="77777777" w:rsidR="008558F5" w:rsidRPr="00177E3D" w:rsidRDefault="008558F5" w:rsidP="008558F5">
      <w:pPr>
        <w:pStyle w:val="Akapitzlist"/>
        <w:numPr>
          <w:ilvl w:val="0"/>
          <w:numId w:val="52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eastAsiaTheme="minorHAnsi" w:cs="Arial"/>
          <w:kern w:val="2"/>
          <w:lang w:eastAsia="en-US"/>
        </w:rPr>
        <w:t xml:space="preserve">analizę należy wykonać </w:t>
      </w:r>
      <w:r w:rsidRPr="00177E3D">
        <w:rPr>
          <w:rFonts w:eastAsiaTheme="minorHAnsi" w:cs="Arial"/>
          <w:kern w:val="2"/>
          <w:lang w:eastAsia="en-US"/>
        </w:rPr>
        <w:t xml:space="preserve">w okresie pomiędzy </w:t>
      </w:r>
      <w:r w:rsidRPr="00177E3D">
        <w:rPr>
          <w:rFonts w:eastAsiaTheme="minorHAnsi" w:cs="Arial"/>
          <w:kern w:val="2"/>
          <w:lang w:eastAsia="en-US"/>
        </w:rPr>
        <w:t xml:space="preserve">12 </w:t>
      </w:r>
      <w:r w:rsidRPr="00177E3D">
        <w:rPr>
          <w:rFonts w:eastAsiaTheme="minorHAnsi" w:cs="Arial"/>
          <w:kern w:val="2"/>
          <w:lang w:eastAsia="en-US"/>
        </w:rPr>
        <w:t>a</w:t>
      </w:r>
      <w:r w:rsidRPr="00177E3D">
        <w:rPr>
          <w:rFonts w:eastAsiaTheme="minorHAnsi" w:cs="Arial"/>
          <w:kern w:val="2"/>
          <w:lang w:eastAsia="en-US"/>
        </w:rPr>
        <w:t xml:space="preserve"> 18 miesi</w:t>
      </w:r>
      <w:r w:rsidRPr="00177E3D">
        <w:rPr>
          <w:rFonts w:eastAsiaTheme="minorHAnsi" w:cs="Arial"/>
          <w:kern w:val="2"/>
          <w:lang w:eastAsia="en-US"/>
        </w:rPr>
        <w:t>ącem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 xml:space="preserve">od dnia oddania inwestycji do użytkowania </w:t>
      </w:r>
      <w:r w:rsidRPr="00177E3D">
        <w:rPr>
          <w:rFonts w:eastAsiaTheme="minorHAnsi" w:cs="Arial"/>
          <w:kern w:val="2"/>
          <w:lang w:eastAsia="en-US"/>
        </w:rPr>
        <w:t xml:space="preserve">i przedłożyć </w:t>
      </w:r>
      <w:r w:rsidRPr="00177E3D">
        <w:rPr>
          <w:rFonts w:eastAsiaTheme="minorHAnsi" w:cs="Arial"/>
          <w:kern w:val="2"/>
          <w:lang w:eastAsia="en-US"/>
        </w:rPr>
        <w:t>RDOŚ</w:t>
      </w:r>
      <w:r w:rsidRPr="00177E3D">
        <w:rPr>
          <w:rFonts w:eastAsiaTheme="minorHAnsi" w:cs="Arial"/>
          <w:kern w:val="2"/>
          <w:lang w:eastAsia="en-US"/>
        </w:rPr>
        <w:t xml:space="preserve"> w</w:t>
      </w:r>
      <w:r w:rsidRPr="00177E3D">
        <w:rPr>
          <w:rFonts w:eastAsiaTheme="minorHAnsi" w:cs="Arial"/>
          <w:kern w:val="2"/>
          <w:lang w:eastAsia="en-US"/>
        </w:rPr>
        <w:t xml:space="preserve"> </w:t>
      </w:r>
      <w:r w:rsidRPr="00177E3D">
        <w:rPr>
          <w:rFonts w:eastAsiaTheme="minorHAnsi" w:cs="Arial"/>
          <w:kern w:val="2"/>
          <w:lang w:eastAsia="en-US"/>
        </w:rPr>
        <w:t>Gdańsku i</w:t>
      </w:r>
      <w:r w:rsidRPr="00177E3D">
        <w:rPr>
          <w:rFonts w:eastAsiaTheme="minorHAnsi" w:cs="Arial"/>
          <w:kern w:val="2"/>
          <w:lang w:eastAsia="en-US"/>
        </w:rPr>
        <w:t> </w:t>
      </w:r>
      <w:r w:rsidRPr="00177E3D">
        <w:rPr>
          <w:rFonts w:eastAsiaTheme="minorHAnsi"/>
          <w:kern w:val="2"/>
          <w:lang w:eastAsia="en-US"/>
        </w:rPr>
        <w:t>Marszałkowi Województwa Pomorskiego</w:t>
      </w:r>
      <w:r w:rsidRPr="00177E3D">
        <w:rPr>
          <w:rFonts w:eastAsiaTheme="minorHAnsi" w:cs="Arial"/>
          <w:kern w:val="2"/>
          <w:lang w:eastAsia="en-US"/>
        </w:rPr>
        <w:t xml:space="preserve"> w formie papierowej i na informatycznych nośnikach danych z ich zapisem w formie elektronicznej w terminie do 2</w:t>
      </w:r>
      <w:r w:rsidRPr="00177E3D">
        <w:rPr>
          <w:rFonts w:eastAsiaTheme="minorHAnsi" w:cs="Arial"/>
          <w:kern w:val="2"/>
          <w:lang w:eastAsia="en-US"/>
        </w:rPr>
        <w:t>4</w:t>
      </w:r>
      <w:r w:rsidRPr="00177E3D">
        <w:rPr>
          <w:rFonts w:eastAsiaTheme="minorHAnsi" w:cs="Arial"/>
          <w:kern w:val="2"/>
          <w:lang w:eastAsia="en-US"/>
        </w:rPr>
        <w:t xml:space="preserve"> miesięcy od dnia oddania </w:t>
      </w:r>
      <w:r w:rsidRPr="00177E3D">
        <w:rPr>
          <w:rFonts w:eastAsiaTheme="minorHAnsi" w:cs="Arial"/>
          <w:kern w:val="2"/>
          <w:lang w:eastAsia="en-US"/>
        </w:rPr>
        <w:t>inwestycji do użytkowania</w:t>
      </w:r>
      <w:r w:rsidRPr="00177E3D">
        <w:rPr>
          <w:rFonts w:eastAsiaTheme="minorHAnsi"/>
          <w:kern w:val="2"/>
          <w:lang w:eastAsia="en-US"/>
        </w:rPr>
        <w:t>.</w:t>
      </w:r>
    </w:p>
    <w:p w14:paraId="1E906ACE" w14:textId="77777777" w:rsidR="008558F5" w:rsidRPr="00177E3D" w:rsidRDefault="008558F5" w:rsidP="008558F5">
      <w:pPr>
        <w:numPr>
          <w:ilvl w:val="0"/>
          <w:numId w:val="30"/>
        </w:numPr>
        <w:shd w:val="clear" w:color="auto" w:fill="FFFFFF"/>
        <w:spacing w:before="120"/>
        <w:ind w:left="425" w:hanging="425"/>
        <w:rPr>
          <w:rFonts w:cs="Arial"/>
        </w:rPr>
      </w:pPr>
      <w:r w:rsidRPr="00177E3D">
        <w:t xml:space="preserve">Analizę </w:t>
      </w:r>
      <w:r w:rsidRPr="00177E3D">
        <w:rPr>
          <w:lang w:bidi="en-US"/>
        </w:rPr>
        <w:t xml:space="preserve">w zakresie funkcjonowania przesadzonych osobników </w:t>
      </w:r>
      <w:r w:rsidRPr="00177E3D">
        <w:rPr>
          <w:rFonts w:cs="Arial"/>
        </w:rPr>
        <w:t>wrzośca bagiennego</w:t>
      </w:r>
      <w:r w:rsidRPr="00177E3D">
        <w:rPr>
          <w:lang w:bidi="en-US"/>
        </w:rPr>
        <w:t xml:space="preserve">, o których mowa w pkt II.10, należy </w:t>
      </w:r>
      <w:r w:rsidRPr="00177E3D">
        <w:rPr>
          <w:rFonts w:cs="Arial"/>
        </w:rPr>
        <w:t>przeprowadzić zgodnie z następującymi wytycznymi:</w:t>
      </w:r>
    </w:p>
    <w:p w14:paraId="255E14B0" w14:textId="77777777" w:rsidR="008558F5" w:rsidRPr="00177E3D" w:rsidRDefault="008558F5" w:rsidP="008558F5">
      <w:pPr>
        <w:pStyle w:val="Akapitzlist"/>
        <w:numPr>
          <w:ilvl w:val="0"/>
          <w:numId w:val="57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cs="Arial"/>
          <w:lang w:bidi="en-US"/>
        </w:rPr>
        <w:t xml:space="preserve">w terminie trzech miesięcy od przesadzenia roślin przekazać </w:t>
      </w:r>
      <w:r w:rsidRPr="00177E3D">
        <w:t>RDOŚ</w:t>
      </w:r>
      <w:r w:rsidRPr="00177E3D">
        <w:t xml:space="preserve"> w Gdańsku oraz </w:t>
      </w:r>
      <w:r w:rsidRPr="00177E3D">
        <w:t>GDOŚ</w:t>
      </w:r>
      <w:r w:rsidRPr="00177E3D">
        <w:rPr>
          <w:rFonts w:cs="Arial"/>
          <w:lang w:bidi="en-US"/>
        </w:rPr>
        <w:t xml:space="preserve"> sprawozdanie zawierające dokładną datę przeprowadzenia metaplantacji</w:t>
      </w:r>
      <w:r w:rsidRPr="00177E3D">
        <w:rPr>
          <w:rFonts w:cs="Arial"/>
          <w:lang w:bidi="en-US"/>
        </w:rPr>
        <w:t>, liczbę osobników wykorzystanych do metaplantacji oraz graficzne i</w:t>
      </w:r>
      <w:r w:rsidRPr="00177E3D">
        <w:rPr>
          <w:rFonts w:cs="Arial"/>
          <w:lang w:bidi="en-US"/>
        </w:rPr>
        <w:t> </w:t>
      </w:r>
      <w:r w:rsidRPr="00177E3D">
        <w:rPr>
          <w:rFonts w:cs="Arial"/>
          <w:lang w:bidi="en-US"/>
        </w:rPr>
        <w:t>fotograficzne przedstawienie miejsc wykonania metaplantacji</w:t>
      </w:r>
      <w:r w:rsidRPr="00177E3D">
        <w:rPr>
          <w:rFonts w:cs="Arial"/>
          <w:lang w:bidi="en-US"/>
        </w:rPr>
        <w:t>;</w:t>
      </w:r>
    </w:p>
    <w:p w14:paraId="254C7217" w14:textId="77777777" w:rsidR="008558F5" w:rsidRPr="00177E3D" w:rsidRDefault="008558F5" w:rsidP="008558F5">
      <w:pPr>
        <w:pStyle w:val="Akapitzlist"/>
        <w:numPr>
          <w:ilvl w:val="0"/>
          <w:numId w:val="57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cs="Arial"/>
          <w:lang w:bidi="en-US"/>
        </w:rPr>
        <w:t xml:space="preserve">przez okres 3 lat, do 31 stycznia każdego roku za rok poprzedni, należy przedstawić </w:t>
      </w:r>
      <w:r w:rsidRPr="00177E3D">
        <w:t>RDOŚ</w:t>
      </w:r>
      <w:r w:rsidRPr="00177E3D">
        <w:t xml:space="preserve"> w Gdańsku oraz </w:t>
      </w:r>
      <w:r w:rsidRPr="00177E3D">
        <w:t>GDOŚ</w:t>
      </w:r>
      <w:r w:rsidRPr="00177E3D">
        <w:t xml:space="preserve"> </w:t>
      </w:r>
      <w:r w:rsidRPr="00177E3D">
        <w:rPr>
          <w:rFonts w:cs="Arial"/>
          <w:lang w:bidi="en-US"/>
        </w:rPr>
        <w:t>informacje na temat kondycji zdrowotnej przesadzonych roślin oraz o podejmowanych przez nadzór przyrodniczy działaniach, mających na celu optymalizację udatności przesadzenia roślin</w:t>
      </w:r>
      <w:r w:rsidRPr="00177E3D">
        <w:rPr>
          <w:rFonts w:cs="Arial"/>
          <w:lang w:bidi="en-US"/>
        </w:rPr>
        <w:t>.</w:t>
      </w:r>
    </w:p>
    <w:p w14:paraId="00C1A125" w14:textId="77777777" w:rsidR="008558F5" w:rsidRPr="00177E3D" w:rsidRDefault="008558F5" w:rsidP="008558F5">
      <w:pPr>
        <w:numPr>
          <w:ilvl w:val="0"/>
          <w:numId w:val="30"/>
        </w:numPr>
        <w:shd w:val="clear" w:color="auto" w:fill="FFFFFF"/>
        <w:spacing w:before="120"/>
        <w:ind w:left="425" w:hanging="425"/>
        <w:rPr>
          <w:rFonts w:cs="Arial"/>
        </w:rPr>
      </w:pPr>
      <w:r w:rsidRPr="00177E3D">
        <w:t xml:space="preserve">Analizę </w:t>
      </w:r>
      <w:r w:rsidRPr="00177E3D">
        <w:rPr>
          <w:lang w:bidi="en-US"/>
        </w:rPr>
        <w:t>w zakresie funkcjonowania przejść dla zwierząt, o których mowa w pkt III.</w:t>
      </w:r>
      <w:r w:rsidRPr="00177E3D">
        <w:rPr>
          <w:lang w:bidi="en-US"/>
        </w:rPr>
        <w:t>8</w:t>
      </w:r>
      <w:r w:rsidRPr="00177E3D">
        <w:rPr>
          <w:lang w:bidi="en-US"/>
        </w:rPr>
        <w:t xml:space="preserve">, należy </w:t>
      </w:r>
      <w:r w:rsidRPr="00177E3D">
        <w:rPr>
          <w:rFonts w:cs="Arial"/>
        </w:rPr>
        <w:t>przeprowadzić zgodnie z następującymi wytycznymi:</w:t>
      </w:r>
    </w:p>
    <w:p w14:paraId="1F4FB22E" w14:textId="77777777" w:rsidR="008558F5" w:rsidRPr="00177E3D" w:rsidRDefault="008558F5" w:rsidP="008558F5">
      <w:pPr>
        <w:pStyle w:val="Akapitzlist"/>
        <w:numPr>
          <w:ilvl w:val="0"/>
          <w:numId w:val="31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lastRenderedPageBreak/>
        <w:t>ocen</w:t>
      </w:r>
      <w:r w:rsidRPr="00177E3D">
        <w:t>ę</w:t>
      </w:r>
      <w:r w:rsidRPr="00177E3D">
        <w:t xml:space="preserve"> skuteczności </w:t>
      </w:r>
      <w:r w:rsidRPr="00177E3D">
        <w:rPr>
          <w:lang w:eastAsia="en-US" w:bidi="en-US"/>
        </w:rPr>
        <w:t xml:space="preserve">funkcjonowania </w:t>
      </w:r>
      <w:r w:rsidRPr="00177E3D">
        <w:t>przejść dla zwierząt</w:t>
      </w:r>
      <w:r w:rsidRPr="00177E3D">
        <w:t xml:space="preserve"> należy przeprowadzić </w:t>
      </w:r>
      <w:r w:rsidRPr="00177E3D">
        <w:rPr>
          <w:lang w:eastAsia="en-US" w:bidi="en-US"/>
        </w:rPr>
        <w:t xml:space="preserve">w </w:t>
      </w:r>
      <w:r w:rsidRPr="00177E3D">
        <w:t>2., 4. i 5. roku od dnia oddania linii kolejowej do eksploatacji</w:t>
      </w:r>
      <w:r w:rsidRPr="00177E3D">
        <w:rPr>
          <w:lang w:eastAsia="en-US" w:bidi="en-US"/>
        </w:rPr>
        <w:t>. Obserwacjami należy objąć</w:t>
      </w:r>
      <w:r w:rsidRPr="00177E3D">
        <w:rPr>
          <w:lang w:eastAsia="en-US" w:bidi="en-US"/>
        </w:rPr>
        <w:t xml:space="preserve"> przejścia dla zwierząt zlokalizowane w km 17+292, w km 41+126, w km 42+308, w</w:t>
      </w:r>
      <w:r w:rsidRPr="00177E3D">
        <w:rPr>
          <w:lang w:eastAsia="en-US" w:bidi="en-US"/>
        </w:rPr>
        <w:t> </w:t>
      </w:r>
      <w:r w:rsidRPr="00177E3D">
        <w:rPr>
          <w:lang w:eastAsia="en-US" w:bidi="en-US"/>
        </w:rPr>
        <w:t xml:space="preserve">km 47+029 oraz </w:t>
      </w:r>
      <w:r w:rsidRPr="00177E3D">
        <w:rPr>
          <w:lang w:eastAsia="en-US" w:bidi="en-US"/>
        </w:rPr>
        <w:t>trzy wybrane przejścia dla małych zwierząt. Wyboru trzech przejść, których funkcjonowanie ma podlegać ocenie, dokona specjalista herpetolog</w:t>
      </w:r>
      <w:r w:rsidRPr="00177E3D">
        <w:rPr>
          <w:lang w:eastAsia="en-US" w:bidi="en-US"/>
        </w:rPr>
        <w:t xml:space="preserve"> z nadzoru przyrodniczego</w:t>
      </w:r>
      <w:r w:rsidRPr="00177E3D">
        <w:rPr>
          <w:lang w:eastAsia="en-US" w:bidi="en-US"/>
        </w:rPr>
        <w:t>, biorąc pod uwagę lokalne uwarunkowania środowiskowe, w tym przebieg stref migracji płazów</w:t>
      </w:r>
      <w:r w:rsidRPr="00177E3D">
        <w:t>;</w:t>
      </w:r>
    </w:p>
    <w:p w14:paraId="4F7348DB" w14:textId="77777777" w:rsidR="008558F5" w:rsidRPr="00177E3D" w:rsidRDefault="008558F5" w:rsidP="008558F5">
      <w:pPr>
        <w:pStyle w:val="Akapitzlist"/>
        <w:numPr>
          <w:ilvl w:val="0"/>
          <w:numId w:val="31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eastAsiaTheme="minorHAnsi" w:cs="Arial"/>
          <w:kern w:val="2"/>
          <w:lang w:eastAsia="en-US"/>
        </w:rPr>
        <w:t xml:space="preserve">ocenę funkcjonowania przejść zlokalizowanych </w:t>
      </w:r>
      <w:r w:rsidRPr="00177E3D">
        <w:rPr>
          <w:lang w:eastAsia="en-US" w:bidi="en-US"/>
        </w:rPr>
        <w:t>w km 17+292, w km 41+126, w km 42+308, w km 47+029</w:t>
      </w:r>
      <w:r w:rsidRPr="00177E3D">
        <w:rPr>
          <w:rFonts w:eastAsiaTheme="minorHAnsi" w:cs="Arial"/>
          <w:kern w:val="2"/>
          <w:lang w:eastAsia="en-US"/>
        </w:rPr>
        <w:t xml:space="preserve"> należy prowadzić poprzez rejestrację zwierząt przy pomocy automatycznych kamer wideo (tzw. wideopułapek), z uwzględnieniem poniższych wytycznych:</w:t>
      </w:r>
    </w:p>
    <w:p w14:paraId="14BEDD1B" w14:textId="77777777" w:rsidR="008558F5" w:rsidRPr="00177E3D" w:rsidRDefault="008558F5" w:rsidP="008558F5">
      <w:pPr>
        <w:pStyle w:val="Tekstpodstawowy"/>
        <w:widowControl w:val="0"/>
        <w:numPr>
          <w:ilvl w:val="0"/>
          <w:numId w:val="50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wykonywać 12 sesji rejestracji obrazu i dźwięku rocznie; każdą sesję prowadzić przez dwa kolejne tygodnie w miesiącu. Przy doborze liczby i rozstawieni</w:t>
      </w:r>
      <w:r w:rsidRPr="00177E3D">
        <w:rPr>
          <w:rFonts w:cs="Arial"/>
        </w:rPr>
        <w:t>u</w:t>
      </w:r>
      <w:r w:rsidRPr="00177E3D">
        <w:rPr>
          <w:rFonts w:cs="Arial"/>
        </w:rPr>
        <w:t xml:space="preserve"> kamer należy wziąć pod uwagę szerokość przejścia, zasięg czujnika ruchu, a także zasięg oświetlenia nocą, tak aby zasięgiem objąć całą szerokość przejścia;</w:t>
      </w:r>
    </w:p>
    <w:p w14:paraId="79350103" w14:textId="77777777" w:rsidR="008558F5" w:rsidRPr="00177E3D" w:rsidRDefault="008558F5" w:rsidP="008558F5">
      <w:pPr>
        <w:pStyle w:val="Tekstpodstawowy"/>
        <w:widowControl w:val="0"/>
        <w:numPr>
          <w:ilvl w:val="0"/>
          <w:numId w:val="50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rejestrację zwierząt wideopułapkami można uzupełnić identyfikacją odchodów oraz identyfikacją śladów żerowania, uszkodzeń roślin i innych śladów obecności zwierząt na całej powierzchni przejść oraz w ich bezpośrednim sąsiedztwie, tj. strefach najść;</w:t>
      </w:r>
    </w:p>
    <w:p w14:paraId="0174D6BD" w14:textId="77777777" w:rsidR="008558F5" w:rsidRPr="00177E3D" w:rsidRDefault="008558F5" w:rsidP="008558F5">
      <w:pPr>
        <w:pStyle w:val="Tekstpodstawowy"/>
        <w:widowControl w:val="0"/>
        <w:numPr>
          <w:ilvl w:val="0"/>
          <w:numId w:val="50"/>
        </w:numPr>
        <w:spacing w:after="40" w:line="290" w:lineRule="auto"/>
        <w:ind w:left="1276" w:hanging="425"/>
        <w:rPr>
          <w:rFonts w:cs="Arial"/>
        </w:rPr>
      </w:pPr>
      <w:r w:rsidRPr="00177E3D">
        <w:rPr>
          <w:rFonts w:cs="Arial"/>
        </w:rPr>
        <w:t>wyniki oceny funkcjonowania przejść dla zwierząt powinny zawierać: listę gatunków zwierząt stwierdzonych na przejściu, strukturę gatunkową zwierząt, częstość użytkowania przez dany gatunek, stałość występowania gatunku na przejściu, a także interpretację otrzymanych wyników</w:t>
      </w:r>
      <w:r w:rsidRPr="00177E3D">
        <w:rPr>
          <w:rFonts w:cs="Arial"/>
        </w:rPr>
        <w:t>;</w:t>
      </w:r>
    </w:p>
    <w:p w14:paraId="7A5ED3DE" w14:textId="77777777" w:rsidR="008558F5" w:rsidRPr="00177E3D" w:rsidRDefault="008558F5" w:rsidP="008558F5">
      <w:pPr>
        <w:pStyle w:val="Akapitzlist"/>
        <w:numPr>
          <w:ilvl w:val="0"/>
          <w:numId w:val="31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rFonts w:eastAsiaTheme="minorHAnsi" w:cs="Arial"/>
          <w:kern w:val="2"/>
          <w:lang w:eastAsia="en-US"/>
        </w:rPr>
        <w:t>ocenę funkcjonowania trzech wybranych przejść dla małych zwierząt należy prowadzić poprzez bezpośrednie obserwacje prowadzone w okresach wiosennych migracji rozrodczych płazów, realizowane poprzez piesze kontrole z latarkami lub za pomocą wideopułapek</w:t>
      </w:r>
      <w:r w:rsidRPr="00177E3D">
        <w:rPr>
          <w:rFonts w:eastAsiaTheme="minorHAnsi" w:cs="Arial"/>
          <w:kern w:val="2"/>
          <w:lang w:eastAsia="en-US"/>
        </w:rPr>
        <w:t xml:space="preserve">. Obserwacje bezpośrednie prowadzić w postaci codziennych kontroli, w porze wieczornej i nocnej, w trakcie dogodnych warunków pogodowych, w czasie trwania sezonowych migracji wiosennych wszystkich gatunków płazów potwierdzonych w otoczeniu przejścia. Początek migracji i monitoringu, jak również moment zakończenia prowadzenia monitoringu wyznaczy specjalista herpetolog </w:t>
      </w:r>
      <w:r w:rsidRPr="00177E3D">
        <w:rPr>
          <w:rFonts w:eastAsiaTheme="minorHAnsi" w:cs="Arial"/>
          <w:kern w:val="2"/>
          <w:lang w:eastAsia="en-US"/>
        </w:rPr>
        <w:t xml:space="preserve">z nadzoru przyrodniczego </w:t>
      </w:r>
      <w:r w:rsidRPr="00177E3D">
        <w:rPr>
          <w:rFonts w:eastAsiaTheme="minorHAnsi" w:cs="Arial"/>
          <w:kern w:val="2"/>
          <w:lang w:eastAsia="en-US"/>
        </w:rPr>
        <w:t>na podstawie obserwacji warunków pogodowych i przebiegu hibernacji</w:t>
      </w:r>
      <w:r w:rsidRPr="00177E3D">
        <w:rPr>
          <w:rFonts w:eastAsiaTheme="minorHAnsi" w:cs="Arial"/>
          <w:kern w:val="2"/>
          <w:lang w:eastAsia="en-US"/>
        </w:rPr>
        <w:t>;</w:t>
      </w:r>
    </w:p>
    <w:p w14:paraId="22F2E93B" w14:textId="77777777" w:rsidR="008558F5" w:rsidRPr="00177E3D" w:rsidRDefault="008558F5" w:rsidP="008558F5">
      <w:pPr>
        <w:pStyle w:val="Akapitzlist"/>
        <w:numPr>
          <w:ilvl w:val="0"/>
          <w:numId w:val="31"/>
        </w:numPr>
        <w:ind w:left="851" w:hanging="425"/>
        <w:rPr>
          <w:rFonts w:eastAsiaTheme="minorHAnsi" w:cs="Arial"/>
          <w:kern w:val="2"/>
          <w:lang w:eastAsia="en-US"/>
        </w:rPr>
      </w:pPr>
      <w:r w:rsidRPr="00177E3D">
        <w:rPr>
          <w:lang w:eastAsia="en-US" w:bidi="en-US"/>
        </w:rPr>
        <w:t>wyniki analiz, o których mowa w lit. a</w:t>
      </w:r>
      <w:r w:rsidRPr="00177E3D">
        <w:rPr>
          <w:lang w:eastAsia="en-US" w:bidi="en-US"/>
        </w:rPr>
        <w:t>-c</w:t>
      </w:r>
      <w:r w:rsidRPr="00177E3D">
        <w:rPr>
          <w:lang w:eastAsia="en-US" w:bidi="en-US"/>
        </w:rPr>
        <w:t>,</w:t>
      </w:r>
      <w:r w:rsidRPr="00177E3D">
        <w:t xml:space="preserve"> należy opracowywać </w:t>
      </w:r>
      <w:r w:rsidRPr="00177E3D">
        <w:rPr>
          <w:lang w:eastAsia="en-US" w:bidi="en-US"/>
        </w:rPr>
        <w:t xml:space="preserve">w formie rocznych </w:t>
      </w:r>
      <w:r w:rsidRPr="00177E3D">
        <w:t>raportów,</w:t>
      </w:r>
      <w:r w:rsidRPr="00177E3D">
        <w:t xml:space="preserve"> a następnie</w:t>
      </w:r>
      <w:r w:rsidRPr="00177E3D">
        <w:t xml:space="preserve"> </w:t>
      </w:r>
      <w:r w:rsidRPr="00177E3D">
        <w:t xml:space="preserve">przekazywać </w:t>
      </w:r>
      <w:r w:rsidRPr="00177E3D">
        <w:t>RDOŚ</w:t>
      </w:r>
      <w:r w:rsidRPr="00177E3D">
        <w:t xml:space="preserve"> w Gdańsku oraz </w:t>
      </w:r>
      <w:r w:rsidRPr="00177E3D">
        <w:t>GDOŚ</w:t>
      </w:r>
      <w:r w:rsidRPr="00177E3D">
        <w:t xml:space="preserve"> w terminie dwóch miesięcy od zakończenia rocznego cyklu kontroli w danym okresie obserwacji. Końcowe sprawozdanie, zawierające zbiorcze zestawienie zebranych wyników wraz z ich interpretacją (dotyczącą m.in. zagospodarowania powierzchni przejść i ich otoczenia) należy przekazać </w:t>
      </w:r>
      <w:r w:rsidRPr="00177E3D">
        <w:t>RDOŚ</w:t>
      </w:r>
      <w:r w:rsidRPr="00177E3D">
        <w:t xml:space="preserve"> w Gdańsku oraz </w:t>
      </w:r>
      <w:r w:rsidRPr="00177E3D">
        <w:t>GDOŚ</w:t>
      </w:r>
      <w:r w:rsidRPr="00177E3D">
        <w:t xml:space="preserve"> w terminie trzech miesięcy od zakończenia ostatniego cyklu kontroli w ostatnim okresie obserwacji</w:t>
      </w:r>
      <w:r w:rsidRPr="00177E3D">
        <w:t>.</w:t>
      </w:r>
    </w:p>
    <w:bookmarkEnd w:id="14"/>
    <w:p w14:paraId="5BEA4BEE" w14:textId="77777777" w:rsidR="008558F5" w:rsidRPr="00177E3D" w:rsidRDefault="008558F5" w:rsidP="008558F5">
      <w:pPr>
        <w:numPr>
          <w:ilvl w:val="0"/>
          <w:numId w:val="30"/>
        </w:numPr>
        <w:shd w:val="clear" w:color="auto" w:fill="FFFFFF"/>
        <w:spacing w:before="120"/>
        <w:ind w:left="425" w:hanging="425"/>
        <w:rPr>
          <w:rFonts w:cs="Arial"/>
        </w:rPr>
      </w:pPr>
      <w:r w:rsidRPr="00177E3D">
        <w:rPr>
          <w:rFonts w:cs="Arial"/>
        </w:rPr>
        <w:t>Na</w:t>
      </w:r>
      <w:r w:rsidRPr="00177E3D">
        <w:t>leży zweryfikować udatność i trwałość nasadzeń zastępczych drzew i krzewów, o których mowa w pkt II.</w:t>
      </w:r>
      <w:r w:rsidRPr="00177E3D">
        <w:t>13</w:t>
      </w:r>
      <w:r w:rsidRPr="00177E3D">
        <w:t xml:space="preserve">, prowadząc coroczne obserwacje przez okres </w:t>
      </w:r>
      <w:r w:rsidRPr="00177E3D">
        <w:t>5</w:t>
      </w:r>
      <w:r w:rsidRPr="00177E3D">
        <w:t xml:space="preserve"> lat od ich </w:t>
      </w:r>
      <w:r w:rsidRPr="00177E3D">
        <w:lastRenderedPageBreak/>
        <w:t>posadzenia, pod nadzorem specjalisty dendrologa</w:t>
      </w:r>
      <w:r w:rsidRPr="00177E3D">
        <w:t xml:space="preserve"> z nadzoru przyrodniczego</w:t>
      </w:r>
      <w:r w:rsidRPr="00177E3D">
        <w:t>. W przypadku stwierdzenia braku zachowania żywotności drzew lub krzewów, nasadzenia należy uzupełnić w stosunku 1:1, nie później</w:t>
      </w:r>
      <w:r w:rsidRPr="00177E3D">
        <w:t xml:space="preserve"> niż w następnym roku kalendarzowym. Termin sadzenia drzew powinien zostać określony przez specjalistę dendrologa, z uwzględnieniem rodzaju zastosowanych sadzonek (z zakrytym lub odkrytym systemem korzeniowym), gatunków drzew oraz uwarunkowań meteorologicznych. Wyniki obserwacji wraz z analizą zebranych danych i wnioskami z nich wynikającymi przedstawić </w:t>
      </w:r>
      <w:r w:rsidRPr="00177E3D">
        <w:t>RDOŚ</w:t>
      </w:r>
      <w:r w:rsidRPr="00177E3D">
        <w:t xml:space="preserve"> w Gdańsku w terminie do 6 miesięcy od momentu zakończenia prowadzenia obserwacji.</w:t>
      </w:r>
      <w:r w:rsidRPr="00177E3D">
        <w:t>”</w:t>
      </w:r>
      <w:r w:rsidRPr="00177E3D">
        <w:t>.</w:t>
      </w:r>
    </w:p>
    <w:p w14:paraId="466FDEF3" w14:textId="77777777" w:rsidR="008558F5" w:rsidRPr="00177E3D" w:rsidRDefault="008558F5" w:rsidP="004F2332">
      <w:pPr>
        <w:pStyle w:val="Tekstpodstawowy"/>
        <w:numPr>
          <w:ilvl w:val="0"/>
          <w:numId w:val="1"/>
        </w:numPr>
        <w:spacing w:before="120" w:line="312" w:lineRule="auto"/>
        <w:ind w:left="426" w:hanging="426"/>
        <w:rPr>
          <w:rFonts w:cs="Arial"/>
          <w:b/>
        </w:rPr>
      </w:pPr>
      <w:r w:rsidRPr="00177E3D">
        <w:rPr>
          <w:rFonts w:cs="Arial"/>
          <w:b/>
        </w:rPr>
        <w:t>utrzymuj</w:t>
      </w:r>
      <w:r w:rsidRPr="00177E3D">
        <w:rPr>
          <w:rFonts w:cs="Arial"/>
          <w:b/>
        </w:rPr>
        <w:t>e</w:t>
      </w:r>
      <w:r w:rsidRPr="00177E3D">
        <w:rPr>
          <w:rFonts w:cs="Arial"/>
          <w:b/>
        </w:rPr>
        <w:t xml:space="preserve"> </w:t>
      </w:r>
      <w:r w:rsidRPr="00177E3D">
        <w:rPr>
          <w:rFonts w:cs="Arial"/>
          <w:b/>
        </w:rPr>
        <w:t xml:space="preserve">w mocy pozostałą część </w:t>
      </w:r>
      <w:r w:rsidRPr="00177E3D">
        <w:rPr>
          <w:rFonts w:cs="Arial"/>
          <w:b/>
        </w:rPr>
        <w:t>decyzj</w:t>
      </w:r>
      <w:r w:rsidRPr="00177E3D">
        <w:rPr>
          <w:rFonts w:cs="Arial"/>
          <w:b/>
        </w:rPr>
        <w:t>i</w:t>
      </w:r>
      <w:r w:rsidRPr="00177E3D">
        <w:rPr>
          <w:rFonts w:cs="Arial"/>
          <w:b/>
        </w:rPr>
        <w:t>.</w:t>
      </w:r>
    </w:p>
    <w:p w14:paraId="4CC8E2EC" w14:textId="77777777" w:rsidR="008558F5" w:rsidRPr="00A425B0" w:rsidRDefault="008558F5" w:rsidP="00A425B0">
      <w:pPr>
        <w:pStyle w:val="Nagwek1"/>
        <w:jc w:val="center"/>
        <w:rPr>
          <w:rFonts w:ascii="Arial" w:hAnsi="Arial" w:cs="Arial"/>
          <w:b/>
          <w:bCs/>
          <w:color w:val="000000" w:themeColor="text1"/>
        </w:rPr>
      </w:pPr>
      <w:r w:rsidRPr="00A425B0">
        <w:rPr>
          <w:rFonts w:ascii="Arial" w:hAnsi="Arial" w:cs="Arial"/>
          <w:b/>
          <w:bCs/>
          <w:color w:val="000000" w:themeColor="text1"/>
        </w:rPr>
        <w:t>U</w:t>
      </w:r>
      <w:r w:rsidRPr="00A425B0">
        <w:rPr>
          <w:rFonts w:ascii="Arial" w:hAnsi="Arial" w:cs="Arial"/>
          <w:b/>
          <w:bCs/>
          <w:color w:val="000000" w:themeColor="text1"/>
        </w:rPr>
        <w:t>zasadnienie</w:t>
      </w:r>
    </w:p>
    <w:p w14:paraId="51B65EFC" w14:textId="77777777" w:rsidR="008558F5" w:rsidRPr="00177E3D" w:rsidRDefault="008558F5" w:rsidP="00EE3BDC">
      <w:pPr>
        <w:spacing w:before="120"/>
        <w:rPr>
          <w:rFonts w:cs="Arial"/>
        </w:rPr>
      </w:pPr>
      <w:r w:rsidRPr="00177E3D">
        <w:rPr>
          <w:rFonts w:cs="Arial"/>
          <w:szCs w:val="24"/>
        </w:rPr>
        <w:t xml:space="preserve">Decyzją z </w:t>
      </w:r>
      <w:r w:rsidRPr="00177E3D">
        <w:rPr>
          <w:rFonts w:cs="Arial"/>
          <w:szCs w:val="24"/>
        </w:rPr>
        <w:t>19 grudnia 2025</w:t>
      </w:r>
      <w:r w:rsidRPr="00177E3D">
        <w:rPr>
          <w:rFonts w:cs="Arial"/>
          <w:szCs w:val="24"/>
        </w:rPr>
        <w:t xml:space="preserve"> r. RDOŚ w Gdańsku, na </w:t>
      </w:r>
      <w:r w:rsidRPr="00177E3D">
        <w:rPr>
          <w:rFonts w:cs="Arial"/>
          <w:color w:val="000000"/>
          <w:szCs w:val="24"/>
        </w:rPr>
        <w:t xml:space="preserve">podstawie </w:t>
      </w:r>
      <w:bookmarkStart w:id="15" w:name="_Hlk175577358"/>
      <w:r w:rsidRPr="00177E3D">
        <w:rPr>
          <w:rFonts w:cs="Arial"/>
          <w:color w:val="000000"/>
          <w:szCs w:val="24"/>
        </w:rPr>
        <w:t xml:space="preserve">art. 71 ust. 2 pkt 2 </w:t>
      </w:r>
      <w:r w:rsidRPr="00177E3D">
        <w:rPr>
          <w:rFonts w:cs="Arial"/>
          <w:color w:val="000000"/>
          <w:szCs w:val="24"/>
        </w:rPr>
        <w:t>i art. 82 ust.</w:t>
      </w:r>
      <w:r w:rsidRPr="00177E3D">
        <w:rPr>
          <w:rFonts w:cs="Arial"/>
          <w:color w:val="000000"/>
          <w:szCs w:val="24"/>
        </w:rPr>
        <w:t> </w:t>
      </w:r>
      <w:r w:rsidRPr="00177E3D">
        <w:rPr>
          <w:rFonts w:cs="Arial"/>
          <w:color w:val="000000"/>
          <w:szCs w:val="24"/>
        </w:rPr>
        <w:t xml:space="preserve">1 </w:t>
      </w:r>
      <w:r w:rsidRPr="00177E3D">
        <w:rPr>
          <w:rFonts w:cs="Arial"/>
          <w:color w:val="000000"/>
          <w:szCs w:val="24"/>
        </w:rPr>
        <w:t>u.o.o.ś., po rozpatrzeniu w</w:t>
      </w:r>
      <w:r w:rsidRPr="00177E3D">
        <w:rPr>
          <w:rFonts w:cs="Arial"/>
          <w:szCs w:val="24"/>
        </w:rPr>
        <w:t xml:space="preserve">niosku </w:t>
      </w:r>
      <w:r w:rsidRPr="00177E3D">
        <w:rPr>
          <w:rFonts w:cs="Arial"/>
        </w:rPr>
        <w:t xml:space="preserve">PKP Polskie Linie Kolejowe S.A. </w:t>
      </w:r>
      <w:r w:rsidRPr="00177E3D">
        <w:rPr>
          <w:rFonts w:cs="Arial"/>
          <w:szCs w:val="24"/>
        </w:rPr>
        <w:t>z </w:t>
      </w:r>
      <w:r w:rsidRPr="00177E3D">
        <w:rPr>
          <w:rFonts w:cs="Arial"/>
          <w:szCs w:val="24"/>
        </w:rPr>
        <w:t>30</w:t>
      </w:r>
      <w:r w:rsidRPr="00177E3D">
        <w:rPr>
          <w:rFonts w:cs="Arial"/>
          <w:szCs w:val="24"/>
        </w:rPr>
        <w:t xml:space="preserve"> kwietnia 202</w:t>
      </w:r>
      <w:r w:rsidRPr="00177E3D">
        <w:rPr>
          <w:rFonts w:cs="Arial"/>
          <w:szCs w:val="24"/>
        </w:rPr>
        <w:t>4 </w:t>
      </w:r>
      <w:r w:rsidRPr="00177E3D">
        <w:rPr>
          <w:rFonts w:cs="Arial"/>
          <w:szCs w:val="24"/>
        </w:rPr>
        <w:t xml:space="preserve">r., </w:t>
      </w:r>
      <w:r w:rsidRPr="00177E3D">
        <w:rPr>
          <w:rFonts w:cs="Arial"/>
          <w:color w:val="000000"/>
          <w:szCs w:val="24"/>
        </w:rPr>
        <w:t>określił środowiskowe uwarunkowania realizacji</w:t>
      </w:r>
      <w:r w:rsidRPr="00177E3D">
        <w:rPr>
          <w:rFonts w:cs="Arial"/>
          <w:szCs w:val="24"/>
        </w:rPr>
        <w:t xml:space="preserve"> przedsięwzięcia p</w:t>
      </w:r>
      <w:r w:rsidRPr="00177E3D">
        <w:rPr>
          <w:rFonts w:cs="Arial"/>
          <w:szCs w:val="24"/>
        </w:rPr>
        <w:t>od nazwą</w:t>
      </w:r>
      <w:r w:rsidRPr="00177E3D">
        <w:rPr>
          <w:rFonts w:cs="Arial"/>
          <w:szCs w:val="24"/>
        </w:rPr>
        <w:t>:</w:t>
      </w:r>
      <w:r w:rsidRPr="00177E3D">
        <w:rPr>
          <w:rFonts w:cs="Arial"/>
          <w:szCs w:val="24"/>
        </w:rPr>
        <w:t xml:space="preserve"> </w:t>
      </w:r>
      <w:bookmarkStart w:id="16" w:name="_Hlk219884029"/>
      <w:r w:rsidRPr="00177E3D">
        <w:rPr>
          <w:rFonts w:cs="Arial"/>
          <w:color w:val="000000"/>
        </w:rPr>
        <w:t>„</w:t>
      </w:r>
      <w:r w:rsidRPr="00177E3D">
        <w:rPr>
          <w:rFonts w:cs="Arial"/>
          <w:color w:val="000000"/>
        </w:rPr>
        <w:t>Zapewnienie dostępu kolejowego do elektrowni jądrowej Lubiatowo - Kopalino - odcinek Wejherowo - elektrownia jądrowa</w:t>
      </w:r>
      <w:r w:rsidRPr="00177E3D">
        <w:rPr>
          <w:rFonts w:cs="Arial"/>
          <w:color w:val="000000"/>
        </w:rPr>
        <w:t>”</w:t>
      </w:r>
      <w:bookmarkEnd w:id="16"/>
      <w:r w:rsidRPr="00177E3D">
        <w:rPr>
          <w:rFonts w:cs="Arial"/>
          <w:color w:val="000000"/>
        </w:rPr>
        <w:t>.</w:t>
      </w:r>
      <w:bookmarkEnd w:id="15"/>
    </w:p>
    <w:p w14:paraId="5C66CEEC" w14:textId="4D45689C" w:rsidR="008558F5" w:rsidRPr="00177E3D" w:rsidRDefault="008558F5" w:rsidP="005237F7">
      <w:pPr>
        <w:spacing w:before="120"/>
        <w:rPr>
          <w:rFonts w:cs="Arial"/>
        </w:rPr>
      </w:pPr>
      <w:bookmarkStart w:id="17" w:name="_Hlk219884046"/>
      <w:bookmarkStart w:id="18" w:name="_Hlk175577513"/>
      <w:r w:rsidRPr="00177E3D">
        <w:rPr>
          <w:rFonts w:cs="Arial"/>
        </w:rPr>
        <w:t>1</w:t>
      </w:r>
      <w:r w:rsidRPr="00177E3D">
        <w:rPr>
          <w:rFonts w:cs="Arial"/>
        </w:rPr>
        <w:t>9 stycznia</w:t>
      </w:r>
      <w:r w:rsidRPr="00177E3D">
        <w:rPr>
          <w:rFonts w:cs="Arial"/>
        </w:rPr>
        <w:t xml:space="preserve"> 202</w:t>
      </w:r>
      <w:r w:rsidRPr="00177E3D">
        <w:rPr>
          <w:rFonts w:cs="Arial"/>
        </w:rPr>
        <w:t>6</w:t>
      </w:r>
      <w:r w:rsidRPr="00177E3D">
        <w:rPr>
          <w:rFonts w:cs="Arial"/>
        </w:rPr>
        <w:t xml:space="preserve"> r. odwołani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od </w:t>
      </w:r>
      <w:r w:rsidRPr="00177E3D">
        <w:rPr>
          <w:rFonts w:cs="Arial"/>
        </w:rPr>
        <w:t>powyższej</w:t>
      </w:r>
      <w:r w:rsidRPr="00177E3D">
        <w:rPr>
          <w:rFonts w:cs="Arial"/>
        </w:rPr>
        <w:t xml:space="preserve"> decyzji wni</w:t>
      </w:r>
      <w:r w:rsidRPr="00177E3D">
        <w:rPr>
          <w:rFonts w:cs="Arial"/>
        </w:rPr>
        <w:t xml:space="preserve">eśli </w:t>
      </w:r>
      <w:r w:rsidR="00900EF0">
        <w:rPr>
          <w:rFonts w:cs="Arial"/>
        </w:rPr>
        <w:t>(…)</w:t>
      </w:r>
      <w:r w:rsidRPr="00177E3D">
        <w:rPr>
          <w:rFonts w:cs="Arial"/>
        </w:rPr>
        <w:t xml:space="preserve"> i </w:t>
      </w:r>
      <w:bookmarkEnd w:id="17"/>
      <w:r w:rsidR="00900EF0">
        <w:rPr>
          <w:rFonts w:cs="Arial"/>
        </w:rPr>
        <w:t>(…)</w:t>
      </w:r>
      <w:r w:rsidRPr="00177E3D">
        <w:rPr>
          <w:rFonts w:cs="Arial"/>
        </w:rPr>
        <w:t xml:space="preserve">, zaskarżając decyzję </w:t>
      </w:r>
      <w:r w:rsidRPr="00177E3D">
        <w:rPr>
          <w:lang w:eastAsia="pl-PL" w:bidi="pl-PL"/>
        </w:rPr>
        <w:t>w zakresie, w jakim dotyczy ona działek ewid. nr 19 i 22/3, obręb Bychowo, gmina Gniewino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 odwołani</w:t>
      </w:r>
      <w:r w:rsidRPr="00177E3D">
        <w:rPr>
          <w:rFonts w:cs="Arial"/>
        </w:rPr>
        <w:t>ach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skarżący</w:t>
      </w:r>
      <w:r w:rsidRPr="00177E3D">
        <w:rPr>
          <w:rFonts w:cs="Arial"/>
        </w:rPr>
        <w:t xml:space="preserve"> zarzuci</w:t>
      </w:r>
      <w:r w:rsidRPr="00177E3D">
        <w:rPr>
          <w:rFonts w:cs="Arial"/>
        </w:rPr>
        <w:t>li</w:t>
      </w:r>
      <w:r w:rsidRPr="00177E3D">
        <w:rPr>
          <w:rFonts w:cs="Arial"/>
        </w:rPr>
        <w:t xml:space="preserve"> naruszenie:</w:t>
      </w:r>
    </w:p>
    <w:p w14:paraId="6F1D2AB8" w14:textId="77777777" w:rsidR="008558F5" w:rsidRPr="00177E3D" w:rsidRDefault="008558F5" w:rsidP="008558F5">
      <w:pPr>
        <w:pStyle w:val="Akapitzlist"/>
        <w:numPr>
          <w:ilvl w:val="2"/>
          <w:numId w:val="19"/>
        </w:numPr>
        <w:ind w:left="426" w:hanging="426"/>
        <w:rPr>
          <w:rFonts w:cs="Arial"/>
          <w:color w:val="000000"/>
          <w:lang w:bidi="pl-PL"/>
        </w:rPr>
      </w:pPr>
      <w:bookmarkStart w:id="19" w:name="_Hlk219884297"/>
      <w:bookmarkEnd w:id="18"/>
      <w:r w:rsidRPr="00177E3D">
        <w:rPr>
          <w:rFonts w:cs="Arial"/>
          <w:color w:val="000000"/>
          <w:lang w:bidi="en-US"/>
        </w:rPr>
        <w:t xml:space="preserve">art. 7, art. 77 § 1 k.p.a. w związku z art. 79 ust. 1 i </w:t>
      </w:r>
      <w:r w:rsidRPr="00177E3D">
        <w:rPr>
          <w:rFonts w:cs="Arial"/>
          <w:color w:val="000000"/>
          <w:lang w:bidi="en-US"/>
        </w:rPr>
        <w:t xml:space="preserve">art. </w:t>
      </w:r>
      <w:r w:rsidRPr="00177E3D">
        <w:rPr>
          <w:rFonts w:cs="Arial"/>
          <w:color w:val="000000"/>
          <w:lang w:bidi="en-US"/>
        </w:rPr>
        <w:t>80 ust. 1 pkt 3 u.o.o.ś.</w:t>
      </w:r>
      <w:r w:rsidRPr="00177E3D">
        <w:rPr>
          <w:rFonts w:cs="Arial"/>
          <w:color w:val="000000"/>
          <w:lang w:bidi="pl-PL"/>
        </w:rPr>
        <w:t xml:space="preserve"> </w:t>
      </w:r>
      <w:r w:rsidRPr="00177E3D">
        <w:rPr>
          <w:rFonts w:cs="Arial"/>
          <w:color w:val="000000"/>
          <w:lang w:bidi="pl-PL"/>
        </w:rPr>
        <w:t>poprzez</w:t>
      </w:r>
      <w:r w:rsidRPr="00177E3D">
        <w:rPr>
          <w:rFonts w:cs="Arial"/>
          <w:color w:val="000000"/>
          <w:lang w:bidi="pl-PL"/>
        </w:rPr>
        <w:t>:</w:t>
      </w:r>
    </w:p>
    <w:p w14:paraId="4CFCBFC4" w14:textId="77777777" w:rsidR="008558F5" w:rsidRPr="00177E3D" w:rsidRDefault="008558F5" w:rsidP="00C6195D">
      <w:pPr>
        <w:pStyle w:val="Akapitzlist"/>
        <w:numPr>
          <w:ilvl w:val="0"/>
          <w:numId w:val="8"/>
        </w:numPr>
        <w:ind w:left="851" w:hanging="430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brak zobowiązania PKP Polskie Linie Kolejowe S.A. </w:t>
      </w:r>
      <w:r w:rsidRPr="00177E3D">
        <w:rPr>
          <w:color w:val="464646"/>
          <w:lang w:bidi="pl-PL"/>
        </w:rPr>
        <w:t xml:space="preserve">do </w:t>
      </w:r>
      <w:r w:rsidRPr="00177E3D">
        <w:rPr>
          <w:lang w:bidi="pl-PL"/>
        </w:rPr>
        <w:t>ustosunkowania się do zastrzeżeń podnoszonych wobec przedsięwzięcia</w:t>
      </w:r>
      <w:r w:rsidRPr="00177E3D">
        <w:rPr>
          <w:rFonts w:cs="Arial"/>
          <w:lang w:bidi="pl-PL"/>
        </w:rPr>
        <w:t>;</w:t>
      </w:r>
    </w:p>
    <w:p w14:paraId="1755A3D6" w14:textId="77777777" w:rsidR="008558F5" w:rsidRPr="00177E3D" w:rsidRDefault="008558F5" w:rsidP="00C6195D">
      <w:pPr>
        <w:pStyle w:val="Akapitzlist"/>
        <w:numPr>
          <w:ilvl w:val="0"/>
          <w:numId w:val="8"/>
        </w:numPr>
        <w:ind w:left="851" w:hanging="430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brak odniesienia się przez organ </w:t>
      </w:r>
      <w:r w:rsidRPr="00177E3D">
        <w:rPr>
          <w:color w:val="464646"/>
          <w:lang w:bidi="pl-PL"/>
        </w:rPr>
        <w:t>pierwszej</w:t>
      </w:r>
      <w:r w:rsidRPr="00177E3D">
        <w:rPr>
          <w:color w:val="464646"/>
          <w:lang w:bidi="pl-PL"/>
        </w:rPr>
        <w:t xml:space="preserve"> </w:t>
      </w:r>
      <w:r w:rsidRPr="00177E3D">
        <w:rPr>
          <w:lang w:bidi="pl-PL"/>
        </w:rPr>
        <w:t xml:space="preserve">instancji do </w:t>
      </w:r>
      <w:r w:rsidRPr="00177E3D">
        <w:rPr>
          <w:color w:val="464646"/>
          <w:lang w:bidi="pl-PL"/>
        </w:rPr>
        <w:t xml:space="preserve">zastrzeżeń </w:t>
      </w:r>
      <w:r w:rsidRPr="00177E3D">
        <w:rPr>
          <w:lang w:bidi="pl-PL"/>
        </w:rPr>
        <w:t>podnoszonych wobec inwestycji;</w:t>
      </w:r>
    </w:p>
    <w:p w14:paraId="4B7B1638" w14:textId="77777777" w:rsidR="008558F5" w:rsidRPr="00177E3D" w:rsidRDefault="008558F5" w:rsidP="00C6195D">
      <w:pPr>
        <w:pStyle w:val="Akapitzlist"/>
        <w:numPr>
          <w:ilvl w:val="0"/>
          <w:numId w:val="8"/>
        </w:numPr>
        <w:ind w:left="851" w:hanging="430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brak uwzględnienia uzasadnionych interesów lokalnej społeczności w zakresie </w:t>
      </w:r>
      <w:r w:rsidRPr="00177E3D">
        <w:rPr>
          <w:color w:val="464646"/>
          <w:lang w:eastAsia="en-US" w:bidi="en-US"/>
        </w:rPr>
        <w:t>dot</w:t>
      </w:r>
      <w:r w:rsidRPr="00177E3D">
        <w:rPr>
          <w:color w:val="464646"/>
          <w:lang w:eastAsia="en-US" w:bidi="en-US"/>
        </w:rPr>
        <w:t>yczącym</w:t>
      </w:r>
      <w:r w:rsidRPr="00177E3D">
        <w:rPr>
          <w:color w:val="464646"/>
          <w:lang w:eastAsia="en-US" w:bidi="en-US"/>
        </w:rPr>
        <w:t xml:space="preserve"> </w:t>
      </w:r>
      <w:r w:rsidRPr="00177E3D">
        <w:rPr>
          <w:lang w:bidi="pl-PL"/>
        </w:rPr>
        <w:t xml:space="preserve">działek, </w:t>
      </w:r>
      <w:r w:rsidRPr="00177E3D">
        <w:rPr>
          <w:color w:val="464646"/>
          <w:lang w:bidi="pl-PL"/>
        </w:rPr>
        <w:t xml:space="preserve">na </w:t>
      </w:r>
      <w:r w:rsidRPr="00177E3D">
        <w:rPr>
          <w:lang w:bidi="pl-PL"/>
        </w:rPr>
        <w:t>które oddziaływać ma inwestycja;</w:t>
      </w:r>
    </w:p>
    <w:p w14:paraId="4C103524" w14:textId="77777777" w:rsidR="008558F5" w:rsidRPr="00177E3D" w:rsidRDefault="008558F5" w:rsidP="00C6195D">
      <w:pPr>
        <w:pStyle w:val="Akapitzlist"/>
        <w:numPr>
          <w:ilvl w:val="0"/>
          <w:numId w:val="8"/>
        </w:numPr>
        <w:ind w:left="851" w:hanging="430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nieprzeprowadzenie rozprawy administracyjnej otwartej dla społeczeństwa stosownie </w:t>
      </w:r>
      <w:r w:rsidRPr="00177E3D">
        <w:rPr>
          <w:lang w:eastAsia="en-US" w:bidi="en-US"/>
        </w:rPr>
        <w:t xml:space="preserve">do art. </w:t>
      </w:r>
      <w:r w:rsidRPr="00177E3D">
        <w:rPr>
          <w:lang w:bidi="pl-PL"/>
        </w:rPr>
        <w:t xml:space="preserve">36 ust. </w:t>
      </w:r>
      <w:r w:rsidRPr="00177E3D">
        <w:rPr>
          <w:color w:val="464646"/>
          <w:lang w:bidi="pl-PL"/>
        </w:rPr>
        <w:t>1 u.o.o.ś.;</w:t>
      </w:r>
    </w:p>
    <w:p w14:paraId="24D374E8" w14:textId="77777777" w:rsidR="008558F5" w:rsidRPr="00177E3D" w:rsidRDefault="008558F5" w:rsidP="00C6195D">
      <w:pPr>
        <w:pStyle w:val="Akapitzlist"/>
        <w:numPr>
          <w:ilvl w:val="0"/>
          <w:numId w:val="8"/>
        </w:numPr>
        <w:ind w:left="851" w:hanging="430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nieprzeprowadzenie oględzin działek </w:t>
      </w:r>
      <w:r w:rsidRPr="00177E3D">
        <w:rPr>
          <w:lang w:bidi="pl-PL"/>
        </w:rPr>
        <w:t xml:space="preserve">ewid. </w:t>
      </w:r>
      <w:r w:rsidRPr="00177E3D">
        <w:rPr>
          <w:lang w:bidi="pl-PL"/>
        </w:rPr>
        <w:t xml:space="preserve">nr 19 oraz 22/3, </w:t>
      </w:r>
      <w:r w:rsidRPr="00177E3D">
        <w:rPr>
          <w:lang w:bidi="pl-PL"/>
        </w:rPr>
        <w:t>obręb</w:t>
      </w:r>
      <w:r w:rsidRPr="00177E3D">
        <w:rPr>
          <w:lang w:bidi="pl-PL"/>
        </w:rPr>
        <w:t xml:space="preserve"> Bychowo, </w:t>
      </w:r>
      <w:r w:rsidRPr="00177E3D">
        <w:rPr>
          <w:lang w:bidi="pl-PL"/>
        </w:rPr>
        <w:t>g</w:t>
      </w:r>
      <w:r w:rsidRPr="00177E3D">
        <w:rPr>
          <w:lang w:bidi="pl-PL"/>
        </w:rPr>
        <w:t>mina Gniewino;</w:t>
      </w:r>
    </w:p>
    <w:p w14:paraId="5F389F0D" w14:textId="77777777" w:rsidR="008558F5" w:rsidRPr="00177E3D" w:rsidRDefault="008558F5" w:rsidP="008558F5">
      <w:pPr>
        <w:pStyle w:val="Akapitzlist"/>
        <w:numPr>
          <w:ilvl w:val="2"/>
          <w:numId w:val="19"/>
        </w:numPr>
        <w:ind w:left="426" w:hanging="426"/>
        <w:rPr>
          <w:rFonts w:cs="Arial"/>
          <w:color w:val="000000"/>
          <w:lang w:bidi="pl-PL"/>
        </w:rPr>
      </w:pPr>
      <w:r w:rsidRPr="00177E3D">
        <w:rPr>
          <w:lang w:eastAsia="en-US" w:bidi="en-US"/>
        </w:rPr>
        <w:t xml:space="preserve">art. </w:t>
      </w:r>
      <w:r w:rsidRPr="00177E3D">
        <w:rPr>
          <w:lang w:bidi="pl-PL"/>
        </w:rPr>
        <w:t xml:space="preserve">80 ust. </w:t>
      </w:r>
      <w:r w:rsidRPr="00177E3D">
        <w:rPr>
          <w:color w:val="464646"/>
          <w:lang w:bidi="pl-PL"/>
        </w:rPr>
        <w:t xml:space="preserve">1 </w:t>
      </w:r>
      <w:r w:rsidRPr="00177E3D">
        <w:rPr>
          <w:color w:val="000000"/>
          <w:lang w:bidi="pl-PL"/>
        </w:rPr>
        <w:t xml:space="preserve">pkt </w:t>
      </w:r>
      <w:r w:rsidRPr="00177E3D">
        <w:rPr>
          <w:lang w:bidi="pl-PL"/>
        </w:rPr>
        <w:t xml:space="preserve">3 oraz </w:t>
      </w:r>
      <w:r w:rsidRPr="00177E3D">
        <w:rPr>
          <w:lang w:eastAsia="en-US" w:bidi="en-US"/>
        </w:rPr>
        <w:t xml:space="preserve">art. </w:t>
      </w:r>
      <w:r w:rsidRPr="00177E3D">
        <w:rPr>
          <w:color w:val="464646"/>
          <w:lang w:bidi="pl-PL"/>
        </w:rPr>
        <w:t xml:space="preserve">81 </w:t>
      </w:r>
      <w:r w:rsidRPr="00177E3D">
        <w:rPr>
          <w:lang w:bidi="pl-PL"/>
        </w:rPr>
        <w:t>ust. 1 u.o.o.ś. poprzez</w:t>
      </w:r>
      <w:r w:rsidRPr="00177E3D">
        <w:rPr>
          <w:rFonts w:cs="Arial"/>
          <w:color w:val="000000"/>
          <w:lang w:bidi="pl-PL"/>
        </w:rPr>
        <w:t>:</w:t>
      </w:r>
    </w:p>
    <w:p w14:paraId="1A3AAD76" w14:textId="77777777" w:rsidR="008558F5" w:rsidRPr="00177E3D" w:rsidRDefault="008558F5" w:rsidP="008558F5">
      <w:pPr>
        <w:pStyle w:val="Akapitzlist"/>
        <w:numPr>
          <w:ilvl w:val="0"/>
          <w:numId w:val="35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lang w:bidi="pl-PL"/>
        </w:rPr>
        <w:t xml:space="preserve">brak wskazania wnioskodawcy w </w:t>
      </w:r>
      <w:r w:rsidRPr="00177E3D">
        <w:rPr>
          <w:color w:val="464646"/>
          <w:lang w:bidi="pl-PL"/>
        </w:rPr>
        <w:t xml:space="preserve">toku </w:t>
      </w:r>
      <w:r w:rsidRPr="00177E3D">
        <w:rPr>
          <w:lang w:bidi="pl-PL"/>
        </w:rPr>
        <w:t>postępowania, iż do realizacji dopuszczony może być wariant przedsięwzięcia, w którym zostaną zastosowane rozwiązania techniczne ograniczające wpływ hałasu, drgań i spływu wód gruntowych na nieruchomość należącą do skarżących</w:t>
      </w:r>
      <w:r w:rsidRPr="00177E3D">
        <w:rPr>
          <w:rFonts w:cs="Arial"/>
          <w:lang w:bidi="pl-PL"/>
        </w:rPr>
        <w:t>;</w:t>
      </w:r>
    </w:p>
    <w:p w14:paraId="581D4562" w14:textId="77777777" w:rsidR="008558F5" w:rsidRPr="00177E3D" w:rsidRDefault="008558F5" w:rsidP="008558F5">
      <w:pPr>
        <w:pStyle w:val="Akapitzlist"/>
        <w:numPr>
          <w:ilvl w:val="0"/>
          <w:numId w:val="35"/>
        </w:numPr>
        <w:ind w:left="851" w:hanging="425"/>
        <w:rPr>
          <w:rFonts w:cs="Arial"/>
          <w:color w:val="000000"/>
          <w:lang w:bidi="pl-PL"/>
        </w:rPr>
      </w:pPr>
      <w:r w:rsidRPr="00177E3D">
        <w:rPr>
          <w:lang w:bidi="pl-PL"/>
        </w:rPr>
        <w:t>nieopracowanie przez organ pierwszej instancji alternatywnego sposobu zaprojektowania i realizacji przedsięwzięcia;</w:t>
      </w:r>
    </w:p>
    <w:p w14:paraId="75FB9F4F" w14:textId="77777777" w:rsidR="008558F5" w:rsidRPr="00177E3D" w:rsidRDefault="008558F5" w:rsidP="008558F5">
      <w:pPr>
        <w:pStyle w:val="Akapitzlist"/>
        <w:numPr>
          <w:ilvl w:val="2"/>
          <w:numId w:val="19"/>
        </w:numPr>
        <w:ind w:left="426" w:hanging="426"/>
        <w:rPr>
          <w:rFonts w:cs="Arial"/>
          <w:color w:val="000000"/>
          <w:lang w:bidi="pl-PL"/>
        </w:rPr>
      </w:pPr>
      <w:r w:rsidRPr="00177E3D">
        <w:rPr>
          <w:lang w:eastAsia="en-US" w:bidi="en-US"/>
        </w:rPr>
        <w:t xml:space="preserve">art. 7b k.p.a. oraz art. 8 § 1 i 2 k.p.a. poprzez </w:t>
      </w:r>
      <w:r w:rsidRPr="00177E3D">
        <w:rPr>
          <w:lang w:bidi="pl-PL"/>
        </w:rPr>
        <w:t xml:space="preserve">brak </w:t>
      </w:r>
      <w:r w:rsidRPr="00177E3D">
        <w:rPr>
          <w:lang w:bidi="pl-PL"/>
        </w:rPr>
        <w:t xml:space="preserve">zastosowania </w:t>
      </w:r>
      <w:r w:rsidRPr="00177E3D">
        <w:rPr>
          <w:lang w:bidi="pl-PL"/>
        </w:rPr>
        <w:t xml:space="preserve">rozwiązań chroniących </w:t>
      </w:r>
      <w:r w:rsidRPr="00177E3D">
        <w:rPr>
          <w:lang w:bidi="pl-PL"/>
        </w:rPr>
        <w:t>budynek na działce ewid</w:t>
      </w:r>
      <w:r w:rsidRPr="00177E3D">
        <w:rPr>
          <w:lang w:bidi="pl-PL"/>
        </w:rPr>
        <w:t xml:space="preserve">. nr 19, obręb Bychowo, gmina Gniewino przed hałasem i drganiami, pomimo iż rozwiązania takie zastosowano dla innych nieruchomości </w:t>
      </w:r>
      <w:r w:rsidRPr="00177E3D">
        <w:rPr>
          <w:lang w:bidi="pl-PL"/>
        </w:rPr>
        <w:lastRenderedPageBreak/>
        <w:t>graniczących z przedsięwzięciem lub znajdujących się w odległości 25 m od przedsięwzięcia</w:t>
      </w:r>
      <w:r w:rsidRPr="00177E3D">
        <w:rPr>
          <w:rFonts w:cs="Arial"/>
          <w:color w:val="000000"/>
          <w:lang w:bidi="pl-PL"/>
        </w:rPr>
        <w:t>.</w:t>
      </w:r>
    </w:p>
    <w:p w14:paraId="511B8A51" w14:textId="77777777" w:rsidR="008558F5" w:rsidRPr="00177E3D" w:rsidRDefault="008558F5" w:rsidP="005237F7">
      <w:pPr>
        <w:spacing w:before="120"/>
        <w:rPr>
          <w:rFonts w:cs="Arial"/>
          <w:szCs w:val="24"/>
        </w:rPr>
      </w:pPr>
      <w:r w:rsidRPr="00177E3D">
        <w:rPr>
          <w:rFonts w:cs="Arial"/>
          <w:color w:val="000000"/>
          <w:szCs w:val="24"/>
          <w:lang w:eastAsia="pl-PL" w:bidi="pl-PL"/>
        </w:rPr>
        <w:t>W odwołani</w:t>
      </w:r>
      <w:r w:rsidRPr="00177E3D">
        <w:rPr>
          <w:rFonts w:cs="Arial"/>
          <w:color w:val="000000"/>
          <w:szCs w:val="24"/>
          <w:lang w:eastAsia="pl-PL" w:bidi="pl-PL"/>
        </w:rPr>
        <w:t xml:space="preserve">ach z 19 stycznia 2026 </w:t>
      </w:r>
      <w:r w:rsidRPr="00177E3D">
        <w:rPr>
          <w:rFonts w:cs="Arial"/>
          <w:color w:val="000000"/>
          <w:szCs w:val="24"/>
          <w:lang w:eastAsia="pl-PL" w:bidi="pl-PL"/>
        </w:rPr>
        <w:t>r</w:t>
      </w:r>
      <w:r w:rsidRPr="00177E3D">
        <w:rPr>
          <w:rFonts w:cs="Arial"/>
          <w:color w:val="000000"/>
          <w:szCs w:val="24"/>
          <w:lang w:eastAsia="pl-PL" w:bidi="pl-PL"/>
        </w:rPr>
        <w:t xml:space="preserve">. </w:t>
      </w:r>
      <w:r w:rsidRPr="00177E3D">
        <w:rPr>
          <w:rFonts w:cs="Arial"/>
          <w:color w:val="000000"/>
          <w:szCs w:val="24"/>
          <w:lang w:eastAsia="pl-PL" w:bidi="pl-PL"/>
        </w:rPr>
        <w:t>skarżący</w:t>
      </w:r>
      <w:r w:rsidRPr="00177E3D">
        <w:rPr>
          <w:rFonts w:cs="Arial"/>
          <w:color w:val="000000"/>
          <w:szCs w:val="24"/>
          <w:lang w:eastAsia="pl-PL" w:bidi="pl-PL"/>
        </w:rPr>
        <w:t xml:space="preserve"> wni</w:t>
      </w:r>
      <w:r w:rsidRPr="00177E3D">
        <w:rPr>
          <w:rFonts w:cs="Arial"/>
          <w:color w:val="000000"/>
          <w:szCs w:val="24"/>
          <w:lang w:eastAsia="pl-PL" w:bidi="pl-PL"/>
        </w:rPr>
        <w:t>eśli</w:t>
      </w:r>
      <w:r w:rsidRPr="00177E3D">
        <w:rPr>
          <w:rFonts w:cs="Arial"/>
          <w:color w:val="000000"/>
          <w:szCs w:val="24"/>
          <w:lang w:eastAsia="pl-PL" w:bidi="pl-PL"/>
        </w:rPr>
        <w:t xml:space="preserve"> o uchylenie </w:t>
      </w:r>
      <w:r w:rsidRPr="00177E3D">
        <w:rPr>
          <w:rFonts w:cs="Arial"/>
          <w:color w:val="000000"/>
          <w:szCs w:val="24"/>
          <w:lang w:eastAsia="pl-PL" w:bidi="pl-PL"/>
        </w:rPr>
        <w:t>d</w:t>
      </w:r>
      <w:r w:rsidRPr="00177E3D">
        <w:rPr>
          <w:rFonts w:cs="Arial"/>
          <w:color w:val="000000"/>
          <w:szCs w:val="24"/>
          <w:lang w:eastAsia="pl-PL" w:bidi="pl-PL"/>
        </w:rPr>
        <w:t xml:space="preserve">ecyzji </w:t>
      </w:r>
      <w:r w:rsidRPr="00177E3D">
        <w:rPr>
          <w:rFonts w:cs="Arial"/>
          <w:color w:val="000000"/>
          <w:szCs w:val="24"/>
          <w:lang w:eastAsia="pl-PL" w:bidi="pl-PL"/>
        </w:rPr>
        <w:t xml:space="preserve">RDOŚ w Gdańsku z 19 grudnia 2025 r. </w:t>
      </w:r>
      <w:r w:rsidRPr="00177E3D">
        <w:rPr>
          <w:rFonts w:cs="Arial"/>
          <w:color w:val="000000"/>
          <w:szCs w:val="24"/>
          <w:lang w:eastAsia="pl-PL" w:bidi="pl-PL"/>
        </w:rPr>
        <w:t>w zaskarżonym zakresie</w:t>
      </w:r>
      <w:r w:rsidRPr="00177E3D">
        <w:rPr>
          <w:rFonts w:cs="Arial"/>
          <w:color w:val="000000"/>
          <w:szCs w:val="24"/>
          <w:lang w:eastAsia="pl-PL" w:bidi="pl-PL"/>
        </w:rPr>
        <w:t xml:space="preserve"> i przekazanie sprawy </w:t>
      </w:r>
      <w:r w:rsidRPr="00177E3D">
        <w:rPr>
          <w:rFonts w:cs="Arial"/>
          <w:color w:val="000000"/>
          <w:szCs w:val="24"/>
          <w:lang w:eastAsia="pl-PL" w:bidi="pl-PL"/>
        </w:rPr>
        <w:t>do ponownego rozpatrzenia o</w:t>
      </w:r>
      <w:r w:rsidRPr="00177E3D">
        <w:rPr>
          <w:rFonts w:cs="Arial"/>
          <w:color w:val="000000"/>
          <w:szCs w:val="24"/>
          <w:lang w:eastAsia="pl-PL" w:bidi="pl-PL"/>
        </w:rPr>
        <w:t xml:space="preserve">rganowi </w:t>
      </w:r>
      <w:r w:rsidRPr="00177E3D">
        <w:rPr>
          <w:rFonts w:cs="Arial"/>
          <w:color w:val="000000"/>
          <w:szCs w:val="24"/>
          <w:lang w:eastAsia="pl-PL" w:bidi="pl-PL"/>
        </w:rPr>
        <w:t>pierwszej</w:t>
      </w:r>
      <w:r w:rsidRPr="00177E3D">
        <w:rPr>
          <w:rFonts w:cs="Arial"/>
          <w:color w:val="000000"/>
          <w:szCs w:val="24"/>
          <w:lang w:eastAsia="pl-PL" w:bidi="pl-PL"/>
        </w:rPr>
        <w:t xml:space="preserve"> instancji</w:t>
      </w:r>
      <w:r w:rsidRPr="00177E3D">
        <w:rPr>
          <w:rFonts w:cs="Arial"/>
          <w:color w:val="000000"/>
          <w:szCs w:val="24"/>
          <w:lang w:eastAsia="pl-PL" w:bidi="pl-PL"/>
        </w:rPr>
        <w:t>.</w:t>
      </w:r>
    </w:p>
    <w:p w14:paraId="28961F91" w14:textId="77777777" w:rsidR="008558F5" w:rsidRPr="00177E3D" w:rsidRDefault="008558F5" w:rsidP="00F34BC1">
      <w:pPr>
        <w:spacing w:before="120" w:after="120"/>
        <w:rPr>
          <w:rFonts w:cs="Arial"/>
          <w:b/>
          <w:bCs/>
        </w:rPr>
      </w:pPr>
      <w:bookmarkStart w:id="20" w:name="_Hlk175577583"/>
      <w:bookmarkEnd w:id="19"/>
      <w:r w:rsidRPr="00177E3D">
        <w:rPr>
          <w:rFonts w:cs="Arial"/>
          <w:b/>
          <w:bCs/>
        </w:rPr>
        <w:t>GDOŚ ustalił i zważył, co następuje.</w:t>
      </w:r>
    </w:p>
    <w:bookmarkEnd w:id="20"/>
    <w:p w14:paraId="2245C4DC" w14:textId="77777777" w:rsidR="008558F5" w:rsidRPr="00177E3D" w:rsidRDefault="008558F5" w:rsidP="00F34BC1">
      <w:pPr>
        <w:rPr>
          <w:rFonts w:cs="Arial"/>
        </w:rPr>
      </w:pPr>
      <w:r w:rsidRPr="00177E3D">
        <w:rPr>
          <w:rFonts w:cs="Arial"/>
        </w:rPr>
        <w:t>Zgodnie z art. 127 § 2 k.p.a. w związku z art. 127 ust. 3 u.o.o.ś. GDOŚ jest organem właściwym do rozpatrzenia odwołań od decyzji regionalnych dyrektorów ochrony środowiska.</w:t>
      </w:r>
    </w:p>
    <w:p w14:paraId="699DF4D3" w14:textId="3DC0AD29" w:rsidR="008558F5" w:rsidRPr="00177E3D" w:rsidRDefault="008558F5" w:rsidP="005237F7">
      <w:pPr>
        <w:spacing w:before="120"/>
        <w:rPr>
          <w:rFonts w:cs="Arial"/>
        </w:rPr>
      </w:pPr>
      <w:r w:rsidRPr="00177E3D">
        <w:rPr>
          <w:rFonts w:cs="Arial"/>
        </w:rPr>
        <w:t xml:space="preserve">Biorąc pod uwagę, że w przedmiotowej sprawie liczba stron postępowania </w:t>
      </w:r>
      <w:r w:rsidRPr="00177E3D">
        <w:rPr>
          <w:rFonts w:cs="Arial"/>
        </w:rPr>
        <w:t>jest</w:t>
      </w:r>
      <w:r w:rsidRPr="00177E3D">
        <w:rPr>
          <w:rFonts w:cs="Arial"/>
        </w:rPr>
        <w:t xml:space="preserve"> większa niż 10, decyzja organu pierwszej instancji z </w:t>
      </w:r>
      <w:r w:rsidRPr="00177E3D">
        <w:rPr>
          <w:rFonts w:cs="Arial"/>
        </w:rPr>
        <w:t>19 grudnia 2025</w:t>
      </w:r>
      <w:r w:rsidRPr="00177E3D">
        <w:rPr>
          <w:rFonts w:cs="Arial"/>
          <w:color w:val="000000"/>
        </w:rPr>
        <w:t xml:space="preserve"> r. została doręczona stronom poprzez publiczne obwieszczenie, na podstawie art. 49 § 1 </w:t>
      </w:r>
      <w:r w:rsidRPr="00177E3D">
        <w:rPr>
          <w:rFonts w:cs="Arial"/>
          <w:iCs/>
          <w:color w:val="000000"/>
        </w:rPr>
        <w:t xml:space="preserve">k.p.a. w związku z art. 74 ust. 3 </w:t>
      </w:r>
      <w:r w:rsidRPr="00177E3D">
        <w:rPr>
          <w:rFonts w:cs="Arial"/>
          <w:color w:val="000000"/>
        </w:rPr>
        <w:t>u.o.o.ś. Zawiadomienie RD</w:t>
      </w:r>
      <w:r w:rsidRPr="00177E3D">
        <w:rPr>
          <w:rFonts w:cs="Arial"/>
        </w:rPr>
        <w:t xml:space="preserve">OŚ w Gdańsku z </w:t>
      </w:r>
      <w:r w:rsidRPr="00177E3D">
        <w:rPr>
          <w:rFonts w:cs="Arial"/>
        </w:rPr>
        <w:t>19 grudnia</w:t>
      </w:r>
      <w:r w:rsidRPr="00177E3D">
        <w:rPr>
          <w:rFonts w:cs="Arial"/>
        </w:rPr>
        <w:t xml:space="preserve"> 202</w:t>
      </w:r>
      <w:r w:rsidRPr="00177E3D">
        <w:rPr>
          <w:rFonts w:cs="Arial"/>
        </w:rPr>
        <w:t>5</w:t>
      </w:r>
      <w:r w:rsidRPr="00177E3D">
        <w:rPr>
          <w:rFonts w:cs="Arial"/>
        </w:rPr>
        <w:t xml:space="preserve"> r., znak: </w:t>
      </w:r>
      <w:r w:rsidRPr="00177E3D">
        <w:rPr>
          <w:rFonts w:cs="Arial"/>
        </w:rPr>
        <w:t>RDOŚ-Gd-WOO.420.26.2024.ES/MR.41</w:t>
      </w:r>
      <w:r w:rsidRPr="00177E3D">
        <w:rPr>
          <w:rFonts w:cs="Arial"/>
        </w:rPr>
        <w:t>,</w:t>
      </w:r>
      <w:r w:rsidRPr="00177E3D">
        <w:rPr>
          <w:rFonts w:cs="Arial"/>
          <w:color w:val="000000"/>
        </w:rPr>
        <w:t xml:space="preserve"> informujące strony o wydaniu decyzji, zostało upublicznione </w:t>
      </w:r>
      <w:r w:rsidRPr="00177E3D">
        <w:rPr>
          <w:rFonts w:cs="Arial"/>
        </w:rPr>
        <w:t>19 grudnia 2025</w:t>
      </w:r>
      <w:r w:rsidRPr="00177E3D">
        <w:rPr>
          <w:rFonts w:cs="Arial"/>
        </w:rPr>
        <w:t xml:space="preserve"> r. w B</w:t>
      </w:r>
      <w:r w:rsidRPr="00177E3D">
        <w:rPr>
          <w:rFonts w:cs="Arial"/>
        </w:rPr>
        <w:t>iuletynie Informacji Publicznej, a 20 grudnia 2025 r. na tablicy ogłoszeń</w:t>
      </w:r>
      <w:r w:rsidRPr="00177E3D">
        <w:rPr>
          <w:rFonts w:cs="Arial"/>
        </w:rPr>
        <w:t xml:space="preserve"> RDOŚ w Gdańsku. W myśl art. 49 § 1 k.p.a. decyzja z </w:t>
      </w:r>
      <w:r w:rsidRPr="00177E3D">
        <w:rPr>
          <w:rFonts w:cs="Arial"/>
        </w:rPr>
        <w:t xml:space="preserve">19 grudnia 2025 r. </w:t>
      </w:r>
      <w:r w:rsidRPr="00177E3D">
        <w:rPr>
          <w:rFonts w:cs="Arial"/>
        </w:rPr>
        <w:t xml:space="preserve">została zatem doręczona stronom postępowania </w:t>
      </w:r>
      <w:r w:rsidRPr="00177E3D">
        <w:rPr>
          <w:rFonts w:cs="Arial"/>
        </w:rPr>
        <w:t>3 stycznia 2026</w:t>
      </w:r>
      <w:r w:rsidRPr="00177E3D">
        <w:rPr>
          <w:rFonts w:cs="Arial"/>
        </w:rPr>
        <w:t> r., a termin na wniesienie odwołania</w:t>
      </w:r>
      <w:r w:rsidRPr="00177E3D">
        <w:rPr>
          <w:rFonts w:cs="Arial"/>
        </w:rPr>
        <w:t>, biorąc pod uwagę przepis art. 57 § 4 k.p.a.,</w:t>
      </w:r>
      <w:r w:rsidRPr="00177E3D">
        <w:rPr>
          <w:rFonts w:cs="Arial"/>
        </w:rPr>
        <w:t xml:space="preserve"> upłynął </w:t>
      </w:r>
      <w:r w:rsidRPr="00177E3D">
        <w:rPr>
          <w:rFonts w:cs="Arial"/>
        </w:rPr>
        <w:t>1</w:t>
      </w:r>
      <w:r w:rsidRPr="00177E3D">
        <w:rPr>
          <w:rFonts w:cs="Arial"/>
        </w:rPr>
        <w:t>9</w:t>
      </w:r>
      <w:r w:rsidRPr="00177E3D">
        <w:rPr>
          <w:rFonts w:cs="Arial"/>
        </w:rPr>
        <w:t xml:space="preserve"> stycznia 2026 r.</w:t>
      </w:r>
      <w:r w:rsidRPr="00177E3D">
        <w:rPr>
          <w:rFonts w:cs="Arial"/>
          <w:color w:val="000000"/>
        </w:rPr>
        <w:t xml:space="preserve"> </w:t>
      </w:r>
      <w:r w:rsidR="00900EF0">
        <w:rPr>
          <w:rFonts w:cs="Arial"/>
        </w:rPr>
        <w:t>(…)</w:t>
      </w:r>
      <w:r w:rsidRPr="00177E3D">
        <w:rPr>
          <w:rFonts w:cs="Arial"/>
        </w:rPr>
        <w:t xml:space="preserve"> i</w:t>
      </w:r>
      <w:r w:rsidRPr="00177E3D">
        <w:rPr>
          <w:rFonts w:cs="Arial"/>
        </w:rPr>
        <w:t> </w:t>
      </w:r>
      <w:r w:rsidR="00900EF0">
        <w:rPr>
          <w:rFonts w:cs="Arial"/>
        </w:rPr>
        <w:t>(…)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wni</w:t>
      </w:r>
      <w:r w:rsidRPr="00177E3D">
        <w:rPr>
          <w:rFonts w:cs="Arial"/>
        </w:rPr>
        <w:t>eśli</w:t>
      </w:r>
      <w:r w:rsidRPr="00177E3D">
        <w:rPr>
          <w:rFonts w:cs="Arial"/>
        </w:rPr>
        <w:t xml:space="preserve"> odwołani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1</w:t>
      </w:r>
      <w:r w:rsidRPr="00177E3D">
        <w:rPr>
          <w:rFonts w:cs="Arial"/>
        </w:rPr>
        <w:t>9 stycznia 2026 r.</w:t>
      </w:r>
      <w:r w:rsidRPr="00177E3D">
        <w:rPr>
          <w:rFonts w:cs="Arial"/>
        </w:rPr>
        <w:t xml:space="preserve"> Należy zatem ocenić, że odwołani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został</w:t>
      </w:r>
      <w:r w:rsidRPr="00177E3D">
        <w:rPr>
          <w:rFonts w:cs="Arial"/>
        </w:rPr>
        <w:t>y</w:t>
      </w:r>
      <w:r w:rsidRPr="00177E3D">
        <w:rPr>
          <w:rFonts w:cs="Arial"/>
        </w:rPr>
        <w:t xml:space="preserve"> wniesione z zachowaniem terminu określonego w art. 129 § 2</w:t>
      </w:r>
      <w:r w:rsidRPr="00177E3D">
        <w:rPr>
          <w:rFonts w:cs="Arial"/>
        </w:rPr>
        <w:t xml:space="preserve"> w związku z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art. 57 § 4 </w:t>
      </w:r>
      <w:r w:rsidRPr="00177E3D">
        <w:rPr>
          <w:rFonts w:cs="Arial"/>
        </w:rPr>
        <w:t>k.p.a.</w:t>
      </w:r>
    </w:p>
    <w:p w14:paraId="6BC638BD" w14:textId="051DE6E9" w:rsidR="008558F5" w:rsidRPr="00177E3D" w:rsidRDefault="00900EF0" w:rsidP="00CA6802">
      <w:pPr>
        <w:spacing w:before="120"/>
        <w:rPr>
          <w:rFonts w:cs="Arial"/>
        </w:rPr>
      </w:pPr>
      <w:r>
        <w:rPr>
          <w:rFonts w:cs="Arial"/>
        </w:rPr>
        <w:t>(…)</w:t>
      </w:r>
      <w:r w:rsidR="008558F5" w:rsidRPr="00177E3D">
        <w:rPr>
          <w:rFonts w:cs="Arial"/>
        </w:rPr>
        <w:t xml:space="preserve"> i </w:t>
      </w:r>
      <w:r>
        <w:rPr>
          <w:rFonts w:cs="Arial"/>
        </w:rPr>
        <w:t>(…)</w:t>
      </w:r>
      <w:r w:rsidR="008558F5" w:rsidRPr="00177E3D">
        <w:rPr>
          <w:rFonts w:cs="Arial"/>
        </w:rPr>
        <w:t xml:space="preserve"> posiadają przymiot strony postępowania ze względu na posiadanie prawa </w:t>
      </w:r>
      <w:r w:rsidR="008558F5" w:rsidRPr="00177E3D">
        <w:rPr>
          <w:rFonts w:cs="Arial"/>
          <w:spacing w:val="-2"/>
        </w:rPr>
        <w:t>rzeczowego do nieruchomości położonej w obszarze, na który będzie oddziaływać przedsięwzięcie w wariancie zaproponowanym przez wnioskodawcę</w:t>
      </w:r>
      <w:r w:rsidR="008558F5" w:rsidRPr="00177E3D">
        <w:rPr>
          <w:rFonts w:cs="Arial"/>
        </w:rPr>
        <w:t>, tj. działek ewid</w:t>
      </w:r>
      <w:r w:rsidR="008558F5" w:rsidRPr="00177E3D">
        <w:rPr>
          <w:rFonts w:cs="Arial"/>
        </w:rPr>
        <w:t>.</w:t>
      </w:r>
      <w:r w:rsidR="008558F5" w:rsidRPr="00177E3D">
        <w:rPr>
          <w:rFonts w:cs="Arial"/>
        </w:rPr>
        <w:t xml:space="preserve"> nr </w:t>
      </w:r>
      <w:r w:rsidR="008558F5" w:rsidRPr="00177E3D">
        <w:rPr>
          <w:lang w:eastAsia="pl-PL" w:bidi="pl-PL"/>
        </w:rPr>
        <w:t>19 i 22/3, obręb Bychowo, gmina Gniewino</w:t>
      </w:r>
      <w:r w:rsidR="008558F5" w:rsidRPr="00177E3D">
        <w:rPr>
          <w:rFonts w:cs="Arial"/>
          <w:color w:val="000000"/>
          <w:lang w:eastAsia="pl-PL" w:bidi="pl-PL"/>
        </w:rPr>
        <w:t>.</w:t>
      </w:r>
    </w:p>
    <w:p w14:paraId="2E7B8EB1" w14:textId="77777777" w:rsidR="008558F5" w:rsidRPr="00177E3D" w:rsidRDefault="008558F5" w:rsidP="005237F7">
      <w:pPr>
        <w:spacing w:before="120"/>
        <w:rPr>
          <w:rFonts w:cs="Arial"/>
        </w:rPr>
      </w:pPr>
      <w:r w:rsidRPr="00177E3D">
        <w:rPr>
          <w:rFonts w:cs="Arial"/>
          <w:szCs w:val="24"/>
        </w:rPr>
        <w:t>Przedmiotowy</w:t>
      </w:r>
      <w:r w:rsidRPr="00177E3D">
        <w:rPr>
          <w:rFonts w:cs="Arial"/>
          <w:color w:val="000000"/>
          <w:szCs w:val="24"/>
        </w:rPr>
        <w:t xml:space="preserve"> wniosek </w:t>
      </w:r>
      <w:r w:rsidRPr="00177E3D">
        <w:rPr>
          <w:rFonts w:cs="Arial"/>
          <w:szCs w:val="24"/>
        </w:rPr>
        <w:t xml:space="preserve">dotyczy przedsięwzięcia polegającego na </w:t>
      </w:r>
      <w:r w:rsidRPr="00177E3D">
        <w:rPr>
          <w:rFonts w:cs="Arial"/>
          <w:color w:val="000000"/>
          <w:lang w:eastAsia="pl-PL" w:bidi="pl-PL"/>
        </w:rPr>
        <w:t>przebudowie linii kolejowej nr 23</w:t>
      </w:r>
      <w:r w:rsidRPr="00177E3D">
        <w:rPr>
          <w:rFonts w:cs="Arial"/>
          <w:color w:val="000000"/>
          <w:lang w:eastAsia="pl-PL" w:bidi="pl-PL"/>
        </w:rPr>
        <w:t>0</w:t>
      </w:r>
      <w:r w:rsidRPr="00177E3D">
        <w:rPr>
          <w:rFonts w:cs="Arial"/>
          <w:color w:val="000000"/>
          <w:lang w:eastAsia="pl-PL" w:bidi="pl-PL"/>
        </w:rPr>
        <w:t xml:space="preserve"> </w:t>
      </w:r>
      <w:r w:rsidRPr="00177E3D">
        <w:rPr>
          <w:rFonts w:cs="Arial"/>
          <w:color w:val="000000"/>
          <w:lang w:eastAsia="pl-PL" w:bidi="pl-PL"/>
        </w:rPr>
        <w:t>oraz budowie nowego odcinka linii kolejowej nr 230n.</w:t>
      </w:r>
      <w:r w:rsidRPr="00177E3D">
        <w:rPr>
          <w:rFonts w:cs="Arial"/>
          <w:szCs w:val="24"/>
        </w:rPr>
        <w:t xml:space="preserve"> Omawiana inwestycja zalicza się do przedsięwzięć mogących </w:t>
      </w:r>
      <w:r w:rsidRPr="00177E3D">
        <w:rPr>
          <w:rFonts w:cs="Arial"/>
          <w:szCs w:val="24"/>
        </w:rPr>
        <w:t>potencjalnie</w:t>
      </w:r>
      <w:r w:rsidRPr="00177E3D">
        <w:rPr>
          <w:rFonts w:cs="Arial"/>
          <w:szCs w:val="24"/>
        </w:rPr>
        <w:t xml:space="preserve"> znacząco oddziaływać na środowisko, o</w:t>
      </w:r>
      <w:r w:rsidRPr="00177E3D">
        <w:rPr>
          <w:rFonts w:cs="Arial"/>
          <w:szCs w:val="24"/>
        </w:rPr>
        <w:t xml:space="preserve"> </w:t>
      </w:r>
      <w:r w:rsidRPr="00177E3D">
        <w:rPr>
          <w:rFonts w:cs="Arial"/>
          <w:szCs w:val="24"/>
        </w:rPr>
        <w:t>których mowa w </w:t>
      </w:r>
      <w:r w:rsidRPr="00177E3D">
        <w:rPr>
          <w:rFonts w:cs="Arial"/>
          <w:color w:val="000000"/>
          <w:szCs w:val="24"/>
        </w:rPr>
        <w:t>§ </w:t>
      </w:r>
      <w:r w:rsidRPr="00177E3D">
        <w:rPr>
          <w:rFonts w:cs="Arial"/>
          <w:color w:val="000000"/>
          <w:szCs w:val="24"/>
        </w:rPr>
        <w:t>3</w:t>
      </w:r>
      <w:r w:rsidRPr="00177E3D">
        <w:rPr>
          <w:rFonts w:cs="Arial"/>
          <w:color w:val="000000"/>
          <w:szCs w:val="24"/>
        </w:rPr>
        <w:t xml:space="preserve"> ust. </w:t>
      </w:r>
      <w:r w:rsidRPr="00177E3D">
        <w:rPr>
          <w:rFonts w:cs="Arial"/>
          <w:color w:val="000000"/>
          <w:szCs w:val="24"/>
        </w:rPr>
        <w:t>1</w:t>
      </w:r>
      <w:r w:rsidRPr="00177E3D">
        <w:rPr>
          <w:rFonts w:cs="Arial"/>
          <w:color w:val="000000"/>
          <w:szCs w:val="24"/>
        </w:rPr>
        <w:t xml:space="preserve"> pkt </w:t>
      </w:r>
      <w:r w:rsidRPr="00177E3D">
        <w:rPr>
          <w:rFonts w:cs="Arial"/>
          <w:color w:val="000000"/>
          <w:szCs w:val="24"/>
        </w:rPr>
        <w:t>60 i 62</w:t>
      </w:r>
      <w:r w:rsidRPr="00177E3D">
        <w:rPr>
          <w:rFonts w:cs="Arial"/>
          <w:color w:val="000000"/>
          <w:szCs w:val="24"/>
        </w:rPr>
        <w:t xml:space="preserve"> rozporządzenia Rady Ministrów z dnia 10 września 2019 r. w sprawie przedsięwzięć mogących znacząco oddziaływać na środowisko (Dz. U. poz. 1839</w:t>
      </w:r>
      <w:r w:rsidRPr="00177E3D">
        <w:rPr>
          <w:rFonts w:cs="Arial"/>
          <w:color w:val="000000"/>
          <w:szCs w:val="24"/>
        </w:rPr>
        <w:t>, ze zm.</w:t>
      </w:r>
      <w:r w:rsidRPr="00177E3D">
        <w:rPr>
          <w:rFonts w:cs="Arial"/>
          <w:color w:val="000000"/>
          <w:szCs w:val="24"/>
        </w:rPr>
        <w:t>)</w:t>
      </w:r>
      <w:r w:rsidRPr="00177E3D">
        <w:rPr>
          <w:rFonts w:cs="Arial"/>
          <w:color w:val="000000"/>
          <w:szCs w:val="24"/>
        </w:rPr>
        <w:t>, dalej r.o.o.ś.</w:t>
      </w:r>
      <w:r w:rsidRPr="00177E3D">
        <w:rPr>
          <w:rFonts w:cs="Arial"/>
          <w:color w:val="000000"/>
          <w:szCs w:val="24"/>
        </w:rPr>
        <w:t>, tj. </w:t>
      </w:r>
      <w:r w:rsidRPr="00177E3D">
        <w:rPr>
          <w:rFonts w:cs="Arial"/>
        </w:rPr>
        <w:t>linii kolejowych innych niż wymienione w § 2 ust. 1 pkt 29 r.o.o.ś</w:t>
      </w:r>
      <w:r w:rsidRPr="00177E3D">
        <w:rPr>
          <w:rFonts w:cs="Arial"/>
        </w:rPr>
        <w:t>. oraz dróg o nawierzchni twardej o całkowitej długości przedsięwzięcia powyżej 1 km innych niż wymienione w § 2 ust. 1 pkt 31 i 32 r.o.o.ś.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T</w:t>
      </w:r>
      <w:r w:rsidRPr="00177E3D">
        <w:rPr>
          <w:rFonts w:cs="Arial"/>
        </w:rPr>
        <w:t xml:space="preserve">ym samym, zgodnie z art. 71 ust. 2 pkt </w:t>
      </w:r>
      <w:r w:rsidRPr="00177E3D">
        <w:rPr>
          <w:rFonts w:cs="Arial"/>
        </w:rPr>
        <w:t>2</w:t>
      </w:r>
      <w:r w:rsidRPr="00177E3D">
        <w:rPr>
          <w:rFonts w:cs="Arial"/>
        </w:rPr>
        <w:t xml:space="preserve"> </w:t>
      </w:r>
      <w:r w:rsidRPr="00177E3D">
        <w:rPr>
          <w:rFonts w:cs="Arial"/>
          <w:iCs/>
        </w:rPr>
        <w:t>u</w:t>
      </w:r>
      <w:r w:rsidRPr="00177E3D">
        <w:rPr>
          <w:rFonts w:cs="Arial"/>
          <w:iCs/>
        </w:rPr>
        <w:t>.o.o.ś.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 xml:space="preserve">przedsięwzięcie to </w:t>
      </w:r>
      <w:r w:rsidRPr="00177E3D">
        <w:rPr>
          <w:rFonts w:cs="Arial"/>
        </w:rPr>
        <w:t>wymaga uzyskania decyzji o środowiskowych uwarunkowaniach.</w:t>
      </w:r>
      <w:r w:rsidRPr="00177E3D">
        <w:rPr>
          <w:rFonts w:cs="Arial"/>
        </w:rPr>
        <w:t xml:space="preserve"> Ponadto postanowieniem z 26 sierpnia 202</w:t>
      </w:r>
      <w:r w:rsidRPr="00177E3D">
        <w:rPr>
          <w:rFonts w:cs="Arial"/>
        </w:rPr>
        <w:t>4</w:t>
      </w:r>
      <w:r w:rsidRPr="00177E3D">
        <w:rPr>
          <w:rFonts w:cs="Arial"/>
        </w:rPr>
        <w:t xml:space="preserve"> r., znak: RDOŚ-Gd-WOO.</w:t>
      </w:r>
      <w:r w:rsidRPr="00177E3D">
        <w:t>420.26.2024.ES.9</w:t>
      </w:r>
      <w:r w:rsidRPr="00177E3D">
        <w:rPr>
          <w:rFonts w:cs="Arial"/>
        </w:rPr>
        <w:t>, RDOŚ w</w:t>
      </w:r>
      <w:r w:rsidRPr="00177E3D">
        <w:rPr>
          <w:rFonts w:cs="Arial"/>
        </w:rPr>
        <w:t> </w:t>
      </w:r>
      <w:r w:rsidRPr="00177E3D">
        <w:rPr>
          <w:rFonts w:cs="Arial"/>
        </w:rPr>
        <w:t>Gdańsku stwierdził potrzebę przeprowadzenia oceny oddziaływania przedsięwzięcia na środowisko oraz określił wymagany zakres raportu o</w:t>
      </w:r>
      <w:r w:rsidRPr="00177E3D">
        <w:rPr>
          <w:rFonts w:cs="Arial"/>
        </w:rPr>
        <w:t> </w:t>
      </w:r>
      <w:r w:rsidRPr="00177E3D">
        <w:rPr>
          <w:rFonts w:cs="Arial"/>
        </w:rPr>
        <w:t>oddziaływaniu przedsięwzięcia na środowisko.</w:t>
      </w:r>
    </w:p>
    <w:p w14:paraId="551DE2A8" w14:textId="77777777" w:rsidR="008558F5" w:rsidRPr="00177E3D" w:rsidRDefault="008558F5" w:rsidP="00597FCE">
      <w:pPr>
        <w:spacing w:before="120"/>
        <w:rPr>
          <w:rFonts w:cs="Arial"/>
        </w:rPr>
      </w:pPr>
      <w:r w:rsidRPr="00177E3D">
        <w:rPr>
          <w:rFonts w:cs="Arial"/>
          <w:szCs w:val="24"/>
        </w:rPr>
        <w:t xml:space="preserve">Właściwość rzeczowa </w:t>
      </w:r>
      <w:r w:rsidRPr="00177E3D">
        <w:rPr>
          <w:rFonts w:cs="Arial"/>
        </w:rPr>
        <w:t xml:space="preserve">RDOŚ w Gdańsku </w:t>
      </w:r>
      <w:r w:rsidRPr="00177E3D">
        <w:rPr>
          <w:rFonts w:cs="Arial"/>
          <w:szCs w:val="24"/>
        </w:rPr>
        <w:t xml:space="preserve">do wydania zaskarżonej decyzji </w:t>
      </w:r>
      <w:r w:rsidRPr="00177E3D">
        <w:rPr>
          <w:rFonts w:cs="Arial"/>
        </w:rPr>
        <w:t xml:space="preserve">wynika z art. 75 ust. 1 pkt 1 lit. t u.o.o.ś., </w:t>
      </w:r>
      <w:r w:rsidRPr="00177E3D">
        <w:rPr>
          <w:rFonts w:cs="Arial"/>
          <w:szCs w:val="24"/>
        </w:rPr>
        <w:t>zgodnie z którym w przypadku przedsięwzięć polegających na realizacji</w:t>
      </w:r>
      <w:r w:rsidRPr="00177E3D">
        <w:rPr>
          <w:rFonts w:cs="Arial"/>
        </w:rPr>
        <w:t xml:space="preserve"> linii kolejowej, organem właściwym do wydania decyzji o środowiskowych </w:t>
      </w:r>
      <w:r w:rsidRPr="00177E3D">
        <w:rPr>
          <w:rFonts w:cs="Arial"/>
        </w:rPr>
        <w:t xml:space="preserve">uwarunkowaniach jest regionalny dyrektor ochrony środowiska. Właściwość miejscową RDOŚ </w:t>
      </w:r>
      <w:r w:rsidRPr="00177E3D">
        <w:rPr>
          <w:rFonts w:cs="Arial"/>
        </w:rPr>
        <w:lastRenderedPageBreak/>
        <w:t>w Gdańsku do wydania zaskarżonej decyzji określa rozporządzenie Ministra Środowiska z dnia 10 listopada 2008 r. w sprawie nadania statutu Regionalnej Dyrekcji Ochrony Środowiska w Gdańsku (</w:t>
      </w:r>
      <w:r w:rsidRPr="00177E3D">
        <w:rPr>
          <w:rFonts w:cs="Arial"/>
          <w:bCs/>
        </w:rPr>
        <w:t>Dz. U. z 2025 r. poz. 989</w:t>
      </w:r>
      <w:r w:rsidRPr="00177E3D">
        <w:rPr>
          <w:rFonts w:cs="Arial"/>
          <w:bCs/>
          <w:szCs w:val="24"/>
        </w:rPr>
        <w:t xml:space="preserve">). </w:t>
      </w:r>
      <w:r w:rsidRPr="00177E3D">
        <w:rPr>
          <w:rFonts w:cs="Arial"/>
          <w:szCs w:val="24"/>
        </w:rPr>
        <w:t>Z rzeczonego</w:t>
      </w:r>
      <w:r w:rsidRPr="00177E3D">
        <w:rPr>
          <w:rFonts w:cs="Arial"/>
        </w:rPr>
        <w:t xml:space="preserve"> statutu wynika, że obszarem działalności RDOŚ w Gdańsku jest obszar województwa pomorskiego, będący miejscem realizacji omawianego przedsięwzięcia.</w:t>
      </w:r>
    </w:p>
    <w:p w14:paraId="768D365F" w14:textId="77777777" w:rsidR="008558F5" w:rsidRPr="00177E3D" w:rsidRDefault="008558F5" w:rsidP="005A398A">
      <w:pPr>
        <w:spacing w:before="120"/>
      </w:pPr>
      <w:r w:rsidRPr="00177E3D">
        <w:t>W przypadku omawianego przedsięwzięcia nie jest wymagana analiza zgodności jego lokalizacji z ustaleniami miejscowego planu zagospodarowania przestrzennego. Zgodnie z art. 80 ust. 2a w związku z art. 59a ust. 4 pkt 2 u.o.o.ś. linie kolejowe nie wymagają takiej analizy.</w:t>
      </w:r>
    </w:p>
    <w:p w14:paraId="226BD792" w14:textId="77777777" w:rsidR="008558F5" w:rsidRPr="00177E3D" w:rsidRDefault="008558F5" w:rsidP="005237F7">
      <w:pPr>
        <w:spacing w:before="120"/>
        <w:rPr>
          <w:rFonts w:cs="Arial"/>
        </w:rPr>
      </w:pPr>
      <w:bookmarkStart w:id="21" w:name="_Hlk99612275"/>
      <w:r w:rsidRPr="00177E3D">
        <w:rPr>
          <w:rFonts w:cs="Arial"/>
        </w:rPr>
        <w:t>Organ odwoławczy dokonał oceny prawidłowości i skuteczności istotnych warunków korzystania ze środowiska w fazie realizacji i eksploatacji lub użytkowania przedsięwzięcia, wymagań dotyczących ochrony środowiska</w:t>
      </w:r>
      <w:r w:rsidRPr="00177E3D">
        <w:rPr>
          <w:rFonts w:cs="Arial"/>
        </w:rPr>
        <w:t xml:space="preserve"> koniecznych do uwzględnienia w </w:t>
      </w:r>
      <w:r w:rsidRPr="00177E3D">
        <w:rPr>
          <w:rFonts w:cs="Arial"/>
        </w:rPr>
        <w:t>dokumentacji na dalszym etapie procesu inwestycyjnego oraz warunków mających na celu zapobieganie</w:t>
      </w:r>
      <w:r w:rsidRPr="00177E3D">
        <w:rPr>
          <w:rFonts w:cs="Arial"/>
        </w:rPr>
        <w:t xml:space="preserve"> i</w:t>
      </w:r>
      <w:r w:rsidRPr="00177E3D">
        <w:rPr>
          <w:rFonts w:cs="Arial"/>
        </w:rPr>
        <w:t> </w:t>
      </w:r>
      <w:r w:rsidRPr="00177E3D">
        <w:rPr>
          <w:rFonts w:cs="Arial"/>
        </w:rPr>
        <w:t>ograniczanie oddziaływań na środowisko, które zostały określone w zaskarżonej decyzji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Część sentencji decyzji</w:t>
      </w:r>
      <w:r w:rsidRPr="00177E3D">
        <w:rPr>
          <w:rFonts w:cs="Arial"/>
        </w:rPr>
        <w:t xml:space="preserve"> naruszała art. 107 § 1 pkt 3 k.p.a.</w:t>
      </w:r>
      <w:r w:rsidRPr="00177E3D">
        <w:rPr>
          <w:rFonts w:cs="Arial"/>
          <w:iCs/>
        </w:rPr>
        <w:t xml:space="preserve"> Ponadto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warunki określone w punktach: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2, </w:t>
      </w:r>
      <w:r w:rsidRPr="00177E3D">
        <w:rPr>
          <w:rFonts w:cs="Arial"/>
        </w:rPr>
        <w:t>I</w:t>
      </w:r>
      <w:r w:rsidRPr="00177E3D">
        <w:rPr>
          <w:rFonts w:cs="Arial"/>
        </w:rPr>
        <w:t>.3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</w:t>
      </w:r>
      <w:r w:rsidRPr="00177E3D">
        <w:rPr>
          <w:rFonts w:cs="Arial"/>
        </w:rPr>
        <w:t>.5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decyzji nie wypełniały wymogów określonych w art. 107 § 1</w:t>
      </w:r>
      <w:r w:rsidRPr="00177E3D">
        <w:rPr>
          <w:rFonts w:cs="Arial"/>
        </w:rPr>
        <w:t xml:space="preserve"> pkt</w:t>
      </w:r>
      <w:r w:rsidRPr="00177E3D">
        <w:rPr>
          <w:rFonts w:cs="Arial"/>
        </w:rPr>
        <w:t> </w:t>
      </w:r>
      <w:r w:rsidRPr="00177E3D">
        <w:rPr>
          <w:rFonts w:cs="Arial"/>
        </w:rPr>
        <w:t>5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k.p.a.</w:t>
      </w:r>
      <w:r w:rsidRPr="00177E3D">
        <w:rPr>
          <w:rFonts w:cs="Arial"/>
          <w:iCs/>
        </w:rPr>
        <w:t xml:space="preserve"> </w:t>
      </w:r>
      <w:r w:rsidRPr="00177E3D">
        <w:rPr>
          <w:rFonts w:cs="Arial"/>
        </w:rPr>
        <w:t xml:space="preserve">w związku z art. 82 </w:t>
      </w:r>
      <w:r w:rsidRPr="00177E3D">
        <w:rPr>
          <w:rFonts w:cs="Arial"/>
        </w:rPr>
        <w:t>ust. 1 pkt 1 lit.</w:t>
      </w:r>
      <w:r w:rsidRPr="00177E3D">
        <w:rPr>
          <w:rFonts w:cs="Arial"/>
        </w:rPr>
        <w:t> </w:t>
      </w:r>
      <w:r w:rsidRPr="00177E3D">
        <w:rPr>
          <w:rFonts w:cs="Arial"/>
        </w:rPr>
        <w:t>b i c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 xml:space="preserve">pkt 2 lit. </w:t>
      </w:r>
      <w:r w:rsidRPr="00177E3D">
        <w:rPr>
          <w:rFonts w:cs="Arial"/>
        </w:rPr>
        <w:t xml:space="preserve">a, </w:t>
      </w:r>
      <w:r w:rsidRPr="00177E3D">
        <w:rPr>
          <w:rFonts w:cs="Arial"/>
        </w:rPr>
        <w:t>b i c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oraz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pkt 5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u.o.o.ś.</w:t>
      </w:r>
      <w:r w:rsidRPr="00177E3D">
        <w:rPr>
          <w:rFonts w:cs="Arial"/>
        </w:rPr>
        <w:t xml:space="preserve"> Biorąc pod uwagę, że nieprawidłowo została określona </w:t>
      </w:r>
      <w:r w:rsidRPr="00177E3D">
        <w:rPr>
          <w:rFonts w:cs="Arial"/>
        </w:rPr>
        <w:t>duża część</w:t>
      </w:r>
      <w:r w:rsidRPr="00177E3D">
        <w:rPr>
          <w:rFonts w:cs="Arial"/>
        </w:rPr>
        <w:t xml:space="preserve"> warunków zawartych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decyzji </w:t>
      </w:r>
      <w:r w:rsidRPr="00177E3D">
        <w:rPr>
          <w:rFonts w:cs="Arial"/>
        </w:rPr>
        <w:t xml:space="preserve">RDOŚ w </w:t>
      </w:r>
      <w:r w:rsidRPr="00177E3D">
        <w:rPr>
          <w:rFonts w:cs="Arial"/>
        </w:rPr>
        <w:t xml:space="preserve">Gdańsku z </w:t>
      </w:r>
      <w:r w:rsidRPr="00177E3D">
        <w:rPr>
          <w:rFonts w:cs="Arial"/>
        </w:rPr>
        <w:t>19 stycznia 2025</w:t>
      </w:r>
      <w:r w:rsidRPr="00177E3D">
        <w:rPr>
          <w:rFonts w:cs="Arial"/>
        </w:rPr>
        <w:t xml:space="preserve"> r.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GDOŚ uchylił w całości</w:t>
      </w:r>
      <w:r w:rsidRPr="00177E3D">
        <w:rPr>
          <w:rFonts w:cs="Arial"/>
        </w:rPr>
        <w:t xml:space="preserve"> lub w</w:t>
      </w:r>
      <w:r w:rsidRPr="00177E3D">
        <w:rPr>
          <w:rFonts w:cs="Arial"/>
        </w:rPr>
        <w:t> </w:t>
      </w:r>
      <w:r w:rsidRPr="00177E3D">
        <w:rPr>
          <w:rFonts w:cs="Arial"/>
        </w:rPr>
        <w:t>części</w:t>
      </w:r>
      <w:r w:rsidRPr="00177E3D">
        <w:rPr>
          <w:rFonts w:cs="Arial"/>
        </w:rPr>
        <w:t xml:space="preserve"> punkty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.2,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.3, </w:t>
      </w:r>
      <w:r w:rsidRPr="00177E3D">
        <w:rPr>
          <w:rFonts w:cs="Arial"/>
        </w:rPr>
        <w:t>I</w:t>
      </w:r>
      <w:r w:rsidRPr="00177E3D">
        <w:rPr>
          <w:rFonts w:cs="Arial"/>
        </w:rPr>
        <w:t>.5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tej decyzji i w odmienny sposób </w:t>
      </w:r>
      <w:r w:rsidRPr="00177E3D">
        <w:rPr>
          <w:rFonts w:cs="Arial"/>
        </w:rPr>
        <w:t xml:space="preserve">określił </w:t>
      </w:r>
      <w:r w:rsidRPr="00177E3D">
        <w:rPr>
          <w:rFonts w:cs="Arial"/>
        </w:rPr>
        <w:t>środowiskowe uwarunkowania realizacji omawianego przedsięwzięcia.</w:t>
      </w:r>
      <w:bookmarkEnd w:id="21"/>
    </w:p>
    <w:p w14:paraId="1E39B5A9" w14:textId="77777777" w:rsidR="008558F5" w:rsidRPr="00177E3D" w:rsidRDefault="008558F5" w:rsidP="0070737F">
      <w:pPr>
        <w:pStyle w:val="western"/>
        <w:spacing w:before="120" w:beforeAutospacing="0" w:after="0" w:afterAutospacing="0" w:line="312" w:lineRule="auto"/>
        <w:rPr>
          <w:rFonts w:cs="Arial"/>
          <w:szCs w:val="22"/>
        </w:rPr>
      </w:pPr>
      <w:r w:rsidRPr="00177E3D">
        <w:rPr>
          <w:rFonts w:cs="Arial"/>
          <w:szCs w:val="22"/>
        </w:rPr>
        <w:t xml:space="preserve">Sentencja decyzji RDOŚ w Gdańsku z 19 grudnia 2025 r. w części: </w:t>
      </w:r>
      <w:r w:rsidRPr="00177E3D">
        <w:rPr>
          <w:rFonts w:cs="Arial"/>
          <w:i/>
          <w:iCs/>
          <w:szCs w:val="22"/>
        </w:rPr>
        <w:t xml:space="preserve">po rozpatrzeniu wniosku </w:t>
      </w:r>
      <w:r w:rsidRPr="00177E3D">
        <w:rPr>
          <w:rFonts w:cs="Arial"/>
          <w:szCs w:val="22"/>
        </w:rPr>
        <w:t>(…)</w:t>
      </w:r>
      <w:r w:rsidRPr="00177E3D">
        <w:rPr>
          <w:rFonts w:cs="Arial"/>
          <w:i/>
          <w:iCs/>
          <w:szCs w:val="22"/>
        </w:rPr>
        <w:t xml:space="preserve"> </w:t>
      </w:r>
      <w:r w:rsidRPr="00177E3D">
        <w:rPr>
          <w:rFonts w:cs="Arial"/>
          <w:i/>
          <w:iCs/>
          <w:color w:val="000000"/>
          <w:szCs w:val="22"/>
          <w:lang w:bidi="pl-PL"/>
        </w:rPr>
        <w:t>rozszerzonym o wnioskodawcę: Generalną Dyrekcję Dróg Krajowych i Autostrad Oddział w Gdańsku</w:t>
      </w:r>
      <w:r w:rsidRPr="00177E3D">
        <w:rPr>
          <w:rFonts w:cs="Arial"/>
          <w:color w:val="000000"/>
          <w:szCs w:val="22"/>
          <w:lang w:bidi="pl-PL"/>
        </w:rPr>
        <w:t xml:space="preserve"> </w:t>
      </w:r>
      <w:r w:rsidRPr="00177E3D">
        <w:rPr>
          <w:rFonts w:cs="Arial"/>
          <w:szCs w:val="22"/>
        </w:rPr>
        <w:t xml:space="preserve">naruszała </w:t>
      </w:r>
      <w:r w:rsidRPr="00177E3D">
        <w:rPr>
          <w:rFonts w:cs="Arial"/>
          <w:spacing w:val="-2"/>
          <w:szCs w:val="22"/>
        </w:rPr>
        <w:t xml:space="preserve">art. 107 § 1 pkt 3 k.p.a. przez nieprawidłowe oznaczenie adresata decyzji. Wniosek z 30 </w:t>
      </w:r>
      <w:r w:rsidRPr="00177E3D">
        <w:rPr>
          <w:rFonts w:cs="Arial"/>
          <w:spacing w:val="-2"/>
          <w:szCs w:val="22"/>
        </w:rPr>
        <w:t>kwietnia 2024 r., rozszerzony pismem z 21 listopada 2025 r.</w:t>
      </w:r>
      <w:r w:rsidRPr="00177E3D">
        <w:rPr>
          <w:rFonts w:cs="Arial"/>
          <w:spacing w:val="-2"/>
          <w:szCs w:val="22"/>
        </w:rPr>
        <w:t xml:space="preserve"> o </w:t>
      </w:r>
      <w:r w:rsidRPr="00177E3D">
        <w:rPr>
          <w:rFonts w:cs="Arial"/>
          <w:spacing w:val="-2"/>
          <w:szCs w:val="22"/>
        </w:rPr>
        <w:t>kolejnego wnioskodawcę, w istocie został złożony przez PKP Polskie Linie Kolejowe S.A. oraz Generalnego Dyrektora Dróg Krajowych i Autostrad</w:t>
      </w:r>
      <w:r w:rsidRPr="00177E3D">
        <w:rPr>
          <w:rFonts w:cs="Arial"/>
          <w:spacing w:val="-2"/>
          <w:szCs w:val="22"/>
        </w:rPr>
        <w:t xml:space="preserve">. Zgodnie z art. 19 ust. 2 pkt 1 ustawy z dnia 21 marca 1985 r. o drogach publicznych (Dz. U. z 2025 r. poz. 889) Generalny Dyrektor Dróg Krajowych i Autostrad jest zarządcą dróg krajowych, a także, co wynika z art. 20 pkt 3 tej ustawy, pełni funkcję inwestora. </w:t>
      </w:r>
      <w:r w:rsidRPr="00177E3D">
        <w:rPr>
          <w:rFonts w:cs="Arial"/>
          <w:szCs w:val="22"/>
        </w:rPr>
        <w:t xml:space="preserve">Wobec powyższego w pkt I niniejszej decyzji organ drugiej instancji uchylił część sentencji zaskarżonej decyzji i w to miejsce orzekł, iż </w:t>
      </w:r>
      <w:r w:rsidRPr="00177E3D">
        <w:rPr>
          <w:rFonts w:cs="Arial"/>
          <w:szCs w:val="22"/>
        </w:rPr>
        <w:t xml:space="preserve">drugim z </w:t>
      </w:r>
      <w:r w:rsidRPr="00177E3D">
        <w:rPr>
          <w:rFonts w:cs="Arial"/>
          <w:szCs w:val="22"/>
        </w:rPr>
        <w:t>wnioskodawc</w:t>
      </w:r>
      <w:r w:rsidRPr="00177E3D">
        <w:rPr>
          <w:rFonts w:cs="Arial"/>
          <w:szCs w:val="22"/>
        </w:rPr>
        <w:t>ów</w:t>
      </w:r>
      <w:r w:rsidRPr="00177E3D">
        <w:rPr>
          <w:rFonts w:cs="Arial"/>
          <w:szCs w:val="22"/>
        </w:rPr>
        <w:t xml:space="preserve"> jest Generalny Dyrektor Dróg Krajowych i Autostrad.</w:t>
      </w:r>
    </w:p>
    <w:p w14:paraId="26FAE206" w14:textId="77777777" w:rsidR="008558F5" w:rsidRPr="00177E3D" w:rsidRDefault="008558F5" w:rsidP="005237F7">
      <w:pPr>
        <w:pStyle w:val="western"/>
        <w:spacing w:before="120" w:beforeAutospacing="0" w:after="0" w:afterAutospacing="0" w:line="312" w:lineRule="auto"/>
        <w:rPr>
          <w:rFonts w:cs="Arial"/>
        </w:rPr>
      </w:pPr>
      <w:r w:rsidRPr="00177E3D">
        <w:rPr>
          <w:rFonts w:cs="Arial"/>
        </w:rPr>
        <w:t>Niektóre</w:t>
      </w:r>
      <w:r w:rsidRPr="00177E3D">
        <w:rPr>
          <w:rFonts w:cs="Arial"/>
        </w:rPr>
        <w:t xml:space="preserve"> warunk</w:t>
      </w:r>
      <w:r w:rsidRPr="00177E3D">
        <w:rPr>
          <w:rFonts w:cs="Arial"/>
        </w:rPr>
        <w:t xml:space="preserve">i </w:t>
      </w:r>
      <w:r w:rsidRPr="00177E3D">
        <w:rPr>
          <w:rFonts w:cs="Arial"/>
        </w:rPr>
        <w:t>wymienion</w:t>
      </w:r>
      <w:r w:rsidRPr="00177E3D">
        <w:rPr>
          <w:rFonts w:cs="Arial"/>
        </w:rPr>
        <w:t>e</w:t>
      </w:r>
      <w:r w:rsidRPr="00177E3D">
        <w:rPr>
          <w:rFonts w:cs="Arial"/>
        </w:rPr>
        <w:t xml:space="preserve"> w pkt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.2 </w:t>
      </w:r>
      <w:r w:rsidRPr="00177E3D">
        <w:rPr>
          <w:rFonts w:cs="Arial"/>
        </w:rPr>
        <w:t xml:space="preserve">decyzji </w:t>
      </w:r>
      <w:r w:rsidRPr="00177E3D">
        <w:rPr>
          <w:rFonts w:cs="Arial"/>
        </w:rPr>
        <w:t>RDOŚ w</w:t>
      </w:r>
      <w:r w:rsidRPr="00177E3D">
        <w:rPr>
          <w:rFonts w:cs="Arial"/>
        </w:rPr>
        <w:t xml:space="preserve"> Gdańsku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z</w:t>
      </w:r>
      <w:r w:rsidRPr="00177E3D">
        <w:rPr>
          <w:rFonts w:cs="Arial"/>
        </w:rPr>
        <w:t> </w:t>
      </w:r>
      <w:r w:rsidRPr="00177E3D">
        <w:rPr>
          <w:rFonts w:cs="Arial"/>
        </w:rPr>
        <w:t>19 grudnia 2025</w:t>
      </w:r>
      <w:r w:rsidRPr="00177E3D">
        <w:rPr>
          <w:rFonts w:cs="Arial"/>
        </w:rPr>
        <w:t xml:space="preserve"> r. </w:t>
      </w:r>
      <w:r w:rsidRPr="00177E3D">
        <w:rPr>
          <w:rFonts w:cs="Arial"/>
        </w:rPr>
        <w:t>został</w:t>
      </w:r>
      <w:r w:rsidRPr="00177E3D">
        <w:rPr>
          <w:rFonts w:cs="Arial"/>
        </w:rPr>
        <w:t>y</w:t>
      </w:r>
      <w:r w:rsidRPr="00177E3D">
        <w:rPr>
          <w:rFonts w:cs="Arial"/>
        </w:rPr>
        <w:t xml:space="preserve"> nałożon</w:t>
      </w:r>
      <w:r w:rsidRPr="00177E3D">
        <w:rPr>
          <w:rFonts w:cs="Arial"/>
        </w:rPr>
        <w:t>e</w:t>
      </w:r>
      <w:r w:rsidRPr="00177E3D">
        <w:rPr>
          <w:rFonts w:cs="Arial"/>
        </w:rPr>
        <w:t xml:space="preserve"> z naruszeniem przepisów art.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156 § 1 </w:t>
      </w:r>
      <w:r w:rsidRPr="00177E3D">
        <w:rPr>
          <w:rFonts w:cs="Arial"/>
        </w:rPr>
        <w:t>k.p.a.</w:t>
      </w:r>
      <w:r w:rsidRPr="00177E3D">
        <w:rPr>
          <w:rFonts w:cs="Arial"/>
        </w:rPr>
        <w:t>, a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szczególności z naruszeniem przepisów o właściwości organu lub bez p</w:t>
      </w:r>
      <w:r w:rsidRPr="00177E3D">
        <w:rPr>
          <w:rFonts w:cs="Arial"/>
        </w:rPr>
        <w:t>o</w:t>
      </w:r>
      <w:r w:rsidRPr="00177E3D">
        <w:rPr>
          <w:rFonts w:cs="Arial"/>
        </w:rPr>
        <w:t xml:space="preserve">dstawy prawnej do ich określenia. </w:t>
      </w:r>
      <w:r w:rsidRPr="00177E3D">
        <w:rPr>
          <w:rFonts w:cs="Arial"/>
          <w:bCs/>
        </w:rPr>
        <w:t>W orzecznictwie jako przypadek braku podstawy prawnej do wydania decyzji wskazuje się m.in. nałożenie na stronę obowiązku, w</w:t>
      </w:r>
      <w:r w:rsidRPr="00177E3D">
        <w:rPr>
          <w:rFonts w:cs="Arial"/>
          <w:bCs/>
        </w:rPr>
        <w:t> </w:t>
      </w:r>
      <w:r w:rsidRPr="00177E3D">
        <w:rPr>
          <w:rFonts w:cs="Arial"/>
          <w:bCs/>
        </w:rPr>
        <w:t>sytuacji gdy obowiązek ten wynika wprost z</w:t>
      </w:r>
      <w:r w:rsidRPr="00177E3D">
        <w:rPr>
          <w:rFonts w:cs="Arial"/>
          <w:bCs/>
        </w:rPr>
        <w:t> </w:t>
      </w:r>
      <w:r w:rsidRPr="00177E3D">
        <w:rPr>
          <w:rFonts w:cs="Arial"/>
          <w:bCs/>
        </w:rPr>
        <w:t>przepisu prawa (por.</w:t>
      </w:r>
      <w:r w:rsidRPr="00177E3D">
        <w:rPr>
          <w:rFonts w:cs="Arial"/>
          <w:bCs/>
        </w:rPr>
        <w:t xml:space="preserve"> </w:t>
      </w:r>
      <w:r w:rsidRPr="00177E3D">
        <w:rPr>
          <w:rFonts w:cs="Arial"/>
          <w:bCs/>
        </w:rPr>
        <w:t>wyroki: Naczelnego Sądu Administracyjnego w</w:t>
      </w:r>
      <w:r w:rsidRPr="00177E3D">
        <w:rPr>
          <w:rFonts w:cs="Arial"/>
          <w:bCs/>
        </w:rPr>
        <w:t> </w:t>
      </w:r>
      <w:r w:rsidRPr="00177E3D">
        <w:rPr>
          <w:rFonts w:cs="Arial"/>
          <w:bCs/>
        </w:rPr>
        <w:t>Warszawie z</w:t>
      </w:r>
      <w:r w:rsidRPr="00177E3D">
        <w:rPr>
          <w:rFonts w:cs="Arial"/>
          <w:bCs/>
        </w:rPr>
        <w:t xml:space="preserve"> </w:t>
      </w:r>
      <w:r w:rsidRPr="00177E3D">
        <w:rPr>
          <w:rFonts w:cs="Arial"/>
          <w:bCs/>
        </w:rPr>
        <w:t>27</w:t>
      </w:r>
      <w:r w:rsidRPr="00177E3D">
        <w:rPr>
          <w:rFonts w:cs="Arial"/>
          <w:bCs/>
        </w:rPr>
        <w:t> </w:t>
      </w:r>
      <w:r w:rsidRPr="00177E3D">
        <w:rPr>
          <w:rFonts w:cs="Arial"/>
          <w:bCs/>
        </w:rPr>
        <w:t>kwietnia 1983 r., sygn. akt: II SA 261/83; W</w:t>
      </w:r>
      <w:r w:rsidRPr="00177E3D">
        <w:rPr>
          <w:rFonts w:cs="Arial"/>
          <w:bCs/>
        </w:rPr>
        <w:t xml:space="preserve">ojewódzkiego </w:t>
      </w:r>
      <w:r w:rsidRPr="00177E3D">
        <w:rPr>
          <w:rFonts w:cs="Arial"/>
          <w:bCs/>
        </w:rPr>
        <w:t>S</w:t>
      </w:r>
      <w:r w:rsidRPr="00177E3D">
        <w:rPr>
          <w:rFonts w:cs="Arial"/>
          <w:bCs/>
        </w:rPr>
        <w:t xml:space="preserve">ądu </w:t>
      </w:r>
      <w:r w:rsidRPr="00177E3D">
        <w:rPr>
          <w:rFonts w:cs="Arial"/>
          <w:bCs/>
        </w:rPr>
        <w:t>A</w:t>
      </w:r>
      <w:r w:rsidRPr="00177E3D">
        <w:rPr>
          <w:rFonts w:cs="Arial"/>
          <w:bCs/>
        </w:rPr>
        <w:t>dministracyjnego</w:t>
      </w:r>
      <w:r w:rsidRPr="00177E3D">
        <w:rPr>
          <w:rFonts w:cs="Arial"/>
          <w:bCs/>
        </w:rPr>
        <w:t xml:space="preserve"> w</w:t>
      </w:r>
      <w:r w:rsidRPr="00177E3D">
        <w:rPr>
          <w:rFonts w:cs="Arial"/>
          <w:bCs/>
        </w:rPr>
        <w:t> </w:t>
      </w:r>
      <w:r w:rsidRPr="00177E3D">
        <w:rPr>
          <w:rFonts w:cs="Arial"/>
          <w:bCs/>
        </w:rPr>
        <w:t>Szczecinie z 7 stycznia 2013 r., sygn. akt II SA/Sz 1062/12). Z sytuacją taką mamy do czynienia w odniesieniu do następujących punktów decyzji</w:t>
      </w:r>
      <w:r w:rsidRPr="00177E3D">
        <w:rPr>
          <w:rFonts w:cs="Arial"/>
          <w:spacing w:val="-2"/>
        </w:rPr>
        <w:t>:</w:t>
      </w:r>
    </w:p>
    <w:p w14:paraId="01BDBA8E" w14:textId="77777777" w:rsidR="008558F5" w:rsidRPr="00177E3D" w:rsidRDefault="008558F5" w:rsidP="00233DBA">
      <w:pPr>
        <w:numPr>
          <w:ilvl w:val="0"/>
          <w:numId w:val="3"/>
        </w:numPr>
        <w:ind w:left="284" w:hanging="284"/>
      </w:pPr>
      <w:r w:rsidRPr="00177E3D">
        <w:lastRenderedPageBreak/>
        <w:t>I.2.1.1.2.5, I.2.1.1.2.6, I.2.1.40 – warunki te nie odnoszą się do kwestii związanych z ochroną środowiska, nałożenie tych warunków wykraczało poza właściwość rzeczową regionalnego dyrektora ochrony środowiska w postępowaniu w sprawie wydania decyzji o środowiskowych uwarunkowaniach;</w:t>
      </w:r>
    </w:p>
    <w:p w14:paraId="66AA79CE" w14:textId="77777777" w:rsidR="008558F5" w:rsidRPr="00177E3D" w:rsidRDefault="008558F5" w:rsidP="00C8066D">
      <w:pPr>
        <w:numPr>
          <w:ilvl w:val="0"/>
          <w:numId w:val="3"/>
        </w:numPr>
        <w:ind w:left="284" w:hanging="284"/>
      </w:pPr>
      <w:r w:rsidRPr="00177E3D">
        <w:t>I.2.1.25 w części dotyczącej obowiązku uzyskiwania decyzji derogacyjnych na odstępstwa od zakazów w stosunku do zwierząt, roślin i grzybów objętych ochroną gatunkową – obowiązek ten wynika z art. 56 u.o.p.;</w:t>
      </w:r>
    </w:p>
    <w:p w14:paraId="350FB1B9" w14:textId="77777777" w:rsidR="008558F5" w:rsidRPr="00177E3D" w:rsidRDefault="008558F5" w:rsidP="00C8066D">
      <w:pPr>
        <w:pStyle w:val="western"/>
        <w:numPr>
          <w:ilvl w:val="0"/>
          <w:numId w:val="3"/>
        </w:numPr>
        <w:spacing w:before="0" w:beforeAutospacing="0" w:after="0" w:afterAutospacing="0" w:line="312" w:lineRule="auto"/>
        <w:ind w:left="284" w:hanging="284"/>
        <w:rPr>
          <w:rStyle w:val="luchili"/>
          <w:rFonts w:eastAsia="Calibri" w:cs="Arial"/>
          <w:szCs w:val="22"/>
          <w:lang w:eastAsia="en-US"/>
        </w:rPr>
      </w:pPr>
      <w:r w:rsidRPr="00177E3D">
        <w:rPr>
          <w:rFonts w:cs="Arial"/>
        </w:rPr>
        <w:t>I.2.2.4 – obowiązek stosowania środków ochrony roślin w dawkach zalecanych przez producenta, dla których Minister Rolnictwa i Rozwoju Wsi wydał stosowne zezwolenie na wprowadzanie do obrotu i stosowania wynika z art. 7 ust. 6 pkt 3-6 ustawy z dnia 8 marca 2013 r. o środkach ochrony roślin</w:t>
      </w:r>
      <w:r w:rsidRPr="00177E3D">
        <w:rPr>
          <w:rStyle w:val="luchili"/>
          <w:rFonts w:cs="Arial"/>
          <w:bCs/>
        </w:rPr>
        <w:t xml:space="preserve"> (Dz. U. z 2024 r. poz. 630, ze zm.).</w:t>
      </w:r>
    </w:p>
    <w:p w14:paraId="3621E78A" w14:textId="77777777" w:rsidR="008558F5" w:rsidRPr="00177E3D" w:rsidRDefault="008558F5" w:rsidP="005237F7">
      <w:pPr>
        <w:spacing w:before="120"/>
        <w:rPr>
          <w:rFonts w:cs="Arial"/>
        </w:rPr>
      </w:pPr>
      <w:r w:rsidRPr="00177E3D">
        <w:rPr>
          <w:rFonts w:cs="Arial"/>
        </w:rPr>
        <w:t xml:space="preserve">Warunki orzeczone przez RDOŚ w Gdańsku w punktach: I.2.1.2, </w:t>
      </w:r>
      <w:r w:rsidRPr="00177E3D">
        <w:rPr>
          <w:rFonts w:cs="Arial"/>
        </w:rPr>
        <w:t xml:space="preserve">I.2.1.4, </w:t>
      </w:r>
      <w:r w:rsidRPr="00177E3D">
        <w:rPr>
          <w:rFonts w:cs="Arial"/>
        </w:rPr>
        <w:t xml:space="preserve">I.2.1.21, </w:t>
      </w:r>
      <w:r w:rsidRPr="00177E3D">
        <w:rPr>
          <w:rFonts w:cs="Arial"/>
        </w:rPr>
        <w:t xml:space="preserve">I.2.1.27, </w:t>
      </w:r>
      <w:r w:rsidRPr="00177E3D">
        <w:rPr>
          <w:rFonts w:cs="Arial"/>
        </w:rPr>
        <w:t xml:space="preserve">I.2.1.34, </w:t>
      </w:r>
      <w:r w:rsidRPr="00177E3D">
        <w:rPr>
          <w:rFonts w:cs="Arial"/>
        </w:rPr>
        <w:t>I.2.1.35,</w:t>
      </w:r>
      <w:r w:rsidRPr="00177E3D">
        <w:rPr>
          <w:rFonts w:cs="Arial"/>
        </w:rPr>
        <w:t xml:space="preserve"> I.2.1.41, I.2.1.43,</w:t>
      </w:r>
      <w:r w:rsidRPr="00177E3D">
        <w:rPr>
          <w:rFonts w:cs="Arial"/>
        </w:rPr>
        <w:t xml:space="preserve"> I.2.2.3, I.5.2 decyzji z 19 grudnia 2025 r. nie wypełniały wymogów określonych w art. 107 § 1 pkt 5 k.p.a. w związku z art. 82 ust. 1 pkt 1 lit. b i c oraz pkt 2 lit.</w:t>
      </w:r>
      <w:r w:rsidRPr="00177E3D">
        <w:rPr>
          <w:rFonts w:cs="Arial"/>
        </w:rPr>
        <w:t xml:space="preserve"> a,</w:t>
      </w:r>
      <w:r w:rsidRPr="00177E3D">
        <w:rPr>
          <w:rFonts w:cs="Arial"/>
        </w:rPr>
        <w:t xml:space="preserve"> b i c u.o.o.ś., bowiem zostały sformułowane w sposób nieprawidłowy. Użycie w treści warunków zwrotów takich jak: „w możliwie szerokim zakresie”, </w:t>
      </w:r>
      <w:r w:rsidRPr="00177E3D">
        <w:rPr>
          <w:rFonts w:cs="Arial"/>
        </w:rPr>
        <w:t xml:space="preserve">„w sposób wyraźny” </w:t>
      </w:r>
      <w:r w:rsidRPr="00177E3D">
        <w:rPr>
          <w:rFonts w:cs="Arial"/>
        </w:rPr>
        <w:t>„w miarę możliwości”, „</w:t>
      </w:r>
      <w:r w:rsidRPr="00177E3D">
        <w:rPr>
          <w:rFonts w:cs="Arial"/>
        </w:rPr>
        <w:t>ograniczenie do minimum</w:t>
      </w:r>
      <w:r w:rsidRPr="00177E3D">
        <w:rPr>
          <w:rFonts w:cs="Arial"/>
        </w:rPr>
        <w:t>”, „systematycznie oczyszczać” pozwala na szeroką swobodę interpretacyjną i znaczną dowolność ich wykonania, co więcej, może to wykonanie uniemożliwić. Warunki te były zbyt ogólne, nie wskazywały konkretnych działań i koniecznych do zastosowania rozwiązań technicznych, technologicznych i</w:t>
      </w:r>
      <w:r w:rsidRPr="00177E3D">
        <w:rPr>
          <w:rFonts w:cs="Arial"/>
        </w:rPr>
        <w:t> </w:t>
      </w:r>
      <w:r w:rsidRPr="00177E3D">
        <w:rPr>
          <w:rFonts w:cs="Arial"/>
        </w:rPr>
        <w:t>organizacyjnych mających na celu ograniczenie oddziaływania przedsięwzięcia na środowisko.</w:t>
      </w:r>
    </w:p>
    <w:p w14:paraId="4DBC7119" w14:textId="77777777" w:rsidR="008558F5" w:rsidRPr="00177E3D" w:rsidRDefault="008558F5" w:rsidP="005237F7">
      <w:pPr>
        <w:spacing w:before="120"/>
        <w:rPr>
          <w:rFonts w:cs="Arial"/>
        </w:rPr>
      </w:pPr>
      <w:r w:rsidRPr="00177E3D">
        <w:rPr>
          <w:rFonts w:cs="Arial"/>
        </w:rPr>
        <w:t xml:space="preserve">Z powyższych względów w pkt </w:t>
      </w:r>
      <w:r w:rsidRPr="00177E3D">
        <w:rPr>
          <w:rFonts w:cs="Arial"/>
        </w:rPr>
        <w:t>II</w:t>
      </w:r>
      <w:r w:rsidRPr="00177E3D">
        <w:rPr>
          <w:rFonts w:cs="Arial"/>
        </w:rPr>
        <w:t xml:space="preserve"> i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 xml:space="preserve"> niniejszego rozstrzygnięcia GDOŚ uchylił w całości pkt 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.2 i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.3 zaskarżonej decyzji i w to miejsce </w:t>
      </w:r>
      <w:r w:rsidRPr="00177E3D">
        <w:rPr>
          <w:rFonts w:cs="Arial"/>
        </w:rPr>
        <w:t>orzekł co do istoty sprawy. W</w:t>
      </w:r>
      <w:r w:rsidRPr="00177E3D">
        <w:rPr>
          <w:rFonts w:cs="Arial"/>
        </w:rPr>
        <w:t xml:space="preserve"> p</w:t>
      </w:r>
      <w:r w:rsidRPr="00177E3D">
        <w:rPr>
          <w:rFonts w:cs="Arial"/>
        </w:rPr>
        <w:t>kt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organ odwoławczy </w:t>
      </w:r>
      <w:r w:rsidRPr="00177E3D">
        <w:rPr>
          <w:rFonts w:cs="Arial"/>
        </w:rPr>
        <w:t xml:space="preserve">na nowo </w:t>
      </w:r>
      <w:r w:rsidRPr="00177E3D">
        <w:rPr>
          <w:rFonts w:cs="Arial"/>
        </w:rPr>
        <w:t>określił istotne warunki korzystania ze środowiska w fazie realizacji i</w:t>
      </w:r>
      <w:r w:rsidRPr="00177E3D">
        <w:rPr>
          <w:rFonts w:cs="Arial"/>
        </w:rPr>
        <w:t> </w:t>
      </w:r>
      <w:r w:rsidRPr="00177E3D">
        <w:rPr>
          <w:rFonts w:cs="Arial"/>
        </w:rPr>
        <w:t>eksploatacji przedsięwzięcia. Warunki te dotyczyły następujących zagadnień</w:t>
      </w:r>
      <w:r w:rsidRPr="00177E3D">
        <w:rPr>
          <w:rFonts w:cs="Arial"/>
        </w:rPr>
        <w:t>:</w:t>
      </w:r>
    </w:p>
    <w:p w14:paraId="514BAF5C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ochrony gleby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powierzchni ziemi</w:t>
      </w:r>
      <w:r w:rsidRPr="00177E3D">
        <w:rPr>
          <w:rFonts w:cs="Arial"/>
        </w:rPr>
        <w:t xml:space="preserve"> i środowiska gruntowo-wodnego</w:t>
      </w:r>
      <w:r w:rsidRPr="00177E3D">
        <w:rPr>
          <w:rFonts w:cs="Arial"/>
        </w:rPr>
        <w:t xml:space="preserve"> na etapie budowy</w:t>
      </w:r>
      <w:r w:rsidRPr="00177E3D">
        <w:rPr>
          <w:rFonts w:cs="Arial"/>
        </w:rPr>
        <w:t xml:space="preserve"> (pkt 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.1).</w:t>
      </w:r>
      <w:r w:rsidRPr="00177E3D">
        <w:rPr>
          <w:rFonts w:cs="Arial"/>
        </w:rPr>
        <w:t xml:space="preserve"> </w:t>
      </w:r>
      <w:r w:rsidRPr="00177E3D">
        <w:rPr>
          <w:rFonts w:cs="Arial"/>
          <w:lang w:bidi="en-US"/>
        </w:rPr>
        <w:t>Zdejmowanie humusu ma odbywać się poza okresem lęgowym większości gatunków ptaków i zgodnie z wytycznymi specjalistów z nadzoru przyrodniczego, co będzie służyło zmniejszeniu śmiertelności ptaków na etapie realizacji przedsięwzięcia. W treści warunku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GDOŚ doprecyzował </w:t>
      </w:r>
      <w:r w:rsidRPr="00177E3D">
        <w:rPr>
          <w:rFonts w:cs="Arial"/>
        </w:rPr>
        <w:t xml:space="preserve">również </w:t>
      </w:r>
      <w:r w:rsidRPr="00177E3D">
        <w:rPr>
          <w:rFonts w:cs="Arial"/>
        </w:rPr>
        <w:t xml:space="preserve">sposób </w:t>
      </w:r>
      <w:r w:rsidRPr="00177E3D">
        <w:rPr>
          <w:rFonts w:cs="Arial"/>
          <w:lang w:bidi="en-US"/>
        </w:rPr>
        <w:t xml:space="preserve">zabezpieczenia wierzchniej </w:t>
      </w:r>
      <w:r w:rsidRPr="00177E3D">
        <w:rPr>
          <w:rFonts w:cs="Arial"/>
        </w:rPr>
        <w:t xml:space="preserve">warstwy </w:t>
      </w:r>
      <w:r w:rsidRPr="00177E3D">
        <w:rPr>
          <w:rFonts w:cs="Arial"/>
          <w:lang w:bidi="en-US"/>
        </w:rPr>
        <w:t xml:space="preserve">gleby, aby nie </w:t>
      </w:r>
      <w:r w:rsidRPr="00177E3D">
        <w:rPr>
          <w:rFonts w:cs="Arial"/>
        </w:rPr>
        <w:t xml:space="preserve">straciła </w:t>
      </w:r>
      <w:r w:rsidRPr="00177E3D">
        <w:rPr>
          <w:rFonts w:cs="Arial"/>
          <w:lang w:bidi="en-US"/>
        </w:rPr>
        <w:t xml:space="preserve">swoich </w:t>
      </w:r>
      <w:r w:rsidRPr="00177E3D">
        <w:rPr>
          <w:rFonts w:cs="Arial"/>
        </w:rPr>
        <w:t xml:space="preserve">właściwości </w:t>
      </w:r>
      <w:r w:rsidRPr="00177E3D">
        <w:rPr>
          <w:rFonts w:cs="Arial"/>
          <w:lang w:bidi="en-US"/>
        </w:rPr>
        <w:t xml:space="preserve">i </w:t>
      </w:r>
      <w:r w:rsidRPr="00177E3D">
        <w:rPr>
          <w:rFonts w:cs="Arial"/>
        </w:rPr>
        <w:t xml:space="preserve">mogła zostać </w:t>
      </w:r>
      <w:r w:rsidRPr="00177E3D">
        <w:rPr>
          <w:rFonts w:cs="Arial"/>
          <w:lang w:bidi="en-US"/>
        </w:rPr>
        <w:t>ponownie wykorzystana</w:t>
      </w:r>
      <w:r w:rsidRPr="00177E3D">
        <w:rPr>
          <w:rFonts w:cs="Arial"/>
          <w:lang w:bidi="en-US"/>
        </w:rPr>
        <w:t>,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  <w:lang w:bidi="en-US"/>
        </w:rPr>
        <w:t xml:space="preserve">i </w:t>
      </w:r>
      <w:r w:rsidRPr="00177E3D">
        <w:rPr>
          <w:rFonts w:cs="Arial"/>
        </w:rPr>
        <w:t>o</w:t>
      </w:r>
      <w:r w:rsidRPr="00177E3D">
        <w:rPr>
          <w:rFonts w:cs="Arial"/>
        </w:rPr>
        <w:t>kreśl</w:t>
      </w:r>
      <w:r w:rsidRPr="00177E3D">
        <w:rPr>
          <w:rFonts w:cs="Arial"/>
        </w:rPr>
        <w:t>ił,</w:t>
      </w:r>
      <w:r w:rsidRPr="00177E3D">
        <w:rPr>
          <w:rFonts w:cs="Arial"/>
        </w:rPr>
        <w:t xml:space="preserve"> </w:t>
      </w:r>
      <w:r w:rsidRPr="00177E3D">
        <w:rPr>
          <w:rFonts w:cs="Arial"/>
          <w:lang w:bidi="en-US"/>
        </w:rPr>
        <w:t xml:space="preserve">w jaki </w:t>
      </w:r>
      <w:r w:rsidRPr="00177E3D">
        <w:rPr>
          <w:rFonts w:cs="Arial"/>
        </w:rPr>
        <w:t xml:space="preserve">sposób </w:t>
      </w:r>
      <w:r w:rsidRPr="00177E3D">
        <w:rPr>
          <w:rFonts w:cs="Arial"/>
        </w:rPr>
        <w:t xml:space="preserve">należy </w:t>
      </w:r>
      <w:r w:rsidRPr="00177E3D">
        <w:rPr>
          <w:rFonts w:cs="Arial"/>
        </w:rPr>
        <w:t xml:space="preserve">przygotować </w:t>
      </w:r>
      <w:r w:rsidRPr="00177E3D">
        <w:rPr>
          <w:rFonts w:cs="Arial"/>
          <w:lang w:bidi="en-US"/>
        </w:rPr>
        <w:t>pryzmy humusu</w:t>
      </w:r>
      <w:r w:rsidRPr="00177E3D">
        <w:rPr>
          <w:rFonts w:cs="Arial"/>
          <w:lang w:bidi="en-US"/>
        </w:rPr>
        <w:t>, co</w:t>
      </w:r>
      <w:r w:rsidRPr="00177E3D">
        <w:rPr>
          <w:rFonts w:cs="Arial"/>
          <w:lang w:bidi="en-US"/>
        </w:rPr>
        <w:t xml:space="preserve"> pozwoli na </w:t>
      </w:r>
      <w:r w:rsidRPr="00177E3D">
        <w:rPr>
          <w:rFonts w:cs="Arial"/>
        </w:rPr>
        <w:t xml:space="preserve">ochronę </w:t>
      </w:r>
      <w:r w:rsidRPr="00177E3D">
        <w:rPr>
          <w:rFonts w:cs="Arial"/>
          <w:lang w:bidi="en-US"/>
        </w:rPr>
        <w:t>m.in. przed je</w:t>
      </w:r>
      <w:r w:rsidRPr="00177E3D">
        <w:rPr>
          <w:rFonts w:cs="Arial"/>
          <w:lang w:bidi="en-US"/>
        </w:rPr>
        <w:t>go</w:t>
      </w:r>
      <w:r w:rsidRPr="00177E3D">
        <w:rPr>
          <w:rFonts w:cs="Arial"/>
          <w:lang w:bidi="en-US"/>
        </w:rPr>
        <w:t xml:space="preserve"> mechanicznym niszczeniem przez pojazdy budowlane</w:t>
      </w:r>
      <w:r w:rsidRPr="00177E3D">
        <w:rPr>
          <w:rFonts w:cs="Arial"/>
          <w:lang w:bidi="en-US"/>
        </w:rPr>
        <w:t xml:space="preserve">. </w:t>
      </w:r>
      <w:r w:rsidRPr="00177E3D">
        <w:rPr>
          <w:rFonts w:cs="Arial"/>
          <w:lang w:bidi="en-US"/>
        </w:rPr>
        <w:t xml:space="preserve">Aby zapobiec pogorszeniu właściwości magazynowanego humusu organ odwoławczy wskazał, że winien być on przechowywany w niewielkich pryzmach, co zapobiegnie zagęszczeniu gleby, a także zapewni jej odpowiednią strukturę, napowietrzenie, a także właściwości biologiczne. </w:t>
      </w:r>
      <w:r w:rsidRPr="00177E3D">
        <w:rPr>
          <w:rFonts w:cs="Arial"/>
          <w:lang w:bidi="en-US"/>
        </w:rPr>
        <w:t xml:space="preserve">Ponadto GDOŚ </w:t>
      </w:r>
      <w:r w:rsidRPr="00177E3D">
        <w:rPr>
          <w:rFonts w:cs="Arial"/>
          <w:lang w:bidi="en-US"/>
        </w:rPr>
        <w:t>określił obowiązki mające na celu zminimalizowanie ryzyka rozprzestrzeniania się inwazyjnych gatunków obcych w wyniku realizacji przedsięwzięcia</w:t>
      </w:r>
      <w:r w:rsidRPr="00177E3D">
        <w:rPr>
          <w:rFonts w:cs="Arial"/>
        </w:rPr>
        <w:t>;</w:t>
      </w:r>
    </w:p>
    <w:p w14:paraId="5F93501C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zasad ochrony środowiska związanych z funkcjonowaniem</w:t>
      </w:r>
      <w:r w:rsidRPr="00177E3D">
        <w:rPr>
          <w:rFonts w:cs="Arial"/>
        </w:rPr>
        <w:t xml:space="preserve"> placu</w:t>
      </w:r>
      <w:r w:rsidRPr="00177E3D">
        <w:rPr>
          <w:rFonts w:cs="Arial"/>
        </w:rPr>
        <w:t xml:space="preserve"> budowy i jego zaplecza</w:t>
      </w:r>
      <w:r w:rsidRPr="00177E3D">
        <w:rPr>
          <w:rFonts w:cs="Arial"/>
        </w:rPr>
        <w:t xml:space="preserve"> (pkt 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.2-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3</w:t>
      </w:r>
      <w:r w:rsidRPr="00177E3D">
        <w:rPr>
          <w:rFonts w:cs="Arial"/>
        </w:rPr>
        <w:t>)</w:t>
      </w:r>
      <w:r w:rsidRPr="00177E3D">
        <w:rPr>
          <w:rFonts w:cs="Arial"/>
        </w:rPr>
        <w:t xml:space="preserve">. </w:t>
      </w:r>
      <w:r w:rsidRPr="00177E3D">
        <w:rPr>
          <w:rFonts w:cs="Arial"/>
          <w:lang w:bidi="en-US"/>
        </w:rPr>
        <w:t xml:space="preserve">W warunkach tych </w:t>
      </w:r>
      <w:r w:rsidRPr="00177E3D">
        <w:rPr>
          <w:rFonts w:cs="Arial"/>
          <w:lang w:bidi="en-US"/>
        </w:rPr>
        <w:t xml:space="preserve">GDOŚ </w:t>
      </w:r>
      <w:r w:rsidRPr="00177E3D">
        <w:rPr>
          <w:rFonts w:cs="Arial"/>
          <w:lang w:bidi="en-US"/>
        </w:rPr>
        <w:t>określ</w:t>
      </w:r>
      <w:r w:rsidRPr="00177E3D">
        <w:rPr>
          <w:rFonts w:cs="Arial"/>
          <w:lang w:bidi="en-US"/>
        </w:rPr>
        <w:t>ił</w:t>
      </w:r>
      <w:r w:rsidRPr="00177E3D">
        <w:rPr>
          <w:rFonts w:cs="Arial"/>
          <w:lang w:bidi="en-US"/>
        </w:rPr>
        <w:t xml:space="preserve"> obowiązki inwestora służące zmniejszeniu presji etapu realizacji przedsięwzięcia na siedliska przyrodnicze, środowisko gruntow</w:t>
      </w:r>
      <w:r w:rsidRPr="00177E3D">
        <w:rPr>
          <w:rFonts w:cs="Arial"/>
          <w:lang w:bidi="en-US"/>
        </w:rPr>
        <w:t>o-wodne</w:t>
      </w:r>
      <w:r w:rsidRPr="00177E3D">
        <w:rPr>
          <w:rFonts w:cs="Arial"/>
          <w:lang w:bidi="en-US"/>
        </w:rPr>
        <w:t xml:space="preserve"> oraz społeczność lokalną. </w:t>
      </w:r>
      <w:r w:rsidRPr="00177E3D">
        <w:rPr>
          <w:rFonts w:cs="Arial"/>
          <w:lang w:bidi="en-US"/>
        </w:rPr>
        <w:t xml:space="preserve">Na podstawie ustaleń przedstawionych na str. </w:t>
      </w:r>
      <w:r w:rsidRPr="00177E3D">
        <w:rPr>
          <w:rFonts w:cs="Arial"/>
          <w:lang w:bidi="en-US"/>
        </w:rPr>
        <w:t>301-302</w:t>
      </w:r>
      <w:r w:rsidRPr="00177E3D">
        <w:rPr>
          <w:rFonts w:cs="Arial"/>
          <w:lang w:bidi="en-US"/>
        </w:rPr>
        <w:t xml:space="preserve">, </w:t>
      </w:r>
      <w:r w:rsidRPr="00177E3D">
        <w:rPr>
          <w:rFonts w:cs="Arial"/>
          <w:lang w:bidi="en-US"/>
        </w:rPr>
        <w:lastRenderedPageBreak/>
        <w:t>308</w:t>
      </w:r>
      <w:r w:rsidRPr="00177E3D">
        <w:rPr>
          <w:rFonts w:cs="Arial"/>
          <w:lang w:bidi="en-US"/>
        </w:rPr>
        <w:t xml:space="preserve"> raportu o</w:t>
      </w:r>
      <w:r w:rsidRPr="00177E3D">
        <w:rPr>
          <w:rFonts w:cs="Arial"/>
          <w:lang w:bidi="en-US"/>
        </w:rPr>
        <w:t>rgan do</w:t>
      </w:r>
      <w:r w:rsidRPr="00177E3D">
        <w:rPr>
          <w:rFonts w:cs="Arial"/>
          <w:lang w:bidi="en-US"/>
        </w:rPr>
        <w:t>precyzowa</w:t>
      </w:r>
      <w:r w:rsidRPr="00177E3D">
        <w:rPr>
          <w:rFonts w:cs="Arial"/>
          <w:lang w:bidi="en-US"/>
        </w:rPr>
        <w:t>ł</w:t>
      </w:r>
      <w:r w:rsidRPr="00177E3D">
        <w:rPr>
          <w:rFonts w:cs="Arial"/>
          <w:lang w:bidi="en-US"/>
        </w:rPr>
        <w:t xml:space="preserve"> uwarunkowania, które należy wziąć pod uwagę przy wyborze miejsc przeznaczonych pod zaplecza budowy</w:t>
      </w:r>
      <w:r w:rsidRPr="00177E3D">
        <w:rPr>
          <w:rFonts w:cs="Arial"/>
          <w:lang w:bidi="en-US"/>
        </w:rPr>
        <w:t>,</w:t>
      </w:r>
      <w:r w:rsidRPr="00177E3D">
        <w:rPr>
          <w:rFonts w:cs="Arial"/>
          <w:lang w:bidi="en-US"/>
        </w:rPr>
        <w:t xml:space="preserve"> </w:t>
      </w:r>
      <w:r w:rsidRPr="00177E3D">
        <w:rPr>
          <w:rFonts w:cs="Arial"/>
        </w:rPr>
        <w:t>kilometraż obszarów wymagających szczególnej ochrony</w:t>
      </w:r>
      <w:r w:rsidRPr="00177E3D">
        <w:rPr>
          <w:rFonts w:cs="Arial"/>
        </w:rPr>
        <w:t xml:space="preserve"> m.in.</w:t>
      </w:r>
      <w:r w:rsidRPr="00177E3D">
        <w:rPr>
          <w:rFonts w:cs="Arial"/>
        </w:rPr>
        <w:t xml:space="preserve">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uwagi na występowanie cennych gatunków flory i fauny</w:t>
      </w:r>
      <w:r w:rsidRPr="00177E3D">
        <w:rPr>
          <w:rFonts w:cs="Arial"/>
        </w:rPr>
        <w:t xml:space="preserve">, ryzyko powodzi, płytkie położenie wód gruntowych oraz </w:t>
      </w:r>
      <w:r w:rsidRPr="00177E3D">
        <w:rPr>
          <w:rFonts w:cs="Arial"/>
        </w:rPr>
        <w:t xml:space="preserve">sąsiedztwo </w:t>
      </w:r>
      <w:r w:rsidRPr="00177E3D">
        <w:rPr>
          <w:rFonts w:cs="Arial"/>
        </w:rPr>
        <w:t>zabudow</w:t>
      </w:r>
      <w:r w:rsidRPr="00177E3D">
        <w:rPr>
          <w:rFonts w:cs="Arial"/>
        </w:rPr>
        <w:t>y</w:t>
      </w:r>
      <w:r w:rsidRPr="00177E3D">
        <w:rPr>
          <w:rFonts w:cs="Arial"/>
        </w:rPr>
        <w:t xml:space="preserve"> mieszkaniow</w:t>
      </w:r>
      <w:r w:rsidRPr="00177E3D">
        <w:rPr>
          <w:rFonts w:cs="Arial"/>
        </w:rPr>
        <w:t>ej</w:t>
      </w:r>
      <w:r w:rsidRPr="00177E3D">
        <w:rPr>
          <w:rFonts w:cs="Arial"/>
        </w:rPr>
        <w:t xml:space="preserve">. Lokalizowanie zapleczy budowy (w szczególności: </w:t>
      </w:r>
      <w:r w:rsidRPr="00177E3D">
        <w:rPr>
          <w:rFonts w:cs="Arial"/>
          <w:bCs/>
        </w:rPr>
        <w:t xml:space="preserve">placów parkingowo-serwisowych, </w:t>
      </w:r>
      <w:r w:rsidRPr="00177E3D">
        <w:rPr>
          <w:rFonts w:cs="Arial"/>
        </w:rPr>
        <w:t>myjni maszyn i urządzeń oraz pojazdów budowlanych, miejsc magazynowania materiałów budowlanych oraz miejsc magazynowania odpadów)</w:t>
      </w:r>
      <w:r w:rsidRPr="00177E3D">
        <w:rPr>
          <w:rFonts w:cs="Arial"/>
        </w:rPr>
        <w:t xml:space="preserve"> wymagać będzie dodatkowego uszczelnienia podłoża w celu zapobiegania zanieczyszczeni</w:t>
      </w:r>
      <w:r w:rsidRPr="00177E3D">
        <w:rPr>
          <w:rFonts w:cs="Arial"/>
        </w:rPr>
        <w:t>u</w:t>
      </w:r>
      <w:r w:rsidRPr="00177E3D">
        <w:rPr>
          <w:rFonts w:cs="Arial"/>
        </w:rPr>
        <w:t xml:space="preserve"> gleby i wód substancjami </w:t>
      </w:r>
      <w:r w:rsidRPr="00177E3D">
        <w:rPr>
          <w:rFonts w:cs="Arial"/>
        </w:rPr>
        <w:t>mogącymi stanowić zagrożenie dla środowiska</w:t>
      </w:r>
      <w:r w:rsidRPr="00177E3D">
        <w:rPr>
          <w:rFonts w:cs="Arial"/>
        </w:rPr>
        <w:t>;</w:t>
      </w:r>
    </w:p>
    <w:p w14:paraId="31752D65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ochrony powietrza przed zanieczyszczeniem gazami i pyłami na etapie budowy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4</w:t>
      </w:r>
      <w:r w:rsidRPr="00177E3D">
        <w:rPr>
          <w:rFonts w:cs="Arial"/>
        </w:rPr>
        <w:t>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Na podstawie propozycji zawartych na str. </w:t>
      </w:r>
      <w:r w:rsidRPr="00177E3D">
        <w:rPr>
          <w:rFonts w:cs="Arial"/>
        </w:rPr>
        <w:t>303</w:t>
      </w:r>
      <w:r w:rsidRPr="00177E3D">
        <w:rPr>
          <w:rFonts w:cs="Arial"/>
        </w:rPr>
        <w:t xml:space="preserve"> raportu </w:t>
      </w:r>
      <w:r w:rsidRPr="00177E3D">
        <w:rPr>
          <w:rFonts w:cs="Arial"/>
        </w:rPr>
        <w:t xml:space="preserve">GDOŚ </w:t>
      </w:r>
      <w:r w:rsidRPr="00177E3D">
        <w:rPr>
          <w:rFonts w:cs="Arial"/>
        </w:rPr>
        <w:t>s</w:t>
      </w:r>
      <w:r w:rsidRPr="00177E3D">
        <w:rPr>
          <w:rFonts w:cs="Arial"/>
        </w:rPr>
        <w:t>formuł</w:t>
      </w:r>
      <w:r w:rsidRPr="00177E3D">
        <w:rPr>
          <w:rFonts w:cs="Arial"/>
        </w:rPr>
        <w:t>owa</w:t>
      </w:r>
      <w:r w:rsidRPr="00177E3D">
        <w:rPr>
          <w:rFonts w:cs="Arial"/>
        </w:rPr>
        <w:t>ł</w:t>
      </w:r>
      <w:r w:rsidRPr="00177E3D">
        <w:rPr>
          <w:rFonts w:cs="Arial"/>
        </w:rPr>
        <w:t xml:space="preserve"> warunki służące ograniczeniu wtórnego zapylenia na etapie realizacji inwestycji. Organ odwoławczy zaproponowa</w:t>
      </w:r>
      <w:r w:rsidRPr="00177E3D">
        <w:rPr>
          <w:rFonts w:cs="Arial"/>
        </w:rPr>
        <w:t xml:space="preserve">ł katalog </w:t>
      </w:r>
      <w:r w:rsidRPr="00177E3D">
        <w:rPr>
          <w:rFonts w:cs="Arial"/>
        </w:rPr>
        <w:t>rozwiązań technicznych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organizacyjnych </w:t>
      </w:r>
      <w:r w:rsidRPr="00177E3D">
        <w:rPr>
          <w:rFonts w:cs="Arial"/>
        </w:rPr>
        <w:t>obejmujących w</w:t>
      </w:r>
      <w:r w:rsidRPr="00177E3D">
        <w:rPr>
          <w:rFonts w:cs="Arial"/>
        </w:rPr>
        <w:t> </w:t>
      </w:r>
      <w:r w:rsidRPr="00177E3D">
        <w:rPr>
          <w:rFonts w:cs="Arial"/>
        </w:rPr>
        <w:t>szczególności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konieczność utrzymywania porządku na terenie placu i zaplecza budowy</w:t>
      </w:r>
      <w:r w:rsidRPr="00177E3D">
        <w:rPr>
          <w:rFonts w:cs="Arial"/>
        </w:rPr>
        <w:t xml:space="preserve"> i</w:t>
      </w:r>
      <w:r w:rsidRPr="00177E3D">
        <w:rPr>
          <w:rFonts w:cs="Arial"/>
        </w:rPr>
        <w:t xml:space="preserve"> ograniczania emisji </w:t>
      </w:r>
      <w:r w:rsidRPr="00177E3D">
        <w:rPr>
          <w:rFonts w:cs="Arial"/>
        </w:rPr>
        <w:t>wynikających z</w:t>
      </w:r>
      <w:r w:rsidRPr="00177E3D">
        <w:rPr>
          <w:rFonts w:cs="Arial"/>
        </w:rPr>
        <w:t xml:space="preserve"> budow</w:t>
      </w:r>
      <w:r w:rsidRPr="00177E3D">
        <w:rPr>
          <w:rFonts w:cs="Arial"/>
        </w:rPr>
        <w:t>y</w:t>
      </w:r>
      <w:r w:rsidRPr="00177E3D">
        <w:rPr>
          <w:rFonts w:cs="Arial"/>
        </w:rPr>
        <w:t xml:space="preserve"> nawierzchni dr</w:t>
      </w:r>
      <w:r w:rsidRPr="00177E3D">
        <w:rPr>
          <w:rFonts w:cs="Arial"/>
        </w:rPr>
        <w:t>óg związanych z realizacją LK</w:t>
      </w:r>
      <w:r w:rsidRPr="00177E3D">
        <w:rPr>
          <w:rFonts w:cs="Arial"/>
        </w:rPr>
        <w:t> </w:t>
      </w:r>
      <w:r w:rsidRPr="00177E3D">
        <w:rPr>
          <w:rFonts w:cs="Arial"/>
        </w:rPr>
        <w:t>nr</w:t>
      </w:r>
      <w:r w:rsidRPr="00177E3D">
        <w:rPr>
          <w:rFonts w:cs="Arial"/>
        </w:rPr>
        <w:t> </w:t>
      </w:r>
      <w:r w:rsidRPr="00177E3D">
        <w:rPr>
          <w:rFonts w:cs="Arial"/>
        </w:rPr>
        <w:t>230</w:t>
      </w:r>
      <w:r w:rsidRPr="00177E3D">
        <w:rPr>
          <w:rFonts w:cs="Arial"/>
        </w:rPr>
        <w:t>;</w:t>
      </w:r>
    </w:p>
    <w:p w14:paraId="775B52C1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ochrony przed drganiami na etapie budowy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I.</w:t>
      </w:r>
      <w:r w:rsidRPr="00177E3D">
        <w:rPr>
          <w:rFonts w:cs="Arial"/>
        </w:rPr>
        <w:t>5</w:t>
      </w:r>
      <w:r w:rsidRPr="00177E3D">
        <w:rPr>
          <w:rFonts w:cs="Arial"/>
        </w:rPr>
        <w:t>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Biorąc pod uwagę ustalenia zawarte na str. 297-298 raportu o</w:t>
      </w:r>
      <w:r w:rsidRPr="00177E3D">
        <w:rPr>
          <w:rFonts w:cs="Arial"/>
        </w:rPr>
        <w:t xml:space="preserve">rgan odwoławczy </w:t>
      </w:r>
      <w:r w:rsidRPr="00177E3D">
        <w:rPr>
          <w:rFonts w:cs="Arial"/>
        </w:rPr>
        <w:t>zdecydował o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konieczności</w:t>
      </w:r>
      <w:r w:rsidRPr="00177E3D">
        <w:rPr>
          <w:rFonts w:cs="Arial"/>
        </w:rPr>
        <w:t xml:space="preserve"> podjęcia działa</w:t>
      </w:r>
      <w:r w:rsidRPr="00177E3D">
        <w:rPr>
          <w:rFonts w:cs="Arial"/>
        </w:rPr>
        <w:t>ń</w:t>
      </w:r>
      <w:r w:rsidRPr="00177E3D">
        <w:rPr>
          <w:rFonts w:cs="Arial"/>
        </w:rPr>
        <w:t xml:space="preserve"> mając</w:t>
      </w:r>
      <w:r w:rsidRPr="00177E3D">
        <w:rPr>
          <w:rFonts w:cs="Arial"/>
        </w:rPr>
        <w:t>ych</w:t>
      </w:r>
      <w:r w:rsidRPr="00177E3D">
        <w:rPr>
          <w:rFonts w:cs="Arial"/>
        </w:rPr>
        <w:t xml:space="preserve"> na celu </w:t>
      </w:r>
      <w:r w:rsidRPr="00177E3D">
        <w:rPr>
          <w:rFonts w:cs="Arial"/>
        </w:rPr>
        <w:t xml:space="preserve">ograniczenie oddziaływania prowadzonych prac budowlanych na </w:t>
      </w:r>
      <w:r w:rsidRPr="00177E3D">
        <w:rPr>
          <w:rFonts w:cs="Arial"/>
        </w:rPr>
        <w:t>istniejąc</w:t>
      </w:r>
      <w:r w:rsidRPr="00177E3D">
        <w:rPr>
          <w:rFonts w:cs="Arial"/>
        </w:rPr>
        <w:t>e</w:t>
      </w:r>
      <w:r w:rsidRPr="00177E3D">
        <w:rPr>
          <w:rFonts w:cs="Arial"/>
        </w:rPr>
        <w:t xml:space="preserve"> zabudowa</w:t>
      </w:r>
      <w:r w:rsidRPr="00177E3D">
        <w:rPr>
          <w:rFonts w:cs="Arial"/>
        </w:rPr>
        <w:t>nia</w:t>
      </w:r>
      <w:r w:rsidRPr="00177E3D">
        <w:rPr>
          <w:rFonts w:cs="Arial"/>
        </w:rPr>
        <w:t>.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ocenie GDOŚ niezbędne będzie dokonanie wstępnej weryfikacji stanu technicznego budynków zlokalizowanych w odległości do </w:t>
      </w:r>
      <w:r w:rsidRPr="00177E3D">
        <w:rPr>
          <w:rFonts w:cs="Arial"/>
        </w:rPr>
        <w:t>2</w:t>
      </w:r>
      <w:r w:rsidRPr="00177E3D">
        <w:rPr>
          <w:rFonts w:cs="Arial"/>
        </w:rPr>
        <w:t>0 m od źródeł drgań</w:t>
      </w:r>
      <w:r w:rsidRPr="00177E3D">
        <w:rPr>
          <w:rFonts w:cs="Arial"/>
        </w:rPr>
        <w:t xml:space="preserve"> (a</w:t>
      </w:r>
      <w:r w:rsidRPr="00177E3D">
        <w:rPr>
          <w:rFonts w:cs="Arial"/>
        </w:rPr>
        <w:t> 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>przypadku zastosowania walców wibracyjnych – do 60 m)</w:t>
      </w:r>
      <w:r w:rsidRPr="00177E3D">
        <w:rPr>
          <w:rFonts w:cs="Arial"/>
        </w:rPr>
        <w:t>, a także ocena ich podatności na drgania. Na podstawie powyższego na etapie realizacji przedsięwzięcia inwestor będzie zobligowany do dostosowania parametrów pracy maszyn i urządzeń będących źródłem drgań do stwierdzonego stanu technicznego budynków znajdujących się w wyznaczonym zasięgu oddziaływania</w:t>
      </w:r>
      <w:r w:rsidRPr="00177E3D">
        <w:rPr>
          <w:rFonts w:cs="Arial"/>
        </w:rPr>
        <w:t xml:space="preserve"> (lit. d)</w:t>
      </w:r>
      <w:r w:rsidRPr="00177E3D">
        <w:rPr>
          <w:rFonts w:cs="Arial"/>
        </w:rPr>
        <w:t>. W </w:t>
      </w:r>
      <w:r w:rsidRPr="00177E3D">
        <w:rPr>
          <w:rFonts w:cs="Arial"/>
        </w:rPr>
        <w:t>lit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e-</w:t>
      </w:r>
      <w:r w:rsidRPr="00177E3D">
        <w:rPr>
          <w:rFonts w:cs="Arial"/>
        </w:rPr>
        <w:t>f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organ </w:t>
      </w:r>
      <w:r w:rsidRPr="00177E3D">
        <w:rPr>
          <w:rFonts w:cs="Arial"/>
        </w:rPr>
        <w:t>odwoławczy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wskazał</w:t>
      </w:r>
      <w:r w:rsidRPr="00177E3D">
        <w:rPr>
          <w:rFonts w:cs="Arial"/>
        </w:rPr>
        <w:t>, że powyższe działania powinny być prowadzone na podstawie zapisów zawartych w Polskich Normach przez osoby posiadające uprawnienia budowlane. Uszczegółowienie wymagań w</w:t>
      </w:r>
      <w:r w:rsidRPr="00177E3D">
        <w:rPr>
          <w:rFonts w:cs="Arial"/>
        </w:rPr>
        <w:t> </w:t>
      </w:r>
      <w:r w:rsidRPr="00177E3D">
        <w:rPr>
          <w:rFonts w:cs="Arial"/>
        </w:rPr>
        <w:t>tym zakresie uzasadnione było z uwagi na potrzebę ochrony budynków mieszkalnych i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innych dóbr materialnych zlokalizowanych w bezpośrednim sąsiedztwie omawianego przedsięwzięcia. </w:t>
      </w:r>
      <w:r w:rsidRPr="00177E3D">
        <w:rPr>
          <w:rFonts w:cs="Arial"/>
        </w:rPr>
        <w:t>W</w:t>
      </w:r>
      <w:r w:rsidRPr="00177E3D">
        <w:rPr>
          <w:rFonts w:cs="Arial"/>
        </w:rPr>
        <w:t xml:space="preserve">arunki </w:t>
      </w:r>
      <w:r w:rsidRPr="00177E3D">
        <w:rPr>
          <w:rFonts w:cs="Arial"/>
        </w:rPr>
        <w:t xml:space="preserve">te </w:t>
      </w:r>
      <w:r w:rsidRPr="00177E3D">
        <w:rPr>
          <w:rFonts w:cs="Arial"/>
        </w:rPr>
        <w:t>dotyczą w</w:t>
      </w:r>
      <w:r w:rsidRPr="00177E3D">
        <w:rPr>
          <w:rFonts w:cs="Arial"/>
        </w:rPr>
        <w:t> </w:t>
      </w:r>
      <w:r w:rsidRPr="00177E3D">
        <w:rPr>
          <w:rFonts w:cs="Arial"/>
        </w:rPr>
        <w:t>szczególności minimalizacji oddziaływań związanych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zagęszczaniem podłoża przy budowie nasypów </w:t>
      </w:r>
      <w:r w:rsidRPr="00177E3D">
        <w:rPr>
          <w:rFonts w:cs="Arial"/>
        </w:rPr>
        <w:t>przy użyciu w</w:t>
      </w:r>
      <w:r w:rsidRPr="00177E3D">
        <w:rPr>
          <w:rFonts w:cs="Arial"/>
        </w:rPr>
        <w:t>alców wibracyjnych. Urządzenia te,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świetle ustaleń zawartych w Polskiej Normie PN-B-02170:2016–12 – </w:t>
      </w:r>
      <w:r w:rsidRPr="00177E3D">
        <w:rPr>
          <w:rFonts w:cs="Arial"/>
          <w:i/>
        </w:rPr>
        <w:t>Ocena szkodliwości drgań przekazywanych przez podłoże na budynki</w:t>
      </w:r>
      <w:r w:rsidRPr="00177E3D">
        <w:rPr>
          <w:rFonts w:cs="Arial"/>
        </w:rPr>
        <w:t>, odnoszących się do typowego zasięgu występowania szkodliwych wibracji, mogą generować wibracje o</w:t>
      </w:r>
      <w:r w:rsidRPr="00177E3D">
        <w:rPr>
          <w:rFonts w:cs="Arial"/>
        </w:rPr>
        <w:t> </w:t>
      </w:r>
      <w:r w:rsidRPr="00177E3D">
        <w:rPr>
          <w:rFonts w:cs="Arial"/>
        </w:rPr>
        <w:t>największej intensywności w porównaniu z</w:t>
      </w:r>
      <w:r w:rsidRPr="00177E3D">
        <w:rPr>
          <w:rFonts w:cs="Arial"/>
        </w:rPr>
        <w:t> </w:t>
      </w:r>
      <w:r w:rsidRPr="00177E3D">
        <w:rPr>
          <w:rFonts w:cs="Arial"/>
        </w:rPr>
        <w:t>innymi maszynami budowlanymi</w:t>
      </w:r>
      <w:r w:rsidRPr="00177E3D">
        <w:rPr>
          <w:rFonts w:cs="Arial"/>
        </w:rPr>
        <w:t>;</w:t>
      </w:r>
    </w:p>
    <w:p w14:paraId="0582B8DE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ochrony przed hałasem na etapie budowy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6</w:t>
      </w:r>
      <w:r w:rsidRPr="00177E3D">
        <w:rPr>
          <w:rFonts w:cs="Arial"/>
        </w:rPr>
        <w:t>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Zgodnie z ustaleniami przedstawionymi na str. </w:t>
      </w:r>
      <w:r w:rsidRPr="00177E3D">
        <w:rPr>
          <w:rFonts w:cs="Arial"/>
        </w:rPr>
        <w:t>135-136</w:t>
      </w:r>
      <w:r w:rsidRPr="00177E3D">
        <w:rPr>
          <w:rFonts w:cs="Arial"/>
        </w:rPr>
        <w:t xml:space="preserve"> raportu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realizacj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przedsięwzięcia </w:t>
      </w:r>
      <w:r w:rsidRPr="00177E3D">
        <w:rPr>
          <w:rFonts w:cs="Arial"/>
        </w:rPr>
        <w:t xml:space="preserve">może </w:t>
      </w:r>
      <w:r w:rsidRPr="00177E3D">
        <w:rPr>
          <w:rFonts w:cs="Arial"/>
        </w:rPr>
        <w:t>wiązać się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tymczasowo </w:t>
      </w:r>
      <w:r w:rsidRPr="00177E3D">
        <w:rPr>
          <w:rFonts w:cs="Arial"/>
        </w:rPr>
        <w:t>znaczącą uciążliwoś</w:t>
      </w:r>
      <w:r w:rsidRPr="00177E3D">
        <w:rPr>
          <w:rFonts w:cs="Arial"/>
        </w:rPr>
        <w:t>cią</w:t>
      </w:r>
      <w:r w:rsidRPr="00177E3D">
        <w:rPr>
          <w:rFonts w:cs="Arial"/>
        </w:rPr>
        <w:t xml:space="preserve"> dla mieszkańców, których zabudowania położone będą w</w:t>
      </w:r>
      <w:r w:rsidRPr="00177E3D">
        <w:rPr>
          <w:rFonts w:cs="Arial"/>
        </w:rPr>
        <w:t> sąsiedztwie miej</w:t>
      </w:r>
      <w:r w:rsidRPr="00177E3D">
        <w:rPr>
          <w:rFonts w:cs="Arial"/>
        </w:rPr>
        <w:t>sc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prac</w:t>
      </w:r>
      <w:r w:rsidRPr="00177E3D">
        <w:rPr>
          <w:rFonts w:cs="Arial"/>
        </w:rPr>
        <w:t>y pojazdów i maszyn</w:t>
      </w:r>
      <w:r w:rsidRPr="00177E3D">
        <w:rPr>
          <w:rFonts w:cs="Arial"/>
        </w:rPr>
        <w:t xml:space="preserve"> budowlanych</w:t>
      </w:r>
      <w:r w:rsidRPr="00177E3D">
        <w:rPr>
          <w:rFonts w:cs="Arial"/>
        </w:rPr>
        <w:t xml:space="preserve">: </w:t>
      </w:r>
      <w:r w:rsidRPr="00177E3D">
        <w:rPr>
          <w:rFonts w:cs="Arial"/>
          <w:i/>
          <w:iCs/>
        </w:rPr>
        <w:t xml:space="preserve">przyjmując linię zabudowy o największej koncentracji budynków, w odległości 50 m od analizowanej linii kolejowej, </w:t>
      </w:r>
      <w:r w:rsidRPr="00177E3D">
        <w:rPr>
          <w:rFonts w:cs="Arial"/>
          <w:i/>
          <w:iCs/>
        </w:rPr>
        <w:lastRenderedPageBreak/>
        <w:t>można określić, iż przy założonej wcześniej mocy akustycznej źródła, wartość poziomu hałasu przy elewacji zabudowy będzie wynosiła około 69,0 dB(A)</w:t>
      </w:r>
      <w:r w:rsidRPr="00177E3D">
        <w:rPr>
          <w:rFonts w:cs="Arial"/>
        </w:rPr>
        <w:t xml:space="preserve"> (str. 136 raportu)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 xml:space="preserve">Stąd też </w:t>
      </w:r>
      <w:r w:rsidRPr="00177E3D">
        <w:rPr>
          <w:rFonts w:cs="Arial"/>
        </w:rPr>
        <w:t xml:space="preserve">należało ograniczyć </w:t>
      </w:r>
      <w:r w:rsidRPr="00177E3D">
        <w:rPr>
          <w:rFonts w:cs="Arial"/>
        </w:rPr>
        <w:t>możliwość</w:t>
      </w:r>
      <w:r w:rsidRPr="00177E3D">
        <w:rPr>
          <w:rFonts w:cs="Arial"/>
        </w:rPr>
        <w:t xml:space="preserve"> prowadzenia </w:t>
      </w:r>
      <w:r w:rsidRPr="00177E3D">
        <w:rPr>
          <w:rFonts w:cs="Arial"/>
        </w:rPr>
        <w:t>najbardziej hałaśliwych</w:t>
      </w:r>
      <w:r w:rsidRPr="00177E3D">
        <w:rPr>
          <w:rFonts w:cs="Arial"/>
        </w:rPr>
        <w:t xml:space="preserve"> prac budowlanych </w:t>
      </w:r>
      <w:r w:rsidRPr="00177E3D">
        <w:rPr>
          <w:rFonts w:cs="Arial"/>
        </w:rPr>
        <w:t>w porze nocy i w dni ustawowo wolne od pracy.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Z</w:t>
      </w:r>
      <w:r w:rsidRPr="00177E3D">
        <w:rPr>
          <w:rFonts w:cs="Arial"/>
        </w:rPr>
        <w:t xml:space="preserve">godnie z doświadczeniem i aktualną praktyką GDOŚ ustalił, że </w:t>
      </w:r>
      <w:r w:rsidRPr="00177E3D">
        <w:rPr>
          <w:rFonts w:cs="Arial"/>
        </w:rPr>
        <w:t>ograniczenie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obowiązuje</w:t>
      </w:r>
      <w:r w:rsidRPr="00177E3D">
        <w:rPr>
          <w:rFonts w:cs="Arial"/>
        </w:rPr>
        <w:t xml:space="preserve"> w odległości do </w:t>
      </w:r>
      <w:r w:rsidRPr="00177E3D">
        <w:rPr>
          <w:rFonts w:cs="Arial"/>
        </w:rPr>
        <w:t>1</w:t>
      </w:r>
      <w:r w:rsidRPr="00177E3D">
        <w:rPr>
          <w:rFonts w:cs="Arial"/>
        </w:rPr>
        <w:t>00 m od obszarów chronionych akustycznie</w:t>
      </w:r>
      <w:r w:rsidRPr="00177E3D">
        <w:rPr>
          <w:rFonts w:cs="Arial"/>
        </w:rPr>
        <w:t xml:space="preserve"> (tj. obszarów dla których określony jest maksymalny dopuszczalny poziom natężenia dźwięku)</w:t>
      </w:r>
      <w:r w:rsidRPr="00177E3D">
        <w:rPr>
          <w:rFonts w:cs="Arial"/>
        </w:rPr>
        <w:t>. Pozwoli to na zmniejszenie poziomu hałasu o ok. 6 dB w stosunku do prognozowanej wartości 69 dB w odległości 50 od zabudowy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>przypadku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robót </w:t>
      </w:r>
      <w:r w:rsidRPr="00177E3D">
        <w:rPr>
          <w:rFonts w:cs="Arial"/>
        </w:rPr>
        <w:t xml:space="preserve">wymagających </w:t>
      </w:r>
      <w:r w:rsidRPr="00177E3D">
        <w:rPr>
          <w:rFonts w:cs="Arial"/>
        </w:rPr>
        <w:t xml:space="preserve">zachowania ciągłości </w:t>
      </w:r>
      <w:r w:rsidRPr="00177E3D">
        <w:rPr>
          <w:rFonts w:cs="Arial"/>
        </w:rPr>
        <w:t>ze względów technologicznych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należy zastosować rozwiązania służące obniżeniu emisji hałasu</w:t>
      </w:r>
      <w:r w:rsidRPr="00177E3D">
        <w:rPr>
          <w:rFonts w:cs="Arial"/>
        </w:rPr>
        <w:t xml:space="preserve"> (w szczególności tymczasowe ekrany akustyczne)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Konieczne będzie</w:t>
      </w:r>
      <w:r w:rsidRPr="00177E3D">
        <w:rPr>
          <w:rFonts w:cs="Arial"/>
        </w:rPr>
        <w:t xml:space="preserve"> także wcześniejsze zawiadomienie mieszkańców i </w:t>
      </w:r>
      <w:r w:rsidRPr="00177E3D">
        <w:rPr>
          <w:rFonts w:cs="Arial"/>
        </w:rPr>
        <w:t xml:space="preserve">władz </w:t>
      </w:r>
      <w:r w:rsidRPr="00177E3D">
        <w:rPr>
          <w:rFonts w:cs="Arial"/>
        </w:rPr>
        <w:t xml:space="preserve">właściwego samorządu gminnego o miejscu i czasie trwania prac budowlanych. Rozwiązania te pozwolą na ograniczenie </w:t>
      </w:r>
      <w:r w:rsidRPr="00177E3D">
        <w:rPr>
          <w:rFonts w:cs="Arial"/>
        </w:rPr>
        <w:t xml:space="preserve">uciążliwości i </w:t>
      </w:r>
      <w:r w:rsidRPr="00177E3D">
        <w:rPr>
          <w:rFonts w:cs="Arial"/>
        </w:rPr>
        <w:t>negatywnego oddziaływania procesu budowlanego na klimat akustyczny</w:t>
      </w:r>
      <w:r w:rsidRPr="00177E3D">
        <w:rPr>
          <w:rFonts w:cs="Arial"/>
        </w:rPr>
        <w:t>;</w:t>
      </w:r>
    </w:p>
    <w:p w14:paraId="02FACEC8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gospodarowania odpadami na etapie budowy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7</w:t>
      </w:r>
      <w:r w:rsidRPr="00177E3D">
        <w:rPr>
          <w:rFonts w:cs="Arial"/>
        </w:rPr>
        <w:t>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Organ odwoławczy </w:t>
      </w:r>
      <w:r w:rsidRPr="00177E3D">
        <w:rPr>
          <w:rFonts w:cs="Arial"/>
        </w:rPr>
        <w:t>sformułowa</w:t>
      </w:r>
      <w:r w:rsidRPr="00177E3D">
        <w:rPr>
          <w:rFonts w:cs="Arial"/>
        </w:rPr>
        <w:t>ł</w:t>
      </w:r>
      <w:r w:rsidRPr="00177E3D">
        <w:rPr>
          <w:rFonts w:cs="Arial"/>
        </w:rPr>
        <w:t xml:space="preserve"> szczegółowe warunki dotyczące zasad gospodarowania odpadami na etapie realizacji przedsięwzięcia. Wymagania te wskazują na konieczność ustalenia miejsc gromadzenia </w:t>
      </w:r>
      <w:r w:rsidRPr="00177E3D">
        <w:rPr>
          <w:rFonts w:cs="Arial"/>
        </w:rPr>
        <w:t>poszczególnych</w:t>
      </w:r>
      <w:r w:rsidRPr="00177E3D">
        <w:rPr>
          <w:rFonts w:cs="Arial"/>
        </w:rPr>
        <w:t xml:space="preserve"> grup odpadów oraz zabezpieczenia tych miejsc przed skutkami ewentualnego wycieku substancji grożących skażeniem środowiska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Celem tych r</w:t>
      </w:r>
      <w:r w:rsidRPr="00177E3D">
        <w:rPr>
          <w:rFonts w:cs="Arial"/>
        </w:rPr>
        <w:t>ozwiąza</w:t>
      </w:r>
      <w:r w:rsidRPr="00177E3D">
        <w:rPr>
          <w:rFonts w:cs="Arial"/>
        </w:rPr>
        <w:t>ń jest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</w:t>
      </w:r>
      <w:r w:rsidRPr="00177E3D">
        <w:rPr>
          <w:rFonts w:cs="Arial"/>
        </w:rPr>
        <w:t>graniczenie negatywnego wpływu magazynowania odpadów na środowisko gruntowo-wodne</w:t>
      </w:r>
      <w:r w:rsidRPr="00177E3D">
        <w:rPr>
          <w:rFonts w:cs="Arial"/>
        </w:rPr>
        <w:t>;</w:t>
      </w:r>
    </w:p>
    <w:p w14:paraId="6ADB6F9F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zapewnienia nadzoru przyrodniczego nad realizacją przedsięwzięcia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8</w:t>
      </w:r>
      <w:r w:rsidRPr="00177E3D">
        <w:rPr>
          <w:rFonts w:cs="Arial"/>
        </w:rPr>
        <w:t>)</w:t>
      </w:r>
      <w:r w:rsidRPr="00177E3D">
        <w:rPr>
          <w:rFonts w:cs="Arial"/>
        </w:rPr>
        <w:t>. Warunki nałożone niniejszą decyzją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wymagają stałej weryfikacji, uzgodnień i nadzoru specjalistów (przyrodników), celem zapewnienia właściwej realizacji przedsięwzięcia, </w:t>
      </w:r>
      <w:r w:rsidRPr="00177E3D">
        <w:rPr>
          <w:rFonts w:cs="Arial"/>
        </w:rPr>
        <w:t>z uwagi na konieczność</w:t>
      </w:r>
      <w:r w:rsidRPr="00177E3D">
        <w:rPr>
          <w:rFonts w:cs="Arial"/>
        </w:rPr>
        <w:t xml:space="preserve"> minimalizacji</w:t>
      </w:r>
      <w:r w:rsidRPr="00177E3D">
        <w:rPr>
          <w:rFonts w:cs="Arial"/>
        </w:rPr>
        <w:t xml:space="preserve"> zagrożenia dla środowiska przyrodniczego. Wymagania określone w sentencji decyzji dotyczą różnych grup fauny</w:t>
      </w:r>
      <w:r w:rsidRPr="00177E3D">
        <w:rPr>
          <w:rFonts w:cs="Arial"/>
        </w:rPr>
        <w:t xml:space="preserve"> i flory</w:t>
      </w:r>
      <w:r w:rsidRPr="00177E3D">
        <w:rPr>
          <w:rFonts w:cs="Arial"/>
        </w:rPr>
        <w:t xml:space="preserve">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odpowiednie ich stosowanie wymaga specjalistycznej wiedzy z zakresu biologii danej grupy, a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także</w:t>
      </w:r>
      <w:r w:rsidRPr="00177E3D">
        <w:rPr>
          <w:rFonts w:cs="Arial"/>
        </w:rPr>
        <w:t xml:space="preserve"> znajomości</w:t>
      </w:r>
      <w:r w:rsidRPr="00177E3D">
        <w:rPr>
          <w:rFonts w:cs="Arial"/>
        </w:rPr>
        <w:t xml:space="preserve"> zagrożeń związanych z realizacją inwestycji. </w:t>
      </w:r>
      <w:r w:rsidRPr="00177E3D">
        <w:rPr>
          <w:rFonts w:cs="Arial"/>
        </w:rPr>
        <w:t>W treści warunku wymieniono prace, które powinny być prowadzone pod ich kierunkiem. Określono także, iż skład nadzoru należy każdorazowo dostosowywać do aktualnie prowadzonych prac oraz zobowiązano inwestora do przekazywania do GDOŚ i RDOŚ w Gdańsku corocznych sprawozdań z czynności prowadzonych przez nadzór przyrodniczy</w:t>
      </w:r>
      <w:r w:rsidRPr="00177E3D">
        <w:rPr>
          <w:rFonts w:cs="Arial"/>
        </w:rPr>
        <w:t>;</w:t>
      </w:r>
    </w:p>
    <w:p w14:paraId="7F5623F7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 xml:space="preserve">określenia obowiązku </w:t>
      </w:r>
      <w:r w:rsidRPr="00177E3D">
        <w:rPr>
          <w:rFonts w:cs="Arial"/>
        </w:rPr>
        <w:t>wy</w:t>
      </w:r>
      <w:r w:rsidRPr="00177E3D">
        <w:rPr>
          <w:rFonts w:cs="Arial"/>
        </w:rPr>
        <w:t xml:space="preserve">grodzenia </w:t>
      </w:r>
      <w:r w:rsidRPr="00177E3D">
        <w:rPr>
          <w:rFonts w:cs="Arial"/>
        </w:rPr>
        <w:t xml:space="preserve">siedlisk na etapie budowy </w:t>
      </w:r>
      <w:r w:rsidRPr="00177E3D">
        <w:rPr>
          <w:rFonts w:cs="Arial"/>
        </w:rPr>
        <w:t>(</w:t>
      </w:r>
      <w:r w:rsidRPr="00177E3D">
        <w:rPr>
          <w:rFonts w:cs="Arial"/>
        </w:rPr>
        <w:t xml:space="preserve">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>9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Z ustaleń przedstawionych na str. </w:t>
      </w:r>
      <w:r w:rsidRPr="00177E3D">
        <w:rPr>
          <w:rFonts w:cs="Arial"/>
        </w:rPr>
        <w:t>140-141, 155, 181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307-308</w:t>
      </w:r>
      <w:r w:rsidRPr="00177E3D">
        <w:rPr>
          <w:rFonts w:cs="Arial"/>
        </w:rPr>
        <w:t xml:space="preserve"> raportu wynika</w:t>
      </w:r>
      <w:r w:rsidRPr="00177E3D">
        <w:rPr>
          <w:rFonts w:cs="Arial"/>
        </w:rPr>
        <w:t xml:space="preserve">, że siedliskami wymagającymi szczególnej ochrony na etapie realizacji przedsięwzięcia są: </w:t>
      </w:r>
      <w:r w:rsidRPr="00177E3D">
        <w:rPr>
          <w:rFonts w:cs="Arial"/>
        </w:rPr>
        <w:t xml:space="preserve">6510 – Niżowe i górskie świeże łąki użytkowane ekstensywnie, </w:t>
      </w:r>
      <w:r w:rsidRPr="00177E3D">
        <w:rPr>
          <w:rFonts w:cs="Arial"/>
        </w:rPr>
        <w:t xml:space="preserve">9160 </w:t>
      </w:r>
      <w:r w:rsidRPr="00177E3D">
        <w:rPr>
          <w:rFonts w:cs="Arial"/>
        </w:rPr>
        <w:t xml:space="preserve">– </w:t>
      </w:r>
      <w:r w:rsidRPr="00177E3D">
        <w:rPr>
          <w:rFonts w:cs="Arial"/>
        </w:rPr>
        <w:t>Grąd subatlantycki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91E0 </w:t>
      </w:r>
      <w:r w:rsidRPr="00177E3D">
        <w:rPr>
          <w:rFonts w:cs="Arial"/>
        </w:rPr>
        <w:t>– Ł</w:t>
      </w:r>
      <w:r w:rsidRPr="00177E3D">
        <w:rPr>
          <w:rFonts w:cs="Arial"/>
        </w:rPr>
        <w:t>ęgi wierzbowe, topolowe, olszowe i jesionowe</w:t>
      </w:r>
      <w:r w:rsidRPr="00177E3D">
        <w:rPr>
          <w:rFonts w:cs="Arial"/>
        </w:rPr>
        <w:t xml:space="preserve">, 9130 </w:t>
      </w:r>
      <w:r w:rsidRPr="00177E3D">
        <w:rPr>
          <w:rFonts w:cs="Arial"/>
        </w:rPr>
        <w:t>– Ż</w:t>
      </w:r>
      <w:r w:rsidRPr="00177E3D">
        <w:rPr>
          <w:rFonts w:cs="Arial"/>
        </w:rPr>
        <w:t xml:space="preserve">yzne buczyny, 2180 </w:t>
      </w:r>
      <w:r w:rsidRPr="00177E3D">
        <w:rPr>
          <w:rFonts w:cs="Arial"/>
        </w:rPr>
        <w:t xml:space="preserve">– </w:t>
      </w:r>
      <w:r w:rsidRPr="00177E3D">
        <w:rPr>
          <w:rFonts w:cs="Arial"/>
        </w:rPr>
        <w:t>Lasy mieszane i bory na wydmach nadmorskich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Ogrodzeni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t</w:t>
      </w:r>
      <w:r w:rsidRPr="00177E3D">
        <w:rPr>
          <w:rFonts w:cs="Arial"/>
        </w:rPr>
        <w:t>e</w:t>
      </w:r>
      <w:r w:rsidRPr="00177E3D">
        <w:rPr>
          <w:rFonts w:cs="Arial"/>
        </w:rPr>
        <w:t xml:space="preserve"> ma</w:t>
      </w:r>
      <w:r w:rsidRPr="00177E3D">
        <w:rPr>
          <w:rFonts w:cs="Arial"/>
        </w:rPr>
        <w:t>ją</w:t>
      </w:r>
      <w:r w:rsidRPr="00177E3D">
        <w:rPr>
          <w:rFonts w:cs="Arial"/>
        </w:rPr>
        <w:t xml:space="preserve"> funkcjonować w okresie prowadzenia prac budowlanych i</w:t>
      </w:r>
      <w:r w:rsidRPr="00177E3D">
        <w:rPr>
          <w:rFonts w:cs="Arial"/>
        </w:rPr>
        <w:t> </w:t>
      </w:r>
      <w:r w:rsidRPr="00177E3D">
        <w:rPr>
          <w:rFonts w:cs="Arial"/>
        </w:rPr>
        <w:t>zapobiegać przypadkowemu zniszczeniu fragmentów cennych siedlisk przyrodniczyc</w:t>
      </w:r>
      <w:r w:rsidRPr="00177E3D">
        <w:rPr>
          <w:rFonts w:cs="Arial"/>
        </w:rPr>
        <w:t>h</w:t>
      </w:r>
      <w:r w:rsidRPr="00177E3D">
        <w:rPr>
          <w:rFonts w:cs="Arial"/>
        </w:rPr>
        <w:t xml:space="preserve"> wymienionych w </w:t>
      </w:r>
      <w:r w:rsidRPr="00177E3D">
        <w:rPr>
          <w:rFonts w:eastAsiaTheme="minorHAnsi" w:cs="Arial"/>
          <w:lang w:eastAsia="en-US"/>
        </w:rPr>
        <w:t xml:space="preserve">załączniku I </w:t>
      </w:r>
      <w:r w:rsidRPr="00177E3D">
        <w:rPr>
          <w:rFonts w:eastAsiaTheme="minorHAnsi" w:cs="Arial"/>
          <w:lang w:eastAsia="en-US"/>
        </w:rPr>
        <w:t>dyrektywy siedliskowej</w:t>
      </w:r>
      <w:r w:rsidRPr="00177E3D">
        <w:rPr>
          <w:rFonts w:cs="Arial"/>
        </w:rPr>
        <w:t>, pozostających poza zakresem prac, ale w bezpośredniej bliskości pasa budowy</w:t>
      </w:r>
      <w:r w:rsidRPr="00177E3D">
        <w:rPr>
          <w:rFonts w:cs="Arial"/>
        </w:rPr>
        <w:t>;</w:t>
      </w:r>
    </w:p>
    <w:p w14:paraId="26AEBF95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lastRenderedPageBreak/>
        <w:t xml:space="preserve">przenoszenia okazów </w:t>
      </w:r>
      <w:r w:rsidRPr="00177E3D">
        <w:rPr>
          <w:rFonts w:cs="Arial"/>
        </w:rPr>
        <w:t>wrzośca bagiennego</w:t>
      </w:r>
      <w:r w:rsidRPr="00177E3D">
        <w:rPr>
          <w:rFonts w:cs="Arial"/>
        </w:rPr>
        <w:t xml:space="preserve"> (pkt I</w:t>
      </w:r>
      <w:r w:rsidRPr="00177E3D">
        <w:rPr>
          <w:rFonts w:cs="Arial"/>
        </w:rPr>
        <w:t>I</w:t>
      </w:r>
      <w:r w:rsidRPr="00177E3D">
        <w:rPr>
          <w:rFonts w:cs="Arial"/>
        </w:rPr>
        <w:t>.1</w:t>
      </w:r>
      <w:r w:rsidRPr="00177E3D">
        <w:rPr>
          <w:rFonts w:cs="Arial"/>
        </w:rPr>
        <w:t>0</w:t>
      </w:r>
      <w:r w:rsidRPr="00177E3D">
        <w:rPr>
          <w:rFonts w:cs="Arial"/>
        </w:rPr>
        <w:t xml:space="preserve">). </w:t>
      </w:r>
      <w:r w:rsidRPr="00177E3D">
        <w:rPr>
          <w:rFonts w:cs="Arial"/>
        </w:rPr>
        <w:t xml:space="preserve">W związku z prawdopodobieństwem zniszczenia stanowisk chronionego gatunku </w:t>
      </w:r>
      <w:r w:rsidRPr="00177E3D">
        <w:rPr>
          <w:rFonts w:cs="Arial"/>
        </w:rPr>
        <w:t xml:space="preserve">tej </w:t>
      </w:r>
      <w:r w:rsidRPr="00177E3D">
        <w:rPr>
          <w:rFonts w:cs="Arial"/>
        </w:rPr>
        <w:t>rośliny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RDOŚ w Gdańsku nałożył obowiązek jego przesadzenia. W opinii </w:t>
      </w:r>
      <w:r w:rsidRPr="00177E3D">
        <w:rPr>
          <w:rFonts w:cs="Arial"/>
        </w:rPr>
        <w:t>GDOŚ</w:t>
      </w:r>
      <w:r w:rsidRPr="00177E3D">
        <w:rPr>
          <w:rFonts w:cs="Arial"/>
        </w:rPr>
        <w:t xml:space="preserve"> należało uszczegółowić zasady wykonania tej czynności i późniejszej pielęgnacji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a także wprowadzić obowiązek </w:t>
      </w:r>
      <w:r w:rsidRPr="00177E3D">
        <w:rPr>
          <w:rFonts w:cs="Arial"/>
        </w:rPr>
        <w:t>kontrolowania</w:t>
      </w:r>
      <w:r w:rsidRPr="00177E3D">
        <w:rPr>
          <w:rFonts w:cs="Arial"/>
        </w:rPr>
        <w:t xml:space="preserve"> udatności przesadzenia. </w:t>
      </w:r>
      <w:r w:rsidRPr="00177E3D">
        <w:rPr>
          <w:rFonts w:cs="Arial"/>
        </w:rPr>
        <w:t>Celem tych</w:t>
      </w:r>
      <w:r w:rsidRPr="00177E3D">
        <w:rPr>
          <w:rFonts w:cs="Arial"/>
        </w:rPr>
        <w:t xml:space="preserve"> działa</w:t>
      </w:r>
      <w:r w:rsidRPr="00177E3D">
        <w:rPr>
          <w:rFonts w:cs="Arial"/>
        </w:rPr>
        <w:t>ń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jest zwiększenie</w:t>
      </w:r>
      <w:r w:rsidRPr="00177E3D">
        <w:rPr>
          <w:rFonts w:cs="Arial"/>
        </w:rPr>
        <w:t xml:space="preserve"> udatności przesadzenia roślin</w:t>
      </w:r>
      <w:r w:rsidRPr="00177E3D">
        <w:rPr>
          <w:rFonts w:cs="Arial"/>
        </w:rPr>
        <w:t>;</w:t>
      </w:r>
    </w:p>
    <w:p w14:paraId="18F86C8E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 xml:space="preserve">zasad prowadzenia wycinki </w:t>
      </w:r>
      <w:r w:rsidRPr="00177E3D">
        <w:rPr>
          <w:rFonts w:cs="Arial"/>
        </w:rPr>
        <w:t>roślin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.1</w:t>
      </w:r>
      <w:r w:rsidRPr="00177E3D">
        <w:rPr>
          <w:rFonts w:cs="Arial"/>
        </w:rPr>
        <w:t>1</w:t>
      </w:r>
      <w:r w:rsidRPr="00177E3D">
        <w:rPr>
          <w:rFonts w:cs="Arial"/>
        </w:rPr>
        <w:t>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GDOŚ wskazał, że prowadzenie wycinki drzew</w:t>
      </w:r>
      <w:r w:rsidRPr="00177E3D">
        <w:rPr>
          <w:rFonts w:cs="Arial"/>
        </w:rPr>
        <w:t xml:space="preserve"> i </w:t>
      </w:r>
      <w:r w:rsidRPr="00177E3D">
        <w:rPr>
          <w:rFonts w:cs="Arial"/>
        </w:rPr>
        <w:t>krzewów</w:t>
      </w:r>
      <w:r w:rsidRPr="00177E3D">
        <w:rPr>
          <w:rFonts w:cs="Arial"/>
        </w:rPr>
        <w:t xml:space="preserve"> d</w:t>
      </w:r>
      <w:r w:rsidRPr="00177E3D">
        <w:rPr>
          <w:rFonts w:cs="Arial"/>
        </w:rPr>
        <w:t>opuszczalne jest wyłącznie poza okresem lęgowym ptaków</w:t>
      </w:r>
      <w:r w:rsidRPr="00177E3D">
        <w:rPr>
          <w:rFonts w:cs="Arial"/>
        </w:rPr>
        <w:t xml:space="preserve"> (pkt II.11.a)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>opinii organu odwoławczego powierzchnia przeznaczona do wycinki jest znacz</w:t>
      </w:r>
      <w:r w:rsidRPr="00177E3D">
        <w:rPr>
          <w:rFonts w:cs="Arial"/>
        </w:rPr>
        <w:t>ąc</w:t>
      </w:r>
      <w:r w:rsidRPr="00177E3D">
        <w:rPr>
          <w:rFonts w:cs="Arial"/>
        </w:rPr>
        <w:t>a (136</w:t>
      </w:r>
      <w:r w:rsidRPr="00177E3D">
        <w:rPr>
          <w:rFonts w:cs="Arial"/>
        </w:rPr>
        <w:t> </w:t>
      </w:r>
      <w:r w:rsidRPr="00177E3D">
        <w:rPr>
          <w:rFonts w:cs="Arial"/>
        </w:rPr>
        <w:t>ha drzew i</w:t>
      </w:r>
      <w:r w:rsidRPr="00177E3D">
        <w:rPr>
          <w:rFonts w:cs="Arial"/>
        </w:rPr>
        <w:t> </w:t>
      </w:r>
      <w:r w:rsidRPr="00177E3D">
        <w:rPr>
          <w:rFonts w:cs="Arial"/>
        </w:rPr>
        <w:t>krzewów) i w związku z tym nie</w:t>
      </w:r>
      <w:r w:rsidRPr="00177E3D">
        <w:rPr>
          <w:rFonts w:cs="Arial"/>
        </w:rPr>
        <w:t xml:space="preserve"> będzie </w:t>
      </w:r>
      <w:r w:rsidRPr="00177E3D">
        <w:rPr>
          <w:rFonts w:cs="Arial"/>
        </w:rPr>
        <w:t xml:space="preserve">możliwe przeprowadzenie rzetelnej kontroli ornitologicznej w krótkim czasie na tak rozległej powierzchni. Ponadto kontrola ornitologiczna nie </w:t>
      </w:r>
      <w:r w:rsidRPr="00177E3D">
        <w:rPr>
          <w:rFonts w:cs="Arial"/>
        </w:rPr>
        <w:t>jest</w:t>
      </w:r>
      <w:r w:rsidRPr="00177E3D">
        <w:rPr>
          <w:rFonts w:cs="Arial"/>
        </w:rPr>
        <w:t xml:space="preserve"> w stanie wykluczyć obecności stanowisk lęgowych występujących wysoko w koronach drzew. Ptaki z natury budują gniazda w ukryciu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np. przed drapieżnikami, </w:t>
      </w:r>
      <w:r w:rsidRPr="00177E3D">
        <w:rPr>
          <w:rFonts w:cs="Arial"/>
        </w:rPr>
        <w:t xml:space="preserve">ponadto gniazda </w:t>
      </w:r>
      <w:r w:rsidRPr="00177E3D">
        <w:rPr>
          <w:rFonts w:cs="Arial"/>
        </w:rPr>
        <w:t xml:space="preserve">mogą znajdować się w rozwidleniach konarów, w dziuplach, a nawet na fragmentach odstającej kory, czy w miejscach po wyłamanych konarach. 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>wyrok</w:t>
      </w:r>
      <w:r w:rsidRPr="00177E3D">
        <w:rPr>
          <w:rFonts w:cs="Arial"/>
        </w:rPr>
        <w:t>u</w:t>
      </w:r>
      <w:r w:rsidRPr="00177E3D">
        <w:rPr>
          <w:rFonts w:cs="Arial"/>
        </w:rPr>
        <w:t xml:space="preserve"> z</w:t>
      </w:r>
      <w:r w:rsidRPr="00177E3D">
        <w:rPr>
          <w:rFonts w:cs="Arial"/>
        </w:rPr>
        <w:t> </w:t>
      </w:r>
      <w:r w:rsidRPr="00177E3D">
        <w:rPr>
          <w:rFonts w:cs="Arial"/>
        </w:rPr>
        <w:t>1</w:t>
      </w:r>
      <w:r w:rsidRPr="00177E3D">
        <w:rPr>
          <w:rFonts w:cs="Arial"/>
        </w:rPr>
        <w:t> </w:t>
      </w:r>
      <w:r w:rsidRPr="00177E3D">
        <w:rPr>
          <w:rFonts w:cs="Arial"/>
        </w:rPr>
        <w:t>sierpnia 2025 r.</w:t>
      </w:r>
      <w:r w:rsidRPr="00177E3D">
        <w:rPr>
          <w:rFonts w:cs="Arial"/>
        </w:rPr>
        <w:t xml:space="preserve">, sygn. akt: </w:t>
      </w:r>
      <w:r w:rsidRPr="00177E3D">
        <w:rPr>
          <w:rFonts w:cs="Arial"/>
        </w:rPr>
        <w:t>C-784/23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Trybunał Sprawiedliwości Unii Europejskiej </w:t>
      </w:r>
      <w:r w:rsidRPr="00177E3D">
        <w:rPr>
          <w:rFonts w:cs="Arial"/>
        </w:rPr>
        <w:t>stwierdził, że niedopuszczalne jest prowadzenie</w:t>
      </w:r>
      <w:r w:rsidRPr="00177E3D">
        <w:rPr>
          <w:rFonts w:cs="Arial"/>
        </w:rPr>
        <w:t xml:space="preserve"> działa</w:t>
      </w:r>
      <w:r w:rsidRPr="00177E3D">
        <w:rPr>
          <w:rFonts w:cs="Arial"/>
        </w:rPr>
        <w:t>ń</w:t>
      </w:r>
      <w:r w:rsidRPr="00177E3D">
        <w:rPr>
          <w:rFonts w:cs="Arial"/>
        </w:rPr>
        <w:t xml:space="preserve">, które wiążą się ze świadomym godzeniem się na możliwość </w:t>
      </w:r>
      <w:r w:rsidRPr="00177E3D">
        <w:rPr>
          <w:rFonts w:cs="Arial"/>
        </w:rPr>
        <w:t>zabijani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i płoszenie ptaków lub </w:t>
      </w:r>
      <w:r w:rsidRPr="00177E3D">
        <w:rPr>
          <w:rFonts w:cs="Arial"/>
        </w:rPr>
        <w:t>uszkadzania</w:t>
      </w:r>
      <w:r w:rsidRPr="00177E3D">
        <w:rPr>
          <w:rFonts w:cs="Arial"/>
        </w:rPr>
        <w:t xml:space="preserve"> ich gniazd albo jaj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>Sąd</w:t>
      </w:r>
      <w:r w:rsidRPr="00177E3D">
        <w:rPr>
          <w:rFonts w:cs="Arial"/>
        </w:rPr>
        <w:t xml:space="preserve"> zwrócił uwagę na konieczność zastosowania zasady ostrożności. W jej świetle </w:t>
      </w:r>
      <w:r w:rsidRPr="00177E3D">
        <w:rPr>
          <w:rFonts w:cs="Arial"/>
        </w:rPr>
        <w:t>nawe</w:t>
      </w:r>
      <w:r w:rsidRPr="00177E3D">
        <w:rPr>
          <w:rFonts w:cs="Arial"/>
        </w:rPr>
        <w:t>t domniemani</w:t>
      </w:r>
      <w:r w:rsidRPr="00177E3D">
        <w:rPr>
          <w:rFonts w:cs="Arial"/>
        </w:rPr>
        <w:t>e występowania lęgów,</w:t>
      </w:r>
      <w:r w:rsidRPr="00177E3D">
        <w:rPr>
          <w:rFonts w:cs="Arial"/>
        </w:rPr>
        <w:t xml:space="preserve"> oparte na utrwalonej wiedzy naukowej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stanowi</w:t>
      </w:r>
      <w:r w:rsidRPr="00177E3D">
        <w:rPr>
          <w:rFonts w:cs="Arial"/>
        </w:rPr>
        <w:t xml:space="preserve"> podstawę do odstąpienia od wycinki w okresie lęgowym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takich okolicznościach prowadzenie cięć oznacza </w:t>
      </w:r>
      <w:r w:rsidRPr="00177E3D">
        <w:rPr>
          <w:rFonts w:cs="Arial"/>
        </w:rPr>
        <w:t xml:space="preserve">bowiem </w:t>
      </w:r>
      <w:r w:rsidRPr="00177E3D">
        <w:rPr>
          <w:rFonts w:cs="Arial"/>
        </w:rPr>
        <w:t>godzenie się na możliwość niszczenia lęgów, a tym samym czyni to niszczenie działaniem umyślnym</w:t>
      </w:r>
      <w:r w:rsidRPr="00177E3D">
        <w:rPr>
          <w:rFonts w:cs="Arial"/>
        </w:rPr>
        <w:t>, co z kolei narusza zakazy określone w</w:t>
      </w:r>
      <w:r w:rsidRPr="00177E3D">
        <w:rPr>
          <w:rFonts w:cs="Arial"/>
        </w:rPr>
        <w:t> </w:t>
      </w:r>
      <w:r w:rsidRPr="00177E3D">
        <w:rPr>
          <w:rFonts w:cs="Arial"/>
        </w:rPr>
        <w:t>art. 52 ust. 1 pkt 1 i 3 ustawy z dnia 14 kwietnia 2004 r. o ochronie przyrody (Dz. U. z</w:t>
      </w:r>
      <w:r w:rsidRPr="00177E3D">
        <w:rPr>
          <w:rFonts w:cs="Arial"/>
        </w:rPr>
        <w:t> </w:t>
      </w:r>
      <w:r w:rsidRPr="00177E3D">
        <w:rPr>
          <w:rFonts w:cs="Arial"/>
        </w:rPr>
        <w:t>2026 r. poz. 13, ze zm.)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Ponadto GDOŚ zobowiązał inwestora do wykonania kontroli chiropterologicznej przed wycinką drzew (pkt II.11.b). W</w:t>
      </w:r>
      <w:r w:rsidRPr="00177E3D">
        <w:rPr>
          <w:rFonts w:cs="Arial"/>
        </w:rPr>
        <w:t> </w:t>
      </w:r>
      <w:r w:rsidRPr="00177E3D">
        <w:rPr>
          <w:rFonts w:cs="Arial"/>
        </w:rPr>
        <w:t>trakcie inwentaryzacji odnotowano obecność borowca wielkiego (</w:t>
      </w:r>
      <w:r w:rsidRPr="00177E3D">
        <w:rPr>
          <w:rFonts w:cs="Arial"/>
          <w:i/>
          <w:iCs/>
        </w:rPr>
        <w:t>Nyctalus noctula</w:t>
      </w:r>
      <w:r w:rsidRPr="00177E3D">
        <w:rPr>
          <w:rFonts w:cs="Arial"/>
        </w:rPr>
        <w:t>), który wykorzystuje dziuple drzew jako kryjówki letnie oraz zimowe</w:t>
      </w:r>
      <w:r w:rsidRPr="00177E3D">
        <w:rPr>
          <w:rFonts w:cs="Arial"/>
        </w:rPr>
        <w:t xml:space="preserve"> (str. 179-180 raportu)</w:t>
      </w:r>
      <w:r w:rsidRPr="00177E3D">
        <w:rPr>
          <w:rFonts w:cs="Arial"/>
        </w:rPr>
        <w:t>;</w:t>
      </w:r>
    </w:p>
    <w:p w14:paraId="0D694A9F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ochrony roślinności na etapie budowy (pkt II.12).</w:t>
      </w:r>
      <w:r w:rsidRPr="00177E3D">
        <w:rPr>
          <w:rFonts w:cs="Arial"/>
          <w:lang w:eastAsia="en-US" w:bidi="en-US"/>
        </w:rPr>
        <w:t xml:space="preserve"> Biorąc pod uwagę ustalenia zawarte na str. </w:t>
      </w:r>
      <w:r w:rsidRPr="00177E3D">
        <w:rPr>
          <w:rFonts w:cs="Arial"/>
          <w:lang w:eastAsia="en-US" w:bidi="en-US"/>
        </w:rPr>
        <w:t>307</w:t>
      </w:r>
      <w:r w:rsidRPr="00177E3D">
        <w:rPr>
          <w:rFonts w:cs="Arial"/>
          <w:lang w:eastAsia="en-US" w:bidi="en-US"/>
        </w:rPr>
        <w:t xml:space="preserve"> raportu oraz doświadczenia własne, organ </w:t>
      </w:r>
      <w:r w:rsidRPr="00177E3D">
        <w:rPr>
          <w:rFonts w:cs="Arial"/>
        </w:rPr>
        <w:t xml:space="preserve">odwoławczy określił </w:t>
      </w:r>
      <w:r w:rsidRPr="00177E3D">
        <w:rPr>
          <w:rFonts w:cs="Arial"/>
          <w:lang w:eastAsia="en-US" w:bidi="en-US"/>
        </w:rPr>
        <w:t>zasady i </w:t>
      </w:r>
      <w:r w:rsidRPr="00177E3D">
        <w:rPr>
          <w:rFonts w:cs="Arial"/>
        </w:rPr>
        <w:t xml:space="preserve">sposób </w:t>
      </w:r>
      <w:r w:rsidRPr="00177E3D">
        <w:rPr>
          <w:rFonts w:cs="Arial"/>
          <w:lang w:eastAsia="en-US" w:bidi="en-US"/>
        </w:rPr>
        <w:t xml:space="preserve">prowadzenia prac </w:t>
      </w:r>
      <w:r w:rsidRPr="00177E3D">
        <w:rPr>
          <w:rFonts w:cs="Arial"/>
        </w:rPr>
        <w:t xml:space="preserve">związanych </w:t>
      </w:r>
      <w:r w:rsidRPr="00177E3D">
        <w:rPr>
          <w:rFonts w:cs="Arial"/>
          <w:lang w:eastAsia="en-US" w:bidi="en-US"/>
        </w:rPr>
        <w:t xml:space="preserve">z zabezpieczaniem drzew i krzewów nieprzeznaczonych do wycinki. </w:t>
      </w:r>
      <w:r w:rsidRPr="00177E3D">
        <w:rPr>
          <w:rFonts w:cs="Arial"/>
          <w:lang w:eastAsia="en-US" w:bidi="en-US"/>
        </w:rPr>
        <w:t xml:space="preserve">Celem ustanowienia tych warunków jest zabezpieczenie drzew i krzewów w sposób gwarantujący ich skuteczną ochronę przed uszkodzeniami oraz niepogorszenie ich kondycji. Inwestor </w:t>
      </w:r>
      <w:r w:rsidRPr="00177E3D">
        <w:rPr>
          <w:rFonts w:cs="Arial"/>
        </w:rPr>
        <w:t xml:space="preserve">został zobowiązany </w:t>
      </w:r>
      <w:r w:rsidRPr="00177E3D">
        <w:rPr>
          <w:rFonts w:cs="Arial"/>
          <w:lang w:eastAsia="en-US" w:bidi="en-US"/>
        </w:rPr>
        <w:t xml:space="preserve">do wykonywania prac pod nadzorem specjalisty dendrologa. GDOŚ wskazał na </w:t>
      </w:r>
      <w:r w:rsidRPr="00177E3D">
        <w:rPr>
          <w:rFonts w:cs="Arial"/>
        </w:rPr>
        <w:t xml:space="preserve">konieczność wyznaczenia stref wokół drzew, w których nie będzie dopuszczalne prowadzenie prac budowlanych oraz ruch maszyn i pojazdów. </w:t>
      </w:r>
      <w:r w:rsidRPr="00177E3D">
        <w:rPr>
          <w:rFonts w:cs="Arial"/>
          <w:lang w:eastAsia="en-US" w:bidi="en-US"/>
        </w:rPr>
        <w:t>Kształt stref</w:t>
      </w:r>
      <w:r w:rsidRPr="00177E3D">
        <w:rPr>
          <w:rFonts w:cs="Arial"/>
          <w:lang w:eastAsia="en-US" w:bidi="en-US"/>
        </w:rPr>
        <w:t>y</w:t>
      </w:r>
      <w:r w:rsidRPr="00177E3D">
        <w:rPr>
          <w:rFonts w:cs="Arial"/>
          <w:lang w:eastAsia="en-US" w:bidi="en-US"/>
        </w:rPr>
        <w:t xml:space="preserve"> ochronn</w:t>
      </w:r>
      <w:r w:rsidRPr="00177E3D">
        <w:rPr>
          <w:rFonts w:cs="Arial"/>
          <w:lang w:eastAsia="en-US" w:bidi="en-US"/>
        </w:rPr>
        <w:t>ej</w:t>
      </w:r>
      <w:r w:rsidRPr="00177E3D">
        <w:rPr>
          <w:rFonts w:cs="Arial"/>
          <w:lang w:eastAsia="en-US" w:bidi="en-US"/>
        </w:rPr>
        <w:t xml:space="preserve"> </w:t>
      </w:r>
      <w:r w:rsidRPr="00177E3D">
        <w:rPr>
          <w:rFonts w:cs="Arial"/>
          <w:lang w:eastAsia="en-US" w:bidi="en-US"/>
        </w:rPr>
        <w:t>musi być dostosowany do stanu danego drzewa i warunków siedliskowych, w których żyje</w:t>
      </w:r>
      <w:r w:rsidRPr="00177E3D">
        <w:rPr>
          <w:rFonts w:cs="Arial"/>
          <w:lang w:eastAsia="en-US" w:bidi="en-US"/>
        </w:rPr>
        <w:t>. Kształt systemu korzeniowego jest symetryczny jedynie w warunkach naturalnych i przy braku ograniczeń rozwoju. W przypadku nieregularnego systemu korzeniowego wyznaczony zostanie wielokąt chroniący strefę korzeni.</w:t>
      </w:r>
    </w:p>
    <w:p w14:paraId="1B6070BC" w14:textId="77777777" w:rsidR="008558F5" w:rsidRPr="00177E3D" w:rsidRDefault="008558F5" w:rsidP="00466BFE">
      <w:pPr>
        <w:ind w:left="284"/>
        <w:rPr>
          <w:rFonts w:cs="Arial"/>
        </w:rPr>
      </w:pPr>
      <w:r w:rsidRPr="00177E3D">
        <w:rPr>
          <w:rFonts w:cs="Arial"/>
        </w:rPr>
        <w:t>Natomiast w przypadku, gdy nie</w:t>
      </w:r>
      <w:r w:rsidRPr="00177E3D">
        <w:rPr>
          <w:rFonts w:cs="Arial"/>
        </w:rPr>
        <w:t xml:space="preserve"> jest</w:t>
      </w:r>
      <w:r w:rsidRPr="00177E3D">
        <w:rPr>
          <w:rFonts w:cs="Arial"/>
        </w:rPr>
        <w:t xml:space="preserve"> możliwe wyznaczenie strefy obejmującej zasięg całego systemu korzeniowego drzew, a alternatywą byłoby wycięcie </w:t>
      </w:r>
      <w:r w:rsidRPr="00177E3D">
        <w:rPr>
          <w:rFonts w:cs="Arial"/>
        </w:rPr>
        <w:t xml:space="preserve">tych </w:t>
      </w:r>
      <w:r w:rsidRPr="00177E3D">
        <w:rPr>
          <w:rFonts w:cs="Arial"/>
        </w:rPr>
        <w:t xml:space="preserve">drzew lub </w:t>
      </w:r>
      <w:r w:rsidRPr="00177E3D">
        <w:rPr>
          <w:rFonts w:cs="Arial"/>
        </w:rPr>
        <w:t xml:space="preserve">ruch pojazdów </w:t>
      </w:r>
      <w:r w:rsidRPr="00177E3D">
        <w:rPr>
          <w:rFonts w:cs="Arial"/>
        </w:rPr>
        <w:lastRenderedPageBreak/>
        <w:t>po niezabezpieczonych nabiegach korzeniowych, miejsca te należy zabezpieczyć zgodnie z wytycznymi specjalisty dendrologa.</w:t>
      </w:r>
    </w:p>
    <w:p w14:paraId="5DD18DE6" w14:textId="77777777" w:rsidR="008558F5" w:rsidRPr="00177E3D" w:rsidRDefault="008558F5" w:rsidP="00466BFE">
      <w:pPr>
        <w:ind w:left="284"/>
        <w:rPr>
          <w:rFonts w:cs="Arial"/>
        </w:rPr>
      </w:pPr>
      <w:r w:rsidRPr="00177E3D">
        <w:rPr>
          <w:rFonts w:cs="Arial"/>
        </w:rPr>
        <w:t>W ocenie GDOŚ należało bezwarunkowo zakazać zmieniania poziomu gruntu, a także magazynowania jakichkolwiek materiałów w wyznaczonych strefach ochronnych drzew. Powoduje to bowiem nieodwracalne zagęszczenie gleby w systemie korzeniowym, co ogranicza dostęp wody, wymianę gazową i powoduje zamieranie korzeni żywicielskich. Może być również przyczyną zanieczyszczenia gleby, często powodującego ograniczenie rozwoju korzeni drzew.</w:t>
      </w:r>
    </w:p>
    <w:p w14:paraId="4B3D93D6" w14:textId="77777777" w:rsidR="008558F5" w:rsidRPr="00177E3D" w:rsidRDefault="008558F5" w:rsidP="00466BFE">
      <w:pPr>
        <w:pStyle w:val="Akapitzlist"/>
        <w:numPr>
          <w:ilvl w:val="0"/>
          <w:numId w:val="0"/>
        </w:numPr>
        <w:ind w:left="284"/>
        <w:contextualSpacing w:val="0"/>
        <w:rPr>
          <w:rFonts w:cs="Arial"/>
        </w:rPr>
      </w:pPr>
      <w:r w:rsidRPr="00177E3D">
        <w:rPr>
          <w:rFonts w:cs="Arial"/>
        </w:rPr>
        <w:t xml:space="preserve">Ponadto prace w strefie ochronnej drzew należy wykonywać w technologii </w:t>
      </w:r>
      <w:r w:rsidRPr="00177E3D">
        <w:rPr>
          <w:rFonts w:cs="Arial"/>
        </w:rPr>
        <w:t>zmniejszającej ryzyko zniszczenia korzeni drzew</w:t>
      </w:r>
      <w:r w:rsidRPr="00177E3D">
        <w:rPr>
          <w:rFonts w:cs="Arial"/>
        </w:rPr>
        <w:t xml:space="preserve">. Wykopy prowadzone z użyciem koparek lub szpadli niosą ryzyko mechanicznego uszkodzenia korzeni. </w:t>
      </w:r>
      <w:r w:rsidRPr="00177E3D">
        <w:rPr>
          <w:rFonts w:cs="Arial"/>
        </w:rPr>
        <w:t xml:space="preserve">Przy </w:t>
      </w:r>
      <w:r w:rsidRPr="00177E3D">
        <w:rPr>
          <w:rFonts w:cs="Arial"/>
        </w:rPr>
        <w:t>wykorzyst</w:t>
      </w:r>
      <w:r w:rsidRPr="00177E3D">
        <w:rPr>
          <w:rFonts w:cs="Arial"/>
        </w:rPr>
        <w:t>aniu</w:t>
      </w:r>
      <w:r w:rsidRPr="00177E3D">
        <w:rPr>
          <w:rFonts w:cs="Arial"/>
        </w:rPr>
        <w:t xml:space="preserve"> strumie</w:t>
      </w:r>
      <w:r w:rsidRPr="00177E3D">
        <w:rPr>
          <w:rFonts w:cs="Arial"/>
        </w:rPr>
        <w:t>nia</w:t>
      </w:r>
      <w:r w:rsidRPr="00177E3D">
        <w:rPr>
          <w:rFonts w:cs="Arial"/>
        </w:rPr>
        <w:t xml:space="preserve"> sprężonego powietrza, możliwe jest </w:t>
      </w:r>
      <w:r w:rsidRPr="00177E3D">
        <w:rPr>
          <w:rFonts w:cs="Arial"/>
        </w:rPr>
        <w:t xml:space="preserve">natomiast </w:t>
      </w:r>
      <w:r w:rsidRPr="00177E3D">
        <w:rPr>
          <w:rFonts w:cs="Arial"/>
        </w:rPr>
        <w:t>odsłonięcie korzeni drzewa bez ryzyka ich przerwania. To jedna z najmniej inwazyjnych metod stosowanych podczas prac budowlanych. Pozwala również na szybsze usuwanie gruntu z trudnodostępnych miejsc w porównaniu do ręcznego odkopywania.</w:t>
      </w:r>
    </w:p>
    <w:p w14:paraId="145D4612" w14:textId="77777777" w:rsidR="008558F5" w:rsidRPr="00177E3D" w:rsidRDefault="008558F5" w:rsidP="00466BFE">
      <w:pPr>
        <w:pStyle w:val="Akapitzlist"/>
        <w:numPr>
          <w:ilvl w:val="0"/>
          <w:numId w:val="0"/>
        </w:numPr>
        <w:ind w:left="284"/>
        <w:contextualSpacing w:val="0"/>
        <w:rPr>
          <w:rFonts w:cs="Arial"/>
        </w:rPr>
      </w:pPr>
      <w:r w:rsidRPr="00177E3D">
        <w:rPr>
          <w:rFonts w:cs="Arial"/>
        </w:rPr>
        <w:t xml:space="preserve">W razie konieczności odcięcia korzeni, GDOŚ </w:t>
      </w:r>
      <w:r w:rsidRPr="00177E3D">
        <w:rPr>
          <w:rFonts w:cs="Arial"/>
        </w:rPr>
        <w:t xml:space="preserve">nałożył obowiązek </w:t>
      </w:r>
      <w:r w:rsidRPr="00177E3D">
        <w:rPr>
          <w:rFonts w:cs="Arial"/>
        </w:rPr>
        <w:t>wykonywani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cięć naostrzonym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zdezynfekowanym narzędziem (dezynfekcja zminimalizuje możliwość przenoszenia patogenów) pod kątem 90</w:t>
      </w:r>
      <w:r w:rsidRPr="00177E3D">
        <w:rPr>
          <w:rFonts w:ascii="Times New Roman" w:hAnsi="Times New Roman"/>
        </w:rPr>
        <w:t>°</w:t>
      </w:r>
      <w:r w:rsidRPr="00177E3D">
        <w:rPr>
          <w:rFonts w:cs="Arial"/>
        </w:rPr>
        <w:t xml:space="preserve"> w stosunku do korzenia (w ten sposób cięcie będzie najkrótsze). Niedopuszczalne jest rwanie i miażdzenie korzeni, ponieważ rany szarpane ułatwiają patogenom wnikanie w tkanki, a zniszczenie drobnych korzeni włośnikowych odcina roślinie wodę oraz składniki odżywcze. Roślina ma wówczas utrudnioną możliwość wytwarzania tkanki przyrannej. W zreformowanym warunku zakazano stosowania preparatów grzybobójczych w miejscach pod odciętych korzeniach, ponieważ jest to nieskuteczne i może obniżać naturalne zdolności r</w:t>
      </w:r>
      <w:r w:rsidRPr="00177E3D">
        <w:rPr>
          <w:rFonts w:cs="Arial"/>
        </w:rPr>
        <w:t>egeneracyjne drzew</w:t>
      </w:r>
      <w:r w:rsidRPr="00177E3D">
        <w:rPr>
          <w:rFonts w:cs="Arial"/>
        </w:rPr>
        <w:t>;</w:t>
      </w:r>
    </w:p>
    <w:p w14:paraId="5955E566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wprowadzenia nasadzeń zastępczych za wyciętą roślinność (pkt II.13). Konieczność zastosowania działań kompensacyjnych wynika ze skali planowanych prac wycinkowych, które obejmą łącznie ok. 136 ha drzew i krzewów (str. 343 raportu). Zgodnie z treścią raportu (str. 318</w:t>
      </w:r>
      <w:r w:rsidRPr="00177E3D">
        <w:rPr>
          <w:rFonts w:cs="Arial"/>
        </w:rPr>
        <w:t xml:space="preserve"> raportu</w:t>
      </w:r>
      <w:r w:rsidRPr="00177E3D">
        <w:rPr>
          <w:rFonts w:cs="Arial"/>
        </w:rPr>
        <w:t>) inwestor zaproponował odtworzenie roślinności jedynie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sąsiedztwie projektowanych przejść dla zwierząt </w:t>
      </w:r>
      <w:r w:rsidRPr="00177E3D">
        <w:rPr>
          <w:rFonts w:cs="Arial"/>
        </w:rPr>
        <w:t>w liczbie 293 drzew oraz 2110 krzewów liściastych i iglastych (str. 48 raportu)</w:t>
      </w:r>
      <w:r w:rsidRPr="00177E3D">
        <w:rPr>
          <w:rFonts w:cs="Arial"/>
        </w:rPr>
        <w:t xml:space="preserve">. W ocenie GDOŚ konieczne było zatem zwiększenie powierzchni przeznaczonych do nasadzeń, a także zastosowanie innych form kompensacji. </w:t>
      </w:r>
      <w:r w:rsidRPr="00177E3D">
        <w:rPr>
          <w:rFonts w:cs="Arial"/>
        </w:rPr>
        <w:t xml:space="preserve">Stąd też </w:t>
      </w:r>
      <w:r w:rsidRPr="00177E3D">
        <w:rPr>
          <w:rFonts w:cs="Arial"/>
        </w:rPr>
        <w:t>GDOŚ uwzględnił konieczność poprawy stanu siedlisk przyrodniczych, których płaty kolidują z przebiegiem planowanej inwestycji i ulegną zniszczeniu. Działanie to pozwoli wypełnić część obowiązków w zakresie odbudowy zasobów przyrodniczych, wynikających z rozporządzenia (UE) 2024/1991 Parlamentu Europejskiego i Rady z</w:t>
      </w:r>
      <w:r w:rsidRPr="00177E3D">
        <w:rPr>
          <w:rFonts w:cs="Arial"/>
        </w:rPr>
        <w:t> </w:t>
      </w:r>
      <w:r w:rsidRPr="00177E3D">
        <w:rPr>
          <w:rFonts w:cs="Arial"/>
        </w:rPr>
        <w:t>24</w:t>
      </w:r>
      <w:r w:rsidRPr="00177E3D">
        <w:rPr>
          <w:rFonts w:cs="Arial"/>
        </w:rPr>
        <w:t> </w:t>
      </w:r>
      <w:r w:rsidRPr="00177E3D">
        <w:rPr>
          <w:rFonts w:cs="Arial"/>
        </w:rPr>
        <w:t>czerwca 2024 r. w sprawie odbudowy zasobów przyrodniczych oraz zmiany rozporządzenia (UE) 2022/869 (Dz. Urz. UE L 2024/1991,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29.07.2024, </w:t>
      </w:r>
      <w:r w:rsidRPr="00177E3D">
        <w:rPr>
          <w:rFonts w:cs="Arial"/>
          <w:color w:val="000000"/>
          <w:lang w:bidi="en-US"/>
        </w:rPr>
        <w:t>str. 1</w:t>
      </w:r>
      <w:r w:rsidRPr="00177E3D">
        <w:rPr>
          <w:rFonts w:cs="Arial"/>
        </w:rPr>
        <w:t xml:space="preserve">). Powierzchnia </w:t>
      </w:r>
      <w:r w:rsidRPr="00177E3D">
        <w:rPr>
          <w:rFonts w:cs="Arial"/>
        </w:rPr>
        <w:t xml:space="preserve">zaproponowanych </w:t>
      </w:r>
      <w:r w:rsidRPr="00177E3D">
        <w:rPr>
          <w:rFonts w:cs="Arial"/>
        </w:rPr>
        <w:t xml:space="preserve">działań kompensacyjnych </w:t>
      </w:r>
      <w:r w:rsidRPr="00177E3D">
        <w:rPr>
          <w:rFonts w:cs="Arial"/>
        </w:rPr>
        <w:t xml:space="preserve">będzie </w:t>
      </w:r>
      <w:r w:rsidRPr="00177E3D">
        <w:rPr>
          <w:rFonts w:cs="Arial"/>
        </w:rPr>
        <w:t>adekwatna do skali utraconych siedlisk;</w:t>
      </w:r>
    </w:p>
    <w:p w14:paraId="4F4E511F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 xml:space="preserve">montażu skrzynek dla ptaków i nietoperzy (pkt II.14). </w:t>
      </w:r>
      <w:r w:rsidRPr="00177E3D">
        <w:rPr>
          <w:rFonts w:cs="Arial"/>
        </w:rPr>
        <w:t xml:space="preserve">W związku z koniecznością wycięcia drzew i krzewów na łącznej powierzchni ok. 136 ha niezbędne było wprowadzenie kompensacji w postaci montażu skrzynek dla ptaków i nietoperzy w obrębie terenów </w:t>
      </w:r>
      <w:r w:rsidRPr="00177E3D">
        <w:rPr>
          <w:rFonts w:cs="Arial"/>
        </w:rPr>
        <w:lastRenderedPageBreak/>
        <w:t>leśnych położonych w okolicach miejsc wycinki. Liczba skrzynek oraz ich rodzaje zostały oszacowane przez organ zgodnie z wiedzą na temat występowania ptaków dziuplastych i nietoperzy w lasach z uwzględnieniem inwentaryzacji przyrodniczej wykonanej na potrzeby raportu. GDOŚ określił również zasady wieszania skrzynek o</w:t>
      </w:r>
      <w:r w:rsidRPr="00177E3D">
        <w:rPr>
          <w:rFonts w:cs="Arial"/>
        </w:rPr>
        <w:t xml:space="preserve">raz ich konserwacji. </w:t>
      </w:r>
      <w:r w:rsidRPr="00177E3D">
        <w:rPr>
          <w:rFonts w:cs="Arial"/>
        </w:rPr>
        <w:t>W celu zapewnienia rzeczywistego zwiększenia dostępności miejsc gniazdowania dla gatunków dziuplastych wskazano, aby drzewa przeznaczone do montażu skrzynek lęgowych nie były drzewami biocenotycznymi, zawierającymi naturalne miejsca lęgowe w</w:t>
      </w:r>
      <w:r w:rsidRPr="00177E3D">
        <w:rPr>
          <w:rFonts w:cs="Arial"/>
        </w:rPr>
        <w:t> </w:t>
      </w:r>
      <w:r w:rsidRPr="00177E3D">
        <w:rPr>
          <w:rFonts w:cs="Arial"/>
        </w:rPr>
        <w:t>postaci dziupli. Z tego względu powinny to być drzewa młode, zlokalizowane w</w:t>
      </w:r>
      <w:r w:rsidRPr="00177E3D">
        <w:rPr>
          <w:rFonts w:cs="Arial"/>
        </w:rPr>
        <w:t> </w:t>
      </w:r>
      <w:r w:rsidRPr="00177E3D">
        <w:rPr>
          <w:rFonts w:cs="Arial"/>
        </w:rPr>
        <w:t>stosunkowo młodych drzewostanach, gdzie z uwagi na ograniczoną dostępność naturalnych dziupli zagęszczenie ptaków gniazdujących w takich miejscach jest niższe. Jednocześnie brak naturalnych schronień może sprzyjać większemu wykorzystaniu zawieszonych skrzynek lęgowych przez ptaki. W celu zapewnienia trwałości działań kompensujących utracone miejsca lęgowe ptaków i nietoperzy organ odwoławczy wskazał, aby lokalizacja tych działań obejmowała tereny leśne położone poza oddziałami, w których zaplanowano rębnie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GDOŚ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wskazał na konieczność</w:t>
      </w:r>
      <w:r w:rsidRPr="00177E3D">
        <w:rPr>
          <w:rFonts w:cs="Arial"/>
        </w:rPr>
        <w:t xml:space="preserve"> ich utrzymania </w:t>
      </w:r>
      <w:r w:rsidRPr="00177E3D">
        <w:rPr>
          <w:rFonts w:cs="Arial"/>
        </w:rPr>
        <w:t>przez</w:t>
      </w:r>
      <w:r w:rsidRPr="00177E3D">
        <w:rPr>
          <w:rFonts w:cs="Arial"/>
        </w:rPr>
        <w:t xml:space="preserve"> 20 lat, zgodnie z doświadczeniem i aktualną praktyką organu;</w:t>
      </w:r>
    </w:p>
    <w:p w14:paraId="0A8AEEA7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</w:pPr>
      <w:r w:rsidRPr="00177E3D">
        <w:t>ochrony płazów i gadów, a także innych małych zwierząt, w związku z prowadzeniem prac budowlanych (</w:t>
      </w:r>
      <w:r w:rsidRPr="00177E3D">
        <w:rPr>
          <w:rFonts w:cs="Arial"/>
        </w:rPr>
        <w:t>pkt II.15</w:t>
      </w:r>
      <w:r w:rsidRPr="00177E3D">
        <w:t xml:space="preserve">). Kwestie te zostały skorygowane w stosunku do ustaleń zawartych w pkt </w:t>
      </w:r>
      <w:r w:rsidRPr="00177E3D">
        <w:t>I.2.1.15-I.2.1.19</w:t>
      </w:r>
      <w:r w:rsidRPr="00177E3D">
        <w:t xml:space="preserve"> decyzji RDOŚ w Gdańsku z 19 grudnia 2025 r. </w:t>
      </w:r>
      <w:r w:rsidRPr="00177E3D">
        <w:t>GDOŚ</w:t>
      </w:r>
      <w:r w:rsidRPr="00177E3D">
        <w:t xml:space="preserve"> wskaza</w:t>
      </w:r>
      <w:r w:rsidRPr="00177E3D">
        <w:t>ł</w:t>
      </w:r>
      <w:r w:rsidRPr="00177E3D">
        <w:t xml:space="preserve"> na rozwiązania, które należy zastosować w celu ograniczenia przedostawania się zwierząt na tereny budowy. Należą do nich w szczególności </w:t>
      </w:r>
      <w:r w:rsidRPr="00177E3D">
        <w:t>o</w:t>
      </w:r>
      <w:r w:rsidRPr="00177E3D">
        <w:t xml:space="preserve">grodzenia herpetologiczne i pułapki łowne (wiaderka). W zreformowanym warunku uszczegółowiono ustalenia dotyczące parametrów </w:t>
      </w:r>
      <w:r w:rsidRPr="00177E3D">
        <w:t>ogrodzeń</w:t>
      </w:r>
      <w:r w:rsidRPr="00177E3D">
        <w:t xml:space="preserve"> herpetologicznych</w:t>
      </w:r>
      <w:r w:rsidRPr="00177E3D">
        <w:t>,</w:t>
      </w:r>
      <w:r w:rsidRPr="00177E3D">
        <w:t xml:space="preserve"> wskazując </w:t>
      </w:r>
      <w:r w:rsidRPr="00177E3D">
        <w:t>ich lokalizację,</w:t>
      </w:r>
      <w:r w:rsidRPr="00177E3D">
        <w:t xml:space="preserve"> materiały, z</w:t>
      </w:r>
      <w:r w:rsidRPr="00177E3D">
        <w:t xml:space="preserve"> </w:t>
      </w:r>
      <w:r w:rsidRPr="00177E3D">
        <w:t xml:space="preserve">których </w:t>
      </w:r>
      <w:r w:rsidRPr="00177E3D">
        <w:t>należy je</w:t>
      </w:r>
      <w:r w:rsidRPr="00177E3D">
        <w:t xml:space="preserve"> wykona</w:t>
      </w:r>
      <w:r w:rsidRPr="00177E3D">
        <w:t>ć</w:t>
      </w:r>
      <w:r w:rsidRPr="00177E3D">
        <w:t>, czy głębokość wkopania pod powierzchnię gruntu.</w:t>
      </w:r>
      <w:r w:rsidRPr="00177E3D">
        <w:t xml:space="preserve"> W szczególności nie należy stosować metalowych siatek, tzw. „żabianek”, ponieważ ułatwiają wspinanie się płazów.</w:t>
      </w:r>
      <w:r w:rsidRPr="00177E3D">
        <w:t xml:space="preserve"> Organ odwoławczy nałożył obowiązek zastosowania wiaderek, określając jednocześnie ich parametry oraz zasady kontroli przez specjalistę herpetologa. </w:t>
      </w:r>
      <w:r w:rsidRPr="00177E3D">
        <w:t xml:space="preserve">GDOŚ </w:t>
      </w:r>
      <w:r w:rsidRPr="00177E3D">
        <w:t xml:space="preserve">wskazał również wytyczne </w:t>
      </w:r>
      <w:r w:rsidRPr="00177E3D">
        <w:t>likwid</w:t>
      </w:r>
      <w:r w:rsidRPr="00177E3D">
        <w:t>owania</w:t>
      </w:r>
      <w:r w:rsidRPr="00177E3D">
        <w:t xml:space="preserve"> siedlisk płazów </w:t>
      </w:r>
      <w:r w:rsidRPr="00177E3D">
        <w:t>kolidujących z miejscem realizacji przedsięwzięcia</w:t>
      </w:r>
      <w:r w:rsidRPr="00177E3D">
        <w:t>. Optymalnym terminem na zasypywanie zbiorników jest wrzesień, przy czym do</w:t>
      </w:r>
      <w:r w:rsidRPr="00177E3D">
        <w:t>puszcza się jej wykonanie w innym</w:t>
      </w:r>
      <w:r w:rsidRPr="00177E3D">
        <w:t xml:space="preserve"> termin</w:t>
      </w:r>
      <w:r w:rsidRPr="00177E3D">
        <w:t>ie, który</w:t>
      </w:r>
      <w:r w:rsidRPr="00177E3D">
        <w:t xml:space="preserve"> ustali specjalista herpetolog na podstawie obserwacji w terenie i warunków </w:t>
      </w:r>
      <w:r w:rsidRPr="00177E3D">
        <w:t>pogodo</w:t>
      </w:r>
      <w:r w:rsidRPr="00177E3D">
        <w:t xml:space="preserve">wych. We wrześniu najbardziej prawdopodobne jest, że zbiorniki będą już opuszczone przez płazy przeobrażone z postaci larwalnych, a jednocześnie nie będzie w nich jeszcze osobników zimujących. Dopuszczono likwidację siedlisk w innym niż wrzesień terminie, ale </w:t>
      </w:r>
      <w:r w:rsidRPr="00177E3D">
        <w:t>każdym</w:t>
      </w:r>
      <w:r w:rsidRPr="00177E3D">
        <w:t xml:space="preserve"> przypadku </w:t>
      </w:r>
      <w:r w:rsidRPr="00177E3D">
        <w:t>należy ją prowadzić</w:t>
      </w:r>
      <w:r w:rsidRPr="00177E3D">
        <w:t xml:space="preserve"> pod nadzorem specjalisty herpetologa</w:t>
      </w:r>
      <w:r w:rsidRPr="00177E3D">
        <w:t>. Ponadto w ocenie GDOŚ należało uszczegółowić warunek dotyczący kontrolowania wykopów na placu budowy pod kątem obecności w nich płazów i innych małych zwierząt. W warunku określone zostały zasady prowadzenia takich kontroli oraz sposób postępowania w</w:t>
      </w:r>
      <w:r w:rsidRPr="00177E3D">
        <w:t> </w:t>
      </w:r>
      <w:r w:rsidRPr="00177E3D">
        <w:t>przypadku znalezienia zwierząt</w:t>
      </w:r>
      <w:r w:rsidRPr="00177E3D">
        <w:t>;</w:t>
      </w:r>
    </w:p>
    <w:p w14:paraId="0EF22EB9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 xml:space="preserve">zasad prowadzenia prac budowlanych w rejonie cieków (pkt II.16). </w:t>
      </w:r>
      <w:r w:rsidRPr="00177E3D">
        <w:t>Z ustaleń przedstawionych na str. 111-112, 114-121 raportu wynika, że realizacja przedsięwzięcia może wiązać się z negatywnym oddziaływaniem na cieki powierzchniowe, w tym siedliska ryb objętych ochroną gatunkową</w:t>
      </w:r>
      <w:r w:rsidRPr="00177E3D">
        <w:rPr>
          <w:rFonts w:cs="Arial"/>
        </w:rPr>
        <w:t xml:space="preserve">. Rozwiązania wskazane w pozwolą na ograniczenie </w:t>
      </w:r>
      <w:r w:rsidRPr="00177E3D">
        <w:rPr>
          <w:rFonts w:cs="Arial"/>
        </w:rPr>
        <w:lastRenderedPageBreak/>
        <w:t>negatywnego wpływu tych prac na faunę cieków. W związku ze stwierdzoną obecnością m.in. różanki (</w:t>
      </w:r>
      <w:r w:rsidRPr="00177E3D">
        <w:rPr>
          <w:rFonts w:cs="Arial"/>
          <w:i/>
          <w:iCs/>
        </w:rPr>
        <w:t>Rhodeus amarus</w:t>
      </w:r>
      <w:r w:rsidRPr="00177E3D">
        <w:rPr>
          <w:rFonts w:cs="Arial"/>
        </w:rPr>
        <w:t>) i minoga strumieniowego (</w:t>
      </w:r>
      <w:r w:rsidRPr="00177E3D">
        <w:rPr>
          <w:rFonts w:cs="Arial"/>
          <w:i/>
          <w:iCs/>
        </w:rPr>
        <w:t>Lampetra planeri</w:t>
      </w:r>
      <w:r w:rsidRPr="00177E3D">
        <w:rPr>
          <w:rFonts w:cs="Arial"/>
        </w:rPr>
        <w:t xml:space="preserve">) </w:t>
      </w:r>
      <w:r w:rsidRPr="00177E3D">
        <w:rPr>
          <w:rFonts w:cs="Arial"/>
        </w:rPr>
        <w:t xml:space="preserve">w </w:t>
      </w:r>
      <w:r w:rsidRPr="00177E3D">
        <w:rPr>
          <w:rFonts w:cs="Arial"/>
        </w:rPr>
        <w:t>ciekach,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których powadzone będą pace budowlane, wyłączono możliwość prowadzenia tych prac w okresie tarła ryb i inkubacji ikry (pkt II.16.d). Dodatkowo zobowiązano do prowadzenia prac ingerujących w ekosystemy wodne pod nadzorem </w:t>
      </w:r>
      <w:r w:rsidRPr="00177E3D">
        <w:rPr>
          <w:rFonts w:cs="Arial"/>
        </w:rPr>
        <w:t xml:space="preserve">specjalisty </w:t>
      </w:r>
      <w:r w:rsidRPr="00177E3D">
        <w:rPr>
          <w:rFonts w:cs="Arial"/>
        </w:rPr>
        <w:t xml:space="preserve">ichtiologa. </w:t>
      </w:r>
      <w:r w:rsidRPr="00177E3D">
        <w:t>Prowadzenie prac budowlanych w obecności os</w:t>
      </w:r>
      <w:r w:rsidRPr="00177E3D">
        <w:t>ób</w:t>
      </w:r>
      <w:r w:rsidRPr="00177E3D">
        <w:t xml:space="preserve"> pełniących nadzór przyrodniczy ma na celu zmniejszenie śmiertelności zwierząt, w szczególności ryb i płazów, przez uniknięcie ich przypadkowego zabijania, umożliwienie im ucieczki z miejsca prowadzonych robót lub odłów i przenoszenie ich do zbiorników zastępczych. Z tego też względu prace budowlane w korytach cieków należy prowadzić poza okresem rozrodczym ryb, tj. poza okresem od 1 marca do 31 lipca;</w:t>
      </w:r>
    </w:p>
    <w:p w14:paraId="7BF72F91" w14:textId="77777777" w:rsidR="008558F5" w:rsidRPr="00177E3D" w:rsidRDefault="008558F5" w:rsidP="00C8066D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zasad prowadzenia odwodnienia gruntu na etapie budowy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.17)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Zgodnie z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ustaleniami przedstawionymi na str. </w:t>
      </w:r>
      <w:r w:rsidRPr="00177E3D">
        <w:rPr>
          <w:rFonts w:cs="Arial"/>
        </w:rPr>
        <w:t>111-112</w:t>
      </w:r>
      <w:r w:rsidRPr="00177E3D">
        <w:rPr>
          <w:rFonts w:cs="Arial"/>
        </w:rPr>
        <w:t xml:space="preserve"> raportu,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budowa </w:t>
      </w:r>
      <w:r w:rsidRPr="00177E3D">
        <w:rPr>
          <w:rFonts w:cs="Arial"/>
        </w:rPr>
        <w:t>lini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 kolejowe</w:t>
      </w:r>
      <w:r w:rsidRPr="00177E3D">
        <w:rPr>
          <w:rFonts w:cs="Arial"/>
        </w:rPr>
        <w:t>j nr 230 na niektórych odcinkach może tymczasowo wymagać lokalnego obniżenia zwierciadła wód gruntowych. Wymagają tego n</w:t>
      </w:r>
      <w:r w:rsidRPr="00177E3D">
        <w:rPr>
          <w:rFonts w:cs="Arial"/>
        </w:rPr>
        <w:t>iektóre place ziemne, w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szczególności realizacja wykopów budowlanych.</w:t>
      </w:r>
      <w:r w:rsidRPr="00177E3D">
        <w:rPr>
          <w:rFonts w:cs="Arial"/>
        </w:rPr>
        <w:t xml:space="preserve"> Rozwiązania przyjęte w pkt </w:t>
      </w:r>
      <w:r w:rsidRPr="00177E3D">
        <w:rPr>
          <w:rFonts w:cs="Arial"/>
        </w:rPr>
        <w:t>I</w:t>
      </w:r>
      <w:r w:rsidRPr="00177E3D">
        <w:rPr>
          <w:rFonts w:cs="Arial"/>
        </w:rPr>
        <w:t>I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17 służą ograniczeniu </w:t>
      </w:r>
      <w:r w:rsidRPr="00177E3D">
        <w:rPr>
          <w:rFonts w:cs="Arial"/>
        </w:rPr>
        <w:t>zasięgu leja depresji powstającego w</w:t>
      </w:r>
      <w:r w:rsidRPr="00177E3D">
        <w:rPr>
          <w:rFonts w:cs="Arial"/>
        </w:rPr>
        <w:t> </w:t>
      </w:r>
      <w:r w:rsidRPr="00177E3D">
        <w:rPr>
          <w:rFonts w:cs="Arial"/>
        </w:rPr>
        <w:t>wyniku</w:t>
      </w:r>
      <w:r w:rsidRPr="00177E3D">
        <w:rPr>
          <w:rFonts w:cs="Arial"/>
        </w:rPr>
        <w:t xml:space="preserve"> prowadzonych odwodnień budowlanych.</w:t>
      </w:r>
      <w:r w:rsidRPr="00177E3D">
        <w:rPr>
          <w:rFonts w:cs="Arial"/>
        </w:rPr>
        <w:t xml:space="preserve"> Warunki te </w:t>
      </w:r>
      <w:r w:rsidRPr="00177E3D">
        <w:rPr>
          <w:rFonts w:cs="Arial"/>
        </w:rPr>
        <w:t xml:space="preserve">pozwolą na </w:t>
      </w:r>
      <w:r w:rsidRPr="00177E3D">
        <w:rPr>
          <w:rFonts w:cs="Arial"/>
        </w:rPr>
        <w:t>minimalizacj</w:t>
      </w:r>
      <w:r w:rsidRPr="00177E3D">
        <w:rPr>
          <w:rFonts w:cs="Arial"/>
        </w:rPr>
        <w:t>ę</w:t>
      </w:r>
      <w:r w:rsidRPr="00177E3D">
        <w:rPr>
          <w:rFonts w:cs="Arial"/>
        </w:rPr>
        <w:t xml:space="preserve"> negatywnego wpływu procesu budowlanego na wody podziemne i powierzchniowe oraz zależne od nich siedliska przyrodnicze</w:t>
      </w:r>
      <w:r w:rsidRPr="00177E3D">
        <w:rPr>
          <w:rFonts w:cs="Arial"/>
        </w:rPr>
        <w:t>;</w:t>
      </w:r>
    </w:p>
    <w:p w14:paraId="54E8CF00" w14:textId="77777777" w:rsidR="008558F5" w:rsidRPr="00177E3D" w:rsidRDefault="008558F5" w:rsidP="00C8066D">
      <w:pPr>
        <w:pStyle w:val="Akapitzlist"/>
        <w:numPr>
          <w:ilvl w:val="0"/>
          <w:numId w:val="4"/>
        </w:numPr>
        <w:spacing w:after="120"/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zasad eksploatowania systemu odwodnienia na etapie eksploatacji (pkt II.18). Zgodnie z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ustaleniami przedstawionymi na str. </w:t>
      </w:r>
      <w:r w:rsidRPr="00177E3D">
        <w:rPr>
          <w:rFonts w:cs="Arial"/>
        </w:rPr>
        <w:t>112-114</w:t>
      </w:r>
      <w:r w:rsidRPr="00177E3D">
        <w:rPr>
          <w:rFonts w:cs="Arial"/>
        </w:rPr>
        <w:t xml:space="preserve"> raportu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po zrealizowaniu inwestycji jakość wód opadowych i roztopowych odprowadzanych do odbiorników będzie spełniała wymagania zarówno dla zawiesiny ogólnej (&lt;100 mg/dm</w:t>
      </w:r>
      <w:r w:rsidRPr="00177E3D">
        <w:rPr>
          <w:rFonts w:cs="Arial"/>
          <w:vertAlign w:val="superscript"/>
        </w:rPr>
        <w:t>3</w:t>
      </w:r>
      <w:r w:rsidRPr="00177E3D">
        <w:rPr>
          <w:rFonts w:cs="Arial"/>
        </w:rPr>
        <w:t>), jak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dla węglowodorów ropopochodnych (&lt;15 mg/dm</w:t>
      </w:r>
      <w:r w:rsidRPr="00177E3D">
        <w:rPr>
          <w:rFonts w:cs="Arial"/>
          <w:vertAlign w:val="superscript"/>
        </w:rPr>
        <w:t>3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Tym samym nie będzie konieczne ich dodatkowe podczyszczanie. </w:t>
      </w:r>
      <w:r w:rsidRPr="00177E3D">
        <w:rPr>
          <w:rFonts w:cs="Arial"/>
        </w:rPr>
        <w:t>N</w:t>
      </w:r>
      <w:r w:rsidRPr="00177E3D">
        <w:rPr>
          <w:rFonts w:cs="Arial"/>
        </w:rPr>
        <w:t xml:space="preserve">ależy </w:t>
      </w:r>
      <w:r w:rsidRPr="00177E3D">
        <w:rPr>
          <w:rFonts w:cs="Arial"/>
        </w:rPr>
        <w:t xml:space="preserve">jednak </w:t>
      </w:r>
      <w:r w:rsidRPr="00177E3D">
        <w:rPr>
          <w:rFonts w:cs="Arial"/>
        </w:rPr>
        <w:t xml:space="preserve">zadbać o drożność urządzeń wodnych, </w:t>
      </w:r>
      <w:r w:rsidRPr="00177E3D">
        <w:rPr>
          <w:rFonts w:cs="Arial"/>
        </w:rPr>
        <w:t xml:space="preserve">poprzez ich koszenie, odmulanie, oczyszczanie, </w:t>
      </w:r>
      <w:r w:rsidRPr="00177E3D">
        <w:rPr>
          <w:rFonts w:cs="Arial"/>
        </w:rPr>
        <w:t>ponieważ ich prawidłowy stan pozwoli na zachowanie odpowiedniej jakości wód opadowych i roztopowych oraz zachowanie dobrego stanu podtorza i prawidłowych warunków eksploatacji linii kolejowych</w:t>
      </w:r>
      <w:r w:rsidRPr="00177E3D">
        <w:rPr>
          <w:rFonts w:cs="Arial"/>
        </w:rPr>
        <w:t xml:space="preserve"> (pkt II.18.a)</w:t>
      </w:r>
      <w:r w:rsidRPr="00177E3D">
        <w:rPr>
          <w:rFonts w:cs="Arial"/>
        </w:rPr>
        <w:t>.</w:t>
      </w:r>
    </w:p>
    <w:p w14:paraId="025A20A0" w14:textId="77777777" w:rsidR="008558F5" w:rsidRPr="00177E3D" w:rsidRDefault="008558F5" w:rsidP="00C8066D">
      <w:pPr>
        <w:rPr>
          <w:rFonts w:cs="Arial"/>
        </w:rPr>
      </w:pPr>
      <w:r w:rsidRPr="00177E3D">
        <w:rPr>
          <w:rFonts w:cs="Arial"/>
        </w:rPr>
        <w:t>W pk</w:t>
      </w:r>
      <w:r w:rsidRPr="00177E3D">
        <w:rPr>
          <w:rFonts w:cs="Arial"/>
        </w:rPr>
        <w:t>t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 xml:space="preserve"> niniejszego rozstrzygnięcia GDOŚ uchylił w całości p</w:t>
      </w:r>
      <w:r w:rsidRPr="00177E3D">
        <w:rPr>
          <w:rFonts w:cs="Arial"/>
        </w:rPr>
        <w:t xml:space="preserve">kt </w:t>
      </w:r>
      <w:r w:rsidRPr="00177E3D">
        <w:rPr>
          <w:rFonts w:cs="Arial"/>
        </w:rPr>
        <w:t>I</w:t>
      </w:r>
      <w:r w:rsidRPr="00177E3D">
        <w:rPr>
          <w:rFonts w:cs="Arial"/>
        </w:rPr>
        <w:t>.3 zaskarżonej decyzji i 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to miejsce na nowo określił wymagania dotyczące ochrony środowiska konieczne do uwzględnienia w dokumentacji wymaganej do wydania </w:t>
      </w:r>
      <w:r w:rsidRPr="00177E3D">
        <w:rPr>
          <w:rFonts w:cs="Arial"/>
        </w:rPr>
        <w:t>decyzji inwestycyjnych, o których mowa w art. 72 ust. 1 u.o.o.ś.</w:t>
      </w:r>
      <w:r w:rsidRPr="00177E3D">
        <w:rPr>
          <w:rFonts w:cs="Arial"/>
        </w:rPr>
        <w:t xml:space="preserve"> Warunki te dotyczyły następujących zagadnień:</w:t>
      </w:r>
    </w:p>
    <w:p w14:paraId="56A243A2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rozwiązań technicznych</w:t>
      </w:r>
      <w:r w:rsidRPr="00177E3D">
        <w:rPr>
          <w:rFonts w:cs="Arial"/>
        </w:rPr>
        <w:t xml:space="preserve"> służąc</w:t>
      </w:r>
      <w:r w:rsidRPr="00177E3D">
        <w:rPr>
          <w:rFonts w:cs="Arial"/>
        </w:rPr>
        <w:t>ych</w:t>
      </w:r>
      <w:r w:rsidRPr="00177E3D">
        <w:rPr>
          <w:rFonts w:cs="Arial"/>
        </w:rPr>
        <w:t xml:space="preserve"> ograniczeniu hałasu od ruchu pociągów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>.1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Modelowanie poziomu hałasu </w:t>
      </w:r>
      <w:r w:rsidRPr="00177E3D">
        <w:rPr>
          <w:rFonts w:cs="Arial"/>
        </w:rPr>
        <w:t>dla otoczenia</w:t>
      </w:r>
      <w:r w:rsidRPr="00177E3D">
        <w:rPr>
          <w:rFonts w:cs="Arial"/>
        </w:rPr>
        <w:t xml:space="preserve"> linii kolejow</w:t>
      </w:r>
      <w:r w:rsidRPr="00177E3D">
        <w:rPr>
          <w:rFonts w:cs="Arial"/>
        </w:rPr>
        <w:t>ej nr 230</w:t>
      </w:r>
      <w:r w:rsidRPr="00177E3D">
        <w:rPr>
          <w:rFonts w:cs="Arial"/>
        </w:rPr>
        <w:t xml:space="preserve"> wykazało, że </w:t>
      </w:r>
      <w:r w:rsidRPr="00177E3D">
        <w:rPr>
          <w:rFonts w:cs="Arial"/>
        </w:rPr>
        <w:t>dl</w:t>
      </w:r>
      <w:r w:rsidRPr="00177E3D">
        <w:rPr>
          <w:rFonts w:cs="Arial"/>
        </w:rPr>
        <w:t>a niektórych odcink</w:t>
      </w:r>
      <w:r w:rsidRPr="00177E3D">
        <w:rPr>
          <w:rFonts w:cs="Arial"/>
        </w:rPr>
        <w:t>ów</w:t>
      </w:r>
      <w:r w:rsidRPr="00177E3D">
        <w:rPr>
          <w:rFonts w:cs="Arial"/>
        </w:rPr>
        <w:t xml:space="preserve"> (</w:t>
      </w:r>
      <w:r w:rsidRPr="00177E3D">
        <w:rPr>
          <w:rFonts w:cs="Arial"/>
        </w:rPr>
        <w:t xml:space="preserve">m.in. w km </w:t>
      </w:r>
      <w:r w:rsidRPr="00177E3D">
        <w:rPr>
          <w:rFonts w:cs="Arial"/>
        </w:rPr>
        <w:t>2+900</w:t>
      </w:r>
      <w:r w:rsidRPr="00177E3D">
        <w:rPr>
          <w:rFonts w:cs="Arial"/>
        </w:rPr>
        <w:t>–</w:t>
      </w:r>
      <w:r w:rsidRPr="00177E3D">
        <w:rPr>
          <w:rFonts w:cs="Arial"/>
        </w:rPr>
        <w:t>3</w:t>
      </w:r>
      <w:r w:rsidRPr="00177E3D">
        <w:rPr>
          <w:rFonts w:cs="Arial"/>
        </w:rPr>
        <w:t>+</w:t>
      </w:r>
      <w:r w:rsidRPr="00177E3D">
        <w:rPr>
          <w:rFonts w:cs="Arial"/>
        </w:rPr>
        <w:t>700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>9+750</w:t>
      </w:r>
      <w:r w:rsidRPr="00177E3D">
        <w:rPr>
          <w:rFonts w:cs="Arial"/>
        </w:rPr>
        <w:t>–</w:t>
      </w:r>
      <w:r w:rsidRPr="00177E3D">
        <w:rPr>
          <w:rFonts w:cs="Arial"/>
        </w:rPr>
        <w:t>10+050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>16+050</w:t>
      </w:r>
      <w:r w:rsidRPr="00177E3D">
        <w:rPr>
          <w:rFonts w:cs="Arial"/>
        </w:rPr>
        <w:t>–</w:t>
      </w:r>
      <w:r w:rsidRPr="00177E3D">
        <w:rPr>
          <w:rFonts w:cs="Arial"/>
        </w:rPr>
        <w:t>16+300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>36+500–37+100, 37+500–37+950)</w:t>
      </w:r>
      <w:r w:rsidRPr="00177E3D">
        <w:rPr>
          <w:rFonts w:cs="Arial"/>
        </w:rPr>
        <w:t xml:space="preserve"> istnieje ryzyko przekroczenia dopuszczalnego poziomu dźwięku </w:t>
      </w:r>
      <w:r w:rsidRPr="00177E3D">
        <w:rPr>
          <w:rFonts w:cs="Arial"/>
        </w:rPr>
        <w:t>na sąsiednich terenach chronionych akustycznie</w:t>
      </w:r>
      <w:r w:rsidRPr="00177E3D">
        <w:rPr>
          <w:rFonts w:cs="Arial"/>
        </w:rPr>
        <w:t>. Z analizy wykonanej przez inwestora</w:t>
      </w:r>
      <w:r w:rsidRPr="00177E3D">
        <w:rPr>
          <w:rFonts w:cs="Arial"/>
        </w:rPr>
        <w:t xml:space="preserve"> (zał.</w:t>
      </w:r>
      <w:r w:rsidRPr="00177E3D">
        <w:rPr>
          <w:rFonts w:cs="Arial"/>
        </w:rPr>
        <w:t> 7.4.1. i zał. 8.</w:t>
      </w:r>
      <w:r w:rsidRPr="00177E3D">
        <w:rPr>
          <w:rFonts w:cs="Arial"/>
        </w:rPr>
        <w:t>3.</w:t>
      </w:r>
      <w:r w:rsidRPr="00177E3D">
        <w:rPr>
          <w:rFonts w:cs="Arial"/>
        </w:rPr>
        <w:t>1</w:t>
      </w:r>
      <w:r w:rsidRPr="00177E3D">
        <w:rPr>
          <w:rFonts w:cs="Arial"/>
        </w:rPr>
        <w:t xml:space="preserve"> do raportu)</w:t>
      </w:r>
      <w:r w:rsidRPr="00177E3D">
        <w:rPr>
          <w:rFonts w:cs="Arial"/>
        </w:rPr>
        <w:t xml:space="preserve"> wynika, że przekroczenia te </w:t>
      </w:r>
      <w:r w:rsidRPr="00177E3D">
        <w:rPr>
          <w:rFonts w:cs="Arial"/>
        </w:rPr>
        <w:t>w niektórych miejscach mogą osiągać nawet 9 dB</w:t>
      </w:r>
      <w:r w:rsidRPr="00177E3D">
        <w:rPr>
          <w:rFonts w:cs="Arial"/>
        </w:rPr>
        <w:t xml:space="preserve">, stąd też konieczne </w:t>
      </w:r>
      <w:r w:rsidRPr="00177E3D">
        <w:rPr>
          <w:rFonts w:cs="Arial"/>
        </w:rPr>
        <w:t xml:space="preserve">było </w:t>
      </w:r>
      <w:r w:rsidRPr="00177E3D">
        <w:rPr>
          <w:rFonts w:cs="Arial"/>
        </w:rPr>
        <w:t xml:space="preserve">zaprojektowanie ekranów akustycznych. </w:t>
      </w:r>
      <w:r w:rsidRPr="00177E3D">
        <w:rPr>
          <w:rFonts w:cs="Arial"/>
        </w:rPr>
        <w:t xml:space="preserve">W miejscach, gdzie zastosowanie ekranów nie będzie możliwe (np. </w:t>
      </w:r>
      <w:r w:rsidRPr="00177E3D">
        <w:rPr>
          <w:rFonts w:cs="Arial"/>
        </w:rPr>
        <w:t>ze względu na bezpieczeństwo ruchu lub dostęp do nieruchomości</w:t>
      </w:r>
      <w:r w:rsidRPr="00177E3D">
        <w:rPr>
          <w:rFonts w:cs="Arial"/>
        </w:rPr>
        <w:t>) lub spodziewane przekroczenie standardów akustycznych nie będzie bardzo znaczące,</w:t>
      </w:r>
      <w:r w:rsidRPr="00177E3D">
        <w:rPr>
          <w:rFonts w:cs="Arial"/>
        </w:rPr>
        <w:t xml:space="preserve"> rozwiązaniem zmniejszającym </w:t>
      </w:r>
      <w:r w:rsidRPr="00177E3D">
        <w:rPr>
          <w:rFonts w:cs="Arial"/>
        </w:rPr>
        <w:lastRenderedPageBreak/>
        <w:t>hałas będzie zastosowanie tzw. absorberów przyszynowych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Zgodnie z </w:t>
      </w:r>
      <w:r w:rsidRPr="00177E3D">
        <w:rPr>
          <w:rFonts w:cs="Arial"/>
        </w:rPr>
        <w:t>obecnym stanem wiedzy</w:t>
      </w:r>
      <w:r w:rsidRPr="00177E3D">
        <w:rPr>
          <w:rFonts w:cs="Arial"/>
        </w:rPr>
        <w:t xml:space="preserve"> absorbery przyszynowe </w:t>
      </w:r>
      <w:r w:rsidRPr="00177E3D">
        <w:rPr>
          <w:rFonts w:cs="Arial"/>
        </w:rPr>
        <w:t xml:space="preserve">pozwalają na zmniejszenie poziomu emitowanego dźwięku od 2 do 6 dB (por. Brzeziński i in., </w:t>
      </w:r>
      <w:r w:rsidRPr="00177E3D">
        <w:rPr>
          <w:rFonts w:cs="Arial"/>
          <w:i/>
          <w:iCs/>
        </w:rPr>
        <w:t>Tłumiki torowe i przyszynowe jako innowacyjne rozwiązania dla ochrony ludzi i środowiska przed hałasem od ruchu kolejowego</w:t>
      </w:r>
      <w:r w:rsidRPr="00177E3D">
        <w:rPr>
          <w:rFonts w:cs="Arial"/>
        </w:rPr>
        <w:t>. Zeszyty Naukowo-Techniczne SITK RP, Oddział w Krakowie, 115(1): 33–46</w:t>
      </w:r>
      <w:r w:rsidRPr="00177E3D">
        <w:rPr>
          <w:rFonts w:cs="Arial"/>
        </w:rPr>
        <w:t>, 2018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Ekrany oraz absorbery zostaną zrealizowane w lokalizacjach </w:t>
      </w:r>
      <w:r w:rsidRPr="00177E3D">
        <w:rPr>
          <w:rFonts w:cs="Arial"/>
        </w:rPr>
        <w:t xml:space="preserve">i o parametrach </w:t>
      </w:r>
      <w:r w:rsidRPr="00177E3D">
        <w:rPr>
          <w:rFonts w:cs="Arial"/>
        </w:rPr>
        <w:t>wskazanych w</w:t>
      </w:r>
      <w:r w:rsidRPr="00177E3D">
        <w:rPr>
          <w:rFonts w:cs="Arial"/>
        </w:rPr>
        <w:t xml:space="preserve"> tabeli </w:t>
      </w:r>
      <w:r w:rsidRPr="00177E3D">
        <w:rPr>
          <w:rFonts w:cs="Arial"/>
        </w:rPr>
        <w:t>pkt</w:t>
      </w:r>
      <w:r w:rsidRPr="00177E3D">
        <w:rPr>
          <w:rFonts w:cs="Arial"/>
        </w:rPr>
        <w:t> 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 xml:space="preserve">.1. </w:t>
      </w:r>
      <w:r w:rsidRPr="00177E3D">
        <w:rPr>
          <w:rFonts w:cs="Arial"/>
        </w:rPr>
        <w:t xml:space="preserve">W stosunku do </w:t>
      </w:r>
      <w:r w:rsidRPr="00177E3D">
        <w:rPr>
          <w:rFonts w:cs="Arial"/>
        </w:rPr>
        <w:t xml:space="preserve">rozwiązań określonych w decyzji RDOŚ w Gdańsku z 19 grudnia 2025 r. GDOŚ wprowadził dwie zmiany: </w:t>
      </w:r>
    </w:p>
    <w:p w14:paraId="2A098FD2" w14:textId="77777777" w:rsidR="008558F5" w:rsidRPr="00177E3D" w:rsidRDefault="008558F5" w:rsidP="008558F5">
      <w:pPr>
        <w:pStyle w:val="Akapitzlist"/>
        <w:numPr>
          <w:ilvl w:val="0"/>
          <w:numId w:val="58"/>
        </w:numPr>
        <w:ind w:left="709" w:hanging="425"/>
        <w:contextualSpacing w:val="0"/>
        <w:rPr>
          <w:rFonts w:cs="Arial"/>
        </w:rPr>
      </w:pPr>
      <w:r w:rsidRPr="00177E3D">
        <w:rPr>
          <w:rFonts w:cs="Arial"/>
        </w:rPr>
        <w:t xml:space="preserve">ustalenie lokalizacji dodatkowego absorbera przyszynowego o długości 100 m (odcinek w km 9+100-9+200) w sąsiedztwie grupy budynków położonych w odległości około 25 m od LK nr 230, </w:t>
      </w:r>
      <w:r w:rsidRPr="00177E3D">
        <w:rPr>
          <w:rFonts w:cs="Arial"/>
        </w:rPr>
        <w:t>w miejscu przekroczenia standardów akustycznych na części terenu podlegającego ochronie przed hałasem (zał. 8.3.1 do raportu, arkusz nr 7)</w:t>
      </w:r>
      <w:r w:rsidRPr="00177E3D">
        <w:rPr>
          <w:rFonts w:cs="Arial"/>
        </w:rPr>
        <w:t>;</w:t>
      </w:r>
    </w:p>
    <w:p w14:paraId="4BDF4055" w14:textId="77777777" w:rsidR="008558F5" w:rsidRPr="00177E3D" w:rsidRDefault="008558F5" w:rsidP="008558F5">
      <w:pPr>
        <w:pStyle w:val="Akapitzlist"/>
        <w:numPr>
          <w:ilvl w:val="0"/>
          <w:numId w:val="58"/>
        </w:numPr>
        <w:ind w:left="709" w:hanging="425"/>
        <w:contextualSpacing w:val="0"/>
        <w:rPr>
          <w:rFonts w:cs="Arial"/>
        </w:rPr>
      </w:pPr>
      <w:r w:rsidRPr="00177E3D">
        <w:rPr>
          <w:rFonts w:cs="Arial"/>
        </w:rPr>
        <w:t>wydłużenie ekranu akustycznego z 40 do 55 m (odcinek w km 9+975-10+030, strona prawa), w miejscu przekroczenia standardów akustycznych na części terenu podlegającego ochronie przed hałasem</w:t>
      </w:r>
      <w:r w:rsidRPr="00177E3D">
        <w:rPr>
          <w:rFonts w:cs="Arial"/>
        </w:rPr>
        <w:t xml:space="preserve"> (zał. 8.3.1 do raportu, arkusz nr 7)</w:t>
      </w:r>
      <w:r w:rsidRPr="00177E3D">
        <w:rPr>
          <w:rFonts w:cs="Arial"/>
        </w:rPr>
        <w:t>.</w:t>
      </w:r>
    </w:p>
    <w:p w14:paraId="4EB3DCF0" w14:textId="77777777" w:rsidR="008558F5" w:rsidRPr="00177E3D" w:rsidRDefault="008558F5" w:rsidP="00466BFE">
      <w:pPr>
        <w:ind w:left="284"/>
        <w:rPr>
          <w:rFonts w:cs="Arial"/>
        </w:rPr>
      </w:pPr>
      <w:r w:rsidRPr="00177E3D">
        <w:rPr>
          <w:rFonts w:cs="Arial"/>
        </w:rPr>
        <w:t>Skuteczność tych środków będzie podlegała również dodatkowej weryfikacji w ramach analizy porealizacyjnej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V.</w:t>
      </w:r>
      <w:r w:rsidRPr="00177E3D">
        <w:rPr>
          <w:rFonts w:cs="Arial"/>
        </w:rPr>
        <w:t>1</w:t>
      </w:r>
      <w:r w:rsidRPr="00177E3D">
        <w:rPr>
          <w:rFonts w:cs="Arial"/>
        </w:rPr>
        <w:t>)</w:t>
      </w:r>
      <w:r w:rsidRPr="00177E3D">
        <w:rPr>
          <w:rFonts w:cs="Arial"/>
        </w:rPr>
        <w:t>;</w:t>
      </w:r>
    </w:p>
    <w:p w14:paraId="652FB7C8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t xml:space="preserve">sposobu wykonania ekranów akustycznych i absorberów przyszynowych </w:t>
      </w:r>
      <w:r w:rsidRPr="00177E3D">
        <w:rPr>
          <w:rFonts w:cs="Arial"/>
        </w:rPr>
        <w:t>(pkt 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2</w:t>
      </w:r>
      <w:r w:rsidRPr="00177E3D">
        <w:rPr>
          <w:rFonts w:cs="Arial"/>
        </w:rPr>
        <w:t xml:space="preserve">). </w:t>
      </w:r>
      <w:r w:rsidRPr="00177E3D">
        <w:rPr>
          <w:rFonts w:cs="Arial"/>
        </w:rPr>
        <w:t xml:space="preserve">GDOŚ zobowiązał </w:t>
      </w:r>
      <w:r w:rsidRPr="00177E3D">
        <w:t>inwestora do zapewnienia szczelności projektowanych ekranów oraz zaprojektowania ich w sposób minimalizujący oddziaływanie na krajobraz. Najskuteczniejszym środkiem zabezpieczającym przed kolizjami ptaków z przezroczystymi ekranami akustycznymi są pionowe czarne pasy o</w:t>
      </w:r>
      <w:r w:rsidRPr="00177E3D">
        <w:t xml:space="preserve"> </w:t>
      </w:r>
      <w:r w:rsidRPr="00177E3D">
        <w:t>szerokości 2 cm, umieszczane w</w:t>
      </w:r>
      <w:r w:rsidRPr="00177E3D">
        <w:t> </w:t>
      </w:r>
      <w:r w:rsidRPr="00177E3D">
        <w:t>odstępach co 10 cm na całej wysokości ekranu. Rozwiązanie to jest zalecane w</w:t>
      </w:r>
      <w:r w:rsidRPr="00177E3D">
        <w:t> </w:t>
      </w:r>
      <w:r w:rsidRPr="00177E3D">
        <w:t xml:space="preserve">literaturze (A. Zbyryt, </w:t>
      </w:r>
      <w:r w:rsidRPr="00177E3D">
        <w:rPr>
          <w:i/>
          <w:iCs/>
        </w:rPr>
        <w:t>Poradnik ochrony ptaków przed kolizjami z</w:t>
      </w:r>
      <w:r w:rsidRPr="00177E3D">
        <w:rPr>
          <w:i/>
          <w:iCs/>
        </w:rPr>
        <w:t xml:space="preserve"> </w:t>
      </w:r>
      <w:r w:rsidRPr="00177E3D">
        <w:rPr>
          <w:i/>
          <w:iCs/>
        </w:rPr>
        <w:t>przezroczystymi ekranami akustycznymi oraz oknami budynków,</w:t>
      </w:r>
      <w:r w:rsidRPr="00177E3D">
        <w:t xml:space="preserve"> Białystok 2012).</w:t>
      </w:r>
      <w:r w:rsidRPr="00177E3D">
        <w:t xml:space="preserve"> </w:t>
      </w:r>
      <w:r w:rsidRPr="00177E3D">
        <w:t>Metoda ta</w:t>
      </w:r>
      <w:r w:rsidRPr="00177E3D">
        <w:t xml:space="preserve"> będzie stosowan</w:t>
      </w:r>
      <w:r w:rsidRPr="00177E3D">
        <w:t>a</w:t>
      </w:r>
      <w:r w:rsidRPr="00177E3D">
        <w:t xml:space="preserve"> również w przypadku innych dużych przezroczystych powierzchni, np. na wiatach przystankowych.</w:t>
      </w:r>
      <w:r w:rsidRPr="00177E3D">
        <w:t xml:space="preserve"> Ponadto GDOŚ określił</w:t>
      </w:r>
      <w:r w:rsidRPr="00177E3D">
        <w:t>,</w:t>
      </w:r>
      <w:r w:rsidRPr="00177E3D">
        <w:t xml:space="preserve"> jakie rozwiązania techniczne </w:t>
      </w:r>
      <w:r w:rsidRPr="00177E3D">
        <w:t>służące</w:t>
      </w:r>
      <w:r w:rsidRPr="00177E3D">
        <w:t xml:space="preserve"> tłumienia hałasu należy zastosować w miejscach, gdzie zastosowanie absorberów przyszynowych nie będzie możliwe ze względów technicznych (np. na przejazdach drogowo-kolejowych);</w:t>
      </w:r>
    </w:p>
    <w:p w14:paraId="72AA5044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zabezpieczeń przeciwwibracyjnych</w:t>
      </w:r>
      <w:r w:rsidRPr="00177E3D">
        <w:rPr>
          <w:rFonts w:cs="Arial"/>
        </w:rPr>
        <w:t xml:space="preserve"> (pkt III.3). </w:t>
      </w:r>
      <w:r w:rsidRPr="00177E3D">
        <w:rPr>
          <w:rFonts w:cs="Arial"/>
        </w:rPr>
        <w:t>Jak wynika z ustaleń zawartych n</w:t>
      </w:r>
      <w:r w:rsidRPr="00177E3D">
        <w:rPr>
          <w:rFonts w:cs="Arial"/>
        </w:rPr>
        <w:t xml:space="preserve">a str. </w:t>
      </w:r>
      <w:r w:rsidRPr="00177E3D">
        <w:rPr>
          <w:rFonts w:cs="Arial"/>
        </w:rPr>
        <w:t>298-299</w:t>
      </w:r>
      <w:r w:rsidRPr="00177E3D">
        <w:rPr>
          <w:rFonts w:cs="Arial"/>
        </w:rPr>
        <w:t xml:space="preserve"> raportu</w:t>
      </w:r>
      <w:r w:rsidRPr="00177E3D">
        <w:rPr>
          <w:rFonts w:cs="Arial"/>
        </w:rPr>
        <w:t xml:space="preserve">, budynki położone w odległości mniejszej niż </w:t>
      </w:r>
      <w:r w:rsidRPr="00177E3D">
        <w:rPr>
          <w:rFonts w:cs="Arial"/>
        </w:rPr>
        <w:t>25</w:t>
      </w:r>
      <w:r w:rsidRPr="00177E3D">
        <w:rPr>
          <w:rFonts w:cs="Arial"/>
        </w:rPr>
        <w:t xml:space="preserve"> m od LK nr 230 mogą wymagać ochrony przed nadmiernymi drganiami w czasie jej eksploatacji. Stąd też</w:t>
      </w:r>
      <w:r w:rsidRPr="00177E3D">
        <w:rPr>
          <w:rFonts w:cs="Arial"/>
        </w:rPr>
        <w:t xml:space="preserve"> na podstawie załącznika do raportu ilustrującego przebieg projektowanej LK nr 230 względem istniejącej zabudowy (zał. nr 8.3.1)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GDOŚ wskazał</w:t>
      </w:r>
      <w:r w:rsidRPr="00177E3D">
        <w:rPr>
          <w:rFonts w:cs="Arial"/>
        </w:rPr>
        <w:t>, na których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odcink</w:t>
      </w:r>
      <w:r w:rsidRPr="00177E3D">
        <w:rPr>
          <w:rFonts w:cs="Arial"/>
        </w:rPr>
        <w:t>ach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 konstrukcji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linii kolejowej </w:t>
      </w:r>
      <w:r w:rsidRPr="00177E3D">
        <w:rPr>
          <w:rFonts w:cs="Arial"/>
        </w:rPr>
        <w:t>należy zastosować maty antywibracyjne.</w:t>
      </w:r>
      <w:r w:rsidRPr="00177E3D">
        <w:rPr>
          <w:rFonts w:cs="Arial"/>
        </w:rPr>
        <w:t xml:space="preserve"> Skuteczność t</w:t>
      </w:r>
      <w:r w:rsidRPr="00177E3D">
        <w:rPr>
          <w:rFonts w:cs="Arial"/>
        </w:rPr>
        <w:t xml:space="preserve">ego rozwiązania </w:t>
      </w:r>
      <w:r w:rsidRPr="00177E3D">
        <w:rPr>
          <w:rFonts w:cs="Arial"/>
        </w:rPr>
        <w:t xml:space="preserve">będzie podlegała również dodatkowej weryfikacji w ramach analizy porealizacyjnej (pkt </w:t>
      </w:r>
      <w:r w:rsidRPr="00177E3D">
        <w:rPr>
          <w:rFonts w:cs="Arial"/>
        </w:rPr>
        <w:t>I</w:t>
      </w:r>
      <w:r w:rsidRPr="00177E3D">
        <w:rPr>
          <w:rFonts w:cs="Arial"/>
        </w:rPr>
        <w:t>V.2)</w:t>
      </w:r>
      <w:r w:rsidRPr="00177E3D">
        <w:rPr>
          <w:rFonts w:cs="Arial"/>
        </w:rPr>
        <w:t>;</w:t>
      </w:r>
    </w:p>
    <w:p w14:paraId="0AD62E07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  <w:lang w:bidi="en-US"/>
        </w:rPr>
        <w:t xml:space="preserve">wymagań </w:t>
      </w:r>
      <w:r w:rsidRPr="00177E3D">
        <w:rPr>
          <w:rFonts w:cs="Arial"/>
          <w:lang w:bidi="en-US"/>
        </w:rPr>
        <w:t xml:space="preserve">co </w:t>
      </w:r>
      <w:r w:rsidRPr="00177E3D">
        <w:rPr>
          <w:rFonts w:cs="Arial"/>
          <w:lang w:bidi="en-US"/>
        </w:rPr>
        <w:t xml:space="preserve">do </w:t>
      </w:r>
      <w:r w:rsidRPr="00177E3D">
        <w:rPr>
          <w:rFonts w:cs="Arial"/>
        </w:rPr>
        <w:t>oświetlenia przedsięwzięcia</w:t>
      </w:r>
      <w:r w:rsidRPr="00177E3D">
        <w:rPr>
          <w:rFonts w:cs="Arial"/>
          <w:lang w:bidi="en-US"/>
        </w:rPr>
        <w:t xml:space="preserve"> (pkt I</w:t>
      </w:r>
      <w:r w:rsidRPr="00177E3D">
        <w:rPr>
          <w:rFonts w:cs="Arial"/>
          <w:lang w:bidi="en-US"/>
        </w:rPr>
        <w:t>II</w:t>
      </w:r>
      <w:r w:rsidRPr="00177E3D">
        <w:rPr>
          <w:rFonts w:cs="Arial"/>
          <w:lang w:bidi="en-US"/>
        </w:rPr>
        <w:t>.</w:t>
      </w:r>
      <w:r w:rsidRPr="00177E3D">
        <w:rPr>
          <w:rFonts w:cs="Arial"/>
          <w:lang w:bidi="en-US"/>
        </w:rPr>
        <w:t>4</w:t>
      </w:r>
      <w:r w:rsidRPr="00177E3D">
        <w:rPr>
          <w:rFonts w:cs="Arial"/>
          <w:lang w:bidi="en-US"/>
        </w:rPr>
        <w:t xml:space="preserve">). </w:t>
      </w:r>
      <w:r w:rsidRPr="00177E3D">
        <w:rPr>
          <w:rFonts w:cs="Arial"/>
        </w:rPr>
        <w:t>Rozwiązania te służą ograniczeniu zanieczyszczenia światłem w związku z realizacją i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eksploatacją przedsięwzięcia. Są one również istotne z uwagi na ochronę niektórych grup zwierząt, w szczególności owadów, ptaków i nietoperzy, które mogą być przywabiane przez sztuczne oświetlenie w ciągu nocy. Nieprawidłowe lub nadmierne stosowanie światła sztucznego może zaburzać nawigację </w:t>
      </w:r>
      <w:r w:rsidRPr="00177E3D">
        <w:rPr>
          <w:rFonts w:cs="Arial"/>
        </w:rPr>
        <w:lastRenderedPageBreak/>
        <w:t>tych zwierząt lub nawet powodować ich śmiertelność w kontakcie z rozżarzonymi lampami. Stąd konieczne było określenie wymagań, o których mowa w pkt 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4</w:t>
      </w:r>
      <w:r w:rsidRPr="00177E3D">
        <w:rPr>
          <w:rFonts w:cs="Arial"/>
        </w:rPr>
        <w:t>.a-I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4</w:t>
      </w:r>
      <w:r w:rsidRPr="00177E3D">
        <w:rPr>
          <w:rFonts w:cs="Arial"/>
        </w:rPr>
        <w:t>.d. Natomiast wyłączenie zawarte w pkt 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4</w:t>
      </w:r>
      <w:r w:rsidRPr="00177E3D">
        <w:rPr>
          <w:rFonts w:cs="Arial"/>
        </w:rPr>
        <w:t xml:space="preserve">.e wynika stąd, że wymagania dotyczące oświetlenia </w:t>
      </w:r>
      <w:r w:rsidRPr="00177E3D">
        <w:rPr>
          <w:rFonts w:cs="Arial"/>
        </w:rPr>
        <w:t xml:space="preserve">drogowego i </w:t>
      </w:r>
      <w:r w:rsidRPr="00177E3D">
        <w:rPr>
          <w:rFonts w:cs="Arial"/>
        </w:rPr>
        <w:t>kolejow</w:t>
      </w:r>
      <w:r w:rsidRPr="00177E3D">
        <w:rPr>
          <w:rFonts w:cs="Arial"/>
        </w:rPr>
        <w:t>ego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wynikają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z</w:t>
      </w:r>
      <w:r w:rsidRPr="00177E3D">
        <w:rPr>
          <w:rFonts w:cs="Arial"/>
        </w:rPr>
        <w:t xml:space="preserve"> odrębnych</w:t>
      </w:r>
      <w:r w:rsidRPr="00177E3D">
        <w:rPr>
          <w:rFonts w:cs="Arial"/>
        </w:rPr>
        <w:t xml:space="preserve"> regulacji</w:t>
      </w:r>
      <w:r w:rsidRPr="00177E3D">
        <w:rPr>
          <w:rFonts w:cs="Arial"/>
        </w:rPr>
        <w:t>. Warunki określone w treści decyzji o</w:t>
      </w:r>
      <w:r w:rsidRPr="00177E3D">
        <w:rPr>
          <w:rFonts w:cs="Arial"/>
        </w:rPr>
        <w:t> </w:t>
      </w:r>
      <w:r w:rsidRPr="00177E3D">
        <w:rPr>
          <w:rFonts w:cs="Arial"/>
        </w:rPr>
        <w:t>środowiskowych uwarunkowaniach nie mogą być bowiem sprzeczne z</w:t>
      </w:r>
      <w:r w:rsidRPr="00177E3D">
        <w:rPr>
          <w:rFonts w:cs="Arial"/>
        </w:rPr>
        <w:t> </w:t>
      </w:r>
      <w:r w:rsidRPr="00177E3D">
        <w:rPr>
          <w:rFonts w:cs="Arial"/>
        </w:rPr>
        <w:t>obowiązującymi przepisami prawa</w:t>
      </w:r>
      <w:r w:rsidRPr="00177E3D">
        <w:rPr>
          <w:rFonts w:cs="Arial"/>
        </w:rPr>
        <w:t>;</w:t>
      </w:r>
    </w:p>
    <w:p w14:paraId="55B0769E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 xml:space="preserve">rozwiązań zmniejszających negatywne oddziaływanie na krajobraz (pkt </w:t>
      </w:r>
      <w:r w:rsidRPr="00177E3D">
        <w:rPr>
          <w:rFonts w:cs="Arial"/>
        </w:rPr>
        <w:t>II</w:t>
      </w:r>
      <w:r w:rsidRPr="00177E3D">
        <w:rPr>
          <w:rFonts w:cs="Arial"/>
        </w:rPr>
        <w:t>I.</w:t>
      </w:r>
      <w:r w:rsidRPr="00177E3D">
        <w:rPr>
          <w:rFonts w:cs="Arial"/>
        </w:rPr>
        <w:t>5</w:t>
      </w:r>
      <w:r w:rsidRPr="00177E3D">
        <w:rPr>
          <w:rFonts w:cs="Arial"/>
        </w:rPr>
        <w:t xml:space="preserve">). </w:t>
      </w:r>
      <w:r w:rsidRPr="00177E3D">
        <w:rPr>
          <w:rFonts w:cs="Arial"/>
        </w:rPr>
        <w:t>Jak wynika z ustaleń przedstawionych na str. 283-287 raportu, obszar, na którym planowane jest przedsięwzięcie, posiada wysokie walory krajobrazowe.</w:t>
      </w:r>
      <w:r w:rsidRPr="00177E3D">
        <w:rPr>
          <w:rFonts w:cs="Arial"/>
        </w:rPr>
        <w:t xml:space="preserve"> Projektowana linia kolejowa na odcinkach: w km 1+800-1+900, w km 4+300-13+900, w km 38+100-39+800 oraz w km 43+900-50+373 przecina obszary chronionego krajobrazu.</w:t>
      </w:r>
      <w:r w:rsidRPr="00177E3D">
        <w:rPr>
          <w:rFonts w:cs="Arial"/>
        </w:rPr>
        <w:t xml:space="preserve"> Przeobrażenie krajobrazu nastąpi poprzez pojawienie się obiektów inżynieryjnych: nasypów, torów kolejowych w</w:t>
      </w:r>
      <w:r w:rsidRPr="00177E3D">
        <w:rPr>
          <w:rFonts w:cs="Arial"/>
        </w:rPr>
        <w:t> </w:t>
      </w:r>
      <w:r w:rsidRPr="00177E3D">
        <w:rPr>
          <w:rFonts w:cs="Arial"/>
        </w:rPr>
        <w:t>nowym śladzie oraz nowych stacji kolejowych i obiektów technicznych związanych z</w:t>
      </w:r>
      <w:r w:rsidRPr="00177E3D">
        <w:rPr>
          <w:rFonts w:cs="Arial"/>
        </w:rPr>
        <w:t> </w:t>
      </w:r>
      <w:r w:rsidRPr="00177E3D">
        <w:rPr>
          <w:rFonts w:cs="Arial"/>
        </w:rPr>
        <w:t>utrzymaniem ruchu kolejowego.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Stąd też</w:t>
      </w:r>
      <w:r w:rsidRPr="00177E3D">
        <w:rPr>
          <w:rFonts w:cs="Arial"/>
        </w:rPr>
        <w:t xml:space="preserve"> w celu ograniczenia tego oddziaływania, GDOŚ stwierdził konieczność wykonania</w:t>
      </w:r>
      <w:r w:rsidRPr="00177E3D">
        <w:rPr>
          <w:rFonts w:cs="Arial"/>
        </w:rPr>
        <w:t xml:space="preserve"> nowych elementów infrastruktury kolejowej w kolorystyce i formie dostosowanej do miejscowego krajobrazu;</w:t>
      </w:r>
    </w:p>
    <w:p w14:paraId="6DC36E73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przebudowy i umacniani</w:t>
      </w:r>
      <w:r w:rsidRPr="00177E3D">
        <w:rPr>
          <w:rFonts w:cs="Arial"/>
        </w:rPr>
        <w:t>a</w:t>
      </w:r>
      <w:r w:rsidRPr="00177E3D">
        <w:rPr>
          <w:rFonts w:cs="Arial"/>
        </w:rPr>
        <w:t xml:space="preserve"> cieków, z którymi koliduje przedsięwzięcie (pkt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6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W ramach inwestycji prowadzone będą prace związane z kształtowaniem koryt cieków: Potok Pętkowicki (ok. 190 m), Struga Młyńska (370 m), rzeka Choczewka (ok. 654 m), Kanał Biebrowski II (ok. 160 m), Kanał Biebrowski I (ok. 2580 m) (por. str. 114 raportu). </w:t>
      </w:r>
      <w:r w:rsidRPr="00177E3D">
        <w:rPr>
          <w:rFonts w:cs="Arial"/>
        </w:rPr>
        <w:t>K</w:t>
      </w:r>
      <w:r w:rsidRPr="00177E3D">
        <w:rPr>
          <w:rFonts w:cs="Arial"/>
        </w:rPr>
        <w:t xml:space="preserve">onieczne </w:t>
      </w:r>
      <w:r w:rsidRPr="00177E3D">
        <w:rPr>
          <w:rFonts w:cs="Arial"/>
        </w:rPr>
        <w:t xml:space="preserve">może okazać się </w:t>
      </w:r>
      <w:r w:rsidRPr="00177E3D">
        <w:rPr>
          <w:rFonts w:cs="Arial"/>
        </w:rPr>
        <w:t>odcinkowe umocnienie dna i skarp cieków przy przebudowywanych mostach i przepustach.</w:t>
      </w:r>
      <w:r w:rsidRPr="00177E3D">
        <w:rPr>
          <w:rFonts w:cs="Arial"/>
        </w:rPr>
        <w:t xml:space="preserve"> W celu ograniczenia ingerencji w elementy hydromorfologiczne przekraczanych cieków, ich dno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skarpy </w:t>
      </w:r>
      <w:r w:rsidRPr="00177E3D">
        <w:rPr>
          <w:rFonts w:cs="Arial"/>
        </w:rPr>
        <w:t>należy umacniać przede wszystkim</w:t>
      </w:r>
      <w:r w:rsidRPr="00177E3D">
        <w:rPr>
          <w:rFonts w:cs="Arial"/>
        </w:rPr>
        <w:t xml:space="preserve"> z</w:t>
      </w:r>
      <w:r w:rsidRPr="00177E3D">
        <w:rPr>
          <w:rFonts w:cs="Arial"/>
        </w:rPr>
        <w:t> </w:t>
      </w:r>
      <w:r w:rsidRPr="00177E3D">
        <w:rPr>
          <w:rFonts w:cs="Arial"/>
        </w:rPr>
        <w:t>wykorzystaniem materiałów naturalnych.</w:t>
      </w:r>
      <w:r w:rsidRPr="00177E3D">
        <w:rPr>
          <w:rFonts w:cs="Arial"/>
        </w:rPr>
        <w:t xml:space="preserve"> Ponadto pkt I.2.1.37 decyzji RDOŚ w Gdańsku z 19 grudnia 2025 r. należało zmodyfikować w celu dostosowania go do punktu III.6. decyzji GDOŚ z 19 września 2023 r., znak: DOOŚ-OA.4205.1.2015.125, określającej środowiskowe uwarunkowania realizacji przedsięwzięcia polegającego na: „Budowie i</w:t>
      </w:r>
      <w:r w:rsidRPr="00177E3D">
        <w:rPr>
          <w:rFonts w:cs="Arial"/>
        </w:rPr>
        <w:t> </w:t>
      </w:r>
      <w:r w:rsidRPr="00177E3D">
        <w:rPr>
          <w:rFonts w:cs="Arial"/>
        </w:rPr>
        <w:t>eksploatacji pierwszej w Polsce Elektrowni Jądrowej, o mocy elektrycznej do 3750 MWe, na obszarze gmin: Choczewo lub Gniewino i Krokowa”. Stąd też w pkt III.</w:t>
      </w:r>
      <w:r w:rsidRPr="00177E3D">
        <w:rPr>
          <w:rFonts w:cs="Arial"/>
        </w:rPr>
        <w:t>6</w:t>
      </w:r>
      <w:r w:rsidRPr="00177E3D">
        <w:rPr>
          <w:rFonts w:cs="Arial"/>
        </w:rPr>
        <w:t>.</w:t>
      </w:r>
      <w:r w:rsidRPr="00177E3D">
        <w:rPr>
          <w:rFonts w:cs="Arial"/>
        </w:rPr>
        <w:t>b</w:t>
      </w:r>
      <w:r w:rsidRPr="00177E3D">
        <w:rPr>
          <w:rFonts w:cs="Arial"/>
        </w:rPr>
        <w:t xml:space="preserve"> GDOŚ nałożył obowiązek stosowania komponentów naturalnych, takich jak głazy, kamienie, żwir, darnina, kiszki faszynowe. W przypadku braku możliwości technicznych wykorzystania materiałów naturalnych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dopuszcz</w:t>
      </w:r>
      <w:r w:rsidRPr="00177E3D">
        <w:rPr>
          <w:rFonts w:cs="Arial"/>
        </w:rPr>
        <w:t>alne jest</w:t>
      </w:r>
      <w:r w:rsidRPr="00177E3D">
        <w:rPr>
          <w:rFonts w:cs="Arial"/>
        </w:rPr>
        <w:t xml:space="preserve"> zastosowanie luźnego narzutu kamiennego lub betonowych płyt ażurowych o dużych oczkach, ale z wykorzystaniem zadarnienia umożliwiającego spontaniczny rozwój roślinności</w:t>
      </w:r>
      <w:r w:rsidRPr="00177E3D">
        <w:rPr>
          <w:rFonts w:cs="Arial"/>
        </w:rPr>
        <w:t>. Natomiast</w:t>
      </w:r>
      <w:r w:rsidRPr="00177E3D">
        <w:t xml:space="preserve"> s</w:t>
      </w:r>
      <w:r w:rsidRPr="00177E3D">
        <w:rPr>
          <w:rFonts w:cs="Arial"/>
        </w:rPr>
        <w:t>tosowanie materaców gabionowych możliwe jest jedynie na Kanale Biebrowskim</w:t>
      </w:r>
      <w:r w:rsidRPr="00177E3D">
        <w:rPr>
          <w:rFonts w:cs="Arial"/>
        </w:rPr>
        <w:t xml:space="preserve"> w rejonie istniejącego jazu w km 3+328, na długości ok. 30 m. Taki rodzaj umocnienia został ujęty w pozwoleniu wodnoprawnym wydanym przez Dyrektora Regionalnego Zarządu Gospodarki Wodnej w Gdańsku (decyzja z 25 lutego 2026 r., znak: G.RUZ.4210.349.2025.8.SO)</w:t>
      </w:r>
      <w:r w:rsidRPr="00177E3D">
        <w:rPr>
          <w:rFonts w:cs="Arial"/>
        </w:rPr>
        <w:t>;</w:t>
      </w:r>
    </w:p>
    <w:p w14:paraId="7D7136EC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zasad projektowania systemu odwodnienia i podczyszczania odprowadzanych wód opadowych i roztopowych</w:t>
      </w:r>
      <w:r w:rsidRPr="00177E3D">
        <w:rPr>
          <w:rFonts w:cs="Arial"/>
        </w:rPr>
        <w:t xml:space="preserve"> (pkt </w:t>
      </w:r>
      <w:r w:rsidRPr="00177E3D">
        <w:rPr>
          <w:rFonts w:cs="Arial"/>
        </w:rPr>
        <w:t>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7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Jak wskazano na str. </w:t>
      </w:r>
      <w:r w:rsidRPr="00177E3D">
        <w:rPr>
          <w:rFonts w:cs="Arial"/>
        </w:rPr>
        <w:t>113</w:t>
      </w:r>
      <w:r w:rsidRPr="00177E3D">
        <w:rPr>
          <w:rFonts w:cs="Arial"/>
        </w:rPr>
        <w:t xml:space="preserve"> raportu, </w:t>
      </w:r>
      <w:r w:rsidRPr="00177E3D">
        <w:rPr>
          <w:rFonts w:cs="Arial"/>
        </w:rPr>
        <w:t>niewłaściwe ukształtowanie systemu odwodnienia linii kolejowej na odcinkach szlakowych może być przyczyną</w:t>
      </w:r>
      <w:r w:rsidRPr="00177E3D">
        <w:rPr>
          <w:rFonts w:cs="Arial"/>
        </w:rPr>
        <w:t xml:space="preserve"> przekroczenia dopuszczalnych wartości zawiesiny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 xml:space="preserve">Wymagane jest więc ich </w:t>
      </w:r>
      <w:r w:rsidRPr="00177E3D">
        <w:rPr>
          <w:rFonts w:cs="Arial"/>
        </w:rPr>
        <w:lastRenderedPageBreak/>
        <w:t>umocnienie (</w:t>
      </w:r>
      <w:r w:rsidRPr="00177E3D">
        <w:t>pkt III.</w:t>
      </w:r>
      <w:r w:rsidRPr="00177E3D">
        <w:t>7</w:t>
      </w:r>
      <w:r w:rsidRPr="00177E3D">
        <w:t>.b</w:t>
      </w:r>
      <w:r w:rsidRPr="00177E3D">
        <w:rPr>
          <w:rFonts w:cs="Arial"/>
        </w:rPr>
        <w:t>) i prowadzenie prac utrzymaniowych (pkt II.18.a)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L</w:t>
      </w:r>
      <w:r w:rsidRPr="00177E3D">
        <w:t>ikwidację obecnie funkcjonujących urządzeń wodnych, które kolidują z miejscem realizacji przedsięwzięcia, można będzie przeprowadzić dopiero po wcześniejszym oddaniu do użytkowania nowych urządzeń, które przejmą ich zadania (pkt III.</w:t>
      </w:r>
      <w:r w:rsidRPr="00177E3D">
        <w:t>7</w:t>
      </w:r>
      <w:r w:rsidRPr="00177E3D">
        <w:t xml:space="preserve">.a). Ma to na celu zachowanie ciągłości funkcjonowania obecnie istniejącego systemu drenarskiego. </w:t>
      </w:r>
      <w:r w:rsidRPr="00177E3D">
        <w:rPr>
          <w:rFonts w:cs="Arial"/>
        </w:rPr>
        <w:t xml:space="preserve">GDOŚ </w:t>
      </w:r>
      <w:r w:rsidRPr="00177E3D">
        <w:rPr>
          <w:rFonts w:cs="Arial"/>
        </w:rPr>
        <w:t>wskaza</w:t>
      </w:r>
      <w:r w:rsidRPr="00177E3D">
        <w:rPr>
          <w:rFonts w:cs="Arial"/>
        </w:rPr>
        <w:t>ł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również rozwiązania służące zmniejszeniu śmiertelności małych zwierząt, które mogą być narażone na przypadkowe wpadnięcie do projektowanych urządzeń wodnych</w:t>
      </w:r>
      <w:r w:rsidRPr="00177E3D">
        <w:rPr>
          <w:rFonts w:cs="Arial"/>
        </w:rPr>
        <w:t xml:space="preserve"> </w:t>
      </w:r>
      <w:r w:rsidRPr="00177E3D">
        <w:t>(pkt III.</w:t>
      </w:r>
      <w:r w:rsidRPr="00177E3D">
        <w:t>7</w:t>
      </w:r>
      <w:r w:rsidRPr="00177E3D">
        <w:t>.c-III.</w:t>
      </w:r>
      <w:r w:rsidRPr="00177E3D">
        <w:t>7</w:t>
      </w:r>
      <w:r w:rsidRPr="00177E3D">
        <w:t>.d)</w:t>
      </w:r>
      <w:r w:rsidRPr="00177E3D">
        <w:rPr>
          <w:rFonts w:cs="Arial"/>
        </w:rPr>
        <w:t xml:space="preserve">. </w:t>
      </w:r>
      <w:r w:rsidRPr="00177E3D">
        <w:rPr>
          <w:rFonts w:cs="Arial"/>
        </w:rPr>
        <w:t xml:space="preserve">Ponadto zgodnie z ustaleniami na str. 34 raportu konieczne jest wykonanie infiltracyjnych zbiorników retencyjnych na wody opadowe i roztopowe w miejscach, gdzie nie ma możliwości odprowadzenia </w:t>
      </w:r>
      <w:r w:rsidRPr="00177E3D">
        <w:rPr>
          <w:rFonts w:cs="Arial"/>
        </w:rPr>
        <w:t>wód bezpośrednio</w:t>
      </w:r>
      <w:r w:rsidRPr="00177E3D">
        <w:rPr>
          <w:rFonts w:cs="Arial"/>
        </w:rPr>
        <w:t xml:space="preserve"> do odbiornika (pkt III.</w:t>
      </w:r>
      <w:r w:rsidRPr="00177E3D">
        <w:rPr>
          <w:rFonts w:cs="Arial"/>
        </w:rPr>
        <w:t>7</w:t>
      </w:r>
      <w:r w:rsidRPr="00177E3D">
        <w:rPr>
          <w:rFonts w:cs="Arial"/>
        </w:rPr>
        <w:t>.e);</w:t>
      </w:r>
    </w:p>
    <w:p w14:paraId="7B54F364" w14:textId="77777777" w:rsidR="008558F5" w:rsidRPr="00177E3D" w:rsidRDefault="008558F5" w:rsidP="00C8066D">
      <w:pPr>
        <w:pStyle w:val="Akapitzlist"/>
        <w:numPr>
          <w:ilvl w:val="0"/>
          <w:numId w:val="5"/>
        </w:numPr>
        <w:ind w:left="284" w:hanging="284"/>
        <w:contextualSpacing w:val="0"/>
        <w:rPr>
          <w:rFonts w:cs="Arial"/>
        </w:rPr>
      </w:pPr>
      <w:r w:rsidRPr="00177E3D">
        <w:rPr>
          <w:rFonts w:cs="Arial"/>
        </w:rPr>
        <w:t>lokalizacji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parametrów technicznych </w:t>
      </w:r>
      <w:r w:rsidRPr="00177E3D">
        <w:rPr>
          <w:rFonts w:cs="Arial"/>
        </w:rPr>
        <w:t xml:space="preserve">oraz sposobu zagospodarowania </w:t>
      </w:r>
      <w:r w:rsidRPr="00177E3D">
        <w:rPr>
          <w:rFonts w:cs="Arial"/>
        </w:rPr>
        <w:t>obiektów pełniących funkcję przejść dla zwierząt (pkt 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8</w:t>
      </w:r>
      <w:r w:rsidRPr="00177E3D">
        <w:rPr>
          <w:rFonts w:cs="Arial"/>
        </w:rPr>
        <w:t>-I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9</w:t>
      </w:r>
      <w:r w:rsidRPr="00177E3D">
        <w:rPr>
          <w:rFonts w:cs="Arial"/>
        </w:rPr>
        <w:t>). W niniejszej decyzji lokalizację</w:t>
      </w:r>
      <w:r w:rsidRPr="00177E3D">
        <w:rPr>
          <w:rFonts w:cs="Arial"/>
        </w:rPr>
        <w:t xml:space="preserve"> i parametry </w:t>
      </w:r>
      <w:r w:rsidRPr="00177E3D">
        <w:rPr>
          <w:rFonts w:cs="Arial"/>
        </w:rPr>
        <w:t xml:space="preserve">projektowanych przejść dla zwierząt GDOŚ określił </w:t>
      </w:r>
      <w:r w:rsidRPr="00177E3D">
        <w:rPr>
          <w:rFonts w:cs="Arial"/>
        </w:rPr>
        <w:t>na podstawie danych</w:t>
      </w:r>
      <w:r w:rsidRPr="00177E3D">
        <w:rPr>
          <w:rFonts w:cs="Arial"/>
        </w:rPr>
        <w:t xml:space="preserve"> wskazany</w:t>
      </w:r>
      <w:r w:rsidRPr="00177E3D">
        <w:rPr>
          <w:rFonts w:cs="Arial"/>
        </w:rPr>
        <w:t xml:space="preserve">ch </w:t>
      </w:r>
      <w:r w:rsidRPr="00177E3D">
        <w:rPr>
          <w:rFonts w:cs="Arial"/>
        </w:rPr>
        <w:t xml:space="preserve">na str. </w:t>
      </w:r>
      <w:r w:rsidRPr="00177E3D">
        <w:rPr>
          <w:rFonts w:cs="Arial"/>
        </w:rPr>
        <w:t>314-315</w:t>
      </w:r>
      <w:r w:rsidRPr="00177E3D">
        <w:rPr>
          <w:rFonts w:cs="Arial"/>
        </w:rPr>
        <w:t xml:space="preserve"> raportu. </w:t>
      </w:r>
      <w:r w:rsidRPr="00177E3D">
        <w:rPr>
          <w:rFonts w:cs="Arial"/>
        </w:rPr>
        <w:t>Warunk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 te służ</w:t>
      </w:r>
      <w:r w:rsidRPr="00177E3D">
        <w:rPr>
          <w:rFonts w:cs="Arial"/>
        </w:rPr>
        <w:t>ą</w:t>
      </w:r>
      <w:r w:rsidRPr="00177E3D">
        <w:rPr>
          <w:rFonts w:cs="Arial"/>
        </w:rPr>
        <w:t xml:space="preserve"> zapewnieniu drożności korytarzy migracyjnych zwierząt, których obecność stwierdzono w czasie inwentaryzacji przyrodniczej. 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przypadkach wymagających doprecyzowania organ odwoławczy </w:t>
      </w:r>
      <w:r w:rsidRPr="00177E3D">
        <w:rPr>
          <w:rFonts w:cs="Arial"/>
        </w:rPr>
        <w:t>ustalił</w:t>
      </w:r>
      <w:r w:rsidRPr="00177E3D">
        <w:rPr>
          <w:rFonts w:cs="Arial"/>
        </w:rPr>
        <w:t xml:space="preserve"> minimalne parametry ekologiczne obiektów, umożliwiające pełnienie przez nie funkcji przejść dla właściwych grup zwierząt. </w:t>
      </w:r>
      <w:r w:rsidRPr="00177E3D">
        <w:rPr>
          <w:rFonts w:cs="Arial"/>
        </w:rPr>
        <w:t>W</w:t>
      </w:r>
      <w:r w:rsidRPr="00177E3D">
        <w:rPr>
          <w:rFonts w:cs="Arial"/>
        </w:rPr>
        <w:t xml:space="preserve"> pkt I</w:t>
      </w:r>
      <w:r w:rsidRPr="00177E3D">
        <w:rPr>
          <w:rFonts w:cs="Arial"/>
        </w:rPr>
        <w:t>II</w:t>
      </w:r>
      <w:r w:rsidRPr="00177E3D">
        <w:rPr>
          <w:rFonts w:cs="Arial"/>
        </w:rPr>
        <w:t>.</w:t>
      </w:r>
      <w:r w:rsidRPr="00177E3D">
        <w:rPr>
          <w:rFonts w:cs="Arial"/>
        </w:rPr>
        <w:t>9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GDOŚ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określił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w jaki sposób </w:t>
      </w:r>
      <w:r w:rsidRPr="00177E3D">
        <w:rPr>
          <w:rFonts w:cs="Arial"/>
        </w:rPr>
        <w:t xml:space="preserve">dla różnych typów przejść </w:t>
      </w:r>
      <w:r w:rsidRPr="00177E3D">
        <w:rPr>
          <w:rFonts w:cs="Arial"/>
        </w:rPr>
        <w:t>należy ukształtować przestrzeń przeznaczoną do przemieszczania się zwierząt</w:t>
      </w:r>
      <w:r w:rsidRPr="00177E3D">
        <w:rPr>
          <w:rFonts w:cs="Arial"/>
        </w:rPr>
        <w:t>. W szczególności pkt III.</w:t>
      </w:r>
      <w:r w:rsidRPr="00177E3D">
        <w:rPr>
          <w:rFonts w:cs="Arial"/>
        </w:rPr>
        <w:t>9</w:t>
      </w:r>
      <w:r w:rsidRPr="00177E3D">
        <w:rPr>
          <w:rFonts w:cs="Arial"/>
        </w:rPr>
        <w:t>.b zawiera</w:t>
      </w:r>
      <w:r w:rsidRPr="00177E3D">
        <w:rPr>
          <w:rFonts w:cs="Arial"/>
        </w:rPr>
        <w:t xml:space="preserve"> warunek, zgodnie z którym przejścia dla zwierząt zespolone z ciekiem mają posiadać powierzchnie wyniesione ponad poziom wody </w:t>
      </w:r>
      <w:r w:rsidRPr="00177E3D">
        <w:rPr>
          <w:rFonts w:cs="Arial"/>
        </w:rPr>
        <w:t>wysokiej</w:t>
      </w:r>
      <w:r w:rsidRPr="00177E3D">
        <w:rPr>
          <w:rFonts w:cs="Arial"/>
        </w:rPr>
        <w:t xml:space="preserve"> dla danego cieku. Warunek ten służy zapobieganiu sytuacji, w której dane przejście stałoby się trwale niedrożne dla przemieszczania się małych zwierząt z uwagi na zalewanie powierzchni tego przejścia. Należy również podkreślić, że wymiary minimalne: B=szerokość, H=wysokość określają wymiary prostokątnej powierzchni w przekroju poprzecznym przejścia, wolnej od przeszkód i w całości dostępnej dla zwierząt. </w:t>
      </w:r>
      <w:r w:rsidRPr="00177E3D">
        <w:rPr>
          <w:rFonts w:cs="Arial"/>
        </w:rPr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przypadku przejść </w:t>
      </w:r>
      <w:r w:rsidRPr="00177E3D">
        <w:rPr>
          <w:rFonts w:cs="Arial"/>
        </w:rPr>
        <w:t xml:space="preserve">dolnych </w:t>
      </w:r>
      <w:r w:rsidRPr="00177E3D">
        <w:rPr>
          <w:rFonts w:cs="Arial"/>
        </w:rPr>
        <w:t>zintegrowanych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ciekami wymiar H=wysokość mierzony jest od powierzchni półki lub strefy brzegowej wyniesionej ponad poziom wody średniej dla danego cieku, a nie od dna tego cieku.</w:t>
      </w:r>
    </w:p>
    <w:p w14:paraId="050A46AE" w14:textId="77777777" w:rsidR="008558F5" w:rsidRPr="00177E3D" w:rsidRDefault="008558F5" w:rsidP="005237F7">
      <w:pPr>
        <w:pStyle w:val="western"/>
        <w:spacing w:before="120" w:beforeAutospacing="0" w:after="0" w:afterAutospacing="0" w:line="312" w:lineRule="auto"/>
        <w:rPr>
          <w:rFonts w:cs="Arial"/>
        </w:rPr>
      </w:pPr>
      <w:r w:rsidRPr="00177E3D">
        <w:rPr>
          <w:rFonts w:cs="Arial"/>
        </w:rPr>
        <w:t xml:space="preserve">W pkt </w:t>
      </w:r>
      <w:r w:rsidRPr="00177E3D">
        <w:rPr>
          <w:rFonts w:cs="Arial"/>
        </w:rPr>
        <w:t>I</w:t>
      </w:r>
      <w:r w:rsidRPr="00177E3D">
        <w:rPr>
          <w:rFonts w:cs="Arial"/>
        </w:rPr>
        <w:t>V niniejszej decyzji GDOŚ uchylił w całości punkt I</w:t>
      </w:r>
      <w:r w:rsidRPr="00177E3D">
        <w:rPr>
          <w:rFonts w:cs="Arial"/>
        </w:rPr>
        <w:t>.5</w:t>
      </w:r>
      <w:r w:rsidRPr="00177E3D">
        <w:rPr>
          <w:rFonts w:cs="Arial"/>
        </w:rPr>
        <w:t xml:space="preserve"> decyzji </w:t>
      </w:r>
      <w:r w:rsidRPr="00177E3D">
        <w:rPr>
          <w:rFonts w:cs="Arial"/>
        </w:rPr>
        <w:t xml:space="preserve">RDOŚ w Gdańsku </w:t>
      </w:r>
      <w:r w:rsidRPr="00177E3D">
        <w:rPr>
          <w:rFonts w:cs="Arial"/>
        </w:rPr>
        <w:t>z</w:t>
      </w:r>
      <w:r w:rsidRPr="00177E3D">
        <w:rPr>
          <w:rFonts w:cs="Arial"/>
        </w:rPr>
        <w:t> </w:t>
      </w:r>
      <w:r w:rsidRPr="00177E3D">
        <w:rPr>
          <w:rFonts w:cs="Arial"/>
        </w:rPr>
        <w:t>19</w:t>
      </w:r>
      <w:r w:rsidRPr="00177E3D">
        <w:rPr>
          <w:rFonts w:cs="Arial"/>
        </w:rPr>
        <w:t> </w:t>
      </w:r>
      <w:r w:rsidRPr="00177E3D">
        <w:rPr>
          <w:rFonts w:cs="Arial"/>
        </w:rPr>
        <w:t>grudnia 2025 </w:t>
      </w:r>
      <w:r w:rsidRPr="00177E3D">
        <w:rPr>
          <w:rFonts w:cs="Arial"/>
        </w:rPr>
        <w:t xml:space="preserve">r. i określił wymagany zakres analizy porealizacyjnej. W ocenie organu odwoławczego </w:t>
      </w:r>
      <w:r w:rsidRPr="00177E3D">
        <w:rPr>
          <w:rFonts w:cs="Arial"/>
        </w:rPr>
        <w:t>należało doprecyzować terminy wykonania analizy</w:t>
      </w:r>
      <w:r w:rsidRPr="00177E3D">
        <w:rPr>
          <w:rFonts w:cs="Arial"/>
        </w:rPr>
        <w:t xml:space="preserve"> w zakresie hałasu i drgań</w:t>
      </w:r>
      <w:r w:rsidRPr="00177E3D">
        <w:rPr>
          <w:rFonts w:cs="Arial"/>
        </w:rPr>
        <w:t xml:space="preserve"> oraz przedłożenia jej właściwym organom, a także wskazać, które organy powinny analizę tę otrzymać. Ustalając dłuższy okres czasu na jej wykonanie i przedłożenie</w:t>
      </w:r>
      <w:r w:rsidRPr="00177E3D">
        <w:rPr>
          <w:rFonts w:cs="Arial"/>
        </w:rPr>
        <w:t>,</w:t>
      </w:r>
      <w:r w:rsidRPr="00177E3D">
        <w:rPr>
          <w:rFonts w:cs="Arial"/>
        </w:rPr>
        <w:t xml:space="preserve"> GDOŚ wziął pod uwagę, że omawiana inwestycja na odcinku Choczewo – Elektrownia Jądrowa będzie realizowana w powiązaniu z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budową drogi krajowej na odcinku Lubiatowo – droga wojewódzka nr 213.</w:t>
      </w:r>
      <w:r w:rsidRPr="00177E3D">
        <w:rPr>
          <w:rFonts w:cs="Arial"/>
        </w:rPr>
        <w:t xml:space="preserve"> Analiza w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zakresie hałasu </w:t>
      </w:r>
      <w:r w:rsidRPr="00177E3D">
        <w:rPr>
          <w:rFonts w:cs="Arial"/>
        </w:rPr>
        <w:t>(pkt IV.1)</w:t>
      </w:r>
      <w:r w:rsidRPr="00177E3D">
        <w:rPr>
          <w:rFonts w:cs="Arial"/>
        </w:rPr>
        <w:t xml:space="preserve"> i drgań (pkt IV.2)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powinna uwzględniać możliwość kumulacji oddziaływań z tym przedsięwzięciem.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Ponadto GDOŚ wskazał lokalizacje punktów pomiaru hałasu, które należy wziąć pod uwagę w ramach analizy, </w:t>
      </w:r>
      <w:r w:rsidRPr="00177E3D">
        <w:rPr>
          <w:rFonts w:cs="Arial"/>
        </w:rPr>
        <w:t>celem weryfikacji wyników modelowania akustycznego, zaprezentowanego w treści raportu.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Natomiast lokalizacje punktów pomiarowych w</w:t>
      </w:r>
      <w:r w:rsidRPr="00177E3D">
        <w:rPr>
          <w:rFonts w:cs="Arial"/>
        </w:rPr>
        <w:t xml:space="preserve"> przypadku oceny drgań mają odpowiadać miejscom, w których linia </w:t>
      </w:r>
      <w:r w:rsidRPr="00177E3D">
        <w:rPr>
          <w:rFonts w:cs="Arial"/>
        </w:rPr>
        <w:lastRenderedPageBreak/>
        <w:t xml:space="preserve">kolejowa przebiegać będzie najbliżej względem istniejącej zabudowy – w odległości mniejszej niż 25 m (pkt III.3). </w:t>
      </w:r>
      <w:r w:rsidRPr="00177E3D">
        <w:rPr>
          <w:rFonts w:cs="Arial"/>
        </w:rPr>
        <w:t xml:space="preserve">Odległość ta wynika z ustaleń zawartych w Polskiej Normie PN-B-02170:2016–12 – </w:t>
      </w:r>
      <w:r w:rsidRPr="00177E3D">
        <w:rPr>
          <w:rFonts w:cs="Arial"/>
          <w:i/>
        </w:rPr>
        <w:t>Ocena szkodliwości drgań przekazywanych przez podłoże na budynki</w:t>
      </w:r>
      <w:r w:rsidRPr="00177E3D">
        <w:rPr>
          <w:rFonts w:cs="Arial"/>
        </w:rPr>
        <w:t>, odnoszących się do typowego zasięgu występowania szkodliwych wibracji.</w:t>
      </w:r>
    </w:p>
    <w:p w14:paraId="764644B8" w14:textId="77777777" w:rsidR="008558F5" w:rsidRPr="00177E3D" w:rsidRDefault="008558F5" w:rsidP="005237F7">
      <w:pPr>
        <w:pStyle w:val="western"/>
        <w:spacing w:before="120" w:beforeAutospacing="0" w:after="0" w:afterAutospacing="0" w:line="312" w:lineRule="auto"/>
        <w:rPr>
          <w:rFonts w:cs="Arial"/>
        </w:rPr>
      </w:pPr>
      <w:r w:rsidRPr="00177E3D">
        <w:rPr>
          <w:rFonts w:cs="Arial"/>
        </w:rPr>
        <w:t>W pkt IV.3</w:t>
      </w:r>
      <w:r w:rsidRPr="00177E3D">
        <w:rPr>
          <w:rFonts w:cs="Arial"/>
        </w:rPr>
        <w:t>-IV.5</w:t>
      </w:r>
      <w:r w:rsidRPr="00177E3D">
        <w:rPr>
          <w:rFonts w:cs="Arial"/>
        </w:rPr>
        <w:t xml:space="preserve"> GDOŚ </w:t>
      </w:r>
      <w:r w:rsidRPr="00177E3D">
        <w:rPr>
          <w:rFonts w:cs="Arial"/>
        </w:rPr>
        <w:t>określił obowiązki dotyczące zakresu analizy porealizacyjnej</w:t>
      </w:r>
      <w:r w:rsidRPr="00177E3D">
        <w:rPr>
          <w:rFonts w:cs="Arial"/>
        </w:rPr>
        <w:t xml:space="preserve"> w związku z oddziaływaniem przedsięwzięcia na przyrodę ożywioną. W opinii organu odwoławczego należało wprowadzić obowiązek kontroli udatności przesadzenia osobników wrzośca bagiennego (pkt IV.3). Stąd też wynika obowiązek przekazywania sprawozdań na temat kondycji zdrowotnej przesadzonych roślin oraz o podejmowanych przez nadzór przyrodniczy działaniach mających na celu optymalizację udatności przesadzenia roślin. W pkt IV.4 GDOŚ zreformował warunek dotyczący oceny funkcjonowania przejść dla zwierząt. Usz</w:t>
      </w:r>
      <w:r w:rsidRPr="00177E3D">
        <w:rPr>
          <w:rFonts w:cs="Arial"/>
        </w:rPr>
        <w:t xml:space="preserve">czegółowiona została metodyka tej oceny, a także określono częstotliwość prowadzenia obserwacji za pomocą </w:t>
      </w:r>
      <w:r w:rsidRPr="00177E3D">
        <w:rPr>
          <w:rFonts w:cs="Arial"/>
        </w:rPr>
        <w:t>wideopułapek. Dopuszczono również,</w:t>
      </w:r>
      <w:r w:rsidRPr="00177E3D">
        <w:rPr>
          <w:rFonts w:cs="Arial"/>
        </w:rPr>
        <w:t xml:space="preserve"> jako dodatkowe metody, identyfikację odchodów oraz śladów żerowania, uszkodzeń roślin itp. Organ odwoławczy uszczegółowił także, co powinny zawierać wyniki analizy: listę gatunków zwierząt stwierdzonych na przejściu, strukturę gatunkową zwierząt, częstość użytkowania przejścia przez dany gatunek, stałość występowania gatunku na przejściu, a także interpretację wyników. W zreformowanym warunku zmniejszono także liczbę przejść, które zostaną objęte monitoringiem wykorzystywania przez płazy. W ocenie GDOŚ bez</w:t>
      </w:r>
      <w:r w:rsidRPr="00177E3D">
        <w:rPr>
          <w:rFonts w:cs="Arial"/>
        </w:rPr>
        <w:t>celowe byłoby prowadzenie go na wszystkich projektowanych obiektach. Z tego względu w warunku wskazano, aby analizą zostały objęte trzy takie obiekty. Ich wyboru dokona specjalista herpetolog, biorąc pod uwagę lokalne uwarunkowania środowiskowe, tj. położenie względem obszarów migracji płazów. Z kolei w pkt IV.5 GDOŚ dookreślił</w:t>
      </w:r>
      <w:r w:rsidRPr="00177E3D">
        <w:rPr>
          <w:rFonts w:cs="Arial"/>
        </w:rPr>
        <w:t xml:space="preserve"> terminy prowadzenia obserwacji udatności i trwałości nasadzeń zastępczych drzew i krzewów, a także wydłużył okres ich trwania (z 3 do 5 lat w stosunku do pkt I.5.4 decyzji RDOŚ w Gdańsku z 19 grudnia 2025 r.). Celem prowadzenia obserwacji jest ocena skuteczności działań kompensacyjnych związanych z nasadzeniami drzew i krzewów. GDOŚ uwzględnił konieczność realizacji prac pod nadzorem specjalisty dendrologa oraz uszczegółowił zasady postępowania w przypadku stwierdzenia niskiej udatności nasadzeń.</w:t>
      </w:r>
    </w:p>
    <w:p w14:paraId="00C739F0" w14:textId="77777777" w:rsidR="008558F5" w:rsidRPr="00177E3D" w:rsidRDefault="008558F5" w:rsidP="000F7161">
      <w:pPr>
        <w:spacing w:before="120"/>
        <w:rPr>
          <w:rFonts w:cs="Arial"/>
          <w:color w:val="000000"/>
        </w:rPr>
      </w:pPr>
      <w:r w:rsidRPr="00177E3D">
        <w:rPr>
          <w:rFonts w:cs="Arial"/>
          <w:szCs w:val="24"/>
        </w:rPr>
        <w:t xml:space="preserve">Odnosząc się </w:t>
      </w:r>
      <w:r w:rsidRPr="00177E3D">
        <w:rPr>
          <w:rFonts w:cs="Arial"/>
          <w:szCs w:val="24"/>
        </w:rPr>
        <w:t xml:space="preserve">natomiast </w:t>
      </w:r>
      <w:r w:rsidRPr="00177E3D">
        <w:rPr>
          <w:rFonts w:cs="Arial"/>
          <w:szCs w:val="24"/>
        </w:rPr>
        <w:t xml:space="preserve">do </w:t>
      </w:r>
      <w:r w:rsidRPr="00177E3D">
        <w:rPr>
          <w:rFonts w:cs="Arial"/>
          <w:szCs w:val="24"/>
        </w:rPr>
        <w:t>zarzutów podniesionych</w:t>
      </w:r>
      <w:r w:rsidRPr="00177E3D">
        <w:rPr>
          <w:rFonts w:cs="Arial"/>
          <w:szCs w:val="24"/>
        </w:rPr>
        <w:t xml:space="preserve"> w odwołani</w:t>
      </w:r>
      <w:r w:rsidRPr="00177E3D">
        <w:rPr>
          <w:rFonts w:cs="Arial"/>
          <w:szCs w:val="24"/>
        </w:rPr>
        <w:t>ach</w:t>
      </w:r>
      <w:r w:rsidRPr="00177E3D">
        <w:rPr>
          <w:rFonts w:cs="Arial"/>
          <w:szCs w:val="24"/>
        </w:rPr>
        <w:t xml:space="preserve"> </w:t>
      </w:r>
      <w:r w:rsidRPr="00177E3D">
        <w:rPr>
          <w:rFonts w:cs="Arial"/>
          <w:color w:val="000000"/>
          <w:szCs w:val="24"/>
        </w:rPr>
        <w:t xml:space="preserve">z </w:t>
      </w:r>
      <w:r w:rsidRPr="00177E3D">
        <w:rPr>
          <w:rFonts w:cs="Arial"/>
          <w:color w:val="000000"/>
          <w:szCs w:val="24"/>
        </w:rPr>
        <w:t>1</w:t>
      </w:r>
      <w:r w:rsidRPr="00177E3D">
        <w:rPr>
          <w:rFonts w:cs="Arial"/>
          <w:color w:val="000000"/>
          <w:szCs w:val="24"/>
        </w:rPr>
        <w:t>9 stycznia</w:t>
      </w:r>
      <w:r w:rsidRPr="00177E3D">
        <w:rPr>
          <w:rFonts w:cs="Arial"/>
          <w:color w:val="000000"/>
          <w:szCs w:val="24"/>
        </w:rPr>
        <w:t xml:space="preserve"> </w:t>
      </w:r>
      <w:r w:rsidRPr="00177E3D">
        <w:rPr>
          <w:rFonts w:cs="Arial"/>
          <w:color w:val="000000"/>
          <w:szCs w:val="24"/>
        </w:rPr>
        <w:t>202</w:t>
      </w:r>
      <w:r w:rsidRPr="00177E3D">
        <w:rPr>
          <w:rFonts w:cs="Arial"/>
          <w:color w:val="000000"/>
          <w:szCs w:val="24"/>
        </w:rPr>
        <w:t>6</w:t>
      </w:r>
      <w:r w:rsidRPr="00177E3D">
        <w:rPr>
          <w:rFonts w:cs="Arial"/>
          <w:color w:val="000000"/>
          <w:szCs w:val="24"/>
        </w:rPr>
        <w:t> </w:t>
      </w:r>
      <w:r w:rsidRPr="00177E3D">
        <w:rPr>
          <w:rFonts w:cs="Arial"/>
          <w:color w:val="000000"/>
          <w:szCs w:val="24"/>
        </w:rPr>
        <w:t>r.</w:t>
      </w:r>
      <w:r w:rsidRPr="00177E3D">
        <w:rPr>
          <w:rFonts w:cs="Arial"/>
          <w:szCs w:val="24"/>
        </w:rPr>
        <w:t xml:space="preserve">, </w:t>
      </w:r>
      <w:r w:rsidRPr="00177E3D">
        <w:rPr>
          <w:rFonts w:cs="Arial"/>
          <w:color w:val="000000"/>
        </w:rPr>
        <w:t>GDOŚ wyjaśnia, co następuje.</w:t>
      </w:r>
    </w:p>
    <w:p w14:paraId="76065FA9" w14:textId="77777777" w:rsidR="008558F5" w:rsidRPr="00177E3D" w:rsidRDefault="008558F5" w:rsidP="000F7161">
      <w:pPr>
        <w:spacing w:before="120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</w:rPr>
        <w:t xml:space="preserve">W nawiązaniu do przepisów </w:t>
      </w:r>
      <w:r w:rsidRPr="00177E3D">
        <w:rPr>
          <w:rFonts w:cs="Arial"/>
          <w:color w:val="000000"/>
          <w:lang w:bidi="en-US"/>
        </w:rPr>
        <w:t xml:space="preserve">art. 7, </w:t>
      </w:r>
      <w:r w:rsidRPr="00177E3D">
        <w:rPr>
          <w:rFonts w:cs="Arial"/>
          <w:color w:val="000000"/>
          <w:lang w:bidi="en-US"/>
        </w:rPr>
        <w:t xml:space="preserve">art. 7b, art. 8 § 1 i 2, </w:t>
      </w:r>
      <w:r w:rsidRPr="00177E3D">
        <w:rPr>
          <w:rFonts w:cs="Arial"/>
          <w:color w:val="000000"/>
          <w:lang w:bidi="en-US"/>
        </w:rPr>
        <w:t>art. 77 § 1 k.p.a. oraz</w:t>
      </w:r>
      <w:r w:rsidRPr="00177E3D">
        <w:rPr>
          <w:rFonts w:cs="Arial"/>
          <w:color w:val="000000"/>
          <w:lang w:bidi="en-US"/>
        </w:rPr>
        <w:t xml:space="preserve"> art. 36,</w:t>
      </w:r>
      <w:r w:rsidRPr="00177E3D">
        <w:rPr>
          <w:rFonts w:cs="Arial"/>
          <w:color w:val="000000"/>
          <w:lang w:bidi="en-US"/>
        </w:rPr>
        <w:t xml:space="preserve"> art. 79 ust. 1</w:t>
      </w:r>
      <w:r w:rsidRPr="00177E3D">
        <w:rPr>
          <w:rFonts w:cs="Arial"/>
          <w:color w:val="000000"/>
          <w:lang w:bidi="en-US"/>
        </w:rPr>
        <w:t>,</w:t>
      </w:r>
      <w:r w:rsidRPr="00177E3D">
        <w:rPr>
          <w:rFonts w:cs="Arial"/>
          <w:color w:val="000000"/>
          <w:lang w:bidi="en-US"/>
        </w:rPr>
        <w:t xml:space="preserve"> art. 80 ust. 1 pkt 3</w:t>
      </w:r>
      <w:r w:rsidRPr="00177E3D">
        <w:rPr>
          <w:rFonts w:cs="Arial"/>
          <w:color w:val="000000"/>
          <w:lang w:bidi="en-US"/>
        </w:rPr>
        <w:t>,</w:t>
      </w:r>
      <w:r w:rsidRPr="00177E3D">
        <w:rPr>
          <w:rFonts w:cs="Arial"/>
          <w:color w:val="000000"/>
          <w:lang w:bidi="en-US"/>
        </w:rPr>
        <w:t xml:space="preserve"> art. 81 ust. 1 </w:t>
      </w:r>
      <w:r w:rsidRPr="00177E3D">
        <w:rPr>
          <w:rFonts w:cs="Arial"/>
          <w:color w:val="000000"/>
          <w:lang w:bidi="en-US"/>
        </w:rPr>
        <w:t>u.o.o.ś.</w:t>
      </w:r>
      <w:r w:rsidRPr="00177E3D">
        <w:rPr>
          <w:rFonts w:cs="Arial"/>
          <w:color w:val="000000"/>
          <w:lang w:bidi="pl-PL"/>
        </w:rPr>
        <w:t xml:space="preserve"> skarżący podnieśli szereg zastrzeżeń względ</w:t>
      </w:r>
      <w:r w:rsidRPr="00177E3D">
        <w:rPr>
          <w:rFonts w:cs="Arial"/>
          <w:color w:val="000000"/>
          <w:lang w:bidi="pl-PL"/>
        </w:rPr>
        <w:t>e</w:t>
      </w:r>
      <w:r w:rsidRPr="00177E3D">
        <w:rPr>
          <w:rFonts w:cs="Arial"/>
          <w:color w:val="000000"/>
          <w:lang w:bidi="pl-PL"/>
        </w:rPr>
        <w:t>m</w:t>
      </w:r>
      <w:r w:rsidRPr="00177E3D">
        <w:rPr>
          <w:rFonts w:cs="Arial"/>
          <w:color w:val="000000"/>
          <w:lang w:bidi="pl-PL"/>
        </w:rPr>
        <w:t xml:space="preserve"> przebiegu postępowania prowadzonego w pierwszej instancji</w:t>
      </w:r>
      <w:r w:rsidRPr="00177E3D">
        <w:rPr>
          <w:rFonts w:cs="Arial"/>
          <w:color w:val="000000"/>
          <w:lang w:bidi="pl-PL"/>
        </w:rPr>
        <w:t xml:space="preserve"> w</w:t>
      </w:r>
      <w:r w:rsidRPr="00177E3D">
        <w:rPr>
          <w:rFonts w:cs="Arial"/>
          <w:color w:val="000000"/>
          <w:lang w:bidi="pl-PL"/>
        </w:rPr>
        <w:t xml:space="preserve"> niniejszej sprawie oraz względem decyzji RDOŚ w Gdańsku z 19 grudnia 2025 r.</w:t>
      </w:r>
    </w:p>
    <w:p w14:paraId="6D90CE6E" w14:textId="77777777" w:rsidR="008558F5" w:rsidRPr="00177E3D" w:rsidRDefault="008558F5" w:rsidP="00D24FF2">
      <w:pPr>
        <w:spacing w:before="120"/>
      </w:pPr>
      <w:r w:rsidRPr="00177E3D">
        <w:t xml:space="preserve">W ocenie GDOŚ odwołujący się słusznie zarzucili, że RDOŚ w Gdańsku nie odniósł się do uwag </w:t>
      </w:r>
      <w:r w:rsidRPr="00177E3D">
        <w:t xml:space="preserve">i wniosków </w:t>
      </w:r>
      <w:r w:rsidRPr="00177E3D">
        <w:t>złożonych przez nich w piśmie z 5 grudnia 2025 r. Zawiadomieniem z</w:t>
      </w:r>
      <w:r w:rsidRPr="00177E3D">
        <w:t> </w:t>
      </w:r>
      <w:r w:rsidRPr="00177E3D">
        <w:t>26</w:t>
      </w:r>
      <w:r w:rsidRPr="00177E3D">
        <w:t> </w:t>
      </w:r>
      <w:r w:rsidRPr="00177E3D">
        <w:t xml:space="preserve">listopada 2025 r., znak: RDOŚ-Gd-WOO.420.26.2024.ES/MR.32, RDOŚ w Gdańsku poinformował strony postępowania, na podstawie art. 10 § 1 k.p.a., o zakończeniu postępowania dowodowego i o możliwości wypowiedzenia się co do zebranego materiału dowodowego. Na str. 53 decyzji z 19 grudnia 2025 r. RDOŚ w Gdańsku wskazał, że </w:t>
      </w:r>
      <w:r w:rsidRPr="00177E3D">
        <w:lastRenderedPageBreak/>
        <w:t>„w</w:t>
      </w:r>
      <w:r w:rsidRPr="00177E3D">
        <w:t> </w:t>
      </w:r>
      <w:r w:rsidRPr="00177E3D">
        <w:t xml:space="preserve">wyznaczonym terminie strony postępowania nie złożyły dodatkowych uwag bądź wniosków”. Jest to </w:t>
      </w:r>
      <w:r w:rsidRPr="00177E3D">
        <w:t xml:space="preserve">jednak </w:t>
      </w:r>
      <w:r w:rsidRPr="00177E3D">
        <w:t>stwierdzenie nieprawdziwe, ponieważ nie uwzględnia pisma odwołujących się z 5 grudnia 2025 r.</w:t>
      </w:r>
    </w:p>
    <w:p w14:paraId="674C36E3" w14:textId="0209EE27" w:rsidR="008558F5" w:rsidRPr="00177E3D" w:rsidRDefault="008558F5" w:rsidP="00D24FF2">
      <w:pPr>
        <w:spacing w:before="120"/>
      </w:pPr>
      <w:r w:rsidRPr="00177E3D">
        <w:t xml:space="preserve">Pismem z 9 grudnia 2025 r., znak: RDOŚ-Gad-WOO.420.26.2024.ES/MR.39, RDOŚ w Gdańsku wezwał </w:t>
      </w:r>
      <w:r w:rsidR="00900EF0">
        <w:t>(…)</w:t>
      </w:r>
      <w:r w:rsidRPr="00177E3D">
        <w:t xml:space="preserve"> oraz </w:t>
      </w:r>
      <w:r w:rsidR="00900EF0">
        <w:t>(…)</w:t>
      </w:r>
      <w:r w:rsidRPr="00177E3D">
        <w:t xml:space="preserve"> </w:t>
      </w:r>
      <w:r w:rsidRPr="00177E3D">
        <w:t>d</w:t>
      </w:r>
      <w:r w:rsidRPr="00177E3D">
        <w:t>o uzupełnieni</w:t>
      </w:r>
      <w:r w:rsidRPr="00177E3D">
        <w:t>a</w:t>
      </w:r>
      <w:r w:rsidRPr="00177E3D">
        <w:t xml:space="preserve"> braku formalnego pisma z 5 grudnia 2025 r.</w:t>
      </w:r>
      <w:r w:rsidRPr="00177E3D">
        <w:t xml:space="preserve"> o</w:t>
      </w:r>
      <w:r w:rsidRPr="00177E3D">
        <w:t xml:space="preserve"> pełnomocnictw</w:t>
      </w:r>
      <w:r w:rsidRPr="00177E3D">
        <w:t>o</w:t>
      </w:r>
      <w:r w:rsidRPr="00177E3D">
        <w:t xml:space="preserve"> udzielone adw</w:t>
      </w:r>
      <w:r w:rsidR="00900EF0">
        <w:t>. (…)</w:t>
      </w:r>
      <w:r w:rsidRPr="00177E3D">
        <w:t xml:space="preserve"> oraz </w:t>
      </w:r>
      <w:r w:rsidRPr="00177E3D">
        <w:t>d</w:t>
      </w:r>
      <w:r w:rsidRPr="00177E3D">
        <w:t xml:space="preserve">o wykazanie interesu prawnego w sprawie. Organ pierwszej instancji pominął jednak, że to adw. </w:t>
      </w:r>
      <w:r w:rsidR="00900EF0">
        <w:t>(…)</w:t>
      </w:r>
      <w:r w:rsidRPr="00177E3D">
        <w:t xml:space="preserve"> był nadawcą pisma z 5 grudnia 2025 r. i skierował wezwania </w:t>
      </w:r>
      <w:r w:rsidRPr="00177E3D">
        <w:t>wyłącznie</w:t>
      </w:r>
      <w:r w:rsidRPr="00177E3D">
        <w:t xml:space="preserve"> do </w:t>
      </w:r>
      <w:r w:rsidR="00900EF0">
        <w:t>(…)</w:t>
      </w:r>
      <w:r w:rsidRPr="00177E3D">
        <w:t xml:space="preserve"> i </w:t>
      </w:r>
      <w:r w:rsidR="00900EF0">
        <w:t>(…)</w:t>
      </w:r>
      <w:r w:rsidRPr="00177E3D">
        <w:t xml:space="preserve">. RDOŚ w Gdańsku naruszył tym samym art. </w:t>
      </w:r>
      <w:r w:rsidRPr="00177E3D">
        <w:t>40 § 2</w:t>
      </w:r>
      <w:r w:rsidRPr="00177E3D">
        <w:t xml:space="preserve"> k.p.a., zgodnie z którym </w:t>
      </w:r>
      <w:r w:rsidRPr="00177E3D">
        <w:t>jeżeli strona ustanowiła pełnomocnika, pisma doręcza się pełnomocnikowi.</w:t>
      </w:r>
      <w:r w:rsidRPr="00177E3D">
        <w:t xml:space="preserve"> Co więcej, w wezwaniu tym RDOŚ w Gdańsku wyznaczył termin 30 dni na złożenie wyjaśnień, a pomimo tego </w:t>
      </w:r>
      <w:r w:rsidRPr="00177E3D">
        <w:t xml:space="preserve">już </w:t>
      </w:r>
      <w:r w:rsidRPr="00177E3D">
        <w:t xml:space="preserve">19 grudnia 2025 r. wydał decyzję kończącą omawiane postępowanie, nie dając zatem skarżącym możliwości ich złożenia. RDOŚ w Gdańsku nie sprostał </w:t>
      </w:r>
      <w:r w:rsidRPr="00177E3D">
        <w:t>więc</w:t>
      </w:r>
      <w:r w:rsidRPr="00177E3D">
        <w:t xml:space="preserve"> obowiązkowi zapewnienia stronom czynnego udziału w każdym stadium postępowania, a tym samym naruszył art. 10 § 1 k.p.a. w związku z art. </w:t>
      </w:r>
      <w:r w:rsidRPr="00177E3D">
        <w:t xml:space="preserve">40 § </w:t>
      </w:r>
      <w:r w:rsidRPr="00177E3D">
        <w:t>2 k.p.a. Naruszenie to nie miało jednak wpływu na wynik sprawy</w:t>
      </w:r>
      <w:r w:rsidRPr="00177E3D">
        <w:t>, na co wskazują przedstawione poniżej ustalenia</w:t>
      </w:r>
      <w:r w:rsidRPr="00177E3D">
        <w:t>.</w:t>
      </w:r>
    </w:p>
    <w:p w14:paraId="71E29614" w14:textId="6BF21A4F" w:rsidR="008558F5" w:rsidRPr="00177E3D" w:rsidRDefault="008558F5" w:rsidP="00D24FF2">
      <w:pPr>
        <w:spacing w:before="120"/>
        <w:rPr>
          <w:lang w:val="pl"/>
        </w:rPr>
      </w:pPr>
      <w:r w:rsidRPr="00177E3D">
        <w:rPr>
          <w:lang w:val="pl"/>
        </w:rPr>
        <w:t xml:space="preserve">Biorąc pod uwagę, że RDOŚ w Gdańsku nie odniósł się do uwag zawartych w piśmie </w:t>
      </w:r>
      <w:r w:rsidR="00900EF0">
        <w:rPr>
          <w:lang w:val="pl"/>
        </w:rPr>
        <w:t>(...)</w:t>
      </w:r>
      <w:r w:rsidRPr="00177E3D">
        <w:rPr>
          <w:lang w:val="pl"/>
        </w:rPr>
        <w:t xml:space="preserve"> i </w:t>
      </w:r>
      <w:r w:rsidR="00900EF0">
        <w:rPr>
          <w:lang w:val="pl"/>
        </w:rPr>
        <w:t>(...)</w:t>
      </w:r>
      <w:r w:rsidRPr="00177E3D">
        <w:rPr>
          <w:lang w:val="pl"/>
        </w:rPr>
        <w:t xml:space="preserve"> z 5 grudnia 2025 r., GDOŚ przedstawia własne stanowisko dotyczące podniesionych w nim </w:t>
      </w:r>
      <w:r w:rsidRPr="00177E3D">
        <w:rPr>
          <w:lang w:val="pl"/>
        </w:rPr>
        <w:t>zagadnień</w:t>
      </w:r>
      <w:r w:rsidRPr="00177E3D">
        <w:rPr>
          <w:lang w:val="pl"/>
        </w:rPr>
        <w:t>.</w:t>
      </w:r>
    </w:p>
    <w:p w14:paraId="1CA46186" w14:textId="77777777" w:rsidR="008558F5" w:rsidRPr="00177E3D" w:rsidRDefault="008558F5" w:rsidP="000F7161">
      <w:pPr>
        <w:spacing w:before="120"/>
        <w:rPr>
          <w:rFonts w:cs="Arial"/>
          <w:color w:val="000000"/>
          <w:lang w:bidi="pl-PL"/>
        </w:rPr>
      </w:pPr>
      <w:r w:rsidRPr="00177E3D">
        <w:rPr>
          <w:rFonts w:cs="Arial"/>
          <w:color w:val="000000"/>
          <w:lang w:bidi="pl-PL"/>
        </w:rPr>
        <w:t xml:space="preserve">Istotę zarzutów skarżących </w:t>
      </w:r>
      <w:r w:rsidRPr="00177E3D">
        <w:rPr>
          <w:rFonts w:cs="Arial"/>
          <w:color w:val="000000"/>
          <w:lang w:bidi="pl-PL"/>
        </w:rPr>
        <w:t xml:space="preserve">(zawartych zarówno w piśmie z 5 grudnia 2025 r., jak i w odwołaniach z 19 stycznia 2026 r.) </w:t>
      </w:r>
      <w:r w:rsidRPr="00177E3D">
        <w:rPr>
          <w:rFonts w:cs="Arial"/>
          <w:color w:val="000000"/>
          <w:lang w:bidi="pl-PL"/>
        </w:rPr>
        <w:t xml:space="preserve">stanowi kwestia lokalizacji projektowanej linii kolejowej </w:t>
      </w:r>
      <w:r w:rsidRPr="00177E3D">
        <w:rPr>
          <w:rFonts w:cs="Arial"/>
          <w:color w:val="000000"/>
          <w:lang w:bidi="pl-PL"/>
        </w:rPr>
        <w:t xml:space="preserve">nr 230 </w:t>
      </w:r>
      <w:r w:rsidRPr="00177E3D">
        <w:rPr>
          <w:rFonts w:cs="Arial"/>
          <w:color w:val="000000"/>
          <w:lang w:bidi="pl-PL"/>
        </w:rPr>
        <w:t xml:space="preserve">względem należących do nich nieruchomości. </w:t>
      </w:r>
      <w:r w:rsidRPr="00177E3D">
        <w:rPr>
          <w:rFonts w:cs="Arial"/>
          <w:color w:val="000000"/>
          <w:lang w:bidi="pl-PL"/>
        </w:rPr>
        <w:t>Planowany przebieg inwestycji częściowo koliduje z nieruchomościami należącymi do odwołujących się, co – ich zdaniem – świadczy o naruszeniu ich słusznego interesu poprzez nieproporcjonalną ingerencję w prawo własności.</w:t>
      </w:r>
    </w:p>
    <w:p w14:paraId="693E06A7" w14:textId="77777777" w:rsidR="008558F5" w:rsidRPr="00177E3D" w:rsidRDefault="008558F5" w:rsidP="00FB3D34">
      <w:pPr>
        <w:spacing w:before="120"/>
        <w:rPr>
          <w:color w:val="000000"/>
          <w:szCs w:val="24"/>
          <w:lang w:eastAsia="pl-PL" w:bidi="pl-PL"/>
        </w:rPr>
      </w:pPr>
      <w:r w:rsidRPr="00177E3D">
        <w:t xml:space="preserve">Kolizja </w:t>
      </w:r>
      <w:r w:rsidRPr="00177E3D">
        <w:t>linii kolejowej nr 230</w:t>
      </w:r>
      <w:r w:rsidRPr="00177E3D">
        <w:t xml:space="preserve"> z nieruchomościami i innymi dobrami materialnymi należącymi do mieszkańców tych terenów nie jest przesłanką przemawiającą przeciwko realizacji te</w:t>
      </w:r>
      <w:r w:rsidRPr="00177E3D">
        <w:t xml:space="preserve">j </w:t>
      </w:r>
      <w:r w:rsidRPr="00177E3D">
        <w:t>inwe</w:t>
      </w:r>
      <w:r w:rsidRPr="00177E3D">
        <w:t>stycji</w:t>
      </w:r>
      <w:r w:rsidRPr="00177E3D">
        <w:t>. Jakkolwiek Rzeczpospolita Polska chroni własność i prawo dziedziczenia (art. 21 ust. 1 Konstytucji RP), to dopuszczalne jest wywłaszczenie dokonywane na cele publiczne i</w:t>
      </w:r>
      <w:r w:rsidRPr="00177E3D">
        <w:t> </w:t>
      </w:r>
      <w:r w:rsidRPr="00177E3D">
        <w:t xml:space="preserve">za słusznym odszkodowaniem (art. 21 ust. 2 Konstytucji RP). </w:t>
      </w:r>
      <w:r w:rsidRPr="00177E3D">
        <w:rPr>
          <w:color w:val="000000"/>
          <w:szCs w:val="24"/>
          <w:lang w:eastAsia="pl-PL" w:bidi="pl-PL"/>
        </w:rPr>
        <w:t xml:space="preserve">Budowa linii kolejowej nr 230 stanowi inwestycję celu publicznego, o której mowa w art. </w:t>
      </w:r>
      <w:r w:rsidRPr="00177E3D">
        <w:rPr>
          <w:rFonts w:cs="Arial"/>
          <w:color w:val="000000"/>
        </w:rPr>
        <w:t>6 pkt 1a ustawy z</w:t>
      </w:r>
      <w:r w:rsidRPr="00177E3D">
        <w:rPr>
          <w:rFonts w:cs="Arial"/>
          <w:color w:val="000000"/>
        </w:rPr>
        <w:t> </w:t>
      </w:r>
      <w:r w:rsidRPr="00177E3D">
        <w:rPr>
          <w:rFonts w:cs="Arial"/>
          <w:color w:val="000000"/>
        </w:rPr>
        <w:t xml:space="preserve">dnia 21 sierpnia 1997 r. </w:t>
      </w:r>
      <w:r w:rsidRPr="00177E3D">
        <w:rPr>
          <w:rFonts w:cs="Arial"/>
          <w:iCs/>
          <w:color w:val="000000"/>
        </w:rPr>
        <w:t>o gospodarce nieruchomościami (Dz. U. z 202</w:t>
      </w:r>
      <w:r w:rsidRPr="00177E3D">
        <w:rPr>
          <w:rFonts w:cs="Arial"/>
          <w:iCs/>
          <w:color w:val="000000"/>
        </w:rPr>
        <w:t>6</w:t>
      </w:r>
      <w:r w:rsidRPr="00177E3D">
        <w:rPr>
          <w:rFonts w:cs="Arial"/>
          <w:iCs/>
          <w:color w:val="000000"/>
        </w:rPr>
        <w:t xml:space="preserve"> r. poz. </w:t>
      </w:r>
      <w:r w:rsidRPr="00177E3D">
        <w:rPr>
          <w:rFonts w:cs="Arial"/>
          <w:iCs/>
          <w:color w:val="000000"/>
        </w:rPr>
        <w:t>399</w:t>
      </w:r>
      <w:r w:rsidRPr="00177E3D">
        <w:rPr>
          <w:rFonts w:cs="Arial"/>
          <w:iCs/>
          <w:color w:val="000000"/>
        </w:rPr>
        <w:t>, ze zm.)</w:t>
      </w:r>
      <w:r w:rsidRPr="00177E3D">
        <w:rPr>
          <w:color w:val="000000"/>
          <w:szCs w:val="24"/>
          <w:lang w:eastAsia="pl-PL" w:bidi="pl-PL"/>
        </w:rPr>
        <w:t xml:space="preserve">. </w:t>
      </w:r>
      <w:r w:rsidRPr="00177E3D">
        <w:rPr>
          <w:color w:val="000000"/>
          <w:szCs w:val="24"/>
          <w:lang w:eastAsia="pl-PL" w:bidi="pl-PL"/>
        </w:rPr>
        <w:t>P</w:t>
      </w:r>
      <w:r w:rsidRPr="00177E3D">
        <w:rPr>
          <w:color w:val="000000"/>
          <w:szCs w:val="24"/>
          <w:lang w:eastAsia="pl-PL" w:bidi="pl-PL"/>
        </w:rPr>
        <w:t xml:space="preserve">rzedsięwzięcie to jest bardzo istotne z punktu widzenia </w:t>
      </w:r>
      <w:r w:rsidRPr="00177E3D">
        <w:rPr>
          <w:color w:val="000000"/>
          <w:szCs w:val="24"/>
          <w:lang w:eastAsia="pl-PL" w:bidi="pl-PL"/>
        </w:rPr>
        <w:t xml:space="preserve">możliwości realizacji </w:t>
      </w:r>
      <w:r w:rsidRPr="00177E3D">
        <w:rPr>
          <w:color w:val="000000"/>
          <w:szCs w:val="24"/>
          <w:lang w:eastAsia="pl-PL" w:bidi="pl-PL"/>
        </w:rPr>
        <w:t xml:space="preserve">pierwszej polskiej </w:t>
      </w:r>
      <w:r w:rsidRPr="00177E3D">
        <w:rPr>
          <w:color w:val="000000"/>
          <w:szCs w:val="24"/>
          <w:lang w:eastAsia="pl-PL" w:bidi="pl-PL"/>
        </w:rPr>
        <w:t>elektrowni jądrowej w lokalizacji „Lubiatowo-Kopalino”</w:t>
      </w:r>
      <w:r w:rsidRPr="00177E3D">
        <w:rPr>
          <w:color w:val="000000"/>
          <w:szCs w:val="24"/>
          <w:lang w:eastAsia="pl-PL" w:bidi="pl-PL"/>
        </w:rPr>
        <w:t>. Inwestycja ta ma charakter ogólnospołeczny i ogólnokrajowy, bowiem dotyczy i jest realizowana na potrzeby całego społeczeństwa i państwa.</w:t>
      </w:r>
      <w:r w:rsidRPr="00177E3D">
        <w:rPr>
          <w:color w:val="000000"/>
          <w:szCs w:val="24"/>
          <w:lang w:eastAsia="pl-PL" w:bidi="pl-PL"/>
        </w:rPr>
        <w:t xml:space="preserve"> Linia kolejowa</w:t>
      </w:r>
      <w:r w:rsidRPr="00177E3D">
        <w:rPr>
          <w:color w:val="000000"/>
          <w:szCs w:val="24"/>
          <w:lang w:eastAsia="pl-PL" w:bidi="pl-PL"/>
        </w:rPr>
        <w:t xml:space="preserve"> prowadząca do tej elektrowni</w:t>
      </w:r>
      <w:r w:rsidRPr="00177E3D">
        <w:rPr>
          <w:color w:val="000000"/>
          <w:szCs w:val="24"/>
          <w:lang w:eastAsia="pl-PL" w:bidi="pl-PL"/>
        </w:rPr>
        <w:t xml:space="preserve"> będzie wykorzystywana do przewożenia materiałów i sprzętu budowlanego oraz do ruchu pasażerskiego</w:t>
      </w:r>
      <w:r w:rsidRPr="00177E3D">
        <w:rPr>
          <w:color w:val="000000"/>
          <w:szCs w:val="24"/>
          <w:lang w:eastAsia="pl-PL" w:bidi="pl-PL"/>
        </w:rPr>
        <w:t>, zarówno na etapie budowy, jak i późniejszej eksploatacji elektrowni</w:t>
      </w:r>
      <w:r w:rsidRPr="00177E3D">
        <w:rPr>
          <w:color w:val="000000"/>
          <w:szCs w:val="24"/>
          <w:lang w:eastAsia="pl-PL" w:bidi="pl-PL"/>
        </w:rPr>
        <w:t>.</w:t>
      </w:r>
      <w:r w:rsidRPr="00177E3D">
        <w:rPr>
          <w:color w:val="000000"/>
          <w:szCs w:val="24"/>
          <w:lang w:eastAsia="pl-PL" w:bidi="pl-PL"/>
        </w:rPr>
        <w:t xml:space="preserve"> </w:t>
      </w:r>
      <w:r w:rsidRPr="00177E3D">
        <w:rPr>
          <w:color w:val="000000"/>
          <w:szCs w:val="24"/>
          <w:lang w:eastAsia="pl-PL" w:bidi="pl-PL"/>
        </w:rPr>
        <w:t>W tej sytuacji k</w:t>
      </w:r>
      <w:r w:rsidRPr="00177E3D">
        <w:rPr>
          <w:color w:val="000000"/>
          <w:szCs w:val="24"/>
          <w:lang w:eastAsia="pl-PL" w:bidi="pl-PL"/>
        </w:rPr>
        <w:t xml:space="preserve">onieczność </w:t>
      </w:r>
      <w:r w:rsidRPr="00177E3D">
        <w:rPr>
          <w:color w:val="000000"/>
          <w:szCs w:val="24"/>
          <w:lang w:eastAsia="pl-PL" w:bidi="pl-PL"/>
        </w:rPr>
        <w:t xml:space="preserve">zajęcia części nieruchomości należących do odwołujących się oraz </w:t>
      </w:r>
      <w:r w:rsidRPr="00177E3D">
        <w:rPr>
          <w:color w:val="000000"/>
          <w:szCs w:val="24"/>
          <w:lang w:eastAsia="pl-PL" w:bidi="pl-PL"/>
        </w:rPr>
        <w:t xml:space="preserve">likwidacji </w:t>
      </w:r>
      <w:r w:rsidRPr="00177E3D">
        <w:rPr>
          <w:color w:val="000000"/>
          <w:szCs w:val="24"/>
          <w:lang w:eastAsia="pl-PL" w:bidi="pl-PL"/>
        </w:rPr>
        <w:t>zbiornika wodnego służącego do hodowli ryb</w:t>
      </w:r>
      <w:r w:rsidRPr="00177E3D">
        <w:rPr>
          <w:color w:val="000000"/>
          <w:szCs w:val="24"/>
          <w:lang w:eastAsia="pl-PL" w:bidi="pl-PL"/>
        </w:rPr>
        <w:t xml:space="preserve"> </w:t>
      </w:r>
      <w:r w:rsidRPr="00177E3D">
        <w:t>nie narusza zatem prawa własności, o którym mowa w</w:t>
      </w:r>
      <w:r w:rsidRPr="00177E3D">
        <w:t> </w:t>
      </w:r>
      <w:r w:rsidRPr="00177E3D">
        <w:t>art.</w:t>
      </w:r>
      <w:r w:rsidRPr="00177E3D">
        <w:t> </w:t>
      </w:r>
      <w:r w:rsidRPr="00177E3D">
        <w:t xml:space="preserve">21 </w:t>
      </w:r>
      <w:r w:rsidRPr="00177E3D">
        <w:br/>
      </w:r>
      <w:r w:rsidRPr="00177E3D">
        <w:lastRenderedPageBreak/>
        <w:t>ust. 1-2 oraz </w:t>
      </w:r>
      <w:r w:rsidRPr="00177E3D">
        <w:t>art.</w:t>
      </w:r>
      <w:r w:rsidRPr="00177E3D">
        <w:t> </w:t>
      </w:r>
      <w:r w:rsidRPr="00177E3D">
        <w:t>64</w:t>
      </w:r>
      <w:r w:rsidRPr="00177E3D">
        <w:t xml:space="preserve"> ust. 1-3</w:t>
      </w:r>
      <w:r w:rsidRPr="00177E3D">
        <w:t xml:space="preserve"> Konstytucji RP. Nie </w:t>
      </w:r>
      <w:r w:rsidRPr="00177E3D">
        <w:t>jest</w:t>
      </w:r>
      <w:r w:rsidRPr="00177E3D">
        <w:t xml:space="preserve"> też przes</w:t>
      </w:r>
      <w:r w:rsidRPr="00177E3D">
        <w:t>łanką do zaniechania</w:t>
      </w:r>
      <w:r w:rsidRPr="00177E3D">
        <w:rPr>
          <w:color w:val="000000"/>
          <w:szCs w:val="24"/>
          <w:lang w:eastAsia="pl-PL" w:bidi="pl-PL"/>
        </w:rPr>
        <w:t xml:space="preserve"> realizacji inwestycji w</w:t>
      </w:r>
      <w:r w:rsidRPr="00177E3D">
        <w:rPr>
          <w:color w:val="000000"/>
          <w:szCs w:val="24"/>
          <w:lang w:eastAsia="pl-PL" w:bidi="pl-PL"/>
        </w:rPr>
        <w:t> </w:t>
      </w:r>
      <w:r w:rsidRPr="00177E3D">
        <w:rPr>
          <w:color w:val="000000"/>
          <w:szCs w:val="24"/>
          <w:lang w:eastAsia="pl-PL" w:bidi="pl-PL"/>
        </w:rPr>
        <w:t>zaprojektowanym kształcie.</w:t>
      </w:r>
    </w:p>
    <w:p w14:paraId="0B921E9F" w14:textId="77777777" w:rsidR="008558F5" w:rsidRPr="00177E3D" w:rsidRDefault="008558F5" w:rsidP="00A9507C">
      <w:pPr>
        <w:spacing w:before="120"/>
      </w:pPr>
      <w:r w:rsidRPr="00177E3D">
        <w:t>Zagadnienia</w:t>
      </w:r>
      <w:r w:rsidRPr="00177E3D">
        <w:t xml:space="preserve"> związane z</w:t>
      </w:r>
      <w:r w:rsidRPr="00177E3D">
        <w:t xml:space="preserve"> </w:t>
      </w:r>
      <w:r w:rsidRPr="00177E3D">
        <w:t>wywłaszczeniem nieruchomości</w:t>
      </w:r>
      <w:r w:rsidRPr="00177E3D">
        <w:t xml:space="preserve"> przeznaczonych pod inwestycje w zakresie linii kolejowych</w:t>
      </w:r>
      <w:r w:rsidRPr="00177E3D">
        <w:t xml:space="preserve"> i</w:t>
      </w:r>
      <w:r w:rsidRPr="00177E3D">
        <w:t xml:space="preserve"> </w:t>
      </w:r>
      <w:r w:rsidRPr="00177E3D">
        <w:t xml:space="preserve">wypłatą odszkodowań regulowane są na gruncie przepisów </w:t>
      </w:r>
      <w:r w:rsidRPr="00177E3D">
        <w:t>r</w:t>
      </w:r>
      <w:r w:rsidRPr="00177E3D">
        <w:t>ozdział</w:t>
      </w:r>
      <w:r w:rsidRPr="00177E3D">
        <w:t xml:space="preserve">u 2b ustawy z dnia 28 marca 2003 r. o transporcie kolejowym (Dz. U. z 2025 r. poz. 1234, ze zm.), dalej </w:t>
      </w:r>
      <w:r w:rsidRPr="00177E3D">
        <w:t>u.</w:t>
      </w:r>
      <w:r w:rsidRPr="00177E3D">
        <w:t>t</w:t>
      </w:r>
      <w:r w:rsidRPr="00177E3D">
        <w:t xml:space="preserve">.k. Art. </w:t>
      </w:r>
      <w:r w:rsidRPr="00177E3D">
        <w:t>9y</w:t>
      </w:r>
      <w:r w:rsidRPr="00177E3D">
        <w:t xml:space="preserve"> ust. 1 u.</w:t>
      </w:r>
      <w:r w:rsidRPr="00177E3D">
        <w:t>t</w:t>
      </w:r>
      <w:r w:rsidRPr="00177E3D">
        <w:t xml:space="preserve">.k. stanowi, że </w:t>
      </w:r>
      <w:r w:rsidRPr="00177E3D">
        <w:t>od podmiotu, na rzecz którego wydawana jest decyzja o ustaleniu lokalizacji linii kolejowej, przysługuje odszkodowanie dotychczasowym właścicielom lub użytkownikom wieczystym nieruchomości, a także osobom, którym przysługiwało ograniczone prawo rzeczowe do nieruchomości w dniu, w którym decyzja o ustaleniu lokalizacji linii kolejowej stała się ostateczna</w:t>
      </w:r>
      <w:r w:rsidRPr="00177E3D">
        <w:t>. Ewentualne kwestie odszkodowawcze, wynikające z</w:t>
      </w:r>
      <w:r w:rsidRPr="00177E3D">
        <w:t xml:space="preserve"> </w:t>
      </w:r>
      <w:r w:rsidRPr="00177E3D">
        <w:t>realizacji planowanego przedsięwzięcia, mogą być rozstrzygane w postępowaniach cywilnych, prowadzonych przed sądami powszechnymi.</w:t>
      </w:r>
    </w:p>
    <w:p w14:paraId="7FAD6717" w14:textId="77777777" w:rsidR="008558F5" w:rsidRPr="00177E3D" w:rsidRDefault="008558F5" w:rsidP="00B3058C">
      <w:pPr>
        <w:spacing w:before="120"/>
        <w:rPr>
          <w:color w:val="000000"/>
          <w:szCs w:val="24"/>
          <w:lang w:eastAsia="pl-PL" w:bidi="pl-PL"/>
        </w:rPr>
      </w:pPr>
      <w:r w:rsidRPr="00177E3D">
        <w:rPr>
          <w:rFonts w:cs="Arial"/>
          <w:color w:val="000000"/>
          <w:szCs w:val="24"/>
        </w:rPr>
        <w:t>Nie</w:t>
      </w:r>
      <w:r w:rsidRPr="00177E3D">
        <w:rPr>
          <w:rFonts w:cs="Arial"/>
          <w:color w:val="000000"/>
          <w:szCs w:val="24"/>
        </w:rPr>
        <w:t>trafiony</w:t>
      </w:r>
      <w:r w:rsidRPr="00177E3D">
        <w:rPr>
          <w:rFonts w:cs="Arial"/>
          <w:color w:val="000000"/>
          <w:szCs w:val="24"/>
        </w:rPr>
        <w:t xml:space="preserve"> jest zarzut, że RDOŚ w Gdańsku nie opracował „</w:t>
      </w:r>
      <w:r w:rsidRPr="00177E3D">
        <w:rPr>
          <w:lang w:eastAsia="pl-PL" w:bidi="pl-PL"/>
        </w:rPr>
        <w:t>alternatywnego sposobu zaprojektowania i realizacji przedsięwzięcia</w:t>
      </w:r>
      <w:r w:rsidRPr="00177E3D">
        <w:rPr>
          <w:rFonts w:cs="Arial"/>
          <w:color w:val="000000"/>
          <w:szCs w:val="24"/>
        </w:rPr>
        <w:t>”</w:t>
      </w:r>
      <w:r w:rsidRPr="00177E3D">
        <w:rPr>
          <w:rFonts w:cs="Arial"/>
          <w:color w:val="000000"/>
          <w:szCs w:val="24"/>
        </w:rPr>
        <w:t xml:space="preserve"> (str. 3 odwołań z 19 stycznia 2026 r.). Jak</w:t>
      </w:r>
      <w:r w:rsidRPr="00177E3D">
        <w:rPr>
          <w:rFonts w:cs="Arial"/>
          <w:color w:val="000000"/>
        </w:rPr>
        <w:t xml:space="preserve"> podkreśla się w orzecznictwie sądów administracyjnych</w:t>
      </w:r>
      <w:r w:rsidRPr="00177E3D">
        <w:rPr>
          <w:rFonts w:cs="Arial"/>
          <w:color w:val="000000"/>
        </w:rPr>
        <w:t>,</w:t>
      </w:r>
      <w:r w:rsidRPr="00177E3D">
        <w:rPr>
          <w:rFonts w:cs="Arial"/>
          <w:color w:val="000000"/>
        </w:rPr>
        <w:t xml:space="preserve"> </w:t>
      </w:r>
      <w:r w:rsidRPr="00177E3D">
        <w:rPr>
          <w:rFonts w:cs="Arial"/>
        </w:rPr>
        <w:t xml:space="preserve">organ administracji jest związany żądaniem strony zawartym we wniesionym podaniu (por. wyrok NSA z 3 marca 2009 r., sygn. </w:t>
      </w:r>
      <w:r w:rsidRPr="00177E3D">
        <w:rPr>
          <w:rFonts w:cs="Arial"/>
        </w:rPr>
        <w:t xml:space="preserve">akt: </w:t>
      </w:r>
      <w:r w:rsidRPr="00177E3D">
        <w:rPr>
          <w:rFonts w:cs="Arial"/>
        </w:rPr>
        <w:t>II OSK 272/08).</w:t>
      </w:r>
      <w:r w:rsidRPr="00177E3D">
        <w:rPr>
          <w:rFonts w:cs="Arial"/>
          <w:color w:val="000000"/>
        </w:rPr>
        <w:t xml:space="preserve"> Z powyższego wynika</w:t>
      </w:r>
      <w:r w:rsidRPr="00177E3D">
        <w:rPr>
          <w:rFonts w:cs="Arial"/>
          <w:color w:val="000000"/>
        </w:rPr>
        <w:t>,</w:t>
      </w:r>
      <w:r w:rsidRPr="00177E3D">
        <w:rPr>
          <w:rFonts w:cs="Arial"/>
          <w:color w:val="000000"/>
        </w:rPr>
        <w:t xml:space="preserve"> że organ jest związany żądaniem inwestora zarówno co do rodzaju, charakterystyki oraz lokalizacji planowanej inwestycji opisanej w</w:t>
      </w:r>
      <w:r w:rsidRPr="00177E3D">
        <w:rPr>
          <w:rFonts w:cs="Arial"/>
          <w:color w:val="000000"/>
        </w:rPr>
        <w:t> </w:t>
      </w:r>
      <w:r w:rsidRPr="00177E3D">
        <w:rPr>
          <w:rFonts w:cs="Arial"/>
          <w:color w:val="000000"/>
        </w:rPr>
        <w:t>raporcie o oddziaływaniu przedsięwzięcia na środowisko i nie może samodzielnie modyfikować żądania w tym zakresie.</w:t>
      </w:r>
      <w:r w:rsidRPr="00177E3D">
        <w:rPr>
          <w:rFonts w:cs="Arial"/>
        </w:rPr>
        <w:t xml:space="preserve"> </w:t>
      </w:r>
      <w:r w:rsidRPr="00177E3D">
        <w:t xml:space="preserve">Ustalenie zakresu przedmiotowego przedsięwzięcia oraz określenie jego wariantów, w tym </w:t>
      </w:r>
      <w:r w:rsidRPr="00177E3D">
        <w:rPr>
          <w:rFonts w:cs="Arial"/>
          <w:color w:val="000000"/>
          <w:szCs w:val="24"/>
        </w:rPr>
        <w:t>wariantu proponowanego przez wnioskodawcę,</w:t>
      </w:r>
      <w:r w:rsidRPr="00177E3D">
        <w:t xml:space="preserve"> należy do wyłącznych uprawnień podmiotu występującego o wydanie decyzji o</w:t>
      </w:r>
      <w:r w:rsidRPr="00177E3D">
        <w:t xml:space="preserve"> </w:t>
      </w:r>
      <w:r w:rsidRPr="00177E3D">
        <w:t>środowiskowych uwarunkowaniach. Skoro zatem intencją inwestora była realizacja planowanego przedsięwzięcia w</w:t>
      </w:r>
      <w:r w:rsidRPr="00177E3D">
        <w:t> </w:t>
      </w:r>
      <w:r w:rsidRPr="00177E3D">
        <w:t>zaproponowanym w raporcie wariancie W</w:t>
      </w:r>
      <w:r w:rsidRPr="00177E3D">
        <w:t>1</w:t>
      </w:r>
      <w:r w:rsidRPr="00177E3D">
        <w:t xml:space="preserve">, </w:t>
      </w:r>
      <w:r w:rsidRPr="00177E3D">
        <w:t xml:space="preserve">to </w:t>
      </w:r>
      <w:r w:rsidRPr="00177E3D">
        <w:rPr>
          <w:rFonts w:cs="Arial"/>
        </w:rPr>
        <w:t>ani RDOŚ w </w:t>
      </w:r>
      <w:r w:rsidRPr="00177E3D">
        <w:rPr>
          <w:rFonts w:cs="Arial"/>
        </w:rPr>
        <w:t>Gdańsku</w:t>
      </w:r>
      <w:r w:rsidRPr="00177E3D">
        <w:rPr>
          <w:rFonts w:cs="Arial"/>
        </w:rPr>
        <w:t xml:space="preserve">, ani GDOŚ nie </w:t>
      </w:r>
      <w:r w:rsidRPr="00177E3D">
        <w:rPr>
          <w:rFonts w:cs="Arial"/>
        </w:rPr>
        <w:t>byli</w:t>
      </w:r>
      <w:r w:rsidRPr="00177E3D">
        <w:rPr>
          <w:rFonts w:cs="Arial"/>
        </w:rPr>
        <w:t xml:space="preserve"> uprawnieni do zmiany żądania </w:t>
      </w:r>
      <w:r w:rsidRPr="00177E3D">
        <w:rPr>
          <w:rFonts w:cs="Arial"/>
        </w:rPr>
        <w:t>PKP PLK S.A.</w:t>
      </w:r>
      <w:r w:rsidRPr="00177E3D">
        <w:rPr>
          <w:rFonts w:cs="Arial"/>
        </w:rPr>
        <w:t xml:space="preserve"> zawartego we wniosku </w:t>
      </w:r>
      <w:r w:rsidRPr="00177E3D">
        <w:rPr>
          <w:color w:val="000000"/>
          <w:szCs w:val="24"/>
          <w:lang w:eastAsia="pl-PL" w:bidi="pl-PL"/>
        </w:rPr>
        <w:t>z</w:t>
      </w:r>
      <w:r w:rsidRPr="00177E3D">
        <w:rPr>
          <w:color w:val="000000"/>
          <w:szCs w:val="24"/>
          <w:lang w:eastAsia="pl-PL" w:bidi="pl-PL"/>
        </w:rPr>
        <w:t> </w:t>
      </w:r>
      <w:r w:rsidRPr="00177E3D">
        <w:rPr>
          <w:color w:val="000000"/>
          <w:szCs w:val="24"/>
          <w:lang w:eastAsia="pl-PL" w:bidi="pl-PL"/>
        </w:rPr>
        <w:t>30</w:t>
      </w:r>
      <w:r w:rsidRPr="00177E3D">
        <w:rPr>
          <w:color w:val="000000"/>
          <w:szCs w:val="24"/>
          <w:lang w:eastAsia="pl-PL" w:bidi="pl-PL"/>
        </w:rPr>
        <w:t> </w:t>
      </w:r>
      <w:r w:rsidRPr="00177E3D">
        <w:rPr>
          <w:color w:val="000000"/>
          <w:szCs w:val="24"/>
          <w:lang w:eastAsia="pl-PL" w:bidi="pl-PL"/>
        </w:rPr>
        <w:t>kwietnia 2024 r.</w:t>
      </w:r>
      <w:r w:rsidRPr="00177E3D">
        <w:rPr>
          <w:color w:val="000000"/>
          <w:szCs w:val="24"/>
          <w:lang w:eastAsia="pl-PL" w:bidi="pl-PL"/>
        </w:rPr>
        <w:t xml:space="preserve"> Nie było zatem możliwe spełnienie głównego postulatu odwołujących się, tzn. „nałożenie na inwestora obowiązku lokalizacji pasa kolejowego możliwie jak najdalej od budynku mieszkalnego i stawu” (str. 3 pisma z 5 grudnia 2025 r.</w:t>
      </w:r>
      <w:r w:rsidRPr="00177E3D">
        <w:rPr>
          <w:color w:val="000000"/>
          <w:szCs w:val="24"/>
          <w:lang w:eastAsia="pl-PL" w:bidi="pl-PL"/>
        </w:rPr>
        <w:t xml:space="preserve"> oraz str. 7 odwołań z 19 stycznia 2026 r.</w:t>
      </w:r>
      <w:r w:rsidRPr="00177E3D">
        <w:rPr>
          <w:color w:val="000000"/>
          <w:szCs w:val="24"/>
          <w:lang w:eastAsia="pl-PL" w:bidi="pl-PL"/>
        </w:rPr>
        <w:t>)</w:t>
      </w:r>
      <w:r w:rsidRPr="00177E3D">
        <w:rPr>
          <w:color w:val="000000"/>
          <w:szCs w:val="24"/>
          <w:lang w:eastAsia="pl-PL" w:bidi="pl-PL"/>
        </w:rPr>
        <w:t>.</w:t>
      </w:r>
      <w:r w:rsidRPr="00177E3D">
        <w:rPr>
          <w:color w:val="000000"/>
          <w:szCs w:val="24"/>
          <w:lang w:eastAsia="pl-PL" w:bidi="pl-PL"/>
        </w:rPr>
        <w:t xml:space="preserve"> Nie miało zatem miejsca naruszenie art. 81 ust. 1 u.o.o.ś.</w:t>
      </w:r>
    </w:p>
    <w:p w14:paraId="3A58D970" w14:textId="77777777" w:rsidR="008558F5" w:rsidRPr="00177E3D" w:rsidRDefault="008558F5" w:rsidP="00B3058C">
      <w:pPr>
        <w:spacing w:before="120"/>
        <w:rPr>
          <w:color w:val="000000"/>
          <w:szCs w:val="24"/>
          <w:lang w:eastAsia="pl-PL" w:bidi="pl-PL"/>
        </w:rPr>
      </w:pPr>
      <w:r w:rsidRPr="00177E3D">
        <w:rPr>
          <w:color w:val="000000"/>
          <w:szCs w:val="24"/>
          <w:lang w:eastAsia="pl-PL" w:bidi="pl-PL"/>
        </w:rPr>
        <w:t>Tym samym nie jest również możliwe spełnienie pozostałych postulatów skarżących dotyczących stawu karpiowego, tj.: zapobiegania spływ</w:t>
      </w:r>
      <w:r w:rsidRPr="00177E3D">
        <w:rPr>
          <w:color w:val="000000"/>
          <w:szCs w:val="24"/>
          <w:lang w:eastAsia="pl-PL" w:bidi="pl-PL"/>
        </w:rPr>
        <w:t>owi</w:t>
      </w:r>
      <w:r w:rsidRPr="00177E3D">
        <w:rPr>
          <w:color w:val="000000"/>
          <w:szCs w:val="24"/>
          <w:lang w:eastAsia="pl-PL" w:bidi="pl-PL"/>
        </w:rPr>
        <w:t xml:space="preserve"> wód gruntowych z nasypu kolejowego, dostępu do stawu na całym jego obwodzie czy zachowania dotychczasowego sposobu odprowadzania wód ze sta</w:t>
      </w:r>
      <w:r w:rsidRPr="00177E3D">
        <w:rPr>
          <w:color w:val="000000"/>
          <w:szCs w:val="24"/>
          <w:lang w:eastAsia="pl-PL" w:bidi="pl-PL"/>
        </w:rPr>
        <w:t>wu.</w:t>
      </w:r>
    </w:p>
    <w:p w14:paraId="7D9A6FBB" w14:textId="48A7887A" w:rsidR="008558F5" w:rsidRPr="00177E3D" w:rsidRDefault="00900EF0" w:rsidP="006E56CD">
      <w:pPr>
        <w:spacing w:before="120"/>
        <w:rPr>
          <w:color w:val="000000"/>
          <w:szCs w:val="24"/>
          <w:lang w:eastAsia="pl-PL" w:bidi="pl-PL"/>
        </w:rPr>
      </w:pPr>
      <w:r>
        <w:rPr>
          <w:color w:val="000000"/>
          <w:szCs w:val="24"/>
          <w:lang w:eastAsia="pl-PL" w:bidi="pl-PL"/>
        </w:rPr>
        <w:t>(…)</w:t>
      </w:r>
      <w:r w:rsidR="008558F5" w:rsidRPr="00177E3D">
        <w:rPr>
          <w:color w:val="000000"/>
          <w:szCs w:val="24"/>
          <w:lang w:eastAsia="pl-PL" w:bidi="pl-PL"/>
        </w:rPr>
        <w:t xml:space="preserve"> i </w:t>
      </w:r>
      <w:r>
        <w:rPr>
          <w:color w:val="000000"/>
          <w:szCs w:val="24"/>
          <w:lang w:eastAsia="pl-PL" w:bidi="pl-PL"/>
        </w:rPr>
        <w:t>(…)</w:t>
      </w:r>
      <w:r w:rsidR="008558F5" w:rsidRPr="00177E3D">
        <w:rPr>
          <w:color w:val="000000"/>
          <w:szCs w:val="24"/>
          <w:lang w:eastAsia="pl-PL" w:bidi="pl-PL"/>
        </w:rPr>
        <w:t xml:space="preserve"> wnieśli również o zagwarantowanie dotychczasowego dojazdu z drogi powiatowej nr 1447G do dz. ewid. nr 19 obręb Bychowo, gmina Gniewino (tj. za pośrednictwem dz. ewid. nr 21 obręb Bychowo, gmina Gniewino). Odnosząc się do tej kwestii</w:t>
      </w:r>
      <w:r w:rsidR="008558F5" w:rsidRPr="00177E3D">
        <w:rPr>
          <w:color w:val="000000"/>
          <w:szCs w:val="24"/>
          <w:lang w:eastAsia="pl-PL" w:bidi="pl-PL"/>
        </w:rPr>
        <w:t>,</w:t>
      </w:r>
      <w:r w:rsidR="008558F5" w:rsidRPr="00177E3D">
        <w:rPr>
          <w:color w:val="000000"/>
          <w:szCs w:val="24"/>
          <w:lang w:eastAsia="pl-PL" w:bidi="pl-PL"/>
        </w:rPr>
        <w:t xml:space="preserve"> GDOŚ wskazuje, że dz. ewid</w:t>
      </w:r>
      <w:r w:rsidR="008558F5" w:rsidRPr="00177E3D">
        <w:rPr>
          <w:color w:val="000000"/>
          <w:szCs w:val="24"/>
          <w:lang w:eastAsia="pl-PL" w:bidi="pl-PL"/>
        </w:rPr>
        <w:t>. nr 21 obręb Bychowo, gmina Gniewino została w całości objęta zakresem wniosku o wydanie decyzji o środowiskowych uwarunkowaniach dla omawianej inwestycji. Nie można zatem zagwarantować, że dojazd do nieruchomości należących do skarżących będzie odbywał się w taki sposób, jak dotychczas.</w:t>
      </w:r>
      <w:r w:rsidR="008558F5" w:rsidRPr="00177E3D">
        <w:rPr>
          <w:color w:val="000000"/>
          <w:szCs w:val="24"/>
          <w:lang w:eastAsia="pl-PL" w:bidi="pl-PL"/>
        </w:rPr>
        <w:t xml:space="preserve"> Zgodnie z § 14 ust. 1 rozporządzenia Ministra Infrastruktury z dnia 12 kwietnia 2002 r. w sprawie warunków technicznych, jakim powinny </w:t>
      </w:r>
      <w:r w:rsidR="008558F5" w:rsidRPr="00177E3D">
        <w:rPr>
          <w:color w:val="000000"/>
          <w:szCs w:val="24"/>
          <w:lang w:eastAsia="pl-PL" w:bidi="pl-PL"/>
        </w:rPr>
        <w:lastRenderedPageBreak/>
        <w:t>odpowiadać budynki i ich usytuowanie (Dz. U. z 2022 r. poz. 1225, ze zm.) do działek budowlanych oraz do budynków i urządzeń z nimi związanych należy zapewnić dojście i dojazd umożliwiający dostęp do drogi publicznej, odpowiednie do przeznaczenia i sposobu ich użytkowania oraz wymagań dotyczących ochrony przeciwpożarowej, określonych w przepisach odrębnych. Jest to zatem kw</w:t>
      </w:r>
      <w:r w:rsidR="008558F5" w:rsidRPr="00177E3D">
        <w:rPr>
          <w:color w:val="000000"/>
          <w:szCs w:val="24"/>
          <w:lang w:eastAsia="pl-PL" w:bidi="pl-PL"/>
        </w:rPr>
        <w:t>estia nie mieszcząca się we właściwości rzeczowej organów wydających decyzje o środowiskowych uwarunkowaniach.</w:t>
      </w:r>
    </w:p>
    <w:p w14:paraId="28BD552B" w14:textId="77777777" w:rsidR="008558F5" w:rsidRPr="00177E3D" w:rsidRDefault="008558F5" w:rsidP="006B7D43">
      <w:pPr>
        <w:spacing w:before="120"/>
        <w:rPr>
          <w:color w:val="000000"/>
          <w:szCs w:val="24"/>
          <w:lang w:eastAsia="pl-PL" w:bidi="pl-PL"/>
        </w:rPr>
      </w:pPr>
      <w:r w:rsidRPr="00177E3D">
        <w:rPr>
          <w:color w:val="000000"/>
          <w:szCs w:val="24"/>
          <w:lang w:eastAsia="pl-PL" w:bidi="pl-PL"/>
        </w:rPr>
        <w:t>Nie było również konieczne przeprowadzenie oględzin nieruchomości należących do skarżących, tj. dz. ewid. nr 19 i 22/3, obręb Bychowo, gmina Gniewino</w:t>
      </w:r>
      <w:r w:rsidRPr="00177E3D">
        <w:rPr>
          <w:color w:val="000000"/>
          <w:szCs w:val="24"/>
          <w:lang w:eastAsia="pl-PL" w:bidi="pl-PL"/>
        </w:rPr>
        <w:t xml:space="preserve">, </w:t>
      </w:r>
      <w:r w:rsidRPr="00177E3D">
        <w:rPr>
          <w:color w:val="000000"/>
          <w:szCs w:val="24"/>
          <w:lang w:eastAsia="pl-PL" w:bidi="pl-PL"/>
        </w:rPr>
        <w:t>celem wykazania</w:t>
      </w:r>
      <w:r w:rsidRPr="00177E3D">
        <w:rPr>
          <w:color w:val="000000"/>
          <w:szCs w:val="24"/>
          <w:lang w:eastAsia="pl-PL" w:bidi="pl-PL"/>
        </w:rPr>
        <w:t xml:space="preserve"> okolicznoś</w:t>
      </w:r>
      <w:r w:rsidRPr="00177E3D">
        <w:rPr>
          <w:color w:val="000000"/>
          <w:szCs w:val="24"/>
          <w:lang w:eastAsia="pl-PL" w:bidi="pl-PL"/>
        </w:rPr>
        <w:t>ci podniesionych w treści pisma z 5 grudnia 2025 r.</w:t>
      </w:r>
      <w:r w:rsidRPr="00177E3D">
        <w:rPr>
          <w:color w:val="000000"/>
          <w:szCs w:val="24"/>
          <w:lang w:eastAsia="pl-PL" w:bidi="pl-PL"/>
        </w:rPr>
        <w:t xml:space="preserve"> Aktualny sposób zagospodarowania tych nieruchomości jest znany organowi odwoławczemu, zarówno na podstawie materiałów przedłożonych przez odwołujących się, danych zawartych w raporcie, jak i </w:t>
      </w:r>
      <w:r w:rsidRPr="00177E3D">
        <w:t>zdjęć z ortofotomapy (</w:t>
      </w:r>
      <w:r w:rsidRPr="00177E3D">
        <w:t>https://mapy.geoportal.gov.pl/imap/Imgp_2.html</w:t>
      </w:r>
      <w:r w:rsidRPr="00177E3D">
        <w:t>)</w:t>
      </w:r>
      <w:r w:rsidRPr="00177E3D">
        <w:rPr>
          <w:color w:val="000000"/>
          <w:szCs w:val="24"/>
          <w:lang w:eastAsia="pl-PL" w:bidi="pl-PL"/>
        </w:rPr>
        <w:t xml:space="preserve">. </w:t>
      </w:r>
      <w:r w:rsidRPr="00177E3D">
        <w:rPr>
          <w:color w:val="000000"/>
          <w:szCs w:val="24"/>
          <w:lang w:eastAsia="pl-PL" w:bidi="pl-PL"/>
        </w:rPr>
        <w:t>GDOŚ nie podważa</w:t>
      </w:r>
      <w:r w:rsidRPr="00177E3D">
        <w:rPr>
          <w:color w:val="000000"/>
          <w:szCs w:val="24"/>
          <w:lang w:eastAsia="pl-PL" w:bidi="pl-PL"/>
        </w:rPr>
        <w:t xml:space="preserve"> stanowiska odwołujących się co do obecnego sposobu użytkowania tych nieruchomości, tzn. </w:t>
      </w:r>
      <w:r w:rsidRPr="00177E3D">
        <w:rPr>
          <w:color w:val="000000"/>
          <w:szCs w:val="24"/>
          <w:lang w:eastAsia="pl-PL" w:bidi="pl-PL"/>
        </w:rPr>
        <w:t xml:space="preserve">funkcjonowania zabudowy mieszkaniowej oraz </w:t>
      </w:r>
      <w:r w:rsidRPr="00177E3D">
        <w:rPr>
          <w:color w:val="000000"/>
          <w:szCs w:val="24"/>
          <w:lang w:eastAsia="pl-PL" w:bidi="pl-PL"/>
        </w:rPr>
        <w:t xml:space="preserve">prowadzenia działalności gospodarczej polegającej na hodowli ryb </w:t>
      </w:r>
      <w:r w:rsidRPr="00177E3D">
        <w:rPr>
          <w:color w:val="000000"/>
          <w:szCs w:val="24"/>
          <w:lang w:eastAsia="pl-PL" w:bidi="pl-PL"/>
        </w:rPr>
        <w:t>i</w:t>
      </w:r>
      <w:r w:rsidRPr="00177E3D">
        <w:rPr>
          <w:color w:val="000000"/>
          <w:szCs w:val="24"/>
          <w:lang w:eastAsia="pl-PL" w:bidi="pl-PL"/>
        </w:rPr>
        <w:t xml:space="preserve"> psów rasowych. </w:t>
      </w:r>
      <w:r w:rsidRPr="00177E3D">
        <w:rPr>
          <w:color w:val="000000"/>
          <w:szCs w:val="24"/>
          <w:lang w:eastAsia="pl-PL" w:bidi="pl-PL"/>
        </w:rPr>
        <w:t xml:space="preserve">Organ odwoławczy nie neguje, że realizacja inwestycji wiąże się z zajęciem części tych nieruchomości oraz z koniecznością likwidacji – przynajmniej częściowej – stawu hodowlanego. Kwestie </w:t>
      </w:r>
      <w:r w:rsidRPr="00177E3D">
        <w:t>te nie świadczą jednak o</w:t>
      </w:r>
      <w:r w:rsidRPr="00177E3D">
        <w:t> </w:t>
      </w:r>
      <w:r w:rsidRPr="00177E3D">
        <w:t>ryzyku znaczącego negatywnego oddziaływani</w:t>
      </w:r>
      <w:r w:rsidRPr="00177E3D">
        <w:t>a</w:t>
      </w:r>
      <w:r w:rsidRPr="00177E3D">
        <w:t xml:space="preserve"> na środowisko, a tym samym nie stanowią</w:t>
      </w:r>
      <w:r w:rsidRPr="00177E3D">
        <w:t xml:space="preserve"> przesłank</w:t>
      </w:r>
      <w:r w:rsidRPr="00177E3D">
        <w:t>i</w:t>
      </w:r>
      <w:r w:rsidRPr="00177E3D">
        <w:t xml:space="preserve"> do zaniechania</w:t>
      </w:r>
      <w:r w:rsidRPr="00177E3D">
        <w:rPr>
          <w:color w:val="000000"/>
          <w:szCs w:val="24"/>
          <w:lang w:eastAsia="pl-PL" w:bidi="pl-PL"/>
        </w:rPr>
        <w:t xml:space="preserve"> realizacji inwestycji w zaprojektowanym kształcie.</w:t>
      </w:r>
    </w:p>
    <w:p w14:paraId="02790C65" w14:textId="32611185" w:rsidR="008558F5" w:rsidRPr="00177E3D" w:rsidRDefault="00900EF0" w:rsidP="006B7D43">
      <w:pPr>
        <w:spacing w:before="120"/>
        <w:rPr>
          <w:color w:val="000000"/>
          <w:szCs w:val="24"/>
          <w:lang w:eastAsia="pl-PL" w:bidi="pl-PL"/>
        </w:rPr>
      </w:pPr>
      <w:r>
        <w:rPr>
          <w:color w:val="000000"/>
          <w:szCs w:val="24"/>
          <w:lang w:eastAsia="pl-PL" w:bidi="pl-PL"/>
        </w:rPr>
        <w:t>(…)</w:t>
      </w:r>
      <w:r w:rsidR="008558F5" w:rsidRPr="00177E3D">
        <w:rPr>
          <w:color w:val="000000"/>
          <w:szCs w:val="24"/>
          <w:lang w:eastAsia="pl-PL" w:bidi="pl-PL"/>
        </w:rPr>
        <w:t xml:space="preserve"> i </w:t>
      </w:r>
      <w:r>
        <w:rPr>
          <w:color w:val="000000"/>
          <w:szCs w:val="24"/>
          <w:lang w:eastAsia="pl-PL" w:bidi="pl-PL"/>
        </w:rPr>
        <w:t>(…)</w:t>
      </w:r>
      <w:r w:rsidR="008558F5" w:rsidRPr="00177E3D">
        <w:rPr>
          <w:color w:val="000000"/>
          <w:szCs w:val="24"/>
          <w:lang w:eastAsia="pl-PL" w:bidi="pl-PL"/>
        </w:rPr>
        <w:t xml:space="preserve"> wnieśli także o zainstalowanie rozwiązań technicznych, które będą służyć </w:t>
      </w:r>
      <w:r w:rsidR="008558F5" w:rsidRPr="00177E3D">
        <w:rPr>
          <w:color w:val="000000"/>
          <w:szCs w:val="24"/>
          <w:lang w:eastAsia="pl-PL" w:bidi="pl-PL"/>
        </w:rPr>
        <w:t>ograniczeniu negatywnego wpływu hałasu i drgań w związku z realizacji i eksploatacją projektowanej linii kolejowej. W odpowiedzi GDOŚ wskazuje, że w pkt II.5 i II.6 niniejszej decyzji określił warunki, które będą służyć minimalizacji tych oddziaływań na etapie budowy</w:t>
      </w:r>
      <w:r w:rsidR="008558F5" w:rsidRPr="00177E3D">
        <w:rPr>
          <w:color w:val="000000"/>
          <w:szCs w:val="24"/>
          <w:lang w:eastAsia="pl-PL" w:bidi="pl-PL"/>
        </w:rPr>
        <w:t>.</w:t>
      </w:r>
      <w:r w:rsidR="008558F5" w:rsidRPr="00177E3D">
        <w:rPr>
          <w:color w:val="000000"/>
          <w:szCs w:val="24"/>
          <w:lang w:eastAsia="pl-PL" w:bidi="pl-PL"/>
        </w:rPr>
        <w:t xml:space="preserve"> </w:t>
      </w:r>
      <w:r w:rsidR="008558F5" w:rsidRPr="00177E3D">
        <w:rPr>
          <w:color w:val="000000"/>
          <w:szCs w:val="24"/>
          <w:lang w:eastAsia="pl-PL" w:bidi="pl-PL"/>
        </w:rPr>
        <w:t>W tym</w:t>
      </w:r>
      <w:r w:rsidR="008558F5" w:rsidRPr="00177E3D">
        <w:rPr>
          <w:color w:val="000000"/>
          <w:szCs w:val="24"/>
          <w:lang w:eastAsia="pl-PL" w:bidi="pl-PL"/>
        </w:rPr>
        <w:t xml:space="preserve"> czasie intensywność hałasu i drgań będzie największa, choć </w:t>
      </w:r>
      <w:r w:rsidR="008558F5" w:rsidRPr="00177E3D">
        <w:rPr>
          <w:color w:val="000000"/>
          <w:szCs w:val="24"/>
          <w:lang w:eastAsia="pl-PL" w:bidi="pl-PL"/>
        </w:rPr>
        <w:t xml:space="preserve">krótkoterminowa, </w:t>
      </w:r>
      <w:r w:rsidR="008558F5" w:rsidRPr="00177E3D">
        <w:rPr>
          <w:color w:val="000000"/>
          <w:szCs w:val="24"/>
          <w:lang w:eastAsia="pl-PL" w:bidi="pl-PL"/>
        </w:rPr>
        <w:t xml:space="preserve">ponieważ </w:t>
      </w:r>
      <w:r w:rsidR="008558F5" w:rsidRPr="00177E3D">
        <w:rPr>
          <w:color w:val="000000"/>
          <w:szCs w:val="24"/>
          <w:lang w:eastAsia="pl-PL" w:bidi="pl-PL"/>
        </w:rPr>
        <w:t>występować będzie jedynie w okresie przechodzenia frontu robót w danym miejscu</w:t>
      </w:r>
      <w:r w:rsidR="008558F5" w:rsidRPr="00177E3D">
        <w:rPr>
          <w:color w:val="000000"/>
          <w:szCs w:val="24"/>
          <w:lang w:eastAsia="pl-PL" w:bidi="pl-PL"/>
        </w:rPr>
        <w:t>.</w:t>
      </w:r>
      <w:r w:rsidR="008558F5" w:rsidRPr="00177E3D">
        <w:rPr>
          <w:color w:val="000000"/>
          <w:szCs w:val="24"/>
          <w:lang w:eastAsia="pl-PL" w:bidi="pl-PL"/>
        </w:rPr>
        <w:t xml:space="preserve"> Warunki te zobowiązują inwestora w szczególności do czasowego ograniczenia robót prowadzonych w sąsiedztwie zabudowań mieszkaniowych oraz do stosowania rozwiązań zmniejszających intensywność drgań podłoża.</w:t>
      </w:r>
    </w:p>
    <w:p w14:paraId="78DD33E3" w14:textId="77777777" w:rsidR="008558F5" w:rsidRPr="00177E3D" w:rsidRDefault="008558F5" w:rsidP="00F905B1">
      <w:pPr>
        <w:spacing w:before="120"/>
        <w:rPr>
          <w:rFonts w:cs="Arial"/>
          <w:i/>
        </w:rPr>
      </w:pPr>
      <w:r w:rsidRPr="00177E3D">
        <w:rPr>
          <w:color w:val="000000"/>
          <w:szCs w:val="24"/>
          <w:lang w:eastAsia="pl-PL" w:bidi="pl-PL"/>
        </w:rPr>
        <w:t>W ocenie GDO</w:t>
      </w:r>
      <w:r w:rsidRPr="00177E3D">
        <w:rPr>
          <w:color w:val="000000"/>
          <w:szCs w:val="24"/>
          <w:lang w:eastAsia="pl-PL" w:bidi="pl-PL"/>
        </w:rPr>
        <w:t>Ś skala oddziaływania wibracyjnego związanego z eksploatacją linii kolejowej nr 230 będzie znacząco mniejsza niż na etapie jej budowy. Wynika to z wieloletnich doświadczeń polskich inżynierów budownictwa, któ</w:t>
      </w:r>
      <w:r w:rsidRPr="00177E3D">
        <w:rPr>
          <w:color w:val="000000"/>
          <w:szCs w:val="24"/>
          <w:lang w:eastAsia="pl-PL" w:bidi="pl-PL"/>
        </w:rPr>
        <w:t>r</w:t>
      </w:r>
      <w:r w:rsidRPr="00177E3D">
        <w:rPr>
          <w:color w:val="000000"/>
          <w:szCs w:val="24"/>
          <w:lang w:eastAsia="pl-PL" w:bidi="pl-PL"/>
        </w:rPr>
        <w:t xml:space="preserve">e znalazły swój wyraz w </w:t>
      </w:r>
      <w:r w:rsidRPr="00177E3D">
        <w:rPr>
          <w:rFonts w:cs="Arial"/>
        </w:rPr>
        <w:t>ustale</w:t>
      </w:r>
      <w:r w:rsidRPr="00177E3D">
        <w:rPr>
          <w:rFonts w:cs="Arial"/>
        </w:rPr>
        <w:t>niach</w:t>
      </w:r>
      <w:r w:rsidRPr="00177E3D">
        <w:rPr>
          <w:rFonts w:cs="Arial"/>
        </w:rPr>
        <w:t xml:space="preserve"> zawartych w Polskiej Normie </w:t>
      </w:r>
      <w:r w:rsidRPr="00177E3D">
        <w:t>PN-B-02170:2016–12</w:t>
      </w:r>
      <w:r w:rsidRPr="00177E3D">
        <w:rPr>
          <w:rFonts w:cs="Arial"/>
        </w:rPr>
        <w:t xml:space="preserve"> – </w:t>
      </w:r>
      <w:r w:rsidRPr="00177E3D">
        <w:rPr>
          <w:rFonts w:cs="Arial"/>
          <w:i/>
        </w:rPr>
        <w:t>Ocena szkodliwości drgań przekazywanych przez podłoże na budynki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Autorzy normy </w:t>
      </w:r>
      <w:r w:rsidRPr="00177E3D">
        <w:rPr>
          <w:rFonts w:cs="Arial"/>
        </w:rPr>
        <w:t>odn</w:t>
      </w:r>
      <w:r w:rsidRPr="00177E3D">
        <w:rPr>
          <w:rFonts w:cs="Arial"/>
        </w:rPr>
        <w:t>ieśli</w:t>
      </w:r>
      <w:r w:rsidRPr="00177E3D">
        <w:rPr>
          <w:rFonts w:cs="Arial"/>
        </w:rPr>
        <w:t xml:space="preserve"> się do typowego zasięgu szkodliwych wibracji, </w:t>
      </w:r>
      <w:r w:rsidRPr="00177E3D">
        <w:rPr>
          <w:rFonts w:cs="Arial"/>
        </w:rPr>
        <w:t xml:space="preserve">występujących w związku z prowadzeniem różnego rodzaju działań </w:t>
      </w:r>
      <w:r w:rsidRPr="00177E3D">
        <w:t>(str.</w:t>
      </w:r>
      <w:r w:rsidRPr="00177E3D">
        <w:t> </w:t>
      </w:r>
      <w:r w:rsidRPr="00177E3D">
        <w:t>14):</w:t>
      </w:r>
      <w:r w:rsidRPr="00177E3D">
        <w:rPr>
          <w:rFonts w:cs="Arial"/>
        </w:rPr>
        <w:t xml:space="preserve"> </w:t>
      </w:r>
      <w:r w:rsidRPr="00177E3D">
        <w:rPr>
          <w:rFonts w:cs="Arial"/>
          <w:i/>
        </w:rPr>
        <w:t>w</w:t>
      </w:r>
      <w:r w:rsidRPr="00177E3D">
        <w:rPr>
          <w:rFonts w:cs="Arial"/>
          <w:i/>
        </w:rPr>
        <w:t xml:space="preserve"> obliczeniach projektowych budynku pominąć oddziaływanie drgań przekazywanych przez podłoże na budynek, jeżeli projektowany budynek będzie znajdował się w odległości większej niż: </w:t>
      </w:r>
    </w:p>
    <w:p w14:paraId="591C8A52" w14:textId="77777777" w:rsidR="008558F5" w:rsidRPr="00177E3D" w:rsidRDefault="008558F5" w:rsidP="008558F5">
      <w:pPr>
        <w:pStyle w:val="Akapitzlist"/>
        <w:numPr>
          <w:ilvl w:val="1"/>
          <w:numId w:val="43"/>
        </w:numPr>
        <w:ind w:left="284" w:hanging="284"/>
        <w:rPr>
          <w:rFonts w:cs="Arial"/>
          <w:i/>
        </w:rPr>
      </w:pPr>
      <w:r w:rsidRPr="00177E3D">
        <w:rPr>
          <w:rFonts w:cs="Arial"/>
          <w:i/>
        </w:rPr>
        <w:t>25 m od osi toru kolejowego,</w:t>
      </w:r>
    </w:p>
    <w:p w14:paraId="36F34A20" w14:textId="77777777" w:rsidR="008558F5" w:rsidRPr="00177E3D" w:rsidRDefault="008558F5" w:rsidP="008558F5">
      <w:pPr>
        <w:pStyle w:val="Akapitzlist"/>
        <w:numPr>
          <w:ilvl w:val="1"/>
          <w:numId w:val="43"/>
        </w:numPr>
        <w:ind w:left="284" w:hanging="284"/>
        <w:rPr>
          <w:rFonts w:cs="Arial"/>
          <w:i/>
        </w:rPr>
      </w:pPr>
      <w:r w:rsidRPr="00177E3D">
        <w:rPr>
          <w:rFonts w:cs="Arial"/>
          <w:i/>
        </w:rPr>
        <w:t>15 m od osi toru tramwajowego albo od osi najbliższego pasa drogi kołowej I kategorii lub ulicy przelotowej,</w:t>
      </w:r>
    </w:p>
    <w:p w14:paraId="2E6F7B67" w14:textId="77777777" w:rsidR="008558F5" w:rsidRPr="00177E3D" w:rsidRDefault="008558F5" w:rsidP="008558F5">
      <w:pPr>
        <w:pStyle w:val="Akapitzlist"/>
        <w:numPr>
          <w:ilvl w:val="1"/>
          <w:numId w:val="43"/>
        </w:numPr>
        <w:ind w:left="284" w:hanging="284"/>
        <w:rPr>
          <w:rFonts w:cs="Arial"/>
          <w:i/>
        </w:rPr>
      </w:pPr>
      <w:r w:rsidRPr="00177E3D">
        <w:rPr>
          <w:rFonts w:cs="Arial"/>
          <w:i/>
        </w:rPr>
        <w:lastRenderedPageBreak/>
        <w:t>20 m od źródła drgań wywołanych pracami budowlanymi (wbijanie pali i ścianek szczelnych, wibromłoty itp.),</w:t>
      </w:r>
    </w:p>
    <w:p w14:paraId="05DDE6BA" w14:textId="77777777" w:rsidR="008558F5" w:rsidRPr="00177E3D" w:rsidRDefault="008558F5" w:rsidP="008558F5">
      <w:pPr>
        <w:pStyle w:val="Akapitzlist"/>
        <w:numPr>
          <w:ilvl w:val="1"/>
          <w:numId w:val="43"/>
        </w:numPr>
        <w:ind w:left="284" w:hanging="284"/>
        <w:rPr>
          <w:rFonts w:cs="Arial"/>
        </w:rPr>
      </w:pPr>
      <w:r w:rsidRPr="00177E3D">
        <w:rPr>
          <w:rFonts w:cs="Arial"/>
          <w:i/>
        </w:rPr>
        <w:t>60 m od trasy poruszania się drogowych walców wibracyjnych</w:t>
      </w:r>
      <w:r w:rsidRPr="00177E3D">
        <w:rPr>
          <w:rFonts w:cs="Arial"/>
        </w:rPr>
        <w:t>.</w:t>
      </w:r>
    </w:p>
    <w:p w14:paraId="2CE92BEA" w14:textId="77777777" w:rsidR="008558F5" w:rsidRPr="00177E3D" w:rsidRDefault="008558F5" w:rsidP="00802504">
      <w:pPr>
        <w:rPr>
          <w:rFonts w:cs="Arial"/>
        </w:rPr>
      </w:pPr>
      <w:r w:rsidRPr="00177E3D">
        <w:rPr>
          <w:rFonts w:cs="Arial"/>
        </w:rPr>
        <w:t>W przypadku omawianej inwestycji oś toru kolejowego zlokalizowana będzie w odległości ok. 35 m od budynku należącego do odwołujących się</w:t>
      </w:r>
      <w:r w:rsidRPr="00177E3D">
        <w:rPr>
          <w:rFonts w:cs="Arial"/>
        </w:rPr>
        <w:t xml:space="preserve"> (por. zał. 8.3.2 do raportu, arkusz 18)</w:t>
      </w:r>
      <w:r w:rsidRPr="00177E3D">
        <w:rPr>
          <w:rFonts w:cs="Arial"/>
        </w:rPr>
        <w:t xml:space="preserve">. Tym samym budynek ten położony będzie </w:t>
      </w:r>
      <w:r w:rsidRPr="00177E3D">
        <w:rPr>
          <w:rFonts w:cs="Arial"/>
        </w:rPr>
        <w:t>poza strefą występowania drgań, które mogłyby naruszać jego konstrukcję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Nie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było zatem konieczne zobowiązanie inwestora do zaprojektowania dodatkowych rozwiązań tłumiących drgania na odcinku linii kolejowej nr 230 przylegającym do nieruchomości skarżących.</w:t>
      </w:r>
    </w:p>
    <w:p w14:paraId="08466848" w14:textId="77777777" w:rsidR="008558F5" w:rsidRPr="00177E3D" w:rsidRDefault="008558F5" w:rsidP="003A78B6">
      <w:pPr>
        <w:spacing w:before="120"/>
        <w:rPr>
          <w:rFonts w:cs="Arial"/>
        </w:rPr>
      </w:pPr>
      <w:r w:rsidRPr="00177E3D">
        <w:rPr>
          <w:rFonts w:cs="Arial"/>
        </w:rPr>
        <w:t xml:space="preserve">Modelowanie akustyczne </w:t>
      </w:r>
      <w:r w:rsidRPr="00177E3D">
        <w:rPr>
          <w:rFonts w:cs="Arial"/>
        </w:rPr>
        <w:t>przeprowadzone w ramach sporządzania raportu nie wykazało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przekroczenia standardów akustycznych dla </w:t>
      </w:r>
      <w:r w:rsidRPr="00177E3D">
        <w:rPr>
          <w:rFonts w:cs="Arial"/>
        </w:rPr>
        <w:t>budynku skarżących.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</w:t>
      </w:r>
      <w:r w:rsidRPr="00177E3D">
        <w:rPr>
          <w:rFonts w:cs="Arial"/>
        </w:rPr>
        <w:t xml:space="preserve">a krawędzi elewacji </w:t>
      </w:r>
      <w:r w:rsidRPr="00177E3D">
        <w:rPr>
          <w:rFonts w:cs="Arial"/>
        </w:rPr>
        <w:t xml:space="preserve">tego </w:t>
      </w:r>
      <w:r w:rsidRPr="00177E3D">
        <w:rPr>
          <w:rFonts w:cs="Arial"/>
        </w:rPr>
        <w:t xml:space="preserve">budynku </w:t>
      </w:r>
      <w:r w:rsidRPr="00177E3D">
        <w:rPr>
          <w:rFonts w:cs="Arial"/>
        </w:rPr>
        <w:t xml:space="preserve">prognozuje się </w:t>
      </w:r>
      <w:r w:rsidRPr="00177E3D">
        <w:rPr>
          <w:rFonts w:cs="Arial"/>
        </w:rPr>
        <w:t xml:space="preserve">wystąpienie </w:t>
      </w:r>
      <w:r w:rsidRPr="00177E3D">
        <w:rPr>
          <w:rFonts w:cs="Arial"/>
        </w:rPr>
        <w:t>hałas</w:t>
      </w:r>
      <w:r w:rsidRPr="00177E3D">
        <w:rPr>
          <w:rFonts w:cs="Arial"/>
        </w:rPr>
        <w:t>u</w:t>
      </w:r>
      <w:r w:rsidRPr="00177E3D">
        <w:rPr>
          <w:rFonts w:cs="Arial"/>
        </w:rPr>
        <w:t xml:space="preserve"> o natężeniu 54,2 dB w porze dnia i 50,5 dB</w:t>
      </w:r>
      <w:r w:rsidRPr="00177E3D">
        <w:rPr>
          <w:rFonts w:cs="Arial"/>
        </w:rPr>
        <w:t xml:space="preserve"> w porze nocy</w:t>
      </w:r>
      <w:r w:rsidRPr="00177E3D">
        <w:rPr>
          <w:rFonts w:cs="Arial"/>
        </w:rPr>
        <w:t xml:space="preserve"> (zał. 7.4.1 do raportu, str. 5, receptor 83e)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Natomiast na granicy terenu chronionego akustycznie prognozuje się wystąpienie hałasu o natężeniu 56,1 dB w porze dnia i 52,3 dB w porze nocy (zał. 7.4.1 do raportu, str. 11, receptor 83e’).</w:t>
      </w:r>
      <w:r w:rsidRPr="00177E3D">
        <w:rPr>
          <w:rFonts w:cs="Arial"/>
        </w:rPr>
        <w:t xml:space="preserve"> Biorąc pod uwagę, że niepewność obliczeniowa dla tego rodzaju modelowania wynosi ±3,0 dB, nie należy spodziewać się przekroczenia dopuszczalnego poziomu dźwięku, który dla zabudowy mieszkaniowej jednorodzinnej wynosi 61 dB dla pory dnia i 56 dB dla pory nocy. </w:t>
      </w:r>
      <w:r w:rsidRPr="00177E3D">
        <w:rPr>
          <w:rFonts w:cs="Arial"/>
        </w:rPr>
        <w:t>Nie było zatem niezbędne zaprojektowanie ekranów akustycznych lub absorberów przyszynowych na odcinku linii kolejowej nr 230 przylegającym do nieruchomości skarżących.</w:t>
      </w:r>
    </w:p>
    <w:p w14:paraId="101B5572" w14:textId="77777777" w:rsidR="008558F5" w:rsidRPr="00177E3D" w:rsidRDefault="008558F5" w:rsidP="003A78B6">
      <w:pPr>
        <w:spacing w:before="120"/>
        <w:rPr>
          <w:rFonts w:cs="Arial"/>
        </w:rPr>
      </w:pPr>
      <w:r w:rsidRPr="00177E3D">
        <w:rPr>
          <w:rFonts w:cs="Arial"/>
        </w:rPr>
        <w:t xml:space="preserve">Na str. 3 odwołań z 19 stycznia 2026 r. skarżący wskazali, że w systemie odwodnienia należy zastosować rozwiązania: </w:t>
      </w:r>
      <w:r w:rsidRPr="00177E3D">
        <w:rPr>
          <w:rFonts w:cs="Arial"/>
          <w:i/>
          <w:iCs/>
        </w:rPr>
        <w:t>które zapewnią, iż wody gruntowe spływające z nasypu kolejowego nie będą przedostawały się do stawu rybnego zlokalizowanego na działce nr 19 położonej w miejscowości Bychowo, Gmina Gniewino</w:t>
      </w:r>
      <w:r w:rsidRPr="00177E3D">
        <w:rPr>
          <w:rFonts w:cs="Arial"/>
        </w:rPr>
        <w:t>.</w:t>
      </w:r>
      <w:r w:rsidRPr="00177E3D">
        <w:rPr>
          <w:rFonts w:cs="Arial"/>
        </w:rPr>
        <w:t xml:space="preserve"> W ocenie GDOŚ tego rodzaju oczekiwanie jest nieuprawnione. </w:t>
      </w:r>
      <w:r w:rsidRPr="00177E3D">
        <w:rPr>
          <w:rFonts w:cs="Arial"/>
        </w:rPr>
        <w:t>W pierwszej kolejności należy wskazać, że działka ta, wraz ze zlokalizowanym na niej stawem, w części zostanie objęta miejscem realizacji przedsięwzięcia (por.</w:t>
      </w:r>
      <w:r w:rsidRPr="00177E3D">
        <w:rPr>
          <w:rFonts w:cs="Arial"/>
        </w:rPr>
        <w:t xml:space="preserve"> zał.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nr 2 do raportu, arkusze nr 31-32).</w:t>
      </w:r>
      <w:r w:rsidRPr="00177E3D">
        <w:rPr>
          <w:rFonts w:cs="Arial"/>
        </w:rPr>
        <w:t xml:space="preserve"> Będzie to skutkować koniecznością jej wywłaszczenia </w:t>
      </w:r>
      <w:r w:rsidRPr="00177E3D">
        <w:rPr>
          <w:rFonts w:cs="Arial"/>
        </w:rPr>
        <w:t xml:space="preserve">w tej części </w:t>
      </w:r>
      <w:r w:rsidRPr="00177E3D">
        <w:rPr>
          <w:rFonts w:cs="Arial"/>
        </w:rPr>
        <w:t xml:space="preserve">oraz zmniejszenia powierzchni lub nawet </w:t>
      </w:r>
      <w:r w:rsidRPr="00177E3D">
        <w:rPr>
          <w:rFonts w:cs="Arial"/>
        </w:rPr>
        <w:t xml:space="preserve">likwidacji </w:t>
      </w:r>
      <w:r w:rsidRPr="00177E3D">
        <w:rPr>
          <w:rFonts w:cs="Arial"/>
        </w:rPr>
        <w:t xml:space="preserve">stawu rybnego. </w:t>
      </w:r>
      <w:r w:rsidRPr="00177E3D">
        <w:rPr>
          <w:rFonts w:cs="Arial"/>
        </w:rPr>
        <w:t>Tym samym nie będzie możliwości użytkowania tego stawu w dotychczasowy sposób.</w:t>
      </w:r>
    </w:p>
    <w:p w14:paraId="03A9AE3D" w14:textId="77777777" w:rsidR="008558F5" w:rsidRPr="00177E3D" w:rsidRDefault="008558F5" w:rsidP="003A78B6">
      <w:pPr>
        <w:spacing w:before="120"/>
        <w:rPr>
          <w:lang w:eastAsia="pl-PL" w:bidi="pl-PL"/>
        </w:rPr>
      </w:pPr>
      <w:r w:rsidRPr="00177E3D">
        <w:rPr>
          <w:rFonts w:cs="Arial"/>
        </w:rPr>
        <w:t>Odwołujący się wskazali również na</w:t>
      </w:r>
      <w:r w:rsidRPr="00177E3D">
        <w:rPr>
          <w:rFonts w:cs="Arial"/>
        </w:rPr>
        <w:t>:</w:t>
      </w:r>
      <w:r w:rsidRPr="00177E3D">
        <w:rPr>
          <w:rFonts w:cs="Arial"/>
        </w:rPr>
        <w:t xml:space="preserve"> </w:t>
      </w:r>
      <w:r w:rsidRPr="00177E3D">
        <w:rPr>
          <w:rFonts w:cs="Arial"/>
          <w:i/>
          <w:iCs/>
        </w:rPr>
        <w:t xml:space="preserve">realną </w:t>
      </w:r>
      <w:r w:rsidRPr="00177E3D">
        <w:rPr>
          <w:rFonts w:cs="Arial"/>
          <w:i/>
          <w:iCs/>
        </w:rPr>
        <w:t>obawę</w:t>
      </w:r>
      <w:r w:rsidRPr="00177E3D">
        <w:rPr>
          <w:rFonts w:cs="Arial"/>
        </w:rPr>
        <w:t xml:space="preserve"> </w:t>
      </w:r>
      <w:r w:rsidRPr="00177E3D">
        <w:rPr>
          <w:i/>
          <w:iCs/>
          <w:lang w:eastAsia="pl-PL" w:bidi="pl-PL"/>
        </w:rPr>
        <w:t>spływania do stawu zanieczyszczonych wód opadowych bezpośrednio z nasypu kolejowego</w:t>
      </w:r>
      <w:r w:rsidRPr="00177E3D">
        <w:rPr>
          <w:lang w:eastAsia="pl-PL" w:bidi="pl-PL"/>
        </w:rPr>
        <w:t xml:space="preserve"> (str. 7 odwołań z 19 stycznia 2026 r.).</w:t>
      </w:r>
      <w:r w:rsidRPr="00177E3D">
        <w:rPr>
          <w:lang w:eastAsia="pl-PL" w:bidi="pl-PL"/>
        </w:rPr>
        <w:t xml:space="preserve"> </w:t>
      </w:r>
      <w:r w:rsidRPr="00177E3D">
        <w:rPr>
          <w:lang w:eastAsia="pl-PL" w:bidi="pl-PL"/>
        </w:rPr>
        <w:t xml:space="preserve">W opinii GDOŚ obawy te nie są uzasadnione. </w:t>
      </w:r>
      <w:r w:rsidRPr="00177E3D">
        <w:rPr>
          <w:lang w:eastAsia="pl-PL" w:bidi="pl-PL"/>
        </w:rPr>
        <w:t>Z</w:t>
      </w:r>
      <w:r w:rsidRPr="00177E3D">
        <w:rPr>
          <w:lang w:eastAsia="pl-PL" w:bidi="pl-PL"/>
        </w:rPr>
        <w:t xml:space="preserve"> dostępnych opracowań branżowych</w:t>
      </w:r>
      <w:r w:rsidRPr="00177E3D">
        <w:rPr>
          <w:lang w:eastAsia="pl-PL" w:bidi="pl-PL"/>
        </w:rPr>
        <w:t>, w szczególności</w:t>
      </w:r>
      <w:r w:rsidRPr="00177E3D">
        <w:rPr>
          <w:lang w:eastAsia="pl-PL" w:bidi="pl-PL"/>
        </w:rPr>
        <w:t>:</w:t>
      </w:r>
    </w:p>
    <w:p w14:paraId="1F8E1A00" w14:textId="77777777" w:rsidR="008558F5" w:rsidRPr="00177E3D" w:rsidRDefault="008558F5" w:rsidP="008558F5">
      <w:pPr>
        <w:pStyle w:val="Akapitzlist"/>
        <w:numPr>
          <w:ilvl w:val="0"/>
          <w:numId w:val="44"/>
        </w:numPr>
        <w:ind w:left="426" w:hanging="426"/>
        <w:rPr>
          <w:rFonts w:cs="Arial"/>
        </w:rPr>
      </w:pPr>
      <w:r w:rsidRPr="00177E3D">
        <w:rPr>
          <w:rFonts w:cs="Arial"/>
        </w:rPr>
        <w:t xml:space="preserve">A. Olszowy i in., </w:t>
      </w:r>
      <w:r w:rsidRPr="00177E3D">
        <w:rPr>
          <w:rFonts w:cs="Arial"/>
          <w:i/>
          <w:iCs/>
        </w:rPr>
        <w:t>Ekspertyza dotycząca wpływu linii kolejowych na zanieczyszczenie powierzchni ziemi</w:t>
      </w:r>
      <w:r w:rsidRPr="00177E3D">
        <w:rPr>
          <w:rFonts w:cs="Arial"/>
        </w:rPr>
        <w:t>, SGS Eko-Projekt sp. z o.o. 2014;</w:t>
      </w:r>
    </w:p>
    <w:p w14:paraId="2988428D" w14:textId="77777777" w:rsidR="008558F5" w:rsidRPr="00177E3D" w:rsidRDefault="008558F5" w:rsidP="008558F5">
      <w:pPr>
        <w:pStyle w:val="Akapitzlist"/>
        <w:numPr>
          <w:ilvl w:val="0"/>
          <w:numId w:val="44"/>
        </w:numPr>
        <w:spacing w:before="120"/>
        <w:ind w:left="426" w:hanging="426"/>
        <w:rPr>
          <w:rFonts w:cs="Arial"/>
        </w:rPr>
      </w:pPr>
      <w:r w:rsidRPr="00177E3D">
        <w:rPr>
          <w:rFonts w:cs="Arial"/>
        </w:rPr>
        <w:t xml:space="preserve">A. Kruk </w:t>
      </w:r>
      <w:r w:rsidRPr="00177E3D">
        <w:rPr>
          <w:rFonts w:cs="Arial"/>
        </w:rPr>
        <w:t xml:space="preserve">i </w:t>
      </w:r>
      <w:r w:rsidRPr="00177E3D">
        <w:rPr>
          <w:rFonts w:cs="Arial"/>
        </w:rPr>
        <w:t xml:space="preserve">in., </w:t>
      </w:r>
      <w:r w:rsidRPr="00177E3D">
        <w:rPr>
          <w:rFonts w:cs="Arial"/>
          <w:i/>
          <w:iCs/>
        </w:rPr>
        <w:t>Analiza składu jakościowego wód opadowych i roztopowych pochodzących z</w:t>
      </w:r>
      <w:r w:rsidRPr="00177E3D">
        <w:rPr>
          <w:rFonts w:cs="Arial"/>
          <w:i/>
          <w:iCs/>
        </w:rPr>
        <w:t> </w:t>
      </w:r>
      <w:r w:rsidRPr="00177E3D">
        <w:rPr>
          <w:rFonts w:cs="Arial"/>
          <w:i/>
          <w:iCs/>
        </w:rPr>
        <w:t>obszaru kolejowego (aktualizacja)</w:t>
      </w:r>
      <w:r w:rsidRPr="00177E3D">
        <w:rPr>
          <w:rFonts w:cs="Arial"/>
        </w:rPr>
        <w:t>, PKP Polskie Linie Kolejowe S.A. 2025;</w:t>
      </w:r>
    </w:p>
    <w:p w14:paraId="6B6DD8D0" w14:textId="77777777" w:rsidR="008558F5" w:rsidRPr="00177E3D" w:rsidRDefault="008558F5" w:rsidP="00F07834">
      <w:pPr>
        <w:rPr>
          <w:rFonts w:cs="Arial"/>
        </w:rPr>
      </w:pPr>
      <w:r w:rsidRPr="00177E3D">
        <w:rPr>
          <w:rFonts w:cs="Arial"/>
        </w:rPr>
        <w:t>wynika, że</w:t>
      </w:r>
      <w:r w:rsidRPr="00177E3D">
        <w:rPr>
          <w:rFonts w:cs="Arial"/>
        </w:rPr>
        <w:t xml:space="preserve"> współcześnie eksploatowane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linie kolejowe co do zasady nie stanowią źródła zanieczyszczeń gleby i wód na sąsiadujących z nimi obszarach. Na podstawie badań przeprowadzonych wzdłuż linii kolejowych w różnych częściach Polski </w:t>
      </w:r>
      <w:r w:rsidRPr="00177E3D">
        <w:rPr>
          <w:rFonts w:cs="Arial"/>
        </w:rPr>
        <w:t xml:space="preserve">ustalono, że zanieczyszczenia ropopochodne nie przekraczają dopuszczalnego stężenia (15 mg/l) </w:t>
      </w:r>
      <w:r w:rsidRPr="00177E3D">
        <w:rPr>
          <w:rFonts w:cs="Arial"/>
        </w:rPr>
        <w:lastRenderedPageBreak/>
        <w:t>w</w:t>
      </w:r>
      <w:r w:rsidRPr="00177E3D">
        <w:rPr>
          <w:rFonts w:cs="Arial"/>
        </w:rPr>
        <w:t> </w:t>
      </w:r>
      <w:r w:rsidRPr="00177E3D">
        <w:rPr>
          <w:rFonts w:cs="Arial"/>
        </w:rPr>
        <w:t>wodach opadowych i roztopowych pochodzących z terenów kolejowych. Natomiast zbyt wysokie stężenie zawiesiny ogólnej (powyżej 100 mg</w:t>
      </w:r>
      <w:r w:rsidRPr="00177E3D">
        <w:rPr>
          <w:rFonts w:cs="Arial"/>
        </w:rPr>
        <w:t>/l) notowane było w miejscach przypuszczalnie niesprawnego systemu odwodnienia i oddziaływania terenów sąsiednich (</w:t>
      </w:r>
      <w:r w:rsidRPr="00177E3D">
        <w:rPr>
          <w:rFonts w:cs="Arial"/>
        </w:rPr>
        <w:t xml:space="preserve">A. Kruk i in, </w:t>
      </w:r>
      <w:r w:rsidRPr="00177E3D">
        <w:rPr>
          <w:rFonts w:cs="Arial"/>
          <w:i/>
          <w:iCs/>
        </w:rPr>
        <w:t>op. cit.</w:t>
      </w:r>
      <w:r w:rsidRPr="00177E3D">
        <w:rPr>
          <w:rFonts w:cs="Arial"/>
        </w:rPr>
        <w:t xml:space="preserve">). </w:t>
      </w:r>
      <w:r w:rsidRPr="00177E3D">
        <w:rPr>
          <w:rFonts w:cs="Arial"/>
        </w:rPr>
        <w:t>B</w:t>
      </w:r>
      <w:r w:rsidRPr="00177E3D">
        <w:rPr>
          <w:rFonts w:cs="Arial"/>
        </w:rPr>
        <w:t>adania próbek gleby przeprowadzone wzdłuż linii kolejowych nr 2 i nr 6</w:t>
      </w:r>
      <w:r w:rsidRPr="00177E3D">
        <w:rPr>
          <w:rFonts w:cs="Arial"/>
        </w:rPr>
        <w:t xml:space="preserve"> jedynie w niektórych punktach wykazały przekroczenia dopuszczalnych zawartości węglowodorów ropopochodnych lub metali ciężkich (</w:t>
      </w:r>
      <w:r w:rsidRPr="00177E3D">
        <w:rPr>
          <w:rFonts w:cs="Arial"/>
        </w:rPr>
        <w:t xml:space="preserve">A. Olszowy i in., </w:t>
      </w:r>
      <w:r w:rsidRPr="00177E3D">
        <w:rPr>
          <w:rFonts w:cs="Arial"/>
          <w:i/>
          <w:iCs/>
        </w:rPr>
        <w:t>op. cit.</w:t>
      </w:r>
      <w:r w:rsidRPr="00177E3D">
        <w:rPr>
          <w:rFonts w:cs="Arial"/>
        </w:rPr>
        <w:t>).</w:t>
      </w:r>
      <w:r w:rsidRPr="00177E3D">
        <w:rPr>
          <w:rFonts w:cs="Arial"/>
        </w:rPr>
        <w:t xml:space="preserve"> W celu uniknięcia negatywnego oddziaływania na środowisko kluczowa jest zatem budowa systemu odwodnienia i jego regularna konserwacja (co zostało uwzględnione w niniejszej decyzji). Stąd też GDOŚ podziela zawartą w raporcie (str. 111) konkluzję, że: </w:t>
      </w:r>
      <w:r w:rsidRPr="00177E3D">
        <w:rPr>
          <w:rFonts w:cs="Arial"/>
          <w:i/>
          <w:iCs/>
        </w:rPr>
        <w:t>na etapie eksploatacji wpływ na środowisko wodne może wystąpić jedynie w przypadku nieprzewidzianych negatywnych zdarzeń o dużej skali związanych z</w:t>
      </w:r>
      <w:r w:rsidRPr="00177E3D">
        <w:rPr>
          <w:rFonts w:cs="Arial"/>
          <w:i/>
          <w:iCs/>
        </w:rPr>
        <w:t xml:space="preserve"> </w:t>
      </w:r>
      <w:r w:rsidRPr="00177E3D">
        <w:rPr>
          <w:rFonts w:cs="Arial"/>
          <w:i/>
          <w:iCs/>
        </w:rPr>
        <w:t>kolejowym transportem towarowym, jak np. wyciek substancji szkodliwych w wyniku katastrofy lub awarii taboru kolejowego</w:t>
      </w:r>
      <w:r w:rsidRPr="00177E3D">
        <w:rPr>
          <w:rFonts w:cs="Arial"/>
        </w:rPr>
        <w:t>.</w:t>
      </w:r>
    </w:p>
    <w:p w14:paraId="7023893D" w14:textId="77777777" w:rsidR="008558F5" w:rsidRPr="00177E3D" w:rsidRDefault="008558F5" w:rsidP="006B7D43">
      <w:pPr>
        <w:spacing w:before="120"/>
        <w:rPr>
          <w:color w:val="000000"/>
          <w:szCs w:val="24"/>
          <w:lang w:eastAsia="pl-PL" w:bidi="pl-PL"/>
        </w:rPr>
      </w:pPr>
      <w:r w:rsidRPr="00177E3D">
        <w:rPr>
          <w:color w:val="000000"/>
          <w:szCs w:val="24"/>
          <w:lang w:eastAsia="pl-PL" w:bidi="pl-PL"/>
        </w:rPr>
        <w:t>Konkludując, fragment</w:t>
      </w:r>
      <w:r w:rsidRPr="00177E3D">
        <w:rPr>
          <w:color w:val="000000"/>
          <w:szCs w:val="24"/>
          <w:lang w:eastAsia="pl-PL" w:bidi="pl-PL"/>
        </w:rPr>
        <w:t xml:space="preserve"> </w:t>
      </w:r>
      <w:r w:rsidRPr="00177E3D">
        <w:rPr>
          <w:color w:val="000000"/>
          <w:szCs w:val="24"/>
          <w:lang w:eastAsia="pl-PL" w:bidi="pl-PL"/>
        </w:rPr>
        <w:t>należącej do skarżących nieruchomości</w:t>
      </w:r>
      <w:r w:rsidRPr="00177E3D">
        <w:rPr>
          <w:color w:val="000000"/>
          <w:szCs w:val="24"/>
          <w:lang w:eastAsia="pl-PL" w:bidi="pl-PL"/>
        </w:rPr>
        <w:t xml:space="preserve"> (ok. 1,2 ha)</w:t>
      </w:r>
      <w:r w:rsidRPr="00177E3D">
        <w:rPr>
          <w:color w:val="000000"/>
          <w:szCs w:val="24"/>
          <w:lang w:eastAsia="pl-PL" w:bidi="pl-PL"/>
        </w:rPr>
        <w:t xml:space="preserve"> podlegać będzie wywłaszczeniu i przekazaniu na rzecz Skarbu Państwa w celu realizacji omawianej inwestycji. Natomiast odwołujący się w dalszym ciągu pozostaną we władaniu pozostałymi częściami</w:t>
      </w:r>
      <w:r w:rsidRPr="00177E3D">
        <w:rPr>
          <w:color w:val="000000"/>
          <w:szCs w:val="24"/>
          <w:lang w:eastAsia="pl-PL" w:bidi="pl-PL"/>
        </w:rPr>
        <w:t xml:space="preserve"> </w:t>
      </w:r>
      <w:r w:rsidRPr="00177E3D">
        <w:rPr>
          <w:color w:val="000000"/>
          <w:szCs w:val="24"/>
          <w:lang w:eastAsia="pl-PL" w:bidi="pl-PL"/>
        </w:rPr>
        <w:t>dz. ewid. nr 19 i 22/3, obręb Bychowo, gmina Gniewino</w:t>
      </w:r>
      <w:r w:rsidRPr="00177E3D">
        <w:rPr>
          <w:color w:val="000000"/>
          <w:szCs w:val="24"/>
          <w:lang w:eastAsia="pl-PL" w:bidi="pl-PL"/>
        </w:rPr>
        <w:t xml:space="preserve"> (ok. 1,8 ha)</w:t>
      </w:r>
      <w:r w:rsidRPr="00177E3D">
        <w:rPr>
          <w:color w:val="000000"/>
          <w:szCs w:val="24"/>
          <w:lang w:eastAsia="pl-PL" w:bidi="pl-PL"/>
        </w:rPr>
        <w:t>, w</w:t>
      </w:r>
      <w:r w:rsidRPr="00177E3D">
        <w:rPr>
          <w:color w:val="000000"/>
          <w:szCs w:val="24"/>
          <w:lang w:eastAsia="pl-PL" w:bidi="pl-PL"/>
        </w:rPr>
        <w:t xml:space="preserve"> granicach których nie dojdzie do przekroczenia standardów jakości środowiska. </w:t>
      </w:r>
    </w:p>
    <w:p w14:paraId="1E54D5BC" w14:textId="77777777" w:rsidR="008558F5" w:rsidRPr="00177E3D" w:rsidRDefault="008558F5" w:rsidP="00176F66">
      <w:pPr>
        <w:spacing w:before="120"/>
        <w:rPr>
          <w:lang w:val="pl"/>
        </w:rPr>
      </w:pPr>
      <w:r w:rsidRPr="00177E3D">
        <w:rPr>
          <w:rFonts w:cs="Arial"/>
        </w:rPr>
        <w:t>W ocenie GDOŚ nie było konieczności zorganizowania rozprawy administracyjnej otwartej dla społeczeństwa, o której mowa w art. 36 u.o.o.ś. Postępowanie</w:t>
      </w:r>
      <w:r w:rsidRPr="00177E3D">
        <w:rPr>
          <w:lang w:val="pl"/>
        </w:rPr>
        <w:t xml:space="preserve"> w sprawie wydania decyzji o środowiskowych uwarunkowaniach co do zasady ma charakter gabinetowy, ponieważ charakter sprawy wymaga załatwienia jej w formie pisemnej. Decyzja o środowiskowych uwarunkowaniach wydawana jest na piśmie i wymaga określenia warunków służących ochronie środowiska, a wynikających z treści zgromadzonej dokumentacji. Do ustalenia stanu faktycznego niezbędne jest przeprowadzenie dowodów z dokumentów, do których należą w szczególności: wniosek o wydanie decyzji o środowiskowych uwarunko</w:t>
      </w:r>
      <w:r w:rsidRPr="00177E3D">
        <w:rPr>
          <w:lang w:val="pl"/>
        </w:rPr>
        <w:t xml:space="preserve">waniach wraz z załącznikami, raport o oddziaływaniu </w:t>
      </w:r>
      <w:r w:rsidRPr="00177E3D">
        <w:rPr>
          <w:lang w:val="pl"/>
        </w:rPr>
        <w:t xml:space="preserve">przedsięwzięcia </w:t>
      </w:r>
      <w:r w:rsidRPr="00177E3D">
        <w:rPr>
          <w:lang w:val="pl"/>
        </w:rPr>
        <w:t>na środowisko, pisma oraz rozstrzygnięcia wydane przez organy administracji, pisma wniesione przez pozostałe strony postępowania, a</w:t>
      </w:r>
      <w:r w:rsidRPr="00177E3D">
        <w:rPr>
          <w:lang w:val="pl"/>
        </w:rPr>
        <w:t xml:space="preserve"> </w:t>
      </w:r>
      <w:r w:rsidRPr="00177E3D">
        <w:rPr>
          <w:lang w:val="pl"/>
        </w:rPr>
        <w:t>w</w:t>
      </w:r>
      <w:r w:rsidRPr="00177E3D">
        <w:rPr>
          <w:lang w:val="pl"/>
        </w:rPr>
        <w:t xml:space="preserve"> </w:t>
      </w:r>
      <w:r w:rsidRPr="00177E3D">
        <w:rPr>
          <w:lang w:val="pl"/>
        </w:rPr>
        <w:t>postępowaniu drugoinstancyjnym – również treść odwołań. W celu zgromadzenia pełnego materiału dowodowego nie jest zatem niezbędne zorganizowanie rozprawy, ponieważ organy administracji mają obowiązek wydać rozstrzygnięcie na podstawie akt sprawy, w szczególności dokumentacji, o której mowa w art. 80 ust. 1 u.o.o.ś.</w:t>
      </w:r>
    </w:p>
    <w:p w14:paraId="3798486B" w14:textId="77777777" w:rsidR="008558F5" w:rsidRPr="00177E3D" w:rsidRDefault="008558F5" w:rsidP="00176F66">
      <w:pPr>
        <w:spacing w:before="120"/>
        <w:rPr>
          <w:rFonts w:cs="Arial"/>
          <w:color w:val="000000"/>
        </w:rPr>
      </w:pPr>
      <w:r w:rsidRPr="00177E3D">
        <w:rPr>
          <w:rStyle w:val="alb-s"/>
        </w:rPr>
        <w:t xml:space="preserve">W ocenie GDOŚ trudno oczekiwać, że zorganizowanie rozprawy przyczyniłoby się do </w:t>
      </w:r>
      <w:r w:rsidRPr="00177E3D">
        <w:rPr>
          <w:rFonts w:cs="Arial"/>
        </w:rPr>
        <w:t xml:space="preserve">przyspieszenia lub uproszczenia postępowania bądź uzgodnienia interesów stron, o którym mowa w art. 89 § 1 i 2 k.p.a. Odwołujący się nie wyjaśnili, w jaki sposób mogłoby dojść do pogodzenia sprzecznych interesów stron, które zostały uwypuklone w trakcie postępowań toczących się przed organami obu instancji. </w:t>
      </w:r>
      <w:r w:rsidRPr="00177E3D">
        <w:rPr>
          <w:lang w:val="pl"/>
        </w:rPr>
        <w:t>W omawianym przypadku nie było również konieczne przesłuchanie świadków, udział biegłych ani dokonanie oględzin. Rozpatrując wniosek w sprawie wydania decyzji o środowiskowych uwarunkowaniach</w:t>
      </w:r>
      <w:r w:rsidRPr="00177E3D">
        <w:rPr>
          <w:lang w:val="pl"/>
        </w:rPr>
        <w:t>,</w:t>
      </w:r>
      <w:r w:rsidRPr="00177E3D">
        <w:rPr>
          <w:lang w:val="pl"/>
        </w:rPr>
        <w:t xml:space="preserve"> właściwy organ</w:t>
      </w:r>
      <w:r w:rsidRPr="00177E3D">
        <w:t xml:space="preserve"> ocenia dowody o charakterze złożonych analiz, np. dotyczących emisji akustycznej lub emisji zanieczyszczeń do powietrza. Analizy takie zawiera w szczególności raport o oddziaływaniu przedsięwzięcia na środowisko. Pozostałe strony również mają możliwość zasięgnięcia opinii </w:t>
      </w:r>
      <w:r w:rsidRPr="00177E3D">
        <w:lastRenderedPageBreak/>
        <w:t xml:space="preserve">ekspertów kompetentnych do wykonywania tego rodzaju dokumentacji i przedstawienia ich organowi prowadzącemu sprawę. Przeprowadzenie rozprawy nie jest zatem niezbędne do wyjaśnienia przedmiotowej sprawy, </w:t>
      </w:r>
      <w:r w:rsidRPr="00177E3D">
        <w:rPr>
          <w:rFonts w:cs="Arial"/>
        </w:rPr>
        <w:t>bowiem wszystkie dowody, które strony mogłyby przedstawić na rozprawie, i tak należy przeanalizować w ramach postępowania gabinetowego</w:t>
      </w:r>
      <w:r w:rsidRPr="00177E3D">
        <w:t>.</w:t>
      </w:r>
      <w:r w:rsidRPr="00177E3D">
        <w:rPr>
          <w:rFonts w:cs="Arial"/>
        </w:rPr>
        <w:t xml:space="preserve"> Tym samym organy pierwszej i drugiej instancji nie były zobowiązane do przeprowadzenia rozprawy administracyjnej w ramach niniejszego postępowania, w tym również rozprawy otwartej dla społeczeństwa.</w:t>
      </w:r>
    </w:p>
    <w:p w14:paraId="681EF068" w14:textId="77777777" w:rsidR="008558F5" w:rsidRPr="00177E3D" w:rsidRDefault="008558F5" w:rsidP="009A4B88">
      <w:pPr>
        <w:spacing w:before="120"/>
      </w:pPr>
      <w:r w:rsidRPr="00177E3D">
        <w:t>Skarżący zarzucili</w:t>
      </w:r>
      <w:r w:rsidRPr="00177E3D">
        <w:t xml:space="preserve"> również</w:t>
      </w:r>
      <w:r w:rsidRPr="00177E3D">
        <w:t xml:space="preserve">, że decyzja RDOŚ w Gdańsku z 19 grudnia 2025 r. narusza art. 80 ust. 1 pkt 3 u.o.o.ś. W nawiązaniu do tej kwestii </w:t>
      </w:r>
      <w:r w:rsidRPr="00177E3D">
        <w:t>GDOŚ w</w:t>
      </w:r>
      <w:r w:rsidRPr="00177E3D">
        <w:t>yjaśnia</w:t>
      </w:r>
      <w:r w:rsidRPr="00177E3D">
        <w:t>, ż</w:t>
      </w:r>
      <w:r w:rsidRPr="00177E3D">
        <w:t>e przy wydaniu decyzji o środowiskowych uwarunkowaniach należy w</w:t>
      </w:r>
      <w:r w:rsidRPr="00177E3D">
        <w:t>zi</w:t>
      </w:r>
      <w:r w:rsidRPr="00177E3D">
        <w:t>ąć</w:t>
      </w:r>
      <w:r w:rsidRPr="00177E3D">
        <w:t xml:space="preserve"> pod uwagę wynik</w:t>
      </w:r>
      <w:r w:rsidRPr="00177E3D">
        <w:t>i</w:t>
      </w:r>
      <w:r w:rsidRPr="00177E3D">
        <w:t xml:space="preserve"> postępowania z</w:t>
      </w:r>
      <w:r w:rsidRPr="00177E3D">
        <w:t> </w:t>
      </w:r>
      <w:r w:rsidRPr="00177E3D">
        <w:t>udziałem społeczeństwa. Uwagi i wnioski społeczeństwa współkształtują treść rozstrzygnięcia w takim stopniu, w jakim organ prowadzący postępowanie oceni je jako zasadne, czemu daje wyraz w uzasadnieniu decyzji, zgodnie z art. 85 ust. 2 pkt 1 lit. a u.o.o.ś</w:t>
      </w:r>
      <w:r w:rsidRPr="00177E3D">
        <w:t xml:space="preserve">. Znajduje to również potwierdzenie w orzecznictwie sądów administracyjnych (por. wyroki: NSA z 18 kwietnia 2023 r., sygn. akt: III OSK 2101/21, WSA w Bydgoszczy z 23 czerwca 2021 r., sygn. akt: II SA/Bd 154/20). </w:t>
      </w:r>
      <w:r w:rsidRPr="00177E3D">
        <w:t>O</w:t>
      </w:r>
      <w:r w:rsidRPr="00177E3D">
        <w:t>bowiązek</w:t>
      </w:r>
      <w:r w:rsidRPr="00177E3D">
        <w:t>,</w:t>
      </w:r>
      <w:r w:rsidRPr="00177E3D">
        <w:t xml:space="preserve"> który</w:t>
      </w:r>
      <w:r w:rsidRPr="00177E3D">
        <w:t>m</w:t>
      </w:r>
      <w:r w:rsidRPr="00177E3D">
        <w:t xml:space="preserve"> mowa w art. 80 ust. 1 pkt 3 u.o.o.ś., nie oznacza </w:t>
      </w:r>
      <w:r w:rsidRPr="00177E3D">
        <w:t xml:space="preserve">jednak </w:t>
      </w:r>
      <w:r w:rsidRPr="00177E3D">
        <w:t xml:space="preserve">konieczności uwzględnienia i zrealizowania wniesionych uwag. </w:t>
      </w:r>
    </w:p>
    <w:p w14:paraId="05F9C730" w14:textId="77777777" w:rsidR="008558F5" w:rsidRPr="00177E3D" w:rsidRDefault="008558F5" w:rsidP="009A4B88">
      <w:pPr>
        <w:spacing w:before="120"/>
        <w:rPr>
          <w:rFonts w:cs="Arial"/>
          <w:color w:val="000000"/>
        </w:rPr>
      </w:pPr>
      <w:r w:rsidRPr="00177E3D">
        <w:t xml:space="preserve">W trakcie postępowania z udziałem społeczeństwa na etapie pierwszej instancji wpłynęło jedno pismo osoby zgłaszającej uwagi i wnioski w stosunku do przedsięwzięcia. </w:t>
      </w:r>
      <w:r w:rsidRPr="00177E3D">
        <w:t>RDOŚ w</w:t>
      </w:r>
      <w:r w:rsidRPr="00177E3D">
        <w:t> </w:t>
      </w:r>
      <w:r w:rsidRPr="00177E3D">
        <w:t xml:space="preserve">Gdańsku </w:t>
      </w:r>
      <w:r w:rsidRPr="00177E3D">
        <w:t xml:space="preserve">odniósł się do </w:t>
      </w:r>
      <w:r w:rsidRPr="00177E3D">
        <w:t>treści tego pisma</w:t>
      </w:r>
      <w:r w:rsidRPr="00177E3D">
        <w:t xml:space="preserve"> na str. </w:t>
      </w:r>
      <w:r w:rsidRPr="00177E3D">
        <w:t>20-21 decyzji z 19 grudnia 2025</w:t>
      </w:r>
      <w:r w:rsidRPr="00177E3D">
        <w:t xml:space="preserve"> r. Organ pierwszej instancji</w:t>
      </w:r>
      <w:r w:rsidRPr="00177E3D">
        <w:t xml:space="preserve"> uczynił to jednak w sposób nieprawidłowy, ponieważ w odniesieniu do części uwag wskazał, że: </w:t>
      </w:r>
      <w:r w:rsidRPr="00177E3D">
        <w:rPr>
          <w:i/>
          <w:iCs/>
        </w:rPr>
        <w:t>wnioski ujęte w pkt. 1, 2, 3 i 6 będą przedmiotem analizy przez PKP Polskie Linie Kolejowe S.A. na etapie opracowania wniosku o wydanie decyzji o ustaleniu lokalizacji linii kolejowej,</w:t>
      </w:r>
      <w:r w:rsidRPr="00177E3D">
        <w:rPr>
          <w:i/>
          <w:iCs/>
        </w:rPr>
        <w:t xml:space="preserve"> w </w:t>
      </w:r>
      <w:r w:rsidRPr="00177E3D">
        <w:rPr>
          <w:i/>
          <w:iCs/>
        </w:rPr>
        <w:t>którym zostanie ujęty rzeczywisty zakres zajętych nieruchomości na cele realizacji inwestycji kolejowej</w:t>
      </w:r>
      <w:r w:rsidRPr="00177E3D">
        <w:t xml:space="preserve">. Taki sposób odniesienia się do uwag społeczeństwa narusza </w:t>
      </w:r>
      <w:r w:rsidRPr="00177E3D">
        <w:t>art. 85 ust. 2 pkt 1 lit. a u.o.o.ś</w:t>
      </w:r>
      <w:r w:rsidRPr="00177E3D">
        <w:t xml:space="preserve">., ponieważ organ wydający decyzję o środowiskowych uwarunkowaniach nie jest uprawniony do przerzucenia obowiązku określonego w tym przepisie na jakikolwiek inny podmiot. </w:t>
      </w:r>
      <w:r w:rsidRPr="00177E3D">
        <w:t xml:space="preserve">Z przepisu tego nie wynika, że </w:t>
      </w:r>
      <w:r w:rsidRPr="00177E3D">
        <w:rPr>
          <w:rFonts w:cs="Arial"/>
          <w:color w:val="000000"/>
        </w:rPr>
        <w:t>organ ochrony środowiska może nie odnieść się do uwag i wniosków składanych przez społeczeństwo, których zrealizowanie wykracza poza jego właściwość.</w:t>
      </w:r>
      <w:r w:rsidRPr="00177E3D">
        <w:rPr>
          <w:rFonts w:cs="Arial"/>
          <w:color w:val="000000"/>
        </w:rPr>
        <w:t xml:space="preserve"> Wprost przeciwnie, biorąc pod uwagę art. 107 § 3 </w:t>
      </w:r>
      <w:r w:rsidRPr="00177E3D">
        <w:rPr>
          <w:rFonts w:cs="Arial"/>
          <w:color w:val="000000"/>
        </w:rPr>
        <w:t xml:space="preserve">k.p.a. w związku z </w:t>
      </w:r>
      <w:r w:rsidRPr="00177E3D">
        <w:t>art. 85 ust. 2 pkt 1 lit. a u.o.o.ś.</w:t>
      </w:r>
      <w:r w:rsidRPr="00177E3D">
        <w:rPr>
          <w:rFonts w:cs="Arial"/>
          <w:color w:val="000000"/>
        </w:rPr>
        <w:t xml:space="preserve">, organ powinien był wyjaśnić </w:t>
      </w:r>
      <w:r w:rsidRPr="00177E3D">
        <w:rPr>
          <w:rFonts w:cs="Arial"/>
          <w:color w:val="000000"/>
        </w:rPr>
        <w:t>społeczeństwu swoje stanowisko względem wniesionych uwag. Nawet jeżeli</w:t>
      </w:r>
      <w:r w:rsidRPr="00177E3D">
        <w:rPr>
          <w:rFonts w:cs="Arial"/>
          <w:color w:val="000000"/>
        </w:rPr>
        <w:t xml:space="preserve"> – jak </w:t>
      </w:r>
      <w:r w:rsidRPr="00177E3D">
        <w:rPr>
          <w:rFonts w:cs="Arial"/>
          <w:color w:val="000000"/>
        </w:rPr>
        <w:t>wskazał</w:t>
      </w:r>
      <w:r w:rsidRPr="00177E3D">
        <w:rPr>
          <w:rFonts w:cs="Arial"/>
          <w:color w:val="000000"/>
        </w:rPr>
        <w:t xml:space="preserve"> RDOŚ w </w:t>
      </w:r>
      <w:r w:rsidRPr="00177E3D">
        <w:rPr>
          <w:rFonts w:cs="Arial"/>
          <w:color w:val="000000"/>
        </w:rPr>
        <w:t>Gdańsku</w:t>
      </w:r>
      <w:r w:rsidRPr="00177E3D">
        <w:rPr>
          <w:rFonts w:cs="Arial"/>
          <w:color w:val="000000"/>
        </w:rPr>
        <w:t xml:space="preserve"> – kwestie podnoszone przez skarżących istotnie wykraczają poza </w:t>
      </w:r>
      <w:r w:rsidRPr="00177E3D">
        <w:rPr>
          <w:rFonts w:cs="Arial"/>
          <w:color w:val="000000"/>
        </w:rPr>
        <w:t>przedmiot decyzji o środowiskowych uwarunkowaniach</w:t>
      </w:r>
      <w:r w:rsidRPr="00177E3D">
        <w:rPr>
          <w:rFonts w:cs="Arial"/>
          <w:color w:val="000000"/>
        </w:rPr>
        <w:t>, powinno zostać to szczegółowo wyjaśnione w uzasadnieniu takie</w:t>
      </w:r>
      <w:r w:rsidRPr="00177E3D">
        <w:rPr>
          <w:rFonts w:cs="Arial"/>
          <w:color w:val="000000"/>
        </w:rPr>
        <w:t>j decyzji</w:t>
      </w:r>
      <w:r w:rsidRPr="00177E3D">
        <w:rPr>
          <w:rFonts w:cs="Arial"/>
          <w:color w:val="000000"/>
        </w:rPr>
        <w:t xml:space="preserve">. </w:t>
      </w:r>
      <w:r w:rsidRPr="00177E3D">
        <w:rPr>
          <w:rFonts w:cs="Arial"/>
          <w:color w:val="000000"/>
        </w:rPr>
        <w:t xml:space="preserve">Naruszenie przez RDOŚ w Gdańsku </w:t>
      </w:r>
      <w:r w:rsidRPr="00177E3D">
        <w:t>art. 85 ust. 2 pkt 1 lit. a u.o.o.ś</w:t>
      </w:r>
      <w:r w:rsidRPr="00177E3D">
        <w:rPr>
          <w:rFonts w:cs="Arial"/>
          <w:color w:val="000000"/>
        </w:rPr>
        <w:t xml:space="preserve"> nie miało jednak wpływu na wynik sprawy, ponieważ</w:t>
      </w:r>
      <w:r w:rsidRPr="00177E3D">
        <w:rPr>
          <w:rFonts w:cs="Arial"/>
          <w:color w:val="000000"/>
        </w:rPr>
        <w:t xml:space="preserve"> przedmiot uwag, </w:t>
      </w:r>
      <w:r w:rsidRPr="00177E3D">
        <w:rPr>
          <w:rFonts w:cs="Arial"/>
          <w:color w:val="000000"/>
        </w:rPr>
        <w:t>o których mowa powyżej, rzeczywiście wykraczał poza właściwość organu właściwego do wydania decyzji o środowiskowych uwarunkowaniach.</w:t>
      </w:r>
    </w:p>
    <w:p w14:paraId="5A5B2426" w14:textId="773E63A9" w:rsidR="008558F5" w:rsidRPr="00177E3D" w:rsidRDefault="008558F5" w:rsidP="00015A61">
      <w:pPr>
        <w:spacing w:before="120"/>
        <w:rPr>
          <w:rFonts w:cs="Arial"/>
        </w:rPr>
      </w:pPr>
      <w:r w:rsidRPr="00177E3D">
        <w:t xml:space="preserve">W związku z zarzutami zawartymi w odwołaniach z 19 stycznia 2026 r., w niniejszym rozstrzygnięciu GDOŚ przedstawia własną ocenę uwag i wniosków złożonych przez </w:t>
      </w:r>
      <w:r w:rsidRPr="00177E3D">
        <w:lastRenderedPageBreak/>
        <w:t xml:space="preserve">społeczeństwo w toku postępowania. </w:t>
      </w:r>
      <w:r w:rsidRPr="00177E3D">
        <w:rPr>
          <w:rFonts w:cs="Arial"/>
        </w:rPr>
        <w:t xml:space="preserve">W piśmie </w:t>
      </w:r>
      <w:r w:rsidR="00900EF0">
        <w:rPr>
          <w:rFonts w:cs="Arial"/>
        </w:rPr>
        <w:t>(…)</w:t>
      </w:r>
      <w:r w:rsidRPr="00177E3D">
        <w:rPr>
          <w:rFonts w:cs="Arial"/>
        </w:rPr>
        <w:t xml:space="preserve"> z 11 listopada 2025 r., które wpłynęło w ramach udziału społeczeństwa w postępowaniu, zostały poruszone następujące zagadnienia:</w:t>
      </w:r>
    </w:p>
    <w:p w14:paraId="7586A9FB" w14:textId="77777777" w:rsidR="008558F5" w:rsidRPr="00177E3D" w:rsidRDefault="008558F5" w:rsidP="008558F5">
      <w:pPr>
        <w:pStyle w:val="Akapitzlist"/>
        <w:numPr>
          <w:ilvl w:val="0"/>
          <w:numId w:val="45"/>
        </w:numPr>
        <w:rPr>
          <w:rFonts w:cs="Arial"/>
          <w:lang w:bidi="pl-PL"/>
        </w:rPr>
      </w:pPr>
      <w:r w:rsidRPr="00177E3D">
        <w:rPr>
          <w:rFonts w:cs="Arial"/>
          <w:lang w:bidi="pl-PL"/>
        </w:rPr>
        <w:t>utrata dostępu do drogi publicznej w związku z realizacją inwestycji</w:t>
      </w:r>
      <w:r w:rsidRPr="00177E3D">
        <w:rPr>
          <w:rFonts w:cs="Arial"/>
          <w:lang w:bidi="pl-PL"/>
        </w:rPr>
        <w:t>;</w:t>
      </w:r>
    </w:p>
    <w:p w14:paraId="4A33FCC4" w14:textId="77777777" w:rsidR="008558F5" w:rsidRPr="00177E3D" w:rsidRDefault="008558F5" w:rsidP="008558F5">
      <w:pPr>
        <w:pStyle w:val="Akapitzlist"/>
        <w:numPr>
          <w:ilvl w:val="0"/>
          <w:numId w:val="45"/>
        </w:numPr>
        <w:rPr>
          <w:rFonts w:cs="Arial"/>
          <w:lang w:bidi="pl-PL"/>
        </w:rPr>
      </w:pPr>
      <w:r w:rsidRPr="00177E3D">
        <w:rPr>
          <w:rFonts w:cs="Arial"/>
          <w:lang w:bidi="pl-PL"/>
        </w:rPr>
        <w:t>przesłanki wywłaszczenia nieruchomości sąsiadujących z inwestycją;</w:t>
      </w:r>
    </w:p>
    <w:p w14:paraId="4774CB56" w14:textId="77777777" w:rsidR="008558F5" w:rsidRPr="00177E3D" w:rsidRDefault="008558F5" w:rsidP="008558F5">
      <w:pPr>
        <w:pStyle w:val="Akapitzlist"/>
        <w:numPr>
          <w:ilvl w:val="0"/>
          <w:numId w:val="45"/>
        </w:numPr>
        <w:rPr>
          <w:rFonts w:cs="Arial"/>
          <w:lang w:bidi="pl-PL"/>
        </w:rPr>
      </w:pPr>
      <w:r w:rsidRPr="00177E3D">
        <w:rPr>
          <w:rFonts w:cs="Arial"/>
          <w:lang w:bidi="pl-PL"/>
        </w:rPr>
        <w:t>hałas i drga</w:t>
      </w:r>
      <w:r w:rsidRPr="00177E3D">
        <w:rPr>
          <w:rFonts w:cs="Arial"/>
          <w:lang w:bidi="pl-PL"/>
        </w:rPr>
        <w:t>nia związane z</w:t>
      </w:r>
      <w:r w:rsidRPr="00177E3D">
        <w:rPr>
          <w:rFonts w:cs="Arial"/>
          <w:lang w:bidi="pl-PL"/>
        </w:rPr>
        <w:t xml:space="preserve"> budow</w:t>
      </w:r>
      <w:r w:rsidRPr="00177E3D">
        <w:rPr>
          <w:rFonts w:cs="Arial"/>
          <w:lang w:bidi="pl-PL"/>
        </w:rPr>
        <w:t>ą</w:t>
      </w:r>
      <w:r w:rsidRPr="00177E3D">
        <w:rPr>
          <w:rFonts w:cs="Arial"/>
          <w:lang w:bidi="pl-PL"/>
        </w:rPr>
        <w:t xml:space="preserve"> i eksploatacj</w:t>
      </w:r>
      <w:r w:rsidRPr="00177E3D">
        <w:rPr>
          <w:rFonts w:cs="Arial"/>
          <w:lang w:bidi="pl-PL"/>
        </w:rPr>
        <w:t>ą</w:t>
      </w:r>
      <w:r w:rsidRPr="00177E3D">
        <w:rPr>
          <w:rFonts w:cs="Arial"/>
          <w:lang w:bidi="pl-PL"/>
        </w:rPr>
        <w:t xml:space="preserve"> linii kolejowej</w:t>
      </w:r>
      <w:r w:rsidRPr="00177E3D">
        <w:rPr>
          <w:rFonts w:cs="Arial"/>
          <w:lang w:bidi="pl-PL"/>
        </w:rPr>
        <w:t>, zacienienie terenu przez nasyp kolejowy</w:t>
      </w:r>
      <w:r w:rsidRPr="00177E3D">
        <w:rPr>
          <w:rFonts w:cs="Arial"/>
          <w:lang w:bidi="pl-PL"/>
        </w:rPr>
        <w:t>.</w:t>
      </w:r>
    </w:p>
    <w:p w14:paraId="66A97DCD" w14:textId="2D8D56CC" w:rsidR="008558F5" w:rsidRPr="00177E3D" w:rsidRDefault="008558F5" w:rsidP="00F235C4">
      <w:pPr>
        <w:spacing w:before="120"/>
      </w:pPr>
      <w:r w:rsidRPr="00177E3D">
        <w:t>Uwagi zawarte w piśmie</w:t>
      </w:r>
      <w:r w:rsidRPr="00177E3D">
        <w:t xml:space="preserve"> </w:t>
      </w:r>
      <w:r w:rsidR="00900EF0">
        <w:t>(…)</w:t>
      </w:r>
      <w:r w:rsidRPr="00177E3D">
        <w:t xml:space="preserve"> z 11 listopada 2025 r. dotycz</w:t>
      </w:r>
      <w:r w:rsidRPr="00177E3D">
        <w:t>ą</w:t>
      </w:r>
      <w:r w:rsidRPr="00177E3D">
        <w:t xml:space="preserve"> działek ewidencyjnych</w:t>
      </w:r>
      <w:r w:rsidRPr="00177E3D">
        <w:t>:</w:t>
      </w:r>
      <w:r w:rsidRPr="00177E3D">
        <w:t xml:space="preserve"> 23/9, 23/10, 23/11, 23/12, 23/13, 23/14</w:t>
      </w:r>
      <w:r w:rsidRPr="00177E3D">
        <w:t xml:space="preserve"> (obecnie podzielona na działki: 23/30, 23/31), obręb Rybno, gmina Gniewino.</w:t>
      </w:r>
      <w:r w:rsidRPr="00177E3D">
        <w:t xml:space="preserve"> Nieruchomości te położone są częściowo w granicach terenu realizacji inwestycji, stąd też po wydaniu decyzji o ustaleniu lokalizacji linii kolejowej ulegną podziałowi i częściowemu wywłaszczeniu. Zgodnie z art. 9t ust. 2 pkt 1 u.t.k., jeżeli w przypadku, o którym mowa w art. 9s ust. 3 u.t.k</w:t>
      </w:r>
      <w:r w:rsidRPr="00177E3D">
        <w:t>., została przejęta część nieruchomości, a pozostała część nie nadaje się do prawidłowego wykorzystania na dotychczasowe cele, PLK S.A. lub CPK nabywają, w drodze umowy, na wniosek właściciela lub użytkownika wieczystego nieruchomości, w imieniu i na rzecz Skarbu Państwa tę część nieruchomości. Zagadnienie to, podobnie jak omówiona wcześniej kwestia dostępu nieruchomości do drogi publicznej, wykracza zatem poza właściwość organów właściwych do wydania decyzji o środowiskowych uwarunkowaniach.</w:t>
      </w:r>
      <w:r w:rsidRPr="00177E3D">
        <w:t xml:space="preserve"> Ewentualne kwestie odszkodowawcze, wynikające z realizacji planowanego przedsięwzięcia, mogą być rozstrzygane w postępowaniach cywilnych, prowadzonych przed sądami powszechnymi.</w:t>
      </w:r>
    </w:p>
    <w:p w14:paraId="0F4C2054" w14:textId="6C109357" w:rsidR="008558F5" w:rsidRPr="00177E3D" w:rsidRDefault="008558F5" w:rsidP="00472377">
      <w:pPr>
        <w:spacing w:before="120"/>
        <w:rPr>
          <w:rFonts w:cs="Arial"/>
          <w:bCs/>
          <w:iCs/>
        </w:rPr>
      </w:pPr>
      <w:r w:rsidRPr="00177E3D">
        <w:rPr>
          <w:rFonts w:cs="Arial"/>
        </w:rPr>
        <w:t xml:space="preserve">Modelowanie akustyczne przeprowadzone w ramach sporządzania raportu nie wykazało przekroczenia standardów akustycznych </w:t>
      </w:r>
      <w:r w:rsidRPr="00177E3D">
        <w:rPr>
          <w:rFonts w:cs="Arial"/>
        </w:rPr>
        <w:t xml:space="preserve">poza terenem realizacji przedsięwzięcia </w:t>
      </w:r>
      <w:r w:rsidRPr="00177E3D">
        <w:t xml:space="preserve">w granicach działek, o których mowa w piśmie </w:t>
      </w:r>
      <w:r w:rsidR="00900EF0">
        <w:t>(…)</w:t>
      </w:r>
      <w:r w:rsidRPr="00177E3D">
        <w:t xml:space="preserve"> z 11 listopada 2025 r.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Ponadto działki te nie są obecnie zabudowane, a tym samym nie podlegają ochronie przed hałasem. Z przepisów </w:t>
      </w:r>
      <w:r w:rsidRPr="00177E3D">
        <w:rPr>
          <w:rFonts w:cs="Arial"/>
          <w:bCs/>
          <w:iCs/>
        </w:rPr>
        <w:t xml:space="preserve">art. 113 ust. 2 pkt 1 p.o.ś. </w:t>
      </w:r>
      <w:r w:rsidRPr="00177E3D">
        <w:rPr>
          <w:rFonts w:cs="Arial"/>
        </w:rPr>
        <w:t xml:space="preserve">wynika, </w:t>
      </w:r>
      <w:r w:rsidRPr="00177E3D">
        <w:rPr>
          <w:rFonts w:cs="Arial"/>
          <w:iCs/>
        </w:rPr>
        <w:t xml:space="preserve">że </w:t>
      </w:r>
      <w:r w:rsidRPr="00177E3D">
        <w:rPr>
          <w:rFonts w:cs="Arial"/>
          <w:bCs/>
          <w:iCs/>
        </w:rPr>
        <w:t>ochronie akustycznej nie podlegają wszystkie tereny przeznaczone w planie miejscowym pod realizację określonych funkcji (w tym zabudowy mieszkaniowej), ale tylko tereny faktycznie użytkowane zgodnie z takim przeznaczeniem.</w:t>
      </w:r>
      <w:r w:rsidRPr="00177E3D">
        <w:rPr>
          <w:rFonts w:cs="Arial"/>
          <w:bCs/>
          <w:iCs/>
        </w:rPr>
        <w:t xml:space="preserve"> </w:t>
      </w:r>
      <w:r w:rsidRPr="00177E3D">
        <w:rPr>
          <w:rFonts w:cs="Arial"/>
        </w:rPr>
        <w:t>Nie było zatem niezbędne zaprojektowanie ekranów akustycznych lub absorberów przyszynowych</w:t>
      </w:r>
      <w:r w:rsidRPr="00177E3D">
        <w:rPr>
          <w:rFonts w:cs="Arial"/>
        </w:rPr>
        <w:t xml:space="preserve"> na odcinku linii kolejowej nr 230 przylegającym do </w:t>
      </w:r>
      <w:r w:rsidRPr="00177E3D">
        <w:t>działek ewidencyjnych</w:t>
      </w:r>
      <w:r w:rsidRPr="00177E3D">
        <w:t>:</w:t>
      </w:r>
      <w:r w:rsidRPr="00177E3D">
        <w:t xml:space="preserve"> 23/9, 23/10, 23/11, 23/12, 23/13, 23/30, 23/31, obręb Rybno, gmina Gniewino</w:t>
      </w:r>
      <w:r w:rsidRPr="00177E3D">
        <w:rPr>
          <w:rFonts w:cs="Arial"/>
        </w:rPr>
        <w:t xml:space="preserve">. </w:t>
      </w:r>
      <w:r w:rsidRPr="00177E3D">
        <w:rPr>
          <w:rFonts w:cs="Arial"/>
          <w:bCs/>
          <w:iCs/>
        </w:rPr>
        <w:t xml:space="preserve">Z tego samego względu nie jest </w:t>
      </w:r>
      <w:r w:rsidRPr="00177E3D">
        <w:rPr>
          <w:rFonts w:cs="Arial"/>
          <w:bCs/>
          <w:iCs/>
        </w:rPr>
        <w:t xml:space="preserve">również </w:t>
      </w:r>
      <w:r w:rsidRPr="00177E3D">
        <w:rPr>
          <w:rFonts w:cs="Arial"/>
          <w:bCs/>
          <w:iCs/>
        </w:rPr>
        <w:t>zasadne prowadzenie analizy</w:t>
      </w:r>
      <w:r w:rsidRPr="00177E3D">
        <w:rPr>
          <w:rFonts w:cs="Arial"/>
          <w:bCs/>
          <w:iCs/>
        </w:rPr>
        <w:t>,</w:t>
      </w:r>
      <w:r w:rsidRPr="00177E3D">
        <w:rPr>
          <w:rFonts w:cs="Arial"/>
          <w:bCs/>
          <w:iCs/>
        </w:rPr>
        <w:t xml:space="preserve"> czy projektowany nasyp kolejowy spowoduje nadmierne zacienienie tych nieruchomości.</w:t>
      </w:r>
      <w:r w:rsidRPr="00177E3D">
        <w:rPr>
          <w:rFonts w:cs="Arial"/>
          <w:bCs/>
          <w:iCs/>
        </w:rPr>
        <w:t xml:space="preserve"> </w:t>
      </w:r>
    </w:p>
    <w:p w14:paraId="7680FDD8" w14:textId="6CA058ED" w:rsidR="008558F5" w:rsidRPr="00177E3D" w:rsidRDefault="008558F5" w:rsidP="003A639B">
      <w:pPr>
        <w:spacing w:before="120"/>
        <w:rPr>
          <w:rFonts w:cs="Arial"/>
          <w:bCs/>
          <w:iCs/>
        </w:rPr>
      </w:pPr>
      <w:r w:rsidRPr="00177E3D">
        <w:rPr>
          <w:rFonts w:cs="Arial"/>
          <w:bCs/>
          <w:iCs/>
        </w:rPr>
        <w:t xml:space="preserve">W toku postępowania wpłynęło również do GDOŚ pismo </w:t>
      </w:r>
      <w:r w:rsidR="00900EF0">
        <w:rPr>
          <w:rFonts w:cs="Arial"/>
          <w:bCs/>
          <w:iCs/>
        </w:rPr>
        <w:t>(…)</w:t>
      </w:r>
      <w:r w:rsidRPr="00177E3D">
        <w:rPr>
          <w:rFonts w:cs="Arial"/>
          <w:bCs/>
          <w:iCs/>
        </w:rPr>
        <w:t xml:space="preserve"> z 31 lipca 2026 r., dotyczące kwestii oddziaływania przedsięwzięcia na fragment drzewostanu w sąsiedztwie Campingu Stilo. W </w:t>
      </w:r>
      <w:r w:rsidRPr="00177E3D">
        <w:rPr>
          <w:rFonts w:cs="Arial"/>
          <w:bCs/>
          <w:iCs/>
        </w:rPr>
        <w:t>odpowiedzi</w:t>
      </w:r>
      <w:r w:rsidRPr="00177E3D">
        <w:rPr>
          <w:rFonts w:cs="Arial"/>
          <w:bCs/>
          <w:iCs/>
        </w:rPr>
        <w:t xml:space="preserve"> </w:t>
      </w:r>
      <w:r w:rsidRPr="00177E3D">
        <w:rPr>
          <w:rFonts w:cs="Arial"/>
          <w:bCs/>
          <w:iCs/>
        </w:rPr>
        <w:t xml:space="preserve">na powyższe </w:t>
      </w:r>
      <w:r w:rsidRPr="00177E3D">
        <w:rPr>
          <w:rFonts w:cs="Arial"/>
          <w:bCs/>
          <w:iCs/>
        </w:rPr>
        <w:t xml:space="preserve">GDOŚ wskazuje, że </w:t>
      </w:r>
      <w:r w:rsidRPr="00177E3D">
        <w:rPr>
          <w:rFonts w:cs="Arial"/>
          <w:bCs/>
          <w:iCs/>
        </w:rPr>
        <w:t>zagadnienie to nie dotyczy omawianego przedsięwzięcia, lecz podlega analizie w ramach postępowania odwoławczego od decyzji RDOŚ w Gdańsku z 22 grudnia 2025 r., znak: RDOŚ-Gd-WOO.420.11.2024.AGH/AJM/MC.49, o środowiskowych uwarunkowaniach realizacji przedsięwzięcia p</w:t>
      </w:r>
      <w:r w:rsidRPr="00177E3D">
        <w:rPr>
          <w:rFonts w:cs="Arial"/>
          <w:bCs/>
          <w:iCs/>
        </w:rPr>
        <w:t>n.</w:t>
      </w:r>
      <w:r w:rsidRPr="00177E3D">
        <w:rPr>
          <w:rFonts w:cs="Arial"/>
          <w:bCs/>
          <w:iCs/>
        </w:rPr>
        <w:t xml:space="preserve">: </w:t>
      </w:r>
      <w:r w:rsidRPr="00177E3D">
        <w:rPr>
          <w:rFonts w:cs="Arial"/>
          <w:bCs/>
          <w:iCs/>
        </w:rPr>
        <w:t>„</w:t>
      </w:r>
      <w:r w:rsidRPr="00177E3D">
        <w:rPr>
          <w:rFonts w:cs="Arial"/>
          <w:bCs/>
          <w:iCs/>
        </w:rPr>
        <w:t xml:space="preserve">Zapewnienie dostępu kolejowego do elektrowni jądrowej Lubiatowo - Kopalino na odcinku elektrownia </w:t>
      </w:r>
      <w:r w:rsidRPr="00177E3D">
        <w:rPr>
          <w:rFonts w:cs="Arial"/>
          <w:bCs/>
          <w:iCs/>
        </w:rPr>
        <w:t>–</w:t>
      </w:r>
      <w:r w:rsidRPr="00177E3D">
        <w:rPr>
          <w:rFonts w:cs="Arial"/>
          <w:bCs/>
          <w:iCs/>
        </w:rPr>
        <w:t xml:space="preserve"> Steknica</w:t>
      </w:r>
      <w:r w:rsidRPr="00177E3D">
        <w:rPr>
          <w:rFonts w:cs="Arial"/>
          <w:bCs/>
          <w:iCs/>
        </w:rPr>
        <w:t>” (znak sprawy</w:t>
      </w:r>
      <w:r w:rsidRPr="00177E3D">
        <w:rPr>
          <w:rFonts w:cs="Arial"/>
          <w:bCs/>
          <w:iCs/>
        </w:rPr>
        <w:t xml:space="preserve"> prowadzonej przez GDOŚ</w:t>
      </w:r>
      <w:r w:rsidRPr="00177E3D">
        <w:rPr>
          <w:rFonts w:cs="Arial"/>
          <w:bCs/>
          <w:iCs/>
        </w:rPr>
        <w:t>: DOOŚ-WDŚI.420.2.2026.MD).</w:t>
      </w:r>
    </w:p>
    <w:p w14:paraId="4D9744AC" w14:textId="77777777" w:rsidR="008558F5" w:rsidRPr="00177E3D" w:rsidRDefault="008558F5" w:rsidP="00472377">
      <w:pPr>
        <w:spacing w:before="120"/>
      </w:pPr>
      <w:r w:rsidRPr="00177E3D">
        <w:lastRenderedPageBreak/>
        <w:t xml:space="preserve">Przed wydaniem niniejszej decyzji organ drugiej instancji, zawiadomieniem z 25 sierpnia 2026 r., znak: DOOŚ-WDŚI.420.6.2026.KN.16, poinformował strony postępowania, na podstawie art. 10 § 1 k.p.a., o możliwości zapoznania się z aktami sprawy oraz wypowiedzenia się co do zebranych dowodów i materiałów oraz zgłoszonych żądań. Przed wydaniem niniejszej decyzji strony postępowania nie złożyły żadnych uwag i wniosków. </w:t>
      </w:r>
    </w:p>
    <w:p w14:paraId="3F326868" w14:textId="1E5F993C" w:rsidR="008558F5" w:rsidRPr="00177E3D" w:rsidRDefault="00900EF0" w:rsidP="0031292F">
      <w:pPr>
        <w:spacing w:before="120" w:after="120"/>
        <w:rPr>
          <w:rFonts w:cs="Arial"/>
        </w:rPr>
      </w:pPr>
      <w:r>
        <w:rPr>
          <w:rFonts w:cs="Arial"/>
          <w:color w:val="000000"/>
          <w:szCs w:val="24"/>
        </w:rPr>
        <w:t>(…)</w:t>
      </w:r>
      <w:r w:rsidR="008558F5" w:rsidRPr="00177E3D">
        <w:rPr>
          <w:rFonts w:cs="Arial"/>
          <w:color w:val="000000"/>
          <w:szCs w:val="24"/>
        </w:rPr>
        <w:t xml:space="preserve"> i </w:t>
      </w:r>
      <w:r>
        <w:rPr>
          <w:rFonts w:cs="Arial"/>
          <w:color w:val="000000"/>
          <w:szCs w:val="24"/>
        </w:rPr>
        <w:t>(…)</w:t>
      </w:r>
      <w:r w:rsidR="008558F5" w:rsidRPr="00177E3D">
        <w:rPr>
          <w:rFonts w:cs="Arial"/>
          <w:color w:val="000000"/>
          <w:szCs w:val="24"/>
        </w:rPr>
        <w:t xml:space="preserve"> wnieśli</w:t>
      </w:r>
      <w:r w:rsidR="008558F5" w:rsidRPr="00177E3D">
        <w:rPr>
          <w:rFonts w:cs="Arial"/>
          <w:color w:val="000000"/>
          <w:szCs w:val="24"/>
        </w:rPr>
        <w:t xml:space="preserve"> o uchylenie zaskarżonej decyzji w całości i przekazanie sprawy do ponownego rozpatrzenia organowi </w:t>
      </w:r>
      <w:r w:rsidR="008558F5" w:rsidRPr="00177E3D">
        <w:rPr>
          <w:rFonts w:cs="Arial"/>
          <w:color w:val="000000"/>
          <w:szCs w:val="24"/>
        </w:rPr>
        <w:t>pierwszej</w:t>
      </w:r>
      <w:r w:rsidR="008558F5" w:rsidRPr="00177E3D">
        <w:rPr>
          <w:rFonts w:cs="Arial"/>
          <w:color w:val="000000"/>
          <w:szCs w:val="24"/>
        </w:rPr>
        <w:t xml:space="preserve"> instancji. </w:t>
      </w:r>
      <w:r w:rsidR="008558F5" w:rsidRPr="00177E3D">
        <w:rPr>
          <w:rFonts w:cs="Arial"/>
          <w:color w:val="000000"/>
          <w:szCs w:val="24"/>
        </w:rPr>
        <w:t>W</w:t>
      </w:r>
      <w:r w:rsidR="008558F5" w:rsidRPr="00177E3D">
        <w:rPr>
          <w:rFonts w:cs="Arial"/>
          <w:color w:val="000000"/>
          <w:szCs w:val="24"/>
        </w:rPr>
        <w:t> </w:t>
      </w:r>
      <w:r w:rsidR="008558F5" w:rsidRPr="00177E3D">
        <w:rPr>
          <w:rFonts w:cs="Arial"/>
          <w:color w:val="000000"/>
          <w:szCs w:val="24"/>
        </w:rPr>
        <w:t>ocenie GDOŚ w przedmiotowej sprawie nie zachodz</w:t>
      </w:r>
      <w:r w:rsidR="008558F5" w:rsidRPr="00177E3D">
        <w:rPr>
          <w:rFonts w:cs="Arial"/>
          <w:color w:val="000000"/>
          <w:szCs w:val="24"/>
        </w:rPr>
        <w:t>ą</w:t>
      </w:r>
      <w:r w:rsidR="008558F5" w:rsidRPr="00177E3D">
        <w:rPr>
          <w:rFonts w:cs="Arial"/>
          <w:color w:val="000000"/>
          <w:szCs w:val="24"/>
        </w:rPr>
        <w:t xml:space="preserve"> </w:t>
      </w:r>
      <w:r w:rsidR="008558F5" w:rsidRPr="00177E3D">
        <w:rPr>
          <w:rFonts w:cs="Arial"/>
          <w:color w:val="000000"/>
          <w:szCs w:val="24"/>
        </w:rPr>
        <w:t xml:space="preserve">jednak </w:t>
      </w:r>
      <w:r w:rsidR="008558F5" w:rsidRPr="00177E3D">
        <w:rPr>
          <w:rFonts w:cs="Arial"/>
          <w:color w:val="000000"/>
          <w:szCs w:val="24"/>
        </w:rPr>
        <w:t xml:space="preserve">okoliczności, o których mowa w art. 138 § 2 </w:t>
      </w:r>
      <w:r w:rsidR="008558F5" w:rsidRPr="00177E3D">
        <w:rPr>
          <w:rFonts w:cs="Arial"/>
          <w:color w:val="000000"/>
          <w:szCs w:val="24"/>
        </w:rPr>
        <w:t>k.p.a.</w:t>
      </w:r>
      <w:r w:rsidR="008558F5" w:rsidRPr="00177E3D">
        <w:rPr>
          <w:rFonts w:cs="Arial"/>
        </w:rPr>
        <w:t xml:space="preserve"> </w:t>
      </w:r>
      <w:r w:rsidR="008558F5" w:rsidRPr="00177E3D">
        <w:rPr>
          <w:rFonts w:cs="Arial"/>
        </w:rPr>
        <w:t>Nie budzi wątpliwości, że decyzja kasacyjna, o której mowa w </w:t>
      </w:r>
      <w:r w:rsidR="008558F5" w:rsidRPr="00177E3D">
        <w:rPr>
          <w:rFonts w:cs="Arial"/>
        </w:rPr>
        <w:t>przywołanym przepisie</w:t>
      </w:r>
      <w:r w:rsidR="008558F5" w:rsidRPr="00177E3D">
        <w:rPr>
          <w:rFonts w:cs="Arial"/>
        </w:rPr>
        <w:t xml:space="preserve">, stanowi rozstrzygnięcie o charakterze wyjątkowym, a organ odwoławczy powinien dążyć do wydania decyzji rozstrzygającej sprawę co do jej istoty. </w:t>
      </w:r>
      <w:r w:rsidR="008558F5" w:rsidRPr="00177E3D">
        <w:rPr>
          <w:rFonts w:cs="Arial"/>
          <w:color w:val="000000"/>
        </w:rPr>
        <w:t>W tym zakresie GDOŚ podziela konkluzję zawartą w</w:t>
      </w:r>
      <w:r w:rsidR="008558F5" w:rsidRPr="00177E3D">
        <w:rPr>
          <w:rFonts w:cs="Arial"/>
          <w:color w:val="000000"/>
        </w:rPr>
        <w:t> </w:t>
      </w:r>
      <w:r w:rsidR="008558F5" w:rsidRPr="00177E3D">
        <w:rPr>
          <w:rFonts w:cs="Arial"/>
          <w:color w:val="000000"/>
        </w:rPr>
        <w:t xml:space="preserve">wyroku </w:t>
      </w:r>
      <w:r w:rsidR="008558F5" w:rsidRPr="00177E3D">
        <w:rPr>
          <w:rFonts w:cs="Arial"/>
          <w:color w:val="000000"/>
        </w:rPr>
        <w:t>N</w:t>
      </w:r>
      <w:r w:rsidR="008558F5" w:rsidRPr="00177E3D">
        <w:rPr>
          <w:rFonts w:cs="Arial"/>
          <w:color w:val="000000"/>
        </w:rPr>
        <w:t xml:space="preserve">SA z </w:t>
      </w:r>
      <w:r w:rsidR="008558F5" w:rsidRPr="00177E3D">
        <w:rPr>
          <w:rFonts w:cs="Arial"/>
          <w:color w:val="000000"/>
        </w:rPr>
        <w:t>6 września</w:t>
      </w:r>
      <w:r w:rsidR="008558F5" w:rsidRPr="00177E3D">
        <w:rPr>
          <w:rFonts w:cs="Arial"/>
        </w:rPr>
        <w:t xml:space="preserve"> 2016 r., sygn. akt: </w:t>
      </w:r>
      <w:r w:rsidR="008558F5" w:rsidRPr="00177E3D">
        <w:rPr>
          <w:rFonts w:cs="Arial"/>
        </w:rPr>
        <w:t>II</w:t>
      </w:r>
      <w:r w:rsidR="008558F5" w:rsidRPr="00177E3D">
        <w:rPr>
          <w:rFonts w:cs="Arial"/>
        </w:rPr>
        <w:t> </w:t>
      </w:r>
      <w:r w:rsidR="008558F5" w:rsidRPr="00177E3D">
        <w:rPr>
          <w:rFonts w:cs="Arial"/>
        </w:rPr>
        <w:t>OSK 572/16</w:t>
      </w:r>
      <w:r w:rsidR="008558F5" w:rsidRPr="00177E3D">
        <w:rPr>
          <w:rFonts w:cs="Arial"/>
        </w:rPr>
        <w:t>, w </w:t>
      </w:r>
      <w:r w:rsidR="008558F5" w:rsidRPr="00177E3D">
        <w:rPr>
          <w:rFonts w:cs="Arial"/>
        </w:rPr>
        <w:t xml:space="preserve">którym Sąd wskazał, że: </w:t>
      </w:r>
      <w:r w:rsidR="008558F5" w:rsidRPr="00177E3D">
        <w:rPr>
          <w:rFonts w:cs="Arial"/>
          <w:i/>
        </w:rPr>
        <w:t xml:space="preserve">organ odwoławczy uprawniony jest do skorzystania z regulacji art. 138 § 2 k.p.a. wtedy, kiedy organ I instancji nie wyjaśnił w ogóle sprawy lub istotnych jej okoliczności, a przeprowadzenie w tym zakresie uzupełniającego postępowania dowodowego przez organ odwoławczy wskazuje, że w swej istocie to organ odwoławczy musiałby sam przeprowadzić postępowanie wyjaśniające w zakresie mogącym mieć bezpośredni wpływ na treść decyzji. Natomiast, jeżeli organ odwoławczy kwestionuje rozstrzygnięcie organu I instancji, </w:t>
      </w:r>
      <w:r w:rsidR="008558F5" w:rsidRPr="00177E3D">
        <w:rPr>
          <w:rFonts w:cs="Arial"/>
          <w:i/>
        </w:rPr>
        <w:t xml:space="preserve">lecz nie wskazuje na uchybienia w ustalonym stanie faktycznym sprawy i z tej przyczyny nie podnosi potrzeby przeprowadzenia uzupełniającego postępowania dowodowego to wydaje decyzję </w:t>
      </w:r>
      <w:r w:rsidR="008558F5" w:rsidRPr="00177E3D">
        <w:rPr>
          <w:rFonts w:cs="Arial"/>
          <w:i/>
        </w:rPr>
        <w:t>reformatoryjną w rozumieniu art. 138 § 1 pkt 2 k.p.a.</w:t>
      </w:r>
    </w:p>
    <w:p w14:paraId="0BDC232B" w14:textId="77777777" w:rsidR="008558F5" w:rsidRPr="00177E3D" w:rsidRDefault="008558F5" w:rsidP="00D55018">
      <w:pPr>
        <w:pStyle w:val="Akapitzlist"/>
        <w:numPr>
          <w:ilvl w:val="0"/>
          <w:numId w:val="0"/>
        </w:numPr>
        <w:rPr>
          <w:rFonts w:cs="Arial"/>
        </w:rPr>
      </w:pPr>
      <w:r w:rsidRPr="00177E3D">
        <w:rPr>
          <w:rFonts w:cs="Arial"/>
        </w:rPr>
        <w:t xml:space="preserve">Zgodnie z art. 138 § 1 pkt 2 </w:t>
      </w:r>
      <w:r w:rsidRPr="00177E3D">
        <w:rPr>
          <w:rFonts w:cs="Arial"/>
        </w:rPr>
        <w:t>k.p.a.</w:t>
      </w:r>
      <w:r w:rsidRPr="00177E3D">
        <w:rPr>
          <w:rFonts w:cs="Arial"/>
        </w:rPr>
        <w:t xml:space="preserve"> organ odwoławczy może uchylić zaskarżoną decyzję w całości albo w części i w tym zakresie orzec co do istoty sprawy albo uchylając tę decyzję – umorzyć postępowanie pierwszej instancji w całości albo w części. Uchylenie decyzji w oparciu o art. 138 § 1 pkt 2 </w:t>
      </w:r>
      <w:r w:rsidRPr="00177E3D">
        <w:rPr>
          <w:rFonts w:cs="Arial"/>
          <w:i/>
        </w:rPr>
        <w:t>ab initio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k.p.a.</w:t>
      </w:r>
      <w:r w:rsidRPr="00177E3D">
        <w:rPr>
          <w:rFonts w:cs="Arial"/>
        </w:rPr>
        <w:t xml:space="preserve"> będzie miało miejsce wówczas, gdy w wyniku ponownego rozpoznania sprawy rozstrzygnięcie merytoryczne organu odwoławczego jest niezgodne z rozstrzygnięciem organu pierwszej instancji. Organ administracji, wydając w postępowaniu odwoławczym decyzję uchylającą zaskarżoną decyzję i orzekając co do istoty sprawy, zajmuje stanowisko, że rozstrzygnięcie organu pierwszej instancji jest w tym zakresie nieprawidłowe z</w:t>
      </w:r>
      <w:r w:rsidRPr="00177E3D">
        <w:rPr>
          <w:rFonts w:cs="Arial"/>
        </w:rPr>
        <w:t> </w:t>
      </w:r>
      <w:r w:rsidRPr="00177E3D">
        <w:rPr>
          <w:rFonts w:cs="Arial"/>
        </w:rPr>
        <w:t xml:space="preserve">uwagi na niezgodność z przepisami prawa lub z punktu widzenia celowości podjętego rozstrzygnięcia. Z sytuacją taką mamy do czynienia w odniesieniu do części sentencji oraz do punktów: </w:t>
      </w:r>
      <w:r w:rsidRPr="00177E3D">
        <w:rPr>
          <w:rFonts w:cs="Arial"/>
        </w:rPr>
        <w:t>I</w:t>
      </w:r>
      <w:r w:rsidRPr="00177E3D">
        <w:rPr>
          <w:rFonts w:cs="Arial"/>
        </w:rPr>
        <w:t xml:space="preserve">.2, </w:t>
      </w:r>
      <w:r w:rsidRPr="00177E3D">
        <w:rPr>
          <w:rFonts w:cs="Arial"/>
        </w:rPr>
        <w:t>I</w:t>
      </w:r>
      <w:r w:rsidRPr="00177E3D">
        <w:rPr>
          <w:rFonts w:cs="Arial"/>
        </w:rPr>
        <w:t>.3</w:t>
      </w:r>
      <w:r w:rsidRPr="00177E3D">
        <w:rPr>
          <w:rFonts w:cs="Arial"/>
        </w:rPr>
        <w:t xml:space="preserve">, </w:t>
      </w:r>
      <w:r w:rsidRPr="00177E3D">
        <w:rPr>
          <w:rFonts w:cs="Arial"/>
        </w:rPr>
        <w:t>I.5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 xml:space="preserve">decyzji RDOŚ w </w:t>
      </w:r>
      <w:r w:rsidRPr="00177E3D">
        <w:rPr>
          <w:rFonts w:cs="Arial"/>
        </w:rPr>
        <w:t>Gdańsku</w:t>
      </w:r>
      <w:r w:rsidRPr="00177E3D">
        <w:rPr>
          <w:rFonts w:cs="Arial"/>
        </w:rPr>
        <w:t xml:space="preserve"> z </w:t>
      </w:r>
      <w:r w:rsidRPr="00177E3D">
        <w:rPr>
          <w:rFonts w:cs="Arial"/>
        </w:rPr>
        <w:t>19 grudnia 2025</w:t>
      </w:r>
      <w:r w:rsidRPr="00177E3D">
        <w:rPr>
          <w:rFonts w:cs="Arial"/>
        </w:rPr>
        <w:t xml:space="preserve"> r. </w:t>
      </w:r>
    </w:p>
    <w:p w14:paraId="173DE3BE" w14:textId="77777777" w:rsidR="008558F5" w:rsidRPr="00177E3D" w:rsidRDefault="008558F5" w:rsidP="00D55018">
      <w:pPr>
        <w:spacing w:before="120"/>
        <w:rPr>
          <w:rFonts w:cs="Arial"/>
        </w:rPr>
      </w:pPr>
      <w:r w:rsidRPr="00177E3D">
        <w:rPr>
          <w:rFonts w:cs="Arial"/>
        </w:rPr>
        <w:t xml:space="preserve">Zgodnie z kolei z art. 138 § 1 pkt 1 </w:t>
      </w:r>
      <w:r w:rsidRPr="00177E3D">
        <w:rPr>
          <w:rFonts w:cs="Arial"/>
        </w:rPr>
        <w:t>k.p.a.</w:t>
      </w:r>
      <w:r w:rsidRPr="00177E3D">
        <w:rPr>
          <w:rFonts w:cs="Arial"/>
        </w:rPr>
        <w:t xml:space="preserve"> organ odwoławczy może utrzymać w mocy zaskarżoną decyzję. Będzie to miało miejsce wówczas, gdy w wyniku ponownego rozpoznania sprawy rozstrzygnięcie organu odwoławczego jest zgodne z rozstrzygnięciem organu </w:t>
      </w:r>
      <w:r w:rsidRPr="00177E3D">
        <w:rPr>
          <w:rFonts w:cs="Arial"/>
        </w:rPr>
        <w:t>pierwszej instancji zawartym w zaskarżonej decyzji. Organ administracji, wydając w</w:t>
      </w:r>
      <w:r w:rsidRPr="00177E3D">
        <w:rPr>
          <w:rFonts w:cs="Arial"/>
        </w:rPr>
        <w:t> </w:t>
      </w:r>
      <w:r w:rsidRPr="00177E3D">
        <w:rPr>
          <w:rFonts w:cs="Arial"/>
        </w:rPr>
        <w:t>postępowaniu odwoławczym decyzję utrzymującą w mocy zaskarżoną decyzję, zajmuje stanowisko, że rozstrzygnięcie organu pierwszej instancji jest prawidłowe, zarówno co do zgodności z prawem, jak i</w:t>
      </w:r>
      <w:r w:rsidRPr="00177E3D">
        <w:rPr>
          <w:rFonts w:cs="Arial"/>
        </w:rPr>
        <w:t xml:space="preserve"> </w:t>
      </w:r>
      <w:r w:rsidRPr="00177E3D">
        <w:rPr>
          <w:rFonts w:cs="Arial"/>
        </w:rPr>
        <w:t>co do istoty. W ocenie GDOŚ w pozostałej części zaskarżona decyzja jest prawidłowa i nie narusza przepisów prawa w stopniu uzasadniającym jej uchylenie.</w:t>
      </w:r>
    </w:p>
    <w:p w14:paraId="3C56AF90" w14:textId="77777777" w:rsidR="008558F5" w:rsidRPr="00177E3D" w:rsidRDefault="008558F5" w:rsidP="00860785">
      <w:pPr>
        <w:spacing w:before="120" w:line="300" w:lineRule="auto"/>
        <w:rPr>
          <w:rFonts w:cs="Arial"/>
          <w:szCs w:val="24"/>
        </w:rPr>
      </w:pPr>
      <w:r w:rsidRPr="00177E3D">
        <w:rPr>
          <w:rFonts w:cs="Arial"/>
          <w:szCs w:val="24"/>
        </w:rPr>
        <w:lastRenderedPageBreak/>
        <w:t xml:space="preserve">Wobec powyższego </w:t>
      </w:r>
      <w:r w:rsidRPr="00177E3D">
        <w:rPr>
          <w:rFonts w:cs="Arial"/>
          <w:szCs w:val="24"/>
        </w:rPr>
        <w:t>GDOŚ orzekł,</w:t>
      </w:r>
      <w:r w:rsidRPr="00177E3D">
        <w:rPr>
          <w:rFonts w:cs="Arial"/>
          <w:szCs w:val="24"/>
        </w:rPr>
        <w:t xml:space="preserve"> jak w sentencji.</w:t>
      </w:r>
    </w:p>
    <w:p w14:paraId="649A0259" w14:textId="77777777" w:rsidR="008558F5" w:rsidRPr="00177E3D" w:rsidRDefault="008558F5" w:rsidP="00860785">
      <w:pPr>
        <w:spacing w:before="120"/>
        <w:jc w:val="center"/>
        <w:rPr>
          <w:rFonts w:cs="Arial"/>
          <w:b/>
          <w:szCs w:val="24"/>
        </w:rPr>
      </w:pPr>
      <w:r w:rsidRPr="00177E3D">
        <w:rPr>
          <w:rFonts w:cs="Arial"/>
          <w:b/>
          <w:szCs w:val="24"/>
        </w:rPr>
        <w:t>Pouczenie</w:t>
      </w:r>
    </w:p>
    <w:p w14:paraId="035904C6" w14:textId="77777777" w:rsidR="008558F5" w:rsidRPr="00177E3D" w:rsidRDefault="008558F5" w:rsidP="008558F5">
      <w:pPr>
        <w:numPr>
          <w:ilvl w:val="0"/>
          <w:numId w:val="22"/>
        </w:numPr>
        <w:suppressAutoHyphens/>
        <w:ind w:left="426" w:hanging="426"/>
        <w:rPr>
          <w:rFonts w:cs="Arial"/>
        </w:rPr>
      </w:pPr>
      <w:r w:rsidRPr="00177E3D">
        <w:rPr>
          <w:rFonts w:cs="Arial"/>
        </w:rPr>
        <w:t>niniejsza decyzja jest ostateczna w administracyjnym toku instancji. Na decyzję, zgodnie z art. 50 oraz art. 52 § 1 i 2 w związku z art. 3 § 2 pkt 1 ustawy z dnia 30 sierpnia 2002 r. – Prawo o postępowaniu przed sądami administracyjnymi (Dz. U. z 202</w:t>
      </w:r>
      <w:r w:rsidRPr="00177E3D">
        <w:rPr>
          <w:rFonts w:cs="Arial"/>
        </w:rPr>
        <w:t>6</w:t>
      </w:r>
      <w:r w:rsidRPr="00177E3D">
        <w:rPr>
          <w:rFonts w:cs="Arial"/>
        </w:rPr>
        <w:t xml:space="preserve"> r. poz. </w:t>
      </w:r>
      <w:r w:rsidRPr="00177E3D">
        <w:rPr>
          <w:rFonts w:cs="Arial"/>
        </w:rPr>
        <w:t>143</w:t>
      </w:r>
      <w:r w:rsidRPr="00177E3D">
        <w:rPr>
          <w:rFonts w:cs="Arial"/>
        </w:rPr>
        <w:t>, ze zm.), dalej p.p.s.a., służy skarga do Wojewódzkiego Sądu Administracyjnego w Warszawie;</w:t>
      </w:r>
    </w:p>
    <w:p w14:paraId="0918DDC0" w14:textId="77777777" w:rsidR="008558F5" w:rsidRPr="00177E3D" w:rsidRDefault="008558F5" w:rsidP="008558F5">
      <w:pPr>
        <w:numPr>
          <w:ilvl w:val="0"/>
          <w:numId w:val="22"/>
        </w:numPr>
        <w:suppressAutoHyphens/>
        <w:ind w:left="426" w:hanging="426"/>
        <w:rPr>
          <w:rFonts w:cs="Arial"/>
        </w:rPr>
      </w:pPr>
      <w:r w:rsidRPr="00177E3D">
        <w:rPr>
          <w:rFonts w:cs="Arial"/>
        </w:rPr>
        <w:t>zgodnie z art. 54 § 1 oraz art. 53 § 1 p.p.s.a. skargę należy wnieść, za pośrednictwem GDOŚ, w terminie trzydziestu dni od dnia otrzymania decyzji;</w:t>
      </w:r>
    </w:p>
    <w:p w14:paraId="19FFBC9C" w14:textId="77777777" w:rsidR="008558F5" w:rsidRPr="00177E3D" w:rsidRDefault="008558F5" w:rsidP="008558F5">
      <w:pPr>
        <w:numPr>
          <w:ilvl w:val="0"/>
          <w:numId w:val="22"/>
        </w:numPr>
        <w:suppressAutoHyphens/>
        <w:ind w:left="426" w:hanging="426"/>
        <w:rPr>
          <w:rFonts w:cs="Arial"/>
        </w:rPr>
      </w:pPr>
      <w:r w:rsidRPr="00177E3D">
        <w:rPr>
          <w:rFonts w:cs="Arial"/>
        </w:rPr>
        <w:t>skarżący</w:t>
      </w:r>
      <w:r w:rsidRPr="00177E3D">
        <w:rPr>
          <w:rFonts w:cs="Arial"/>
        </w:rPr>
        <w:t xml:space="preserve">, zgodnie z art. 230 </w:t>
      </w:r>
      <w:r w:rsidRPr="00177E3D">
        <w:rPr>
          <w:rFonts w:cs="Arial"/>
          <w:iCs/>
        </w:rPr>
        <w:t>p.p.s.a. w związku z § 2 ust. 3 pkt 3 rozporządzenia Rady Ministrów z dnia 16 grudnia 2003 r.</w:t>
      </w:r>
      <w:r w:rsidRPr="00177E3D">
        <w:rPr>
          <w:rFonts w:cs="Arial"/>
          <w:i/>
          <w:iCs/>
        </w:rPr>
        <w:t xml:space="preserve"> </w:t>
      </w:r>
      <w:r w:rsidRPr="00177E3D">
        <w:rPr>
          <w:rFonts w:cs="Arial"/>
        </w:rPr>
        <w:t>w sprawie wysokości oraz szczegółowych zasad pobierania wpisu w postępowaniu przed sądami administracyjnymi</w:t>
      </w:r>
      <w:r w:rsidRPr="00177E3D">
        <w:rPr>
          <w:rFonts w:cs="Arial"/>
          <w:i/>
          <w:iCs/>
        </w:rPr>
        <w:t xml:space="preserve"> </w:t>
      </w:r>
      <w:r w:rsidRPr="00177E3D">
        <w:rPr>
          <w:rFonts w:cs="Arial"/>
          <w:iCs/>
        </w:rPr>
        <w:t>(Dz. U. z 2021 r. poz. 535)</w:t>
      </w:r>
      <w:r w:rsidRPr="00177E3D">
        <w:rPr>
          <w:rFonts w:cs="Arial"/>
        </w:rPr>
        <w:t xml:space="preserve">, obowiązany jest do uiszczenia wpisu od skargi w kwocie 200 zł. Skarżący, co wynika z art. 239 </w:t>
      </w:r>
      <w:r w:rsidRPr="00177E3D">
        <w:rPr>
          <w:rFonts w:cs="Arial"/>
          <w:iCs/>
        </w:rPr>
        <w:t>p.p.s.a.</w:t>
      </w:r>
      <w:r w:rsidRPr="00177E3D">
        <w:rPr>
          <w:rFonts w:cs="Arial"/>
        </w:rPr>
        <w:t>, może być zwolniony z obowiązku uiszczenia kosztów sądowych;</w:t>
      </w:r>
    </w:p>
    <w:p w14:paraId="02F36672" w14:textId="77777777" w:rsidR="008558F5" w:rsidRPr="00177E3D" w:rsidRDefault="008558F5" w:rsidP="008558F5">
      <w:pPr>
        <w:numPr>
          <w:ilvl w:val="0"/>
          <w:numId w:val="22"/>
        </w:numPr>
        <w:suppressAutoHyphens/>
        <w:ind w:left="426" w:hanging="426"/>
        <w:rPr>
          <w:rFonts w:cs="Arial"/>
        </w:rPr>
      </w:pPr>
      <w:r w:rsidRPr="00177E3D">
        <w:rPr>
          <w:rFonts w:cs="Arial"/>
        </w:rPr>
        <w:t xml:space="preserve">skarżącemu, zgodnie z art. 243 </w:t>
      </w:r>
      <w:r w:rsidRPr="00177E3D">
        <w:rPr>
          <w:rFonts w:cs="Arial"/>
          <w:iCs/>
        </w:rPr>
        <w:t>p.p.s.a.</w:t>
      </w:r>
      <w:r w:rsidRPr="00177E3D">
        <w:rPr>
          <w:rFonts w:cs="Arial"/>
        </w:rPr>
        <w:t>, może być przyznane, na jego wniosek, prawo pomocy. Wniosek ten wolny jest od opłat sądowych;</w:t>
      </w:r>
    </w:p>
    <w:p w14:paraId="4EADD89D" w14:textId="77777777" w:rsidR="008558F5" w:rsidRPr="00177E3D" w:rsidRDefault="008558F5" w:rsidP="008558F5">
      <w:pPr>
        <w:numPr>
          <w:ilvl w:val="0"/>
          <w:numId w:val="22"/>
        </w:numPr>
        <w:suppressAutoHyphens/>
        <w:ind w:left="425" w:hanging="425"/>
        <w:rPr>
          <w:rFonts w:eastAsia="Times New Roman" w:cs="Arial"/>
          <w:szCs w:val="24"/>
        </w:rPr>
      </w:pPr>
      <w:r w:rsidRPr="00177E3D">
        <w:rPr>
          <w:rFonts w:eastAsia="Times New Roman" w:cs="Arial"/>
          <w:szCs w:val="24"/>
        </w:rPr>
        <w:t xml:space="preserve">skargę w formie elektronicznej należy wnieść na adres </w:t>
      </w:r>
      <w:r w:rsidRPr="00177E3D">
        <w:rPr>
          <w:rFonts w:eastAsia="Times New Roman" w:cs="Arial"/>
        </w:rPr>
        <w:t>ePUAP: /gdosgovpl/SkrytkaESP</w:t>
      </w:r>
      <w:r w:rsidRPr="00177E3D">
        <w:rPr>
          <w:rFonts w:eastAsia="Times New Roman" w:cs="Arial"/>
          <w:szCs w:val="24"/>
        </w:rPr>
        <w:t>,</w:t>
      </w:r>
      <w:r w:rsidRPr="00177E3D">
        <w:rPr>
          <w:rFonts w:eastAsia="Times New Roman" w:cs="Arial"/>
          <w:szCs w:val="24"/>
        </w:rPr>
        <w:t xml:space="preserve"> natomiast w formie papierowej – na adres siedziby Generalnej Dyrekcji Ochrony Środowiska: Al. Jerozolimskie 136, 02-305 Warszawa.</w:t>
      </w:r>
    </w:p>
    <w:p w14:paraId="7E5BD786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24683461" w14:textId="77777777" w:rsidR="008558F5" w:rsidRPr="00177E3D" w:rsidRDefault="008558F5" w:rsidP="00921828">
      <w:pPr>
        <w:spacing w:line="240" w:lineRule="auto"/>
        <w:ind w:left="4253"/>
        <w:jc w:val="center"/>
        <w:rPr>
          <w:rFonts w:cs="Arial"/>
        </w:rPr>
      </w:pPr>
      <w:r w:rsidRPr="00177E3D">
        <w:rPr>
          <w:rFonts w:cs="Arial"/>
        </w:rPr>
        <w:t>PIOTR OTAWSKI</w:t>
      </w:r>
    </w:p>
    <w:p w14:paraId="4CAE3B17" w14:textId="77777777" w:rsidR="008558F5" w:rsidRPr="00177E3D" w:rsidRDefault="008558F5" w:rsidP="00921828">
      <w:pPr>
        <w:spacing w:line="240" w:lineRule="auto"/>
        <w:ind w:left="4253"/>
        <w:jc w:val="center"/>
        <w:rPr>
          <w:rFonts w:cs="Arial"/>
        </w:rPr>
      </w:pPr>
      <w:r w:rsidRPr="00177E3D">
        <w:rPr>
          <w:rFonts w:cs="Arial"/>
        </w:rPr>
        <w:t>Generalny Dyrektor Ochrony Środowiska</w:t>
      </w:r>
    </w:p>
    <w:p w14:paraId="531DB0A1" w14:textId="77777777" w:rsidR="008558F5" w:rsidRPr="00177E3D" w:rsidRDefault="008558F5" w:rsidP="00542982">
      <w:pPr>
        <w:spacing w:before="200" w:line="240" w:lineRule="auto"/>
        <w:ind w:left="4253"/>
        <w:jc w:val="center"/>
        <w:rPr>
          <w:rFonts w:cs="Arial"/>
          <w:color w:val="7F7F7F" w:themeColor="text1" w:themeTint="80"/>
        </w:rPr>
      </w:pPr>
      <w:r w:rsidRPr="00177E3D">
        <w:rPr>
          <w:rFonts w:cs="Arial"/>
          <w:color w:val="7F7F7F" w:themeColor="text1" w:themeTint="80"/>
        </w:rPr>
        <w:t>/podpis elektroniczny/</w:t>
      </w:r>
    </w:p>
    <w:p w14:paraId="350DF112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72E61E8C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012EC6FE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7A94A190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3307005C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2EA58FC8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2089B4A3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5DE3A7E8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01AD4F32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70C3D175" w14:textId="77777777" w:rsidR="008558F5" w:rsidRPr="00177E3D" w:rsidRDefault="008558F5" w:rsidP="00B242D3">
      <w:pPr>
        <w:spacing w:line="360" w:lineRule="auto"/>
        <w:rPr>
          <w:rFonts w:cs="Arial"/>
          <w:szCs w:val="24"/>
        </w:rPr>
      </w:pPr>
    </w:p>
    <w:p w14:paraId="23475A5D" w14:textId="77777777" w:rsidR="008558F5" w:rsidRPr="00177E3D" w:rsidRDefault="008558F5" w:rsidP="0030527F">
      <w:pPr>
        <w:tabs>
          <w:tab w:val="left" w:pos="284"/>
        </w:tabs>
        <w:spacing w:before="120"/>
        <w:ind w:left="284" w:hanging="284"/>
        <w:rPr>
          <w:rFonts w:cs="Arial"/>
          <w:b/>
          <w:sz w:val="20"/>
          <w:szCs w:val="20"/>
        </w:rPr>
      </w:pPr>
      <w:bookmarkStart w:id="22" w:name="_Hlk97708052"/>
      <w:r w:rsidRPr="00177E3D">
        <w:rPr>
          <w:rFonts w:cs="Arial"/>
          <w:b/>
          <w:sz w:val="20"/>
          <w:szCs w:val="20"/>
        </w:rPr>
        <w:t>Otrzymują:</w:t>
      </w:r>
    </w:p>
    <w:p w14:paraId="036258B6" w14:textId="0D8017D5" w:rsidR="008558F5" w:rsidRPr="00177E3D" w:rsidRDefault="008558F5" w:rsidP="008558F5">
      <w:pPr>
        <w:pStyle w:val="Akapitzlist"/>
        <w:numPr>
          <w:ilvl w:val="0"/>
          <w:numId w:val="20"/>
        </w:numPr>
        <w:suppressAutoHyphens/>
        <w:spacing w:after="240"/>
        <w:rPr>
          <w:rFonts w:cs="Arial"/>
          <w:sz w:val="20"/>
          <w:szCs w:val="20"/>
        </w:rPr>
      </w:pPr>
      <w:bookmarkStart w:id="23" w:name="_Hlk175576292"/>
      <w:r w:rsidRPr="00177E3D">
        <w:rPr>
          <w:rFonts w:cs="Arial"/>
          <w:sz w:val="20"/>
          <w:szCs w:val="20"/>
        </w:rPr>
        <w:t>adw</w:t>
      </w:r>
      <w:r w:rsidR="00900EF0">
        <w:rPr>
          <w:rFonts w:cs="Arial"/>
          <w:sz w:val="20"/>
          <w:szCs w:val="20"/>
        </w:rPr>
        <w:t>. (…)</w:t>
      </w:r>
      <w:r w:rsidRPr="00177E3D">
        <w:rPr>
          <w:rFonts w:cs="Arial"/>
          <w:sz w:val="20"/>
          <w:szCs w:val="20"/>
        </w:rPr>
        <w:t xml:space="preserve"> – pełnomocnik </w:t>
      </w:r>
      <w:r w:rsidR="00900EF0">
        <w:rPr>
          <w:rFonts w:cs="Arial"/>
          <w:sz w:val="20"/>
          <w:szCs w:val="20"/>
        </w:rPr>
        <w:t>(…)</w:t>
      </w:r>
      <w:r w:rsidRPr="00177E3D">
        <w:rPr>
          <w:rFonts w:cs="Arial"/>
          <w:sz w:val="20"/>
          <w:szCs w:val="20"/>
        </w:rPr>
        <w:t xml:space="preserve"> i </w:t>
      </w:r>
      <w:r w:rsidR="00900EF0">
        <w:rPr>
          <w:rFonts w:cs="Arial"/>
          <w:sz w:val="20"/>
          <w:szCs w:val="20"/>
        </w:rPr>
        <w:t>(…)</w:t>
      </w:r>
      <w:r w:rsidRPr="00177E3D">
        <w:rPr>
          <w:rFonts w:cs="Arial"/>
          <w:sz w:val="20"/>
          <w:szCs w:val="20"/>
        </w:rPr>
        <w:t>; adres do e-Doręczeń: AE:PL-97718-92631-UIVES-35</w:t>
      </w:r>
    </w:p>
    <w:p w14:paraId="6EF1F70F" w14:textId="76FF615B" w:rsidR="008558F5" w:rsidRPr="00177E3D" w:rsidRDefault="00900EF0" w:rsidP="008558F5">
      <w:pPr>
        <w:pStyle w:val="Akapitzlist"/>
        <w:numPr>
          <w:ilvl w:val="0"/>
          <w:numId w:val="20"/>
        </w:numPr>
        <w:suppressAutoHyphens/>
        <w:spacing w:after="240"/>
        <w:rPr>
          <w:rFonts w:cs="Arial"/>
          <w:sz w:val="20"/>
          <w:szCs w:val="20"/>
        </w:rPr>
      </w:pPr>
      <w:bookmarkStart w:id="24" w:name="_Hlk225941031"/>
      <w:r>
        <w:rPr>
          <w:rFonts w:cs="Arial"/>
          <w:sz w:val="20"/>
          <w:szCs w:val="20"/>
        </w:rPr>
        <w:t>(…)</w:t>
      </w:r>
      <w:r w:rsidR="008558F5" w:rsidRPr="00177E3D">
        <w:rPr>
          <w:rFonts w:cs="Arial"/>
          <w:sz w:val="20"/>
          <w:szCs w:val="20"/>
        </w:rPr>
        <w:t xml:space="preserve"> </w:t>
      </w:r>
      <w:bookmarkEnd w:id="24"/>
      <w:r w:rsidR="008558F5" w:rsidRPr="00177E3D">
        <w:rPr>
          <w:rFonts w:cs="Arial"/>
          <w:sz w:val="20"/>
          <w:szCs w:val="20"/>
        </w:rPr>
        <w:t>– pełnomocnik PKP Polskie Linie Kolejowe S.A.; adres do e-Doręczeń: AE:PL-77314-51559-GDFIB-23</w:t>
      </w:r>
    </w:p>
    <w:p w14:paraId="539FFC73" w14:textId="2CB324F9" w:rsidR="008558F5" w:rsidRPr="00177E3D" w:rsidRDefault="008558F5" w:rsidP="008558F5">
      <w:pPr>
        <w:pStyle w:val="Akapitzlist"/>
        <w:numPr>
          <w:ilvl w:val="0"/>
          <w:numId w:val="20"/>
        </w:numPr>
        <w:suppressAutoHyphens/>
        <w:spacing w:after="240"/>
        <w:rPr>
          <w:rFonts w:cs="Arial"/>
          <w:sz w:val="20"/>
          <w:szCs w:val="20"/>
        </w:rPr>
      </w:pPr>
      <w:bookmarkStart w:id="25" w:name="_Hlk225941101"/>
      <w:r w:rsidRPr="00177E3D">
        <w:rPr>
          <w:rFonts w:cs="Arial"/>
          <w:sz w:val="20"/>
          <w:szCs w:val="20"/>
        </w:rPr>
        <w:t>Waldemar Chejmanowski – pełnomocnik Generalnego Dyrektora Dróg Krajowych i Autostrad</w:t>
      </w:r>
      <w:bookmarkEnd w:id="25"/>
      <w:r w:rsidRPr="00177E3D">
        <w:rPr>
          <w:rFonts w:cs="Arial"/>
          <w:sz w:val="20"/>
          <w:szCs w:val="20"/>
        </w:rPr>
        <w:t xml:space="preserve">; adres do e-Doręczeń: </w:t>
      </w:r>
      <w:r w:rsidR="00900EF0">
        <w:rPr>
          <w:rFonts w:cs="Arial"/>
          <w:sz w:val="20"/>
          <w:szCs w:val="20"/>
        </w:rPr>
        <w:t>(…)</w:t>
      </w:r>
    </w:p>
    <w:p w14:paraId="3BA4A750" w14:textId="77777777" w:rsidR="008558F5" w:rsidRPr="00177E3D" w:rsidRDefault="008558F5" w:rsidP="008558F5">
      <w:pPr>
        <w:pStyle w:val="Akapitzlist"/>
        <w:numPr>
          <w:ilvl w:val="0"/>
          <w:numId w:val="20"/>
        </w:numPr>
        <w:rPr>
          <w:rFonts w:cs="Arial"/>
          <w:sz w:val="20"/>
          <w:szCs w:val="20"/>
        </w:rPr>
      </w:pPr>
      <w:r w:rsidRPr="00177E3D">
        <w:rPr>
          <w:rFonts w:cs="Arial"/>
          <w:sz w:val="20"/>
          <w:szCs w:val="20"/>
        </w:rPr>
        <w:lastRenderedPageBreak/>
        <w:t>pozostałe strony postępowania na podstawie art. 49 § 1 k.p.a. w związku z art. 74 ust. 3 u.o.o.ś.</w:t>
      </w:r>
      <w:bookmarkEnd w:id="23"/>
    </w:p>
    <w:p w14:paraId="36B3723E" w14:textId="77777777" w:rsidR="008558F5" w:rsidRPr="00177E3D" w:rsidRDefault="008558F5" w:rsidP="0030527F">
      <w:pPr>
        <w:tabs>
          <w:tab w:val="left" w:pos="284"/>
        </w:tabs>
        <w:spacing w:before="120"/>
        <w:ind w:left="284" w:hanging="284"/>
        <w:rPr>
          <w:rFonts w:cs="Arial"/>
          <w:b/>
          <w:sz w:val="20"/>
          <w:szCs w:val="20"/>
        </w:rPr>
      </w:pPr>
      <w:r w:rsidRPr="00177E3D">
        <w:rPr>
          <w:rFonts w:cs="Arial"/>
          <w:b/>
          <w:sz w:val="20"/>
          <w:szCs w:val="20"/>
        </w:rPr>
        <w:t>Do wiadomości:</w:t>
      </w:r>
    </w:p>
    <w:p w14:paraId="1D32879F" w14:textId="77777777" w:rsidR="008558F5" w:rsidRPr="00177E3D" w:rsidRDefault="008558F5" w:rsidP="008558F5">
      <w:pPr>
        <w:pStyle w:val="Akapitzlist"/>
        <w:numPr>
          <w:ilvl w:val="0"/>
          <w:numId w:val="21"/>
        </w:numPr>
        <w:rPr>
          <w:rFonts w:cs="Arial"/>
          <w:sz w:val="20"/>
          <w:szCs w:val="20"/>
        </w:rPr>
      </w:pPr>
      <w:bookmarkStart w:id="26" w:name="_Hlk175576308"/>
      <w:r w:rsidRPr="00177E3D">
        <w:rPr>
          <w:rFonts w:cs="Arial"/>
          <w:sz w:val="20"/>
          <w:szCs w:val="20"/>
        </w:rPr>
        <w:t>Regionalny Dyrektor Ochrony Środowiska w Gdańsku</w:t>
      </w:r>
      <w:bookmarkEnd w:id="22"/>
      <w:bookmarkEnd w:id="26"/>
    </w:p>
    <w:sectPr w:rsidR="00C2616F" w:rsidRPr="00177E3D" w:rsidSect="00A741B6">
      <w:footerReference w:type="default" r:id="rId8"/>
      <w:headerReference w:type="firs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0CC1" w14:textId="77777777" w:rsidR="008558F5" w:rsidRDefault="008558F5">
      <w:pPr>
        <w:spacing w:line="240" w:lineRule="auto"/>
      </w:pPr>
      <w:r>
        <w:separator/>
      </w:r>
    </w:p>
  </w:endnote>
  <w:endnote w:type="continuationSeparator" w:id="0">
    <w:p w14:paraId="63280D68" w14:textId="77777777" w:rsidR="008558F5" w:rsidRDefault="00855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303174"/>
      <w:docPartObj>
        <w:docPartGallery w:val="Page Numbers (Bottom of Page)"/>
        <w:docPartUnique/>
      </w:docPartObj>
    </w:sdtPr>
    <w:sdtEndPr/>
    <w:sdtContent>
      <w:p w14:paraId="5618AE13" w14:textId="77777777" w:rsidR="008558F5" w:rsidRDefault="008558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DAFB54" w14:textId="77777777" w:rsidR="008558F5" w:rsidRDefault="008558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5BCB" w14:textId="77777777" w:rsidR="008558F5" w:rsidRDefault="008558F5">
      <w:pPr>
        <w:spacing w:line="240" w:lineRule="auto"/>
      </w:pPr>
      <w:r>
        <w:separator/>
      </w:r>
    </w:p>
  </w:footnote>
  <w:footnote w:type="continuationSeparator" w:id="0">
    <w:p w14:paraId="73104897" w14:textId="77777777" w:rsidR="008558F5" w:rsidRDefault="008558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224EF" w14:textId="77777777" w:rsidR="008558F5" w:rsidRPr="00591089" w:rsidRDefault="008558F5" w:rsidP="003341E3">
    <w:pPr>
      <w:ind w:right="5245"/>
      <w:jc w:val="center"/>
      <w:rPr>
        <w:rFonts w:ascii="Times New Roman" w:hAnsi="Times New Roman"/>
        <w:sz w:val="36"/>
        <w:szCs w:val="36"/>
      </w:rPr>
    </w:pPr>
    <w:r>
      <w:rPr>
        <w:rFonts w:ascii="Times New Roman" w:hAnsi="Times New Roman"/>
        <w:sz w:val="36"/>
        <w:szCs w:val="36"/>
      </w:rPr>
      <w:object w:dxaOrig="842" w:dyaOrig="842" w14:anchorId="6ED493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.85pt;height:41.85pt" fillcolor="window">
          <v:imagedata r:id="rId1" o:title=""/>
        </v:shape>
        <o:OLEObject Type="Embed" ProgID="Word.Picture.8" ShapeID="_x0000_i1025" DrawAspect="Content" ObjectID="_1852710170" r:id="rId2"/>
      </w:object>
    </w:r>
  </w:p>
  <w:p w14:paraId="05CFE9AD" w14:textId="77777777" w:rsidR="008558F5" w:rsidRPr="00591089" w:rsidRDefault="008558F5" w:rsidP="003341E3">
    <w:pPr>
      <w:spacing w:line="240" w:lineRule="auto"/>
      <w:ind w:right="5245"/>
      <w:jc w:val="center"/>
      <w:rPr>
        <w:rFonts w:ascii="Times New Roman" w:hAnsi="Times New Roman"/>
        <w:sz w:val="36"/>
        <w:szCs w:val="36"/>
      </w:rPr>
    </w:pPr>
    <w:r w:rsidRPr="00591089">
      <w:rPr>
        <w:rFonts w:ascii="Times New Roman" w:hAnsi="Times New Roman"/>
        <w:b/>
        <w:smallCaps/>
        <w:sz w:val="36"/>
        <w:szCs w:val="36"/>
      </w:rPr>
      <w:t>Generalny Dyrektor</w:t>
    </w:r>
  </w:p>
  <w:p w14:paraId="14444746" w14:textId="77777777" w:rsidR="008558F5" w:rsidRPr="00591089" w:rsidRDefault="008558F5" w:rsidP="003341E3">
    <w:pPr>
      <w:spacing w:line="240" w:lineRule="auto"/>
      <w:ind w:right="5245"/>
      <w:jc w:val="center"/>
      <w:rPr>
        <w:rFonts w:ascii="Times New Roman" w:hAnsi="Times New Roman"/>
        <w:b/>
        <w:smallCaps/>
        <w:sz w:val="36"/>
        <w:szCs w:val="36"/>
      </w:rPr>
    </w:pPr>
    <w:r w:rsidRPr="00591089">
      <w:rPr>
        <w:rFonts w:ascii="Times New Roman" w:hAnsi="Times New Roman"/>
        <w:b/>
        <w:smallCaps/>
        <w:sz w:val="36"/>
        <w:szCs w:val="36"/>
      </w:rPr>
      <w:t>Ochrony Środowiska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000F8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738E8ACA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32"/>
    <w:multiLevelType w:val="multilevel"/>
    <w:tmpl w:val="00000032"/>
    <w:name w:val="WWNum52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  <w:rPr>
        <w:rFonts w:ascii="Garamond" w:hAnsi="Garamond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3" w15:restartNumberingAfterBreak="0">
    <w:nsid w:val="00000037"/>
    <w:multiLevelType w:val="multilevel"/>
    <w:tmpl w:val="EAB60D22"/>
    <w:name w:val="WWNum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02FC23D8"/>
    <w:multiLevelType w:val="hybridMultilevel"/>
    <w:tmpl w:val="FA96E8CA"/>
    <w:lvl w:ilvl="0" w:tplc="2904D740">
      <w:start w:val="1"/>
      <w:numFmt w:val="upperRoman"/>
      <w:lvlText w:val="%1."/>
      <w:lvlJc w:val="left"/>
      <w:pPr>
        <w:ind w:left="2771" w:hanging="360"/>
      </w:pPr>
      <w:rPr>
        <w:rFonts w:hint="default"/>
        <w:b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754CD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222B448" w:tentative="1">
      <w:start w:val="1"/>
      <w:numFmt w:val="lowerRoman"/>
      <w:lvlText w:val="%3."/>
      <w:lvlJc w:val="right"/>
      <w:pPr>
        <w:ind w:left="2160" w:hanging="180"/>
      </w:pPr>
    </w:lvl>
    <w:lvl w:ilvl="3" w:tplc="AF307940" w:tentative="1">
      <w:start w:val="1"/>
      <w:numFmt w:val="decimal"/>
      <w:lvlText w:val="%4."/>
      <w:lvlJc w:val="left"/>
      <w:pPr>
        <w:ind w:left="2880" w:hanging="360"/>
      </w:pPr>
    </w:lvl>
    <w:lvl w:ilvl="4" w:tplc="0E66D70E" w:tentative="1">
      <w:start w:val="1"/>
      <w:numFmt w:val="lowerLetter"/>
      <w:lvlText w:val="%5."/>
      <w:lvlJc w:val="left"/>
      <w:pPr>
        <w:ind w:left="3600" w:hanging="360"/>
      </w:pPr>
    </w:lvl>
    <w:lvl w:ilvl="5" w:tplc="CD4C71AA" w:tentative="1">
      <w:start w:val="1"/>
      <w:numFmt w:val="lowerRoman"/>
      <w:lvlText w:val="%6."/>
      <w:lvlJc w:val="right"/>
      <w:pPr>
        <w:ind w:left="4320" w:hanging="180"/>
      </w:pPr>
    </w:lvl>
    <w:lvl w:ilvl="6" w:tplc="1CCAF0F4" w:tentative="1">
      <w:start w:val="1"/>
      <w:numFmt w:val="decimal"/>
      <w:lvlText w:val="%7."/>
      <w:lvlJc w:val="left"/>
      <w:pPr>
        <w:ind w:left="5040" w:hanging="360"/>
      </w:pPr>
    </w:lvl>
    <w:lvl w:ilvl="7" w:tplc="5D6ECB10" w:tentative="1">
      <w:start w:val="1"/>
      <w:numFmt w:val="lowerLetter"/>
      <w:lvlText w:val="%8."/>
      <w:lvlJc w:val="left"/>
      <w:pPr>
        <w:ind w:left="5760" w:hanging="360"/>
      </w:pPr>
    </w:lvl>
    <w:lvl w:ilvl="8" w:tplc="A446A8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FC2860"/>
    <w:multiLevelType w:val="hybridMultilevel"/>
    <w:tmpl w:val="AEA4725E"/>
    <w:lvl w:ilvl="0" w:tplc="845C2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4D541D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7CC2772" w:tentative="1">
      <w:start w:val="1"/>
      <w:numFmt w:val="lowerRoman"/>
      <w:lvlText w:val="%3."/>
      <w:lvlJc w:val="right"/>
      <w:pPr>
        <w:ind w:left="2160" w:hanging="180"/>
      </w:pPr>
    </w:lvl>
    <w:lvl w:ilvl="3" w:tplc="B0705C80" w:tentative="1">
      <w:start w:val="1"/>
      <w:numFmt w:val="decimal"/>
      <w:lvlText w:val="%4."/>
      <w:lvlJc w:val="left"/>
      <w:pPr>
        <w:ind w:left="2880" w:hanging="360"/>
      </w:pPr>
    </w:lvl>
    <w:lvl w:ilvl="4" w:tplc="13005DB0" w:tentative="1">
      <w:start w:val="1"/>
      <w:numFmt w:val="lowerLetter"/>
      <w:lvlText w:val="%5."/>
      <w:lvlJc w:val="left"/>
      <w:pPr>
        <w:ind w:left="3600" w:hanging="360"/>
      </w:pPr>
    </w:lvl>
    <w:lvl w:ilvl="5" w:tplc="A60EDD64" w:tentative="1">
      <w:start w:val="1"/>
      <w:numFmt w:val="lowerRoman"/>
      <w:lvlText w:val="%6."/>
      <w:lvlJc w:val="right"/>
      <w:pPr>
        <w:ind w:left="4320" w:hanging="180"/>
      </w:pPr>
    </w:lvl>
    <w:lvl w:ilvl="6" w:tplc="F7C88030" w:tentative="1">
      <w:start w:val="1"/>
      <w:numFmt w:val="decimal"/>
      <w:lvlText w:val="%7."/>
      <w:lvlJc w:val="left"/>
      <w:pPr>
        <w:ind w:left="5040" w:hanging="360"/>
      </w:pPr>
    </w:lvl>
    <w:lvl w:ilvl="7" w:tplc="38FC8A80" w:tentative="1">
      <w:start w:val="1"/>
      <w:numFmt w:val="lowerLetter"/>
      <w:lvlText w:val="%8."/>
      <w:lvlJc w:val="left"/>
      <w:pPr>
        <w:ind w:left="5760" w:hanging="360"/>
      </w:pPr>
    </w:lvl>
    <w:lvl w:ilvl="8" w:tplc="ECD66C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F5C43"/>
    <w:multiLevelType w:val="hybridMultilevel"/>
    <w:tmpl w:val="8A8EF33E"/>
    <w:lvl w:ilvl="0" w:tplc="AAA878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1866F6A" w:tentative="1">
      <w:start w:val="1"/>
      <w:numFmt w:val="lowerLetter"/>
      <w:lvlText w:val="%2."/>
      <w:lvlJc w:val="left"/>
      <w:pPr>
        <w:ind w:left="1440" w:hanging="360"/>
      </w:pPr>
    </w:lvl>
    <w:lvl w:ilvl="2" w:tplc="A7CA6454" w:tentative="1">
      <w:start w:val="1"/>
      <w:numFmt w:val="lowerRoman"/>
      <w:lvlText w:val="%3."/>
      <w:lvlJc w:val="right"/>
      <w:pPr>
        <w:ind w:left="2160" w:hanging="180"/>
      </w:pPr>
    </w:lvl>
    <w:lvl w:ilvl="3" w:tplc="641AA860" w:tentative="1">
      <w:start w:val="1"/>
      <w:numFmt w:val="decimal"/>
      <w:lvlText w:val="%4."/>
      <w:lvlJc w:val="left"/>
      <w:pPr>
        <w:ind w:left="2880" w:hanging="360"/>
      </w:pPr>
    </w:lvl>
    <w:lvl w:ilvl="4" w:tplc="E8D84E32" w:tentative="1">
      <w:start w:val="1"/>
      <w:numFmt w:val="lowerLetter"/>
      <w:lvlText w:val="%5."/>
      <w:lvlJc w:val="left"/>
      <w:pPr>
        <w:ind w:left="3600" w:hanging="360"/>
      </w:pPr>
    </w:lvl>
    <w:lvl w:ilvl="5" w:tplc="60A2A380" w:tentative="1">
      <w:start w:val="1"/>
      <w:numFmt w:val="lowerRoman"/>
      <w:lvlText w:val="%6."/>
      <w:lvlJc w:val="right"/>
      <w:pPr>
        <w:ind w:left="4320" w:hanging="180"/>
      </w:pPr>
    </w:lvl>
    <w:lvl w:ilvl="6" w:tplc="F3A2388C" w:tentative="1">
      <w:start w:val="1"/>
      <w:numFmt w:val="decimal"/>
      <w:lvlText w:val="%7."/>
      <w:lvlJc w:val="left"/>
      <w:pPr>
        <w:ind w:left="5040" w:hanging="360"/>
      </w:pPr>
    </w:lvl>
    <w:lvl w:ilvl="7" w:tplc="9A3433E2" w:tentative="1">
      <w:start w:val="1"/>
      <w:numFmt w:val="lowerLetter"/>
      <w:lvlText w:val="%8."/>
      <w:lvlJc w:val="left"/>
      <w:pPr>
        <w:ind w:left="5760" w:hanging="360"/>
      </w:pPr>
    </w:lvl>
    <w:lvl w:ilvl="8" w:tplc="B87606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642F2"/>
    <w:multiLevelType w:val="hybridMultilevel"/>
    <w:tmpl w:val="EBE65F46"/>
    <w:lvl w:ilvl="0" w:tplc="F3C8FA0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70645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2E3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0E90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6F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094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D2E6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5C2F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B81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1671B"/>
    <w:multiLevelType w:val="hybridMultilevel"/>
    <w:tmpl w:val="C58C3132"/>
    <w:lvl w:ilvl="0" w:tplc="E00CC8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B9A2D62" w:tentative="1">
      <w:start w:val="1"/>
      <w:numFmt w:val="lowerLetter"/>
      <w:lvlText w:val="%2."/>
      <w:lvlJc w:val="left"/>
      <w:pPr>
        <w:ind w:left="1440" w:hanging="360"/>
      </w:pPr>
    </w:lvl>
    <w:lvl w:ilvl="2" w:tplc="7A3A8822" w:tentative="1">
      <w:start w:val="1"/>
      <w:numFmt w:val="lowerRoman"/>
      <w:lvlText w:val="%3."/>
      <w:lvlJc w:val="right"/>
      <w:pPr>
        <w:ind w:left="2160" w:hanging="180"/>
      </w:pPr>
    </w:lvl>
    <w:lvl w:ilvl="3" w:tplc="27DA5D04" w:tentative="1">
      <w:start w:val="1"/>
      <w:numFmt w:val="decimal"/>
      <w:lvlText w:val="%4."/>
      <w:lvlJc w:val="left"/>
      <w:pPr>
        <w:ind w:left="2880" w:hanging="360"/>
      </w:pPr>
    </w:lvl>
    <w:lvl w:ilvl="4" w:tplc="D02A97DA" w:tentative="1">
      <w:start w:val="1"/>
      <w:numFmt w:val="lowerLetter"/>
      <w:lvlText w:val="%5."/>
      <w:lvlJc w:val="left"/>
      <w:pPr>
        <w:ind w:left="3600" w:hanging="360"/>
      </w:pPr>
    </w:lvl>
    <w:lvl w:ilvl="5" w:tplc="2BBE5F1C" w:tentative="1">
      <w:start w:val="1"/>
      <w:numFmt w:val="lowerRoman"/>
      <w:lvlText w:val="%6."/>
      <w:lvlJc w:val="right"/>
      <w:pPr>
        <w:ind w:left="4320" w:hanging="180"/>
      </w:pPr>
    </w:lvl>
    <w:lvl w:ilvl="6" w:tplc="4412F6E2" w:tentative="1">
      <w:start w:val="1"/>
      <w:numFmt w:val="decimal"/>
      <w:lvlText w:val="%7."/>
      <w:lvlJc w:val="left"/>
      <w:pPr>
        <w:ind w:left="5040" w:hanging="360"/>
      </w:pPr>
    </w:lvl>
    <w:lvl w:ilvl="7" w:tplc="057E31F4" w:tentative="1">
      <w:start w:val="1"/>
      <w:numFmt w:val="lowerLetter"/>
      <w:lvlText w:val="%8."/>
      <w:lvlJc w:val="left"/>
      <w:pPr>
        <w:ind w:left="5760" w:hanging="360"/>
      </w:pPr>
    </w:lvl>
    <w:lvl w:ilvl="8" w:tplc="BC5C9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4ADE"/>
    <w:multiLevelType w:val="hybridMultilevel"/>
    <w:tmpl w:val="932476A8"/>
    <w:lvl w:ilvl="0" w:tplc="2B48C88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25D00332">
      <w:start w:val="1"/>
      <w:numFmt w:val="lowerLetter"/>
      <w:lvlText w:val="%2."/>
      <w:lvlJc w:val="left"/>
      <w:pPr>
        <w:ind w:left="2214" w:hanging="360"/>
      </w:pPr>
    </w:lvl>
    <w:lvl w:ilvl="2" w:tplc="E3C8301A" w:tentative="1">
      <w:start w:val="1"/>
      <w:numFmt w:val="lowerRoman"/>
      <w:lvlText w:val="%3."/>
      <w:lvlJc w:val="right"/>
      <w:pPr>
        <w:ind w:left="2934" w:hanging="180"/>
      </w:pPr>
    </w:lvl>
    <w:lvl w:ilvl="3" w:tplc="DE32BA0C" w:tentative="1">
      <w:start w:val="1"/>
      <w:numFmt w:val="decimal"/>
      <w:lvlText w:val="%4."/>
      <w:lvlJc w:val="left"/>
      <w:pPr>
        <w:ind w:left="3654" w:hanging="360"/>
      </w:pPr>
    </w:lvl>
    <w:lvl w:ilvl="4" w:tplc="002603BC" w:tentative="1">
      <w:start w:val="1"/>
      <w:numFmt w:val="lowerLetter"/>
      <w:lvlText w:val="%5."/>
      <w:lvlJc w:val="left"/>
      <w:pPr>
        <w:ind w:left="4374" w:hanging="360"/>
      </w:pPr>
    </w:lvl>
    <w:lvl w:ilvl="5" w:tplc="BBF0557E" w:tentative="1">
      <w:start w:val="1"/>
      <w:numFmt w:val="lowerRoman"/>
      <w:lvlText w:val="%6."/>
      <w:lvlJc w:val="right"/>
      <w:pPr>
        <w:ind w:left="5094" w:hanging="180"/>
      </w:pPr>
    </w:lvl>
    <w:lvl w:ilvl="6" w:tplc="3856AE0A" w:tentative="1">
      <w:start w:val="1"/>
      <w:numFmt w:val="decimal"/>
      <w:lvlText w:val="%7."/>
      <w:lvlJc w:val="left"/>
      <w:pPr>
        <w:ind w:left="5814" w:hanging="360"/>
      </w:pPr>
    </w:lvl>
    <w:lvl w:ilvl="7" w:tplc="2DE64928" w:tentative="1">
      <w:start w:val="1"/>
      <w:numFmt w:val="lowerLetter"/>
      <w:lvlText w:val="%8."/>
      <w:lvlJc w:val="left"/>
      <w:pPr>
        <w:ind w:left="6534" w:hanging="360"/>
      </w:pPr>
    </w:lvl>
    <w:lvl w:ilvl="8" w:tplc="CFB024AE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0C223002"/>
    <w:multiLevelType w:val="hybridMultilevel"/>
    <w:tmpl w:val="C7824FFA"/>
    <w:lvl w:ilvl="0" w:tplc="028645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3C271C6" w:tentative="1">
      <w:start w:val="1"/>
      <w:numFmt w:val="lowerLetter"/>
      <w:lvlText w:val="%2."/>
      <w:lvlJc w:val="left"/>
      <w:pPr>
        <w:ind w:left="1440" w:hanging="360"/>
      </w:pPr>
    </w:lvl>
    <w:lvl w:ilvl="2" w:tplc="276A747A" w:tentative="1">
      <w:start w:val="1"/>
      <w:numFmt w:val="lowerRoman"/>
      <w:lvlText w:val="%3."/>
      <w:lvlJc w:val="right"/>
      <w:pPr>
        <w:ind w:left="2160" w:hanging="180"/>
      </w:pPr>
    </w:lvl>
    <w:lvl w:ilvl="3" w:tplc="FDEA82E0" w:tentative="1">
      <w:start w:val="1"/>
      <w:numFmt w:val="decimal"/>
      <w:lvlText w:val="%4."/>
      <w:lvlJc w:val="left"/>
      <w:pPr>
        <w:ind w:left="2880" w:hanging="360"/>
      </w:pPr>
    </w:lvl>
    <w:lvl w:ilvl="4" w:tplc="6A906D5C" w:tentative="1">
      <w:start w:val="1"/>
      <w:numFmt w:val="lowerLetter"/>
      <w:lvlText w:val="%5."/>
      <w:lvlJc w:val="left"/>
      <w:pPr>
        <w:ind w:left="3600" w:hanging="360"/>
      </w:pPr>
    </w:lvl>
    <w:lvl w:ilvl="5" w:tplc="E5E64FCE" w:tentative="1">
      <w:start w:val="1"/>
      <w:numFmt w:val="lowerRoman"/>
      <w:lvlText w:val="%6."/>
      <w:lvlJc w:val="right"/>
      <w:pPr>
        <w:ind w:left="4320" w:hanging="180"/>
      </w:pPr>
    </w:lvl>
    <w:lvl w:ilvl="6" w:tplc="193EE79A" w:tentative="1">
      <w:start w:val="1"/>
      <w:numFmt w:val="decimal"/>
      <w:lvlText w:val="%7."/>
      <w:lvlJc w:val="left"/>
      <w:pPr>
        <w:ind w:left="5040" w:hanging="360"/>
      </w:pPr>
    </w:lvl>
    <w:lvl w:ilvl="7" w:tplc="9B7EB886" w:tentative="1">
      <w:start w:val="1"/>
      <w:numFmt w:val="lowerLetter"/>
      <w:lvlText w:val="%8."/>
      <w:lvlJc w:val="left"/>
      <w:pPr>
        <w:ind w:left="5760" w:hanging="360"/>
      </w:pPr>
    </w:lvl>
    <w:lvl w:ilvl="8" w:tplc="99ACCF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7D5063"/>
    <w:multiLevelType w:val="hybridMultilevel"/>
    <w:tmpl w:val="C58C3132"/>
    <w:lvl w:ilvl="0" w:tplc="ADD2DB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A4D7AC" w:tentative="1">
      <w:start w:val="1"/>
      <w:numFmt w:val="lowerLetter"/>
      <w:lvlText w:val="%2."/>
      <w:lvlJc w:val="left"/>
      <w:pPr>
        <w:ind w:left="1440" w:hanging="360"/>
      </w:pPr>
    </w:lvl>
    <w:lvl w:ilvl="2" w:tplc="6B168208" w:tentative="1">
      <w:start w:val="1"/>
      <w:numFmt w:val="lowerRoman"/>
      <w:lvlText w:val="%3."/>
      <w:lvlJc w:val="right"/>
      <w:pPr>
        <w:ind w:left="2160" w:hanging="180"/>
      </w:pPr>
    </w:lvl>
    <w:lvl w:ilvl="3" w:tplc="076C1B1E">
      <w:start w:val="1"/>
      <w:numFmt w:val="decimal"/>
      <w:lvlText w:val="%4."/>
      <w:lvlJc w:val="left"/>
      <w:pPr>
        <w:ind w:left="2880" w:hanging="360"/>
      </w:pPr>
    </w:lvl>
    <w:lvl w:ilvl="4" w:tplc="D522FB30" w:tentative="1">
      <w:start w:val="1"/>
      <w:numFmt w:val="lowerLetter"/>
      <w:lvlText w:val="%5."/>
      <w:lvlJc w:val="left"/>
      <w:pPr>
        <w:ind w:left="3600" w:hanging="360"/>
      </w:pPr>
    </w:lvl>
    <w:lvl w:ilvl="5" w:tplc="2260FFE6" w:tentative="1">
      <w:start w:val="1"/>
      <w:numFmt w:val="lowerRoman"/>
      <w:lvlText w:val="%6."/>
      <w:lvlJc w:val="right"/>
      <w:pPr>
        <w:ind w:left="4320" w:hanging="180"/>
      </w:pPr>
    </w:lvl>
    <w:lvl w:ilvl="6" w:tplc="DF266680" w:tentative="1">
      <w:start w:val="1"/>
      <w:numFmt w:val="decimal"/>
      <w:lvlText w:val="%7."/>
      <w:lvlJc w:val="left"/>
      <w:pPr>
        <w:ind w:left="5040" w:hanging="360"/>
      </w:pPr>
    </w:lvl>
    <w:lvl w:ilvl="7" w:tplc="C194D486" w:tentative="1">
      <w:start w:val="1"/>
      <w:numFmt w:val="lowerLetter"/>
      <w:lvlText w:val="%8."/>
      <w:lvlJc w:val="left"/>
      <w:pPr>
        <w:ind w:left="5760" w:hanging="360"/>
      </w:pPr>
    </w:lvl>
    <w:lvl w:ilvl="8" w:tplc="CCEAD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0104FD"/>
    <w:multiLevelType w:val="hybridMultilevel"/>
    <w:tmpl w:val="79F2DB06"/>
    <w:lvl w:ilvl="0" w:tplc="76BEF090">
      <w:start w:val="1"/>
      <w:numFmt w:val="decimal"/>
      <w:lvlText w:val="%1."/>
      <w:lvlJc w:val="left"/>
      <w:pPr>
        <w:ind w:left="502" w:hanging="360"/>
      </w:pPr>
      <w:rPr>
        <w:b/>
        <w:i w:val="0"/>
        <w:color w:val="auto"/>
      </w:rPr>
    </w:lvl>
    <w:lvl w:ilvl="1" w:tplc="58449AE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2" w:tplc="6672A996">
      <w:start w:val="1"/>
      <w:numFmt w:val="lowerRoman"/>
      <w:lvlText w:val="%3."/>
      <w:lvlJc w:val="right"/>
      <w:pPr>
        <w:ind w:left="2160" w:hanging="180"/>
      </w:pPr>
    </w:lvl>
    <w:lvl w:ilvl="3" w:tplc="8104E3CE">
      <w:start w:val="1"/>
      <w:numFmt w:val="decimal"/>
      <w:lvlText w:val="%4."/>
      <w:lvlJc w:val="left"/>
      <w:pPr>
        <w:ind w:left="2880" w:hanging="360"/>
      </w:pPr>
    </w:lvl>
    <w:lvl w:ilvl="4" w:tplc="16BEC06A">
      <w:start w:val="1"/>
      <w:numFmt w:val="lowerLetter"/>
      <w:lvlText w:val="%5."/>
      <w:lvlJc w:val="left"/>
      <w:pPr>
        <w:ind w:left="3600" w:hanging="360"/>
      </w:pPr>
    </w:lvl>
    <w:lvl w:ilvl="5" w:tplc="28D4C278">
      <w:start w:val="1"/>
      <w:numFmt w:val="lowerRoman"/>
      <w:lvlText w:val="%6."/>
      <w:lvlJc w:val="right"/>
      <w:pPr>
        <w:ind w:left="4320" w:hanging="180"/>
      </w:pPr>
    </w:lvl>
    <w:lvl w:ilvl="6" w:tplc="E88264A2">
      <w:start w:val="1"/>
      <w:numFmt w:val="decimal"/>
      <w:lvlText w:val="%7."/>
      <w:lvlJc w:val="left"/>
      <w:pPr>
        <w:ind w:left="5040" w:hanging="360"/>
      </w:pPr>
    </w:lvl>
    <w:lvl w:ilvl="7" w:tplc="1806F83A">
      <w:start w:val="1"/>
      <w:numFmt w:val="lowerLetter"/>
      <w:lvlText w:val="%8."/>
      <w:lvlJc w:val="left"/>
      <w:pPr>
        <w:ind w:left="5760" w:hanging="360"/>
      </w:pPr>
    </w:lvl>
    <w:lvl w:ilvl="8" w:tplc="92D45A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B3871"/>
    <w:multiLevelType w:val="hybridMultilevel"/>
    <w:tmpl w:val="1DD60B74"/>
    <w:lvl w:ilvl="0" w:tplc="E1F4F02A">
      <w:start w:val="1"/>
      <w:numFmt w:val="decimal"/>
      <w:lvlText w:val="%1."/>
      <w:lvlJc w:val="left"/>
      <w:pPr>
        <w:ind w:left="720" w:hanging="360"/>
      </w:pPr>
    </w:lvl>
    <w:lvl w:ilvl="1" w:tplc="3522C21E" w:tentative="1">
      <w:start w:val="1"/>
      <w:numFmt w:val="lowerLetter"/>
      <w:lvlText w:val="%2."/>
      <w:lvlJc w:val="left"/>
      <w:pPr>
        <w:ind w:left="1440" w:hanging="360"/>
      </w:pPr>
    </w:lvl>
    <w:lvl w:ilvl="2" w:tplc="AA8AE014" w:tentative="1">
      <w:start w:val="1"/>
      <w:numFmt w:val="lowerRoman"/>
      <w:lvlText w:val="%3."/>
      <w:lvlJc w:val="right"/>
      <w:pPr>
        <w:ind w:left="2160" w:hanging="180"/>
      </w:pPr>
    </w:lvl>
    <w:lvl w:ilvl="3" w:tplc="1D5A8B26" w:tentative="1">
      <w:start w:val="1"/>
      <w:numFmt w:val="decimal"/>
      <w:lvlText w:val="%4."/>
      <w:lvlJc w:val="left"/>
      <w:pPr>
        <w:ind w:left="2880" w:hanging="360"/>
      </w:pPr>
    </w:lvl>
    <w:lvl w:ilvl="4" w:tplc="DC24FD66" w:tentative="1">
      <w:start w:val="1"/>
      <w:numFmt w:val="lowerLetter"/>
      <w:lvlText w:val="%5."/>
      <w:lvlJc w:val="left"/>
      <w:pPr>
        <w:ind w:left="3600" w:hanging="360"/>
      </w:pPr>
    </w:lvl>
    <w:lvl w:ilvl="5" w:tplc="F1AE23AA" w:tentative="1">
      <w:start w:val="1"/>
      <w:numFmt w:val="lowerRoman"/>
      <w:lvlText w:val="%6."/>
      <w:lvlJc w:val="right"/>
      <w:pPr>
        <w:ind w:left="4320" w:hanging="180"/>
      </w:pPr>
    </w:lvl>
    <w:lvl w:ilvl="6" w:tplc="AE021394" w:tentative="1">
      <w:start w:val="1"/>
      <w:numFmt w:val="decimal"/>
      <w:lvlText w:val="%7."/>
      <w:lvlJc w:val="left"/>
      <w:pPr>
        <w:ind w:left="5040" w:hanging="360"/>
      </w:pPr>
    </w:lvl>
    <w:lvl w:ilvl="7" w:tplc="7F30BC58" w:tentative="1">
      <w:start w:val="1"/>
      <w:numFmt w:val="lowerLetter"/>
      <w:lvlText w:val="%8."/>
      <w:lvlJc w:val="left"/>
      <w:pPr>
        <w:ind w:left="5760" w:hanging="360"/>
      </w:pPr>
    </w:lvl>
    <w:lvl w:ilvl="8" w:tplc="FEEA16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FD1D8D"/>
    <w:multiLevelType w:val="hybridMultilevel"/>
    <w:tmpl w:val="D9E4A374"/>
    <w:lvl w:ilvl="0" w:tplc="8F901C40">
      <w:start w:val="1"/>
      <w:numFmt w:val="bullet"/>
      <w:lvlText w:val="-"/>
      <w:lvlJc w:val="left"/>
      <w:pPr>
        <w:ind w:left="1494" w:hanging="360"/>
      </w:pPr>
      <w:rPr>
        <w:rFonts w:ascii="Courier New" w:hAnsi="Courier New" w:hint="default"/>
      </w:rPr>
    </w:lvl>
    <w:lvl w:ilvl="1" w:tplc="4DB8F090">
      <w:start w:val="1"/>
      <w:numFmt w:val="lowerLetter"/>
      <w:lvlText w:val="%2."/>
      <w:lvlJc w:val="left"/>
      <w:pPr>
        <w:ind w:left="2214" w:hanging="360"/>
      </w:pPr>
    </w:lvl>
    <w:lvl w:ilvl="2" w:tplc="8D600ECC" w:tentative="1">
      <w:start w:val="1"/>
      <w:numFmt w:val="lowerRoman"/>
      <w:lvlText w:val="%3."/>
      <w:lvlJc w:val="right"/>
      <w:pPr>
        <w:ind w:left="2934" w:hanging="180"/>
      </w:pPr>
    </w:lvl>
    <w:lvl w:ilvl="3" w:tplc="11CAD4E6" w:tentative="1">
      <w:start w:val="1"/>
      <w:numFmt w:val="decimal"/>
      <w:lvlText w:val="%4."/>
      <w:lvlJc w:val="left"/>
      <w:pPr>
        <w:ind w:left="3654" w:hanging="360"/>
      </w:pPr>
    </w:lvl>
    <w:lvl w:ilvl="4" w:tplc="0F1059F4" w:tentative="1">
      <w:start w:val="1"/>
      <w:numFmt w:val="lowerLetter"/>
      <w:lvlText w:val="%5."/>
      <w:lvlJc w:val="left"/>
      <w:pPr>
        <w:ind w:left="4374" w:hanging="360"/>
      </w:pPr>
    </w:lvl>
    <w:lvl w:ilvl="5" w:tplc="7F74EFC4" w:tentative="1">
      <w:start w:val="1"/>
      <w:numFmt w:val="lowerRoman"/>
      <w:lvlText w:val="%6."/>
      <w:lvlJc w:val="right"/>
      <w:pPr>
        <w:ind w:left="5094" w:hanging="180"/>
      </w:pPr>
    </w:lvl>
    <w:lvl w:ilvl="6" w:tplc="E908626E" w:tentative="1">
      <w:start w:val="1"/>
      <w:numFmt w:val="decimal"/>
      <w:lvlText w:val="%7."/>
      <w:lvlJc w:val="left"/>
      <w:pPr>
        <w:ind w:left="5814" w:hanging="360"/>
      </w:pPr>
    </w:lvl>
    <w:lvl w:ilvl="7" w:tplc="B4B05294" w:tentative="1">
      <w:start w:val="1"/>
      <w:numFmt w:val="lowerLetter"/>
      <w:lvlText w:val="%8."/>
      <w:lvlJc w:val="left"/>
      <w:pPr>
        <w:ind w:left="6534" w:hanging="360"/>
      </w:pPr>
    </w:lvl>
    <w:lvl w:ilvl="8" w:tplc="5B44C368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137C34D4"/>
    <w:multiLevelType w:val="hybridMultilevel"/>
    <w:tmpl w:val="B84A82F0"/>
    <w:lvl w:ilvl="0" w:tplc="9BB265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5CDD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12A4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AAA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EC9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14BC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C1B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C7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8EDD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7F0F21"/>
    <w:multiLevelType w:val="hybridMultilevel"/>
    <w:tmpl w:val="932476A8"/>
    <w:lvl w:ilvl="0" w:tplc="8152BA6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808CC48">
      <w:start w:val="1"/>
      <w:numFmt w:val="lowerLetter"/>
      <w:lvlText w:val="%2."/>
      <w:lvlJc w:val="left"/>
      <w:pPr>
        <w:ind w:left="2214" w:hanging="360"/>
      </w:pPr>
    </w:lvl>
    <w:lvl w:ilvl="2" w:tplc="63AC3052" w:tentative="1">
      <w:start w:val="1"/>
      <w:numFmt w:val="lowerRoman"/>
      <w:lvlText w:val="%3."/>
      <w:lvlJc w:val="right"/>
      <w:pPr>
        <w:ind w:left="2934" w:hanging="180"/>
      </w:pPr>
    </w:lvl>
    <w:lvl w:ilvl="3" w:tplc="49E8AB84" w:tentative="1">
      <w:start w:val="1"/>
      <w:numFmt w:val="decimal"/>
      <w:lvlText w:val="%4."/>
      <w:lvlJc w:val="left"/>
      <w:pPr>
        <w:ind w:left="3654" w:hanging="360"/>
      </w:pPr>
    </w:lvl>
    <w:lvl w:ilvl="4" w:tplc="52E807CE" w:tentative="1">
      <w:start w:val="1"/>
      <w:numFmt w:val="lowerLetter"/>
      <w:lvlText w:val="%5."/>
      <w:lvlJc w:val="left"/>
      <w:pPr>
        <w:ind w:left="4374" w:hanging="360"/>
      </w:pPr>
    </w:lvl>
    <w:lvl w:ilvl="5" w:tplc="CAEC76D0" w:tentative="1">
      <w:start w:val="1"/>
      <w:numFmt w:val="lowerRoman"/>
      <w:lvlText w:val="%6."/>
      <w:lvlJc w:val="right"/>
      <w:pPr>
        <w:ind w:left="5094" w:hanging="180"/>
      </w:pPr>
    </w:lvl>
    <w:lvl w:ilvl="6" w:tplc="7BE6A3B4" w:tentative="1">
      <w:start w:val="1"/>
      <w:numFmt w:val="decimal"/>
      <w:lvlText w:val="%7."/>
      <w:lvlJc w:val="left"/>
      <w:pPr>
        <w:ind w:left="5814" w:hanging="360"/>
      </w:pPr>
    </w:lvl>
    <w:lvl w:ilvl="7" w:tplc="A6FC87C0" w:tentative="1">
      <w:start w:val="1"/>
      <w:numFmt w:val="lowerLetter"/>
      <w:lvlText w:val="%8."/>
      <w:lvlJc w:val="left"/>
      <w:pPr>
        <w:ind w:left="6534" w:hanging="360"/>
      </w:pPr>
    </w:lvl>
    <w:lvl w:ilvl="8" w:tplc="59AA319C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171E217E"/>
    <w:multiLevelType w:val="multilevel"/>
    <w:tmpl w:val="97A29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8" w15:restartNumberingAfterBreak="0">
    <w:nsid w:val="1AB71251"/>
    <w:multiLevelType w:val="hybridMultilevel"/>
    <w:tmpl w:val="932476A8"/>
    <w:lvl w:ilvl="0" w:tplc="B78CFA1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10B8CB64">
      <w:start w:val="1"/>
      <w:numFmt w:val="lowerLetter"/>
      <w:lvlText w:val="%2."/>
      <w:lvlJc w:val="left"/>
      <w:pPr>
        <w:ind w:left="2214" w:hanging="360"/>
      </w:pPr>
    </w:lvl>
    <w:lvl w:ilvl="2" w:tplc="51F2424C" w:tentative="1">
      <w:start w:val="1"/>
      <w:numFmt w:val="lowerRoman"/>
      <w:lvlText w:val="%3."/>
      <w:lvlJc w:val="right"/>
      <w:pPr>
        <w:ind w:left="2934" w:hanging="180"/>
      </w:pPr>
    </w:lvl>
    <w:lvl w:ilvl="3" w:tplc="CC58D35A" w:tentative="1">
      <w:start w:val="1"/>
      <w:numFmt w:val="decimal"/>
      <w:lvlText w:val="%4."/>
      <w:lvlJc w:val="left"/>
      <w:pPr>
        <w:ind w:left="3654" w:hanging="360"/>
      </w:pPr>
    </w:lvl>
    <w:lvl w:ilvl="4" w:tplc="A052DB0A" w:tentative="1">
      <w:start w:val="1"/>
      <w:numFmt w:val="lowerLetter"/>
      <w:lvlText w:val="%5."/>
      <w:lvlJc w:val="left"/>
      <w:pPr>
        <w:ind w:left="4374" w:hanging="360"/>
      </w:pPr>
    </w:lvl>
    <w:lvl w:ilvl="5" w:tplc="AC1A0CB0" w:tentative="1">
      <w:start w:val="1"/>
      <w:numFmt w:val="lowerRoman"/>
      <w:lvlText w:val="%6."/>
      <w:lvlJc w:val="right"/>
      <w:pPr>
        <w:ind w:left="5094" w:hanging="180"/>
      </w:pPr>
    </w:lvl>
    <w:lvl w:ilvl="6" w:tplc="28686C20" w:tentative="1">
      <w:start w:val="1"/>
      <w:numFmt w:val="decimal"/>
      <w:lvlText w:val="%7."/>
      <w:lvlJc w:val="left"/>
      <w:pPr>
        <w:ind w:left="5814" w:hanging="360"/>
      </w:pPr>
    </w:lvl>
    <w:lvl w:ilvl="7" w:tplc="89C02B6C" w:tentative="1">
      <w:start w:val="1"/>
      <w:numFmt w:val="lowerLetter"/>
      <w:lvlText w:val="%8."/>
      <w:lvlJc w:val="left"/>
      <w:pPr>
        <w:ind w:left="6534" w:hanging="360"/>
      </w:pPr>
    </w:lvl>
    <w:lvl w:ilvl="8" w:tplc="2554693A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1D3A0436"/>
    <w:multiLevelType w:val="hybridMultilevel"/>
    <w:tmpl w:val="FDEE586E"/>
    <w:lvl w:ilvl="0" w:tplc="6E1812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5948B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CC9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E9B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283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3823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3076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DA6B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1C09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314EDB"/>
    <w:multiLevelType w:val="hybridMultilevel"/>
    <w:tmpl w:val="1B04AEBE"/>
    <w:lvl w:ilvl="0" w:tplc="7E3C3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B4811B4" w:tentative="1">
      <w:start w:val="1"/>
      <w:numFmt w:val="lowerLetter"/>
      <w:lvlText w:val="%2."/>
      <w:lvlJc w:val="left"/>
      <w:pPr>
        <w:ind w:left="1440" w:hanging="360"/>
      </w:pPr>
    </w:lvl>
    <w:lvl w:ilvl="2" w:tplc="88EC332C" w:tentative="1">
      <w:start w:val="1"/>
      <w:numFmt w:val="lowerRoman"/>
      <w:lvlText w:val="%3."/>
      <w:lvlJc w:val="right"/>
      <w:pPr>
        <w:ind w:left="2160" w:hanging="180"/>
      </w:pPr>
    </w:lvl>
    <w:lvl w:ilvl="3" w:tplc="ABF8F6C0" w:tentative="1">
      <w:start w:val="1"/>
      <w:numFmt w:val="decimal"/>
      <w:lvlText w:val="%4."/>
      <w:lvlJc w:val="left"/>
      <w:pPr>
        <w:ind w:left="2880" w:hanging="360"/>
      </w:pPr>
    </w:lvl>
    <w:lvl w:ilvl="4" w:tplc="C3AC2FB8" w:tentative="1">
      <w:start w:val="1"/>
      <w:numFmt w:val="lowerLetter"/>
      <w:lvlText w:val="%5."/>
      <w:lvlJc w:val="left"/>
      <w:pPr>
        <w:ind w:left="3600" w:hanging="360"/>
      </w:pPr>
    </w:lvl>
    <w:lvl w:ilvl="5" w:tplc="2398F4A0" w:tentative="1">
      <w:start w:val="1"/>
      <w:numFmt w:val="lowerRoman"/>
      <w:lvlText w:val="%6."/>
      <w:lvlJc w:val="right"/>
      <w:pPr>
        <w:ind w:left="4320" w:hanging="180"/>
      </w:pPr>
    </w:lvl>
    <w:lvl w:ilvl="6" w:tplc="2F6003D0" w:tentative="1">
      <w:start w:val="1"/>
      <w:numFmt w:val="decimal"/>
      <w:lvlText w:val="%7."/>
      <w:lvlJc w:val="left"/>
      <w:pPr>
        <w:ind w:left="5040" w:hanging="360"/>
      </w:pPr>
    </w:lvl>
    <w:lvl w:ilvl="7" w:tplc="9190AC24" w:tentative="1">
      <w:start w:val="1"/>
      <w:numFmt w:val="lowerLetter"/>
      <w:lvlText w:val="%8."/>
      <w:lvlJc w:val="left"/>
      <w:pPr>
        <w:ind w:left="5760" w:hanging="360"/>
      </w:pPr>
    </w:lvl>
    <w:lvl w:ilvl="8" w:tplc="7B423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C7A47"/>
    <w:multiLevelType w:val="hybridMultilevel"/>
    <w:tmpl w:val="A7E22B18"/>
    <w:lvl w:ilvl="0" w:tplc="6FBAA84C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DEA2A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DAE18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7BAA0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0A87D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5F6B0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408D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9CA6F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1CC65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2386724A"/>
    <w:multiLevelType w:val="hybridMultilevel"/>
    <w:tmpl w:val="8FDA2426"/>
    <w:lvl w:ilvl="0" w:tplc="782A8040">
      <w:start w:val="1"/>
      <w:numFmt w:val="lowerLetter"/>
      <w:lvlText w:val="%1)"/>
      <w:lvlJc w:val="left"/>
      <w:pPr>
        <w:ind w:left="720" w:hanging="360"/>
      </w:pPr>
    </w:lvl>
    <w:lvl w:ilvl="1" w:tplc="B69AB5AA" w:tentative="1">
      <w:start w:val="1"/>
      <w:numFmt w:val="lowerLetter"/>
      <w:lvlText w:val="%2."/>
      <w:lvlJc w:val="left"/>
      <w:pPr>
        <w:ind w:left="1440" w:hanging="360"/>
      </w:pPr>
    </w:lvl>
    <w:lvl w:ilvl="2" w:tplc="E488C198">
      <w:start w:val="1"/>
      <w:numFmt w:val="lowerRoman"/>
      <w:lvlText w:val="%3."/>
      <w:lvlJc w:val="right"/>
      <w:pPr>
        <w:ind w:left="2160" w:hanging="180"/>
      </w:pPr>
    </w:lvl>
    <w:lvl w:ilvl="3" w:tplc="9444648E" w:tentative="1">
      <w:start w:val="1"/>
      <w:numFmt w:val="decimal"/>
      <w:lvlText w:val="%4."/>
      <w:lvlJc w:val="left"/>
      <w:pPr>
        <w:ind w:left="2880" w:hanging="360"/>
      </w:pPr>
    </w:lvl>
    <w:lvl w:ilvl="4" w:tplc="0B704166" w:tentative="1">
      <w:start w:val="1"/>
      <w:numFmt w:val="lowerLetter"/>
      <w:lvlText w:val="%5."/>
      <w:lvlJc w:val="left"/>
      <w:pPr>
        <w:ind w:left="3600" w:hanging="360"/>
      </w:pPr>
    </w:lvl>
    <w:lvl w:ilvl="5" w:tplc="58587A7C" w:tentative="1">
      <w:start w:val="1"/>
      <w:numFmt w:val="lowerRoman"/>
      <w:lvlText w:val="%6."/>
      <w:lvlJc w:val="right"/>
      <w:pPr>
        <w:ind w:left="4320" w:hanging="180"/>
      </w:pPr>
    </w:lvl>
    <w:lvl w:ilvl="6" w:tplc="62A02894" w:tentative="1">
      <w:start w:val="1"/>
      <w:numFmt w:val="decimal"/>
      <w:lvlText w:val="%7."/>
      <w:lvlJc w:val="left"/>
      <w:pPr>
        <w:ind w:left="5040" w:hanging="360"/>
      </w:pPr>
    </w:lvl>
    <w:lvl w:ilvl="7" w:tplc="35D2141E" w:tentative="1">
      <w:start w:val="1"/>
      <w:numFmt w:val="lowerLetter"/>
      <w:lvlText w:val="%8."/>
      <w:lvlJc w:val="left"/>
      <w:pPr>
        <w:ind w:left="5760" w:hanging="360"/>
      </w:pPr>
    </w:lvl>
    <w:lvl w:ilvl="8" w:tplc="46DCE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A073AB"/>
    <w:multiLevelType w:val="hybridMultilevel"/>
    <w:tmpl w:val="8876BF8E"/>
    <w:lvl w:ilvl="0" w:tplc="473A11E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890E53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976820E" w:tentative="1">
      <w:start w:val="1"/>
      <w:numFmt w:val="lowerRoman"/>
      <w:lvlText w:val="%3."/>
      <w:lvlJc w:val="right"/>
      <w:pPr>
        <w:ind w:left="2160" w:hanging="180"/>
      </w:pPr>
    </w:lvl>
    <w:lvl w:ilvl="3" w:tplc="F50EBEDC" w:tentative="1">
      <w:start w:val="1"/>
      <w:numFmt w:val="decimal"/>
      <w:lvlText w:val="%4."/>
      <w:lvlJc w:val="left"/>
      <w:pPr>
        <w:ind w:left="2880" w:hanging="360"/>
      </w:pPr>
    </w:lvl>
    <w:lvl w:ilvl="4" w:tplc="A1CA40EC" w:tentative="1">
      <w:start w:val="1"/>
      <w:numFmt w:val="lowerLetter"/>
      <w:lvlText w:val="%5."/>
      <w:lvlJc w:val="left"/>
      <w:pPr>
        <w:ind w:left="3600" w:hanging="360"/>
      </w:pPr>
    </w:lvl>
    <w:lvl w:ilvl="5" w:tplc="FA1E0944" w:tentative="1">
      <w:start w:val="1"/>
      <w:numFmt w:val="lowerRoman"/>
      <w:lvlText w:val="%6."/>
      <w:lvlJc w:val="right"/>
      <w:pPr>
        <w:ind w:left="4320" w:hanging="180"/>
      </w:pPr>
    </w:lvl>
    <w:lvl w:ilvl="6" w:tplc="E996AA2E" w:tentative="1">
      <w:start w:val="1"/>
      <w:numFmt w:val="decimal"/>
      <w:lvlText w:val="%7."/>
      <w:lvlJc w:val="left"/>
      <w:pPr>
        <w:ind w:left="5040" w:hanging="360"/>
      </w:pPr>
    </w:lvl>
    <w:lvl w:ilvl="7" w:tplc="52E0EFEC" w:tentative="1">
      <w:start w:val="1"/>
      <w:numFmt w:val="lowerLetter"/>
      <w:lvlText w:val="%8."/>
      <w:lvlJc w:val="left"/>
      <w:pPr>
        <w:ind w:left="5760" w:hanging="360"/>
      </w:pPr>
    </w:lvl>
    <w:lvl w:ilvl="8" w:tplc="ECDAF6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0C09A7"/>
    <w:multiLevelType w:val="hybridMultilevel"/>
    <w:tmpl w:val="932476A8"/>
    <w:lvl w:ilvl="0" w:tplc="1FF6985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B7FA96E0">
      <w:start w:val="1"/>
      <w:numFmt w:val="lowerLetter"/>
      <w:lvlText w:val="%2."/>
      <w:lvlJc w:val="left"/>
      <w:pPr>
        <w:ind w:left="2214" w:hanging="360"/>
      </w:pPr>
    </w:lvl>
    <w:lvl w:ilvl="2" w:tplc="92A436C2" w:tentative="1">
      <w:start w:val="1"/>
      <w:numFmt w:val="lowerRoman"/>
      <w:lvlText w:val="%3."/>
      <w:lvlJc w:val="right"/>
      <w:pPr>
        <w:ind w:left="2934" w:hanging="180"/>
      </w:pPr>
    </w:lvl>
    <w:lvl w:ilvl="3" w:tplc="01AEDA84" w:tentative="1">
      <w:start w:val="1"/>
      <w:numFmt w:val="decimal"/>
      <w:lvlText w:val="%4."/>
      <w:lvlJc w:val="left"/>
      <w:pPr>
        <w:ind w:left="3654" w:hanging="360"/>
      </w:pPr>
    </w:lvl>
    <w:lvl w:ilvl="4" w:tplc="9686FF04" w:tentative="1">
      <w:start w:val="1"/>
      <w:numFmt w:val="lowerLetter"/>
      <w:lvlText w:val="%5."/>
      <w:lvlJc w:val="left"/>
      <w:pPr>
        <w:ind w:left="4374" w:hanging="360"/>
      </w:pPr>
    </w:lvl>
    <w:lvl w:ilvl="5" w:tplc="DE96BC18" w:tentative="1">
      <w:start w:val="1"/>
      <w:numFmt w:val="lowerRoman"/>
      <w:lvlText w:val="%6."/>
      <w:lvlJc w:val="right"/>
      <w:pPr>
        <w:ind w:left="5094" w:hanging="180"/>
      </w:pPr>
    </w:lvl>
    <w:lvl w:ilvl="6" w:tplc="5F3E2598" w:tentative="1">
      <w:start w:val="1"/>
      <w:numFmt w:val="decimal"/>
      <w:lvlText w:val="%7."/>
      <w:lvlJc w:val="left"/>
      <w:pPr>
        <w:ind w:left="5814" w:hanging="360"/>
      </w:pPr>
    </w:lvl>
    <w:lvl w:ilvl="7" w:tplc="9AF29A86" w:tentative="1">
      <w:start w:val="1"/>
      <w:numFmt w:val="lowerLetter"/>
      <w:lvlText w:val="%8."/>
      <w:lvlJc w:val="left"/>
      <w:pPr>
        <w:ind w:left="6534" w:hanging="360"/>
      </w:pPr>
    </w:lvl>
    <w:lvl w:ilvl="8" w:tplc="AA96A5CE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2CD236F9"/>
    <w:multiLevelType w:val="hybridMultilevel"/>
    <w:tmpl w:val="D9E4A374"/>
    <w:lvl w:ilvl="0" w:tplc="E8EA0CF2">
      <w:start w:val="1"/>
      <w:numFmt w:val="bullet"/>
      <w:lvlText w:val="-"/>
      <w:lvlJc w:val="left"/>
      <w:pPr>
        <w:ind w:left="1494" w:hanging="360"/>
      </w:pPr>
      <w:rPr>
        <w:rFonts w:ascii="Courier New" w:hAnsi="Courier New" w:hint="default"/>
      </w:rPr>
    </w:lvl>
    <w:lvl w:ilvl="1" w:tplc="EB9A3A78">
      <w:start w:val="1"/>
      <w:numFmt w:val="lowerLetter"/>
      <w:lvlText w:val="%2."/>
      <w:lvlJc w:val="left"/>
      <w:pPr>
        <w:ind w:left="2214" w:hanging="360"/>
      </w:pPr>
    </w:lvl>
    <w:lvl w:ilvl="2" w:tplc="89FE7CEE" w:tentative="1">
      <w:start w:val="1"/>
      <w:numFmt w:val="lowerRoman"/>
      <w:lvlText w:val="%3."/>
      <w:lvlJc w:val="right"/>
      <w:pPr>
        <w:ind w:left="2934" w:hanging="180"/>
      </w:pPr>
    </w:lvl>
    <w:lvl w:ilvl="3" w:tplc="16F2C050" w:tentative="1">
      <w:start w:val="1"/>
      <w:numFmt w:val="decimal"/>
      <w:lvlText w:val="%4."/>
      <w:lvlJc w:val="left"/>
      <w:pPr>
        <w:ind w:left="3654" w:hanging="360"/>
      </w:pPr>
    </w:lvl>
    <w:lvl w:ilvl="4" w:tplc="5022878E" w:tentative="1">
      <w:start w:val="1"/>
      <w:numFmt w:val="lowerLetter"/>
      <w:lvlText w:val="%5."/>
      <w:lvlJc w:val="left"/>
      <w:pPr>
        <w:ind w:left="4374" w:hanging="360"/>
      </w:pPr>
    </w:lvl>
    <w:lvl w:ilvl="5" w:tplc="C96EF5F8" w:tentative="1">
      <w:start w:val="1"/>
      <w:numFmt w:val="lowerRoman"/>
      <w:lvlText w:val="%6."/>
      <w:lvlJc w:val="right"/>
      <w:pPr>
        <w:ind w:left="5094" w:hanging="180"/>
      </w:pPr>
    </w:lvl>
    <w:lvl w:ilvl="6" w:tplc="B7769FDE" w:tentative="1">
      <w:start w:val="1"/>
      <w:numFmt w:val="decimal"/>
      <w:lvlText w:val="%7."/>
      <w:lvlJc w:val="left"/>
      <w:pPr>
        <w:ind w:left="5814" w:hanging="360"/>
      </w:pPr>
    </w:lvl>
    <w:lvl w:ilvl="7" w:tplc="762AA68E" w:tentative="1">
      <w:start w:val="1"/>
      <w:numFmt w:val="lowerLetter"/>
      <w:lvlText w:val="%8."/>
      <w:lvlJc w:val="left"/>
      <w:pPr>
        <w:ind w:left="6534" w:hanging="360"/>
      </w:pPr>
    </w:lvl>
    <w:lvl w:ilvl="8" w:tplc="033C7A4E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2F4B0F85"/>
    <w:multiLevelType w:val="hybridMultilevel"/>
    <w:tmpl w:val="28C6BD88"/>
    <w:lvl w:ilvl="0" w:tplc="8610B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689CBB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1CA7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697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CEC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5E8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27F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7AD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9EE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1A6C12"/>
    <w:multiLevelType w:val="hybridMultilevel"/>
    <w:tmpl w:val="B67E956E"/>
    <w:lvl w:ilvl="0" w:tplc="7A6E2A5A">
      <w:start w:val="1"/>
      <w:numFmt w:val="lowerLetter"/>
      <w:pStyle w:val="Akapitzlist"/>
      <w:lvlText w:val="%1)"/>
      <w:lvlJc w:val="left"/>
      <w:pPr>
        <w:ind w:left="1429" w:hanging="360"/>
      </w:pPr>
      <w:rPr>
        <w:rFonts w:eastAsia="Calibri" w:cs="Arial" w:hint="default"/>
      </w:rPr>
    </w:lvl>
    <w:lvl w:ilvl="1" w:tplc="239A2418">
      <w:start w:val="1"/>
      <w:numFmt w:val="lowerLetter"/>
      <w:lvlText w:val="%2."/>
      <w:lvlJc w:val="left"/>
      <w:pPr>
        <w:ind w:left="2149" w:hanging="360"/>
      </w:pPr>
    </w:lvl>
    <w:lvl w:ilvl="2" w:tplc="306AC628" w:tentative="1">
      <w:start w:val="1"/>
      <w:numFmt w:val="lowerRoman"/>
      <w:lvlText w:val="%3."/>
      <w:lvlJc w:val="right"/>
      <w:pPr>
        <w:ind w:left="2869" w:hanging="180"/>
      </w:pPr>
    </w:lvl>
    <w:lvl w:ilvl="3" w:tplc="70B67646" w:tentative="1">
      <w:start w:val="1"/>
      <w:numFmt w:val="decimal"/>
      <w:lvlText w:val="%4."/>
      <w:lvlJc w:val="left"/>
      <w:pPr>
        <w:ind w:left="3589" w:hanging="360"/>
      </w:pPr>
    </w:lvl>
    <w:lvl w:ilvl="4" w:tplc="B5F2A15A" w:tentative="1">
      <w:start w:val="1"/>
      <w:numFmt w:val="lowerLetter"/>
      <w:lvlText w:val="%5."/>
      <w:lvlJc w:val="left"/>
      <w:pPr>
        <w:ind w:left="4309" w:hanging="360"/>
      </w:pPr>
    </w:lvl>
    <w:lvl w:ilvl="5" w:tplc="952C63AA" w:tentative="1">
      <w:start w:val="1"/>
      <w:numFmt w:val="lowerRoman"/>
      <w:lvlText w:val="%6."/>
      <w:lvlJc w:val="right"/>
      <w:pPr>
        <w:ind w:left="5029" w:hanging="180"/>
      </w:pPr>
    </w:lvl>
    <w:lvl w:ilvl="6" w:tplc="FB405584" w:tentative="1">
      <w:start w:val="1"/>
      <w:numFmt w:val="decimal"/>
      <w:lvlText w:val="%7."/>
      <w:lvlJc w:val="left"/>
      <w:pPr>
        <w:ind w:left="5749" w:hanging="360"/>
      </w:pPr>
    </w:lvl>
    <w:lvl w:ilvl="7" w:tplc="1AF0EA94" w:tentative="1">
      <w:start w:val="1"/>
      <w:numFmt w:val="lowerLetter"/>
      <w:lvlText w:val="%8."/>
      <w:lvlJc w:val="left"/>
      <w:pPr>
        <w:ind w:left="6469" w:hanging="360"/>
      </w:pPr>
    </w:lvl>
    <w:lvl w:ilvl="8" w:tplc="BF3E21C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23C724C"/>
    <w:multiLevelType w:val="hybridMultilevel"/>
    <w:tmpl w:val="21B20740"/>
    <w:lvl w:ilvl="0" w:tplc="12CC7C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D0EC850C" w:tentative="1">
      <w:start w:val="1"/>
      <w:numFmt w:val="lowerLetter"/>
      <w:lvlText w:val="%2."/>
      <w:lvlJc w:val="left"/>
      <w:pPr>
        <w:ind w:left="1440" w:hanging="360"/>
      </w:pPr>
    </w:lvl>
    <w:lvl w:ilvl="2" w:tplc="A3929156" w:tentative="1">
      <w:start w:val="1"/>
      <w:numFmt w:val="lowerRoman"/>
      <w:lvlText w:val="%3."/>
      <w:lvlJc w:val="right"/>
      <w:pPr>
        <w:ind w:left="2160" w:hanging="180"/>
      </w:pPr>
    </w:lvl>
    <w:lvl w:ilvl="3" w:tplc="390C0D86" w:tentative="1">
      <w:start w:val="1"/>
      <w:numFmt w:val="decimal"/>
      <w:lvlText w:val="%4."/>
      <w:lvlJc w:val="left"/>
      <w:pPr>
        <w:ind w:left="2880" w:hanging="360"/>
      </w:pPr>
    </w:lvl>
    <w:lvl w:ilvl="4" w:tplc="0C7EBEDA" w:tentative="1">
      <w:start w:val="1"/>
      <w:numFmt w:val="lowerLetter"/>
      <w:lvlText w:val="%5."/>
      <w:lvlJc w:val="left"/>
      <w:pPr>
        <w:ind w:left="3600" w:hanging="360"/>
      </w:pPr>
    </w:lvl>
    <w:lvl w:ilvl="5" w:tplc="690C82E6" w:tentative="1">
      <w:start w:val="1"/>
      <w:numFmt w:val="lowerRoman"/>
      <w:lvlText w:val="%6."/>
      <w:lvlJc w:val="right"/>
      <w:pPr>
        <w:ind w:left="4320" w:hanging="180"/>
      </w:pPr>
    </w:lvl>
    <w:lvl w:ilvl="6" w:tplc="45AEACAA" w:tentative="1">
      <w:start w:val="1"/>
      <w:numFmt w:val="decimal"/>
      <w:lvlText w:val="%7."/>
      <w:lvlJc w:val="left"/>
      <w:pPr>
        <w:ind w:left="5040" w:hanging="360"/>
      </w:pPr>
    </w:lvl>
    <w:lvl w:ilvl="7" w:tplc="8496066C" w:tentative="1">
      <w:start w:val="1"/>
      <w:numFmt w:val="lowerLetter"/>
      <w:lvlText w:val="%8."/>
      <w:lvlJc w:val="left"/>
      <w:pPr>
        <w:ind w:left="5760" w:hanging="360"/>
      </w:pPr>
    </w:lvl>
    <w:lvl w:ilvl="8" w:tplc="CF6C0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332FDD"/>
    <w:multiLevelType w:val="hybridMultilevel"/>
    <w:tmpl w:val="01C687EC"/>
    <w:lvl w:ilvl="0" w:tplc="8D7A0F7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89BEC9E4">
      <w:start w:val="1"/>
      <w:numFmt w:val="bullet"/>
      <w:lvlText w:val=""/>
      <w:lvlJc w:val="left"/>
      <w:pPr>
        <w:ind w:left="2007" w:hanging="360"/>
      </w:pPr>
      <w:rPr>
        <w:rFonts w:ascii="Symbol" w:hAnsi="Symbol" w:hint="default"/>
        <w:sz w:val="16"/>
      </w:rPr>
    </w:lvl>
    <w:lvl w:ilvl="2" w:tplc="E88E17F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432F79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550F32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380D2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108563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338BBE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A240E2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37100E1B"/>
    <w:multiLevelType w:val="hybridMultilevel"/>
    <w:tmpl w:val="8C869BB8"/>
    <w:lvl w:ilvl="0" w:tplc="CD54AF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450596E">
      <w:start w:val="1"/>
      <w:numFmt w:val="lowerLetter"/>
      <w:lvlText w:val="%2."/>
      <w:lvlJc w:val="left"/>
      <w:pPr>
        <w:ind w:left="2149" w:hanging="360"/>
      </w:pPr>
    </w:lvl>
    <w:lvl w:ilvl="2" w:tplc="35184F22">
      <w:start w:val="1"/>
      <w:numFmt w:val="lowerLetter"/>
      <w:lvlText w:val="%3)"/>
      <w:lvlJc w:val="left"/>
      <w:pPr>
        <w:ind w:left="3397" w:hanging="708"/>
      </w:pPr>
      <w:rPr>
        <w:rFonts w:hint="default"/>
      </w:rPr>
    </w:lvl>
    <w:lvl w:ilvl="3" w:tplc="1E285DD6" w:tentative="1">
      <w:start w:val="1"/>
      <w:numFmt w:val="decimal"/>
      <w:lvlText w:val="%4."/>
      <w:lvlJc w:val="left"/>
      <w:pPr>
        <w:ind w:left="3589" w:hanging="360"/>
      </w:pPr>
    </w:lvl>
    <w:lvl w:ilvl="4" w:tplc="7422983C" w:tentative="1">
      <w:start w:val="1"/>
      <w:numFmt w:val="lowerLetter"/>
      <w:lvlText w:val="%5."/>
      <w:lvlJc w:val="left"/>
      <w:pPr>
        <w:ind w:left="4309" w:hanging="360"/>
      </w:pPr>
    </w:lvl>
    <w:lvl w:ilvl="5" w:tplc="D292C22A" w:tentative="1">
      <w:start w:val="1"/>
      <w:numFmt w:val="lowerRoman"/>
      <w:lvlText w:val="%6."/>
      <w:lvlJc w:val="right"/>
      <w:pPr>
        <w:ind w:left="5029" w:hanging="180"/>
      </w:pPr>
    </w:lvl>
    <w:lvl w:ilvl="6" w:tplc="66BEF1C6" w:tentative="1">
      <w:start w:val="1"/>
      <w:numFmt w:val="decimal"/>
      <w:lvlText w:val="%7."/>
      <w:lvlJc w:val="left"/>
      <w:pPr>
        <w:ind w:left="5749" w:hanging="360"/>
      </w:pPr>
    </w:lvl>
    <w:lvl w:ilvl="7" w:tplc="D858353E" w:tentative="1">
      <w:start w:val="1"/>
      <w:numFmt w:val="lowerLetter"/>
      <w:lvlText w:val="%8."/>
      <w:lvlJc w:val="left"/>
      <w:pPr>
        <w:ind w:left="6469" w:hanging="360"/>
      </w:pPr>
    </w:lvl>
    <w:lvl w:ilvl="8" w:tplc="FA066FD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7AF01FA"/>
    <w:multiLevelType w:val="hybridMultilevel"/>
    <w:tmpl w:val="02C0F624"/>
    <w:lvl w:ilvl="0" w:tplc="34CE2542">
      <w:start w:val="1"/>
      <w:numFmt w:val="decimal"/>
      <w:lvlText w:val="%1."/>
      <w:lvlJc w:val="left"/>
      <w:pPr>
        <w:ind w:left="720" w:hanging="360"/>
      </w:pPr>
    </w:lvl>
    <w:lvl w:ilvl="1" w:tplc="DF427520">
      <w:start w:val="1"/>
      <w:numFmt w:val="lowerLetter"/>
      <w:lvlText w:val="%2."/>
      <w:lvlJc w:val="left"/>
      <w:pPr>
        <w:ind w:left="1440" w:hanging="360"/>
      </w:pPr>
    </w:lvl>
    <w:lvl w:ilvl="2" w:tplc="B52CEFD2" w:tentative="1">
      <w:start w:val="1"/>
      <w:numFmt w:val="lowerRoman"/>
      <w:lvlText w:val="%3."/>
      <w:lvlJc w:val="right"/>
      <w:pPr>
        <w:ind w:left="2160" w:hanging="180"/>
      </w:pPr>
    </w:lvl>
    <w:lvl w:ilvl="3" w:tplc="15D4DF36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AC387304" w:tentative="1">
      <w:start w:val="1"/>
      <w:numFmt w:val="lowerLetter"/>
      <w:lvlText w:val="%5."/>
      <w:lvlJc w:val="left"/>
      <w:pPr>
        <w:ind w:left="3600" w:hanging="360"/>
      </w:pPr>
    </w:lvl>
    <w:lvl w:ilvl="5" w:tplc="D3D63518" w:tentative="1">
      <w:start w:val="1"/>
      <w:numFmt w:val="lowerRoman"/>
      <w:lvlText w:val="%6."/>
      <w:lvlJc w:val="right"/>
      <w:pPr>
        <w:ind w:left="4320" w:hanging="180"/>
      </w:pPr>
    </w:lvl>
    <w:lvl w:ilvl="6" w:tplc="58B8ECE6" w:tentative="1">
      <w:start w:val="1"/>
      <w:numFmt w:val="decimal"/>
      <w:lvlText w:val="%7."/>
      <w:lvlJc w:val="left"/>
      <w:pPr>
        <w:ind w:left="5040" w:hanging="360"/>
      </w:pPr>
    </w:lvl>
    <w:lvl w:ilvl="7" w:tplc="EEE20A06" w:tentative="1">
      <w:start w:val="1"/>
      <w:numFmt w:val="lowerLetter"/>
      <w:lvlText w:val="%8."/>
      <w:lvlJc w:val="left"/>
      <w:pPr>
        <w:ind w:left="5760" w:hanging="360"/>
      </w:pPr>
    </w:lvl>
    <w:lvl w:ilvl="8" w:tplc="E1F07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170915"/>
    <w:multiLevelType w:val="hybridMultilevel"/>
    <w:tmpl w:val="21E4B19A"/>
    <w:lvl w:ilvl="0" w:tplc="0ADE637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FDBC97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C21E1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6D221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CE8A3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16388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DC642D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20464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1CCE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38393272"/>
    <w:multiLevelType w:val="hybridMultilevel"/>
    <w:tmpl w:val="8876BF8E"/>
    <w:lvl w:ilvl="0" w:tplc="7FC2B18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665C7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988746E" w:tentative="1">
      <w:start w:val="1"/>
      <w:numFmt w:val="lowerRoman"/>
      <w:lvlText w:val="%3."/>
      <w:lvlJc w:val="right"/>
      <w:pPr>
        <w:ind w:left="2160" w:hanging="180"/>
      </w:pPr>
    </w:lvl>
    <w:lvl w:ilvl="3" w:tplc="36FA917C" w:tentative="1">
      <w:start w:val="1"/>
      <w:numFmt w:val="decimal"/>
      <w:lvlText w:val="%4."/>
      <w:lvlJc w:val="left"/>
      <w:pPr>
        <w:ind w:left="2880" w:hanging="360"/>
      </w:pPr>
    </w:lvl>
    <w:lvl w:ilvl="4" w:tplc="AC34C9DE" w:tentative="1">
      <w:start w:val="1"/>
      <w:numFmt w:val="lowerLetter"/>
      <w:lvlText w:val="%5."/>
      <w:lvlJc w:val="left"/>
      <w:pPr>
        <w:ind w:left="3600" w:hanging="360"/>
      </w:pPr>
    </w:lvl>
    <w:lvl w:ilvl="5" w:tplc="C8C0247C" w:tentative="1">
      <w:start w:val="1"/>
      <w:numFmt w:val="lowerRoman"/>
      <w:lvlText w:val="%6."/>
      <w:lvlJc w:val="right"/>
      <w:pPr>
        <w:ind w:left="4320" w:hanging="180"/>
      </w:pPr>
    </w:lvl>
    <w:lvl w:ilvl="6" w:tplc="EA30BE0C" w:tentative="1">
      <w:start w:val="1"/>
      <w:numFmt w:val="decimal"/>
      <w:lvlText w:val="%7."/>
      <w:lvlJc w:val="left"/>
      <w:pPr>
        <w:ind w:left="5040" w:hanging="360"/>
      </w:pPr>
    </w:lvl>
    <w:lvl w:ilvl="7" w:tplc="42682358" w:tentative="1">
      <w:start w:val="1"/>
      <w:numFmt w:val="lowerLetter"/>
      <w:lvlText w:val="%8."/>
      <w:lvlJc w:val="left"/>
      <w:pPr>
        <w:ind w:left="5760" w:hanging="360"/>
      </w:pPr>
    </w:lvl>
    <w:lvl w:ilvl="8" w:tplc="3452BA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AF5FE3"/>
    <w:multiLevelType w:val="hybridMultilevel"/>
    <w:tmpl w:val="C4BE6154"/>
    <w:lvl w:ilvl="0" w:tplc="53C64A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D56808C">
      <w:start w:val="1"/>
      <w:numFmt w:val="lowerLetter"/>
      <w:lvlText w:val="%2."/>
      <w:lvlJc w:val="left"/>
      <w:pPr>
        <w:ind w:left="2149" w:hanging="360"/>
      </w:pPr>
    </w:lvl>
    <w:lvl w:ilvl="2" w:tplc="1960CD7A">
      <w:start w:val="1"/>
      <w:numFmt w:val="lowerLetter"/>
      <w:lvlText w:val="%3)"/>
      <w:lvlJc w:val="left"/>
      <w:pPr>
        <w:ind w:left="3397" w:hanging="708"/>
      </w:pPr>
      <w:rPr>
        <w:rFonts w:hint="default"/>
      </w:rPr>
    </w:lvl>
    <w:lvl w:ilvl="3" w:tplc="425C1386" w:tentative="1">
      <w:start w:val="1"/>
      <w:numFmt w:val="decimal"/>
      <w:lvlText w:val="%4."/>
      <w:lvlJc w:val="left"/>
      <w:pPr>
        <w:ind w:left="3589" w:hanging="360"/>
      </w:pPr>
    </w:lvl>
    <w:lvl w:ilvl="4" w:tplc="80DC0224" w:tentative="1">
      <w:start w:val="1"/>
      <w:numFmt w:val="lowerLetter"/>
      <w:lvlText w:val="%5."/>
      <w:lvlJc w:val="left"/>
      <w:pPr>
        <w:ind w:left="4309" w:hanging="360"/>
      </w:pPr>
    </w:lvl>
    <w:lvl w:ilvl="5" w:tplc="8A92724E" w:tentative="1">
      <w:start w:val="1"/>
      <w:numFmt w:val="lowerRoman"/>
      <w:lvlText w:val="%6."/>
      <w:lvlJc w:val="right"/>
      <w:pPr>
        <w:ind w:left="5029" w:hanging="180"/>
      </w:pPr>
    </w:lvl>
    <w:lvl w:ilvl="6" w:tplc="A6BAD57E" w:tentative="1">
      <w:start w:val="1"/>
      <w:numFmt w:val="decimal"/>
      <w:lvlText w:val="%7."/>
      <w:lvlJc w:val="left"/>
      <w:pPr>
        <w:ind w:left="5749" w:hanging="360"/>
      </w:pPr>
    </w:lvl>
    <w:lvl w:ilvl="7" w:tplc="DD4C4896" w:tentative="1">
      <w:start w:val="1"/>
      <w:numFmt w:val="lowerLetter"/>
      <w:lvlText w:val="%8."/>
      <w:lvlJc w:val="left"/>
      <w:pPr>
        <w:ind w:left="6469" w:hanging="360"/>
      </w:pPr>
    </w:lvl>
    <w:lvl w:ilvl="8" w:tplc="257C6E5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1B5059D"/>
    <w:multiLevelType w:val="hybridMultilevel"/>
    <w:tmpl w:val="F8AA1EE0"/>
    <w:lvl w:ilvl="0" w:tplc="A08E0276">
      <w:start w:val="1"/>
      <w:numFmt w:val="lowerLetter"/>
      <w:lvlText w:val="%1)"/>
      <w:lvlJc w:val="left"/>
      <w:pPr>
        <w:ind w:left="1429" w:hanging="360"/>
      </w:pPr>
      <w:rPr>
        <w:rFonts w:eastAsia="Calibri" w:cs="Arial" w:hint="default"/>
      </w:rPr>
    </w:lvl>
    <w:lvl w:ilvl="1" w:tplc="A5228178" w:tentative="1">
      <w:start w:val="1"/>
      <w:numFmt w:val="lowerLetter"/>
      <w:lvlText w:val="%2."/>
      <w:lvlJc w:val="left"/>
      <w:pPr>
        <w:ind w:left="2149" w:hanging="360"/>
      </w:pPr>
    </w:lvl>
    <w:lvl w:ilvl="2" w:tplc="56FEDA5A" w:tentative="1">
      <w:start w:val="1"/>
      <w:numFmt w:val="lowerRoman"/>
      <w:lvlText w:val="%3."/>
      <w:lvlJc w:val="right"/>
      <w:pPr>
        <w:ind w:left="2869" w:hanging="180"/>
      </w:pPr>
    </w:lvl>
    <w:lvl w:ilvl="3" w:tplc="5D16A768" w:tentative="1">
      <w:start w:val="1"/>
      <w:numFmt w:val="decimal"/>
      <w:lvlText w:val="%4."/>
      <w:lvlJc w:val="left"/>
      <w:pPr>
        <w:ind w:left="3589" w:hanging="360"/>
      </w:pPr>
    </w:lvl>
    <w:lvl w:ilvl="4" w:tplc="E140F2A2" w:tentative="1">
      <w:start w:val="1"/>
      <w:numFmt w:val="lowerLetter"/>
      <w:lvlText w:val="%5."/>
      <w:lvlJc w:val="left"/>
      <w:pPr>
        <w:ind w:left="4309" w:hanging="360"/>
      </w:pPr>
    </w:lvl>
    <w:lvl w:ilvl="5" w:tplc="B108319C" w:tentative="1">
      <w:start w:val="1"/>
      <w:numFmt w:val="lowerRoman"/>
      <w:lvlText w:val="%6."/>
      <w:lvlJc w:val="right"/>
      <w:pPr>
        <w:ind w:left="5029" w:hanging="180"/>
      </w:pPr>
    </w:lvl>
    <w:lvl w:ilvl="6" w:tplc="991898DC" w:tentative="1">
      <w:start w:val="1"/>
      <w:numFmt w:val="decimal"/>
      <w:lvlText w:val="%7."/>
      <w:lvlJc w:val="left"/>
      <w:pPr>
        <w:ind w:left="5749" w:hanging="360"/>
      </w:pPr>
    </w:lvl>
    <w:lvl w:ilvl="7" w:tplc="CFA0D2D8" w:tentative="1">
      <w:start w:val="1"/>
      <w:numFmt w:val="lowerLetter"/>
      <w:lvlText w:val="%8."/>
      <w:lvlJc w:val="left"/>
      <w:pPr>
        <w:ind w:left="6469" w:hanging="360"/>
      </w:pPr>
    </w:lvl>
    <w:lvl w:ilvl="8" w:tplc="4DAC213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877491D"/>
    <w:multiLevelType w:val="hybridMultilevel"/>
    <w:tmpl w:val="C7824FFA"/>
    <w:styleLink w:val="ListStyle-ListBulletNoSpacing11"/>
    <w:lvl w:ilvl="0" w:tplc="E7BC94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64A82A8" w:tentative="1">
      <w:start w:val="1"/>
      <w:numFmt w:val="lowerLetter"/>
      <w:lvlText w:val="%2."/>
      <w:lvlJc w:val="left"/>
      <w:pPr>
        <w:ind w:left="1440" w:hanging="360"/>
      </w:pPr>
    </w:lvl>
    <w:lvl w:ilvl="2" w:tplc="0D3AB528" w:tentative="1">
      <w:start w:val="1"/>
      <w:numFmt w:val="lowerRoman"/>
      <w:lvlText w:val="%3."/>
      <w:lvlJc w:val="right"/>
      <w:pPr>
        <w:ind w:left="2160" w:hanging="180"/>
      </w:pPr>
    </w:lvl>
    <w:lvl w:ilvl="3" w:tplc="5A20E9B6" w:tentative="1">
      <w:start w:val="1"/>
      <w:numFmt w:val="decimal"/>
      <w:lvlText w:val="%4."/>
      <w:lvlJc w:val="left"/>
      <w:pPr>
        <w:ind w:left="2880" w:hanging="360"/>
      </w:pPr>
    </w:lvl>
    <w:lvl w:ilvl="4" w:tplc="8E34C982" w:tentative="1">
      <w:start w:val="1"/>
      <w:numFmt w:val="lowerLetter"/>
      <w:lvlText w:val="%5."/>
      <w:lvlJc w:val="left"/>
      <w:pPr>
        <w:ind w:left="3600" w:hanging="360"/>
      </w:pPr>
    </w:lvl>
    <w:lvl w:ilvl="5" w:tplc="0A1C1908" w:tentative="1">
      <w:start w:val="1"/>
      <w:numFmt w:val="lowerRoman"/>
      <w:lvlText w:val="%6."/>
      <w:lvlJc w:val="right"/>
      <w:pPr>
        <w:ind w:left="4320" w:hanging="180"/>
      </w:pPr>
    </w:lvl>
    <w:lvl w:ilvl="6" w:tplc="D104FD04" w:tentative="1">
      <w:start w:val="1"/>
      <w:numFmt w:val="decimal"/>
      <w:lvlText w:val="%7."/>
      <w:lvlJc w:val="left"/>
      <w:pPr>
        <w:ind w:left="5040" w:hanging="360"/>
      </w:pPr>
    </w:lvl>
    <w:lvl w:ilvl="7" w:tplc="32568B24" w:tentative="1">
      <w:start w:val="1"/>
      <w:numFmt w:val="lowerLetter"/>
      <w:lvlText w:val="%8."/>
      <w:lvlJc w:val="left"/>
      <w:pPr>
        <w:ind w:left="5760" w:hanging="360"/>
      </w:pPr>
    </w:lvl>
    <w:lvl w:ilvl="8" w:tplc="6B52A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6C3C83"/>
    <w:multiLevelType w:val="hybridMultilevel"/>
    <w:tmpl w:val="D0805DAC"/>
    <w:lvl w:ilvl="0" w:tplc="271E32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436F002" w:tentative="1">
      <w:start w:val="1"/>
      <w:numFmt w:val="lowerLetter"/>
      <w:lvlText w:val="%2."/>
      <w:lvlJc w:val="left"/>
      <w:pPr>
        <w:ind w:left="1440" w:hanging="360"/>
      </w:pPr>
    </w:lvl>
    <w:lvl w:ilvl="2" w:tplc="04DA6DBC" w:tentative="1">
      <w:start w:val="1"/>
      <w:numFmt w:val="lowerRoman"/>
      <w:lvlText w:val="%3."/>
      <w:lvlJc w:val="right"/>
      <w:pPr>
        <w:ind w:left="2160" w:hanging="180"/>
      </w:pPr>
    </w:lvl>
    <w:lvl w:ilvl="3" w:tplc="58787E86" w:tentative="1">
      <w:start w:val="1"/>
      <w:numFmt w:val="decimal"/>
      <w:lvlText w:val="%4."/>
      <w:lvlJc w:val="left"/>
      <w:pPr>
        <w:ind w:left="2880" w:hanging="360"/>
      </w:pPr>
    </w:lvl>
    <w:lvl w:ilvl="4" w:tplc="6806178A" w:tentative="1">
      <w:start w:val="1"/>
      <w:numFmt w:val="lowerLetter"/>
      <w:lvlText w:val="%5."/>
      <w:lvlJc w:val="left"/>
      <w:pPr>
        <w:ind w:left="3600" w:hanging="360"/>
      </w:pPr>
    </w:lvl>
    <w:lvl w:ilvl="5" w:tplc="53F4155E" w:tentative="1">
      <w:start w:val="1"/>
      <w:numFmt w:val="lowerRoman"/>
      <w:lvlText w:val="%6."/>
      <w:lvlJc w:val="right"/>
      <w:pPr>
        <w:ind w:left="4320" w:hanging="180"/>
      </w:pPr>
    </w:lvl>
    <w:lvl w:ilvl="6" w:tplc="F75C2E86" w:tentative="1">
      <w:start w:val="1"/>
      <w:numFmt w:val="decimal"/>
      <w:lvlText w:val="%7."/>
      <w:lvlJc w:val="left"/>
      <w:pPr>
        <w:ind w:left="5040" w:hanging="360"/>
      </w:pPr>
    </w:lvl>
    <w:lvl w:ilvl="7" w:tplc="5282E0B2" w:tentative="1">
      <w:start w:val="1"/>
      <w:numFmt w:val="lowerLetter"/>
      <w:lvlText w:val="%8."/>
      <w:lvlJc w:val="left"/>
      <w:pPr>
        <w:ind w:left="5760" w:hanging="360"/>
      </w:pPr>
    </w:lvl>
    <w:lvl w:ilvl="8" w:tplc="C4D4A3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926A03"/>
    <w:multiLevelType w:val="hybridMultilevel"/>
    <w:tmpl w:val="AC8AD06A"/>
    <w:lvl w:ilvl="0" w:tplc="7D4A1F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38D47A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785E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223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C7A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403E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6C9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849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04D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976721"/>
    <w:multiLevelType w:val="hybridMultilevel"/>
    <w:tmpl w:val="F14EFC96"/>
    <w:lvl w:ilvl="0" w:tplc="EACEA9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5E9AC4F4" w:tentative="1">
      <w:start w:val="1"/>
      <w:numFmt w:val="lowerLetter"/>
      <w:lvlText w:val="%2."/>
      <w:lvlJc w:val="left"/>
      <w:pPr>
        <w:ind w:left="1440" w:hanging="360"/>
      </w:pPr>
    </w:lvl>
    <w:lvl w:ilvl="2" w:tplc="3BE2DBD4" w:tentative="1">
      <w:start w:val="1"/>
      <w:numFmt w:val="lowerRoman"/>
      <w:lvlText w:val="%3."/>
      <w:lvlJc w:val="right"/>
      <w:pPr>
        <w:ind w:left="2160" w:hanging="180"/>
      </w:pPr>
    </w:lvl>
    <w:lvl w:ilvl="3" w:tplc="FEBC026E" w:tentative="1">
      <w:start w:val="1"/>
      <w:numFmt w:val="decimal"/>
      <w:lvlText w:val="%4."/>
      <w:lvlJc w:val="left"/>
      <w:pPr>
        <w:ind w:left="2880" w:hanging="360"/>
      </w:pPr>
    </w:lvl>
    <w:lvl w:ilvl="4" w:tplc="9E5CE126" w:tentative="1">
      <w:start w:val="1"/>
      <w:numFmt w:val="lowerLetter"/>
      <w:lvlText w:val="%5."/>
      <w:lvlJc w:val="left"/>
      <w:pPr>
        <w:ind w:left="3600" w:hanging="360"/>
      </w:pPr>
    </w:lvl>
    <w:lvl w:ilvl="5" w:tplc="34AAD8CE" w:tentative="1">
      <w:start w:val="1"/>
      <w:numFmt w:val="lowerRoman"/>
      <w:lvlText w:val="%6."/>
      <w:lvlJc w:val="right"/>
      <w:pPr>
        <w:ind w:left="4320" w:hanging="180"/>
      </w:pPr>
    </w:lvl>
    <w:lvl w:ilvl="6" w:tplc="0B563406" w:tentative="1">
      <w:start w:val="1"/>
      <w:numFmt w:val="decimal"/>
      <w:lvlText w:val="%7."/>
      <w:lvlJc w:val="left"/>
      <w:pPr>
        <w:ind w:left="5040" w:hanging="360"/>
      </w:pPr>
    </w:lvl>
    <w:lvl w:ilvl="7" w:tplc="12803B70" w:tentative="1">
      <w:start w:val="1"/>
      <w:numFmt w:val="lowerLetter"/>
      <w:lvlText w:val="%8."/>
      <w:lvlJc w:val="left"/>
      <w:pPr>
        <w:ind w:left="5760" w:hanging="360"/>
      </w:pPr>
    </w:lvl>
    <w:lvl w:ilvl="8" w:tplc="933E4F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EA2E9A"/>
    <w:multiLevelType w:val="hybridMultilevel"/>
    <w:tmpl w:val="68CA6308"/>
    <w:lvl w:ilvl="0" w:tplc="C3A4FC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FD05D2A" w:tentative="1">
      <w:start w:val="1"/>
      <w:numFmt w:val="lowerLetter"/>
      <w:lvlText w:val="%2."/>
      <w:lvlJc w:val="left"/>
      <w:pPr>
        <w:ind w:left="1440" w:hanging="360"/>
      </w:pPr>
    </w:lvl>
    <w:lvl w:ilvl="2" w:tplc="A7501A68" w:tentative="1">
      <w:start w:val="1"/>
      <w:numFmt w:val="lowerRoman"/>
      <w:lvlText w:val="%3."/>
      <w:lvlJc w:val="right"/>
      <w:pPr>
        <w:ind w:left="2160" w:hanging="180"/>
      </w:pPr>
    </w:lvl>
    <w:lvl w:ilvl="3" w:tplc="63809E16" w:tentative="1">
      <w:start w:val="1"/>
      <w:numFmt w:val="decimal"/>
      <w:lvlText w:val="%4."/>
      <w:lvlJc w:val="left"/>
      <w:pPr>
        <w:ind w:left="2880" w:hanging="360"/>
      </w:pPr>
    </w:lvl>
    <w:lvl w:ilvl="4" w:tplc="4DB816D6" w:tentative="1">
      <w:start w:val="1"/>
      <w:numFmt w:val="lowerLetter"/>
      <w:lvlText w:val="%5."/>
      <w:lvlJc w:val="left"/>
      <w:pPr>
        <w:ind w:left="3600" w:hanging="360"/>
      </w:pPr>
    </w:lvl>
    <w:lvl w:ilvl="5" w:tplc="726C04A6" w:tentative="1">
      <w:start w:val="1"/>
      <w:numFmt w:val="lowerRoman"/>
      <w:lvlText w:val="%6."/>
      <w:lvlJc w:val="right"/>
      <w:pPr>
        <w:ind w:left="4320" w:hanging="180"/>
      </w:pPr>
    </w:lvl>
    <w:lvl w:ilvl="6" w:tplc="9E4A2406" w:tentative="1">
      <w:start w:val="1"/>
      <w:numFmt w:val="decimal"/>
      <w:lvlText w:val="%7."/>
      <w:lvlJc w:val="left"/>
      <w:pPr>
        <w:ind w:left="5040" w:hanging="360"/>
      </w:pPr>
    </w:lvl>
    <w:lvl w:ilvl="7" w:tplc="5978B4B6" w:tentative="1">
      <w:start w:val="1"/>
      <w:numFmt w:val="lowerLetter"/>
      <w:lvlText w:val="%8."/>
      <w:lvlJc w:val="left"/>
      <w:pPr>
        <w:ind w:left="5760" w:hanging="360"/>
      </w:pPr>
    </w:lvl>
    <w:lvl w:ilvl="8" w:tplc="5D4A5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2D363F"/>
    <w:multiLevelType w:val="hybridMultilevel"/>
    <w:tmpl w:val="89283872"/>
    <w:lvl w:ilvl="0" w:tplc="E26E3856">
      <w:start w:val="1"/>
      <w:numFmt w:val="lowerLetter"/>
      <w:lvlText w:val="%1)"/>
      <w:lvlJc w:val="left"/>
      <w:pPr>
        <w:ind w:left="1069" w:hanging="360"/>
      </w:pPr>
      <w:rPr>
        <w:rFonts w:eastAsia="Calibri" w:cs="Arial" w:hint="default"/>
      </w:rPr>
    </w:lvl>
    <w:lvl w:ilvl="1" w:tplc="9EA487EC" w:tentative="1">
      <w:start w:val="1"/>
      <w:numFmt w:val="lowerLetter"/>
      <w:lvlText w:val="%2."/>
      <w:lvlJc w:val="left"/>
      <w:pPr>
        <w:ind w:left="1789" w:hanging="360"/>
      </w:pPr>
    </w:lvl>
    <w:lvl w:ilvl="2" w:tplc="03182836" w:tentative="1">
      <w:start w:val="1"/>
      <w:numFmt w:val="lowerRoman"/>
      <w:lvlText w:val="%3."/>
      <w:lvlJc w:val="right"/>
      <w:pPr>
        <w:ind w:left="2509" w:hanging="180"/>
      </w:pPr>
    </w:lvl>
    <w:lvl w:ilvl="3" w:tplc="E2DEEF90" w:tentative="1">
      <w:start w:val="1"/>
      <w:numFmt w:val="decimal"/>
      <w:lvlText w:val="%4."/>
      <w:lvlJc w:val="left"/>
      <w:pPr>
        <w:ind w:left="3229" w:hanging="360"/>
      </w:pPr>
    </w:lvl>
    <w:lvl w:ilvl="4" w:tplc="FE6E89B4" w:tentative="1">
      <w:start w:val="1"/>
      <w:numFmt w:val="lowerLetter"/>
      <w:lvlText w:val="%5."/>
      <w:lvlJc w:val="left"/>
      <w:pPr>
        <w:ind w:left="3949" w:hanging="360"/>
      </w:pPr>
    </w:lvl>
    <w:lvl w:ilvl="5" w:tplc="286E6F00" w:tentative="1">
      <w:start w:val="1"/>
      <w:numFmt w:val="lowerRoman"/>
      <w:lvlText w:val="%6."/>
      <w:lvlJc w:val="right"/>
      <w:pPr>
        <w:ind w:left="4669" w:hanging="180"/>
      </w:pPr>
    </w:lvl>
    <w:lvl w:ilvl="6" w:tplc="C3065A1E" w:tentative="1">
      <w:start w:val="1"/>
      <w:numFmt w:val="decimal"/>
      <w:lvlText w:val="%7."/>
      <w:lvlJc w:val="left"/>
      <w:pPr>
        <w:ind w:left="5389" w:hanging="360"/>
      </w:pPr>
    </w:lvl>
    <w:lvl w:ilvl="7" w:tplc="C8700830" w:tentative="1">
      <w:start w:val="1"/>
      <w:numFmt w:val="lowerLetter"/>
      <w:lvlText w:val="%8."/>
      <w:lvlJc w:val="left"/>
      <w:pPr>
        <w:ind w:left="6109" w:hanging="360"/>
      </w:pPr>
    </w:lvl>
    <w:lvl w:ilvl="8" w:tplc="540225C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54F63287"/>
    <w:multiLevelType w:val="hybridMultilevel"/>
    <w:tmpl w:val="738C6200"/>
    <w:lvl w:ilvl="0" w:tplc="547CA5A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EF16D6B8" w:tentative="1">
      <w:start w:val="1"/>
      <w:numFmt w:val="lowerLetter"/>
      <w:lvlText w:val="%2."/>
      <w:lvlJc w:val="left"/>
      <w:pPr>
        <w:ind w:left="1440" w:hanging="360"/>
      </w:pPr>
    </w:lvl>
    <w:lvl w:ilvl="2" w:tplc="DAF6B936" w:tentative="1">
      <w:start w:val="1"/>
      <w:numFmt w:val="lowerRoman"/>
      <w:lvlText w:val="%3."/>
      <w:lvlJc w:val="right"/>
      <w:pPr>
        <w:ind w:left="2160" w:hanging="180"/>
      </w:pPr>
    </w:lvl>
    <w:lvl w:ilvl="3" w:tplc="01BE3CD8" w:tentative="1">
      <w:start w:val="1"/>
      <w:numFmt w:val="decimal"/>
      <w:lvlText w:val="%4."/>
      <w:lvlJc w:val="left"/>
      <w:pPr>
        <w:ind w:left="2880" w:hanging="360"/>
      </w:pPr>
    </w:lvl>
    <w:lvl w:ilvl="4" w:tplc="8B746160" w:tentative="1">
      <w:start w:val="1"/>
      <w:numFmt w:val="lowerLetter"/>
      <w:lvlText w:val="%5."/>
      <w:lvlJc w:val="left"/>
      <w:pPr>
        <w:ind w:left="3600" w:hanging="360"/>
      </w:pPr>
    </w:lvl>
    <w:lvl w:ilvl="5" w:tplc="0FA6D8AA" w:tentative="1">
      <w:start w:val="1"/>
      <w:numFmt w:val="lowerRoman"/>
      <w:lvlText w:val="%6."/>
      <w:lvlJc w:val="right"/>
      <w:pPr>
        <w:ind w:left="4320" w:hanging="180"/>
      </w:pPr>
    </w:lvl>
    <w:lvl w:ilvl="6" w:tplc="A70269AC" w:tentative="1">
      <w:start w:val="1"/>
      <w:numFmt w:val="decimal"/>
      <w:lvlText w:val="%7."/>
      <w:lvlJc w:val="left"/>
      <w:pPr>
        <w:ind w:left="5040" w:hanging="360"/>
      </w:pPr>
    </w:lvl>
    <w:lvl w:ilvl="7" w:tplc="4D2607F0" w:tentative="1">
      <w:start w:val="1"/>
      <w:numFmt w:val="lowerLetter"/>
      <w:lvlText w:val="%8."/>
      <w:lvlJc w:val="left"/>
      <w:pPr>
        <w:ind w:left="5760" w:hanging="360"/>
      </w:pPr>
    </w:lvl>
    <w:lvl w:ilvl="8" w:tplc="C86421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6235EB"/>
    <w:multiLevelType w:val="hybridMultilevel"/>
    <w:tmpl w:val="C7824FFA"/>
    <w:lvl w:ilvl="0" w:tplc="F57AF3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79E8530" w:tentative="1">
      <w:start w:val="1"/>
      <w:numFmt w:val="lowerLetter"/>
      <w:lvlText w:val="%2."/>
      <w:lvlJc w:val="left"/>
      <w:pPr>
        <w:ind w:left="1440" w:hanging="360"/>
      </w:pPr>
    </w:lvl>
    <w:lvl w:ilvl="2" w:tplc="EEA83384" w:tentative="1">
      <w:start w:val="1"/>
      <w:numFmt w:val="lowerRoman"/>
      <w:lvlText w:val="%3."/>
      <w:lvlJc w:val="right"/>
      <w:pPr>
        <w:ind w:left="2160" w:hanging="180"/>
      </w:pPr>
    </w:lvl>
    <w:lvl w:ilvl="3" w:tplc="D09EDCDC" w:tentative="1">
      <w:start w:val="1"/>
      <w:numFmt w:val="decimal"/>
      <w:lvlText w:val="%4."/>
      <w:lvlJc w:val="left"/>
      <w:pPr>
        <w:ind w:left="2880" w:hanging="360"/>
      </w:pPr>
    </w:lvl>
    <w:lvl w:ilvl="4" w:tplc="86A612C4" w:tentative="1">
      <w:start w:val="1"/>
      <w:numFmt w:val="lowerLetter"/>
      <w:lvlText w:val="%5."/>
      <w:lvlJc w:val="left"/>
      <w:pPr>
        <w:ind w:left="3600" w:hanging="360"/>
      </w:pPr>
    </w:lvl>
    <w:lvl w:ilvl="5" w:tplc="3B0A4B8C" w:tentative="1">
      <w:start w:val="1"/>
      <w:numFmt w:val="lowerRoman"/>
      <w:lvlText w:val="%6."/>
      <w:lvlJc w:val="right"/>
      <w:pPr>
        <w:ind w:left="4320" w:hanging="180"/>
      </w:pPr>
    </w:lvl>
    <w:lvl w:ilvl="6" w:tplc="8960C16C" w:tentative="1">
      <w:start w:val="1"/>
      <w:numFmt w:val="decimal"/>
      <w:lvlText w:val="%7."/>
      <w:lvlJc w:val="left"/>
      <w:pPr>
        <w:ind w:left="5040" w:hanging="360"/>
      </w:pPr>
    </w:lvl>
    <w:lvl w:ilvl="7" w:tplc="E8F836DC" w:tentative="1">
      <w:start w:val="1"/>
      <w:numFmt w:val="lowerLetter"/>
      <w:lvlText w:val="%8."/>
      <w:lvlJc w:val="left"/>
      <w:pPr>
        <w:ind w:left="5760" w:hanging="360"/>
      </w:pPr>
    </w:lvl>
    <w:lvl w:ilvl="8" w:tplc="E90612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DD5FC4"/>
    <w:multiLevelType w:val="hybridMultilevel"/>
    <w:tmpl w:val="8876BF8E"/>
    <w:lvl w:ilvl="0" w:tplc="6EEA9018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7584B9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DDA61B0" w:tentative="1">
      <w:start w:val="1"/>
      <w:numFmt w:val="lowerRoman"/>
      <w:lvlText w:val="%3."/>
      <w:lvlJc w:val="right"/>
      <w:pPr>
        <w:ind w:left="2160" w:hanging="180"/>
      </w:pPr>
    </w:lvl>
    <w:lvl w:ilvl="3" w:tplc="00505086" w:tentative="1">
      <w:start w:val="1"/>
      <w:numFmt w:val="decimal"/>
      <w:lvlText w:val="%4."/>
      <w:lvlJc w:val="left"/>
      <w:pPr>
        <w:ind w:left="2880" w:hanging="360"/>
      </w:pPr>
    </w:lvl>
    <w:lvl w:ilvl="4" w:tplc="98E0766E" w:tentative="1">
      <w:start w:val="1"/>
      <w:numFmt w:val="lowerLetter"/>
      <w:lvlText w:val="%5."/>
      <w:lvlJc w:val="left"/>
      <w:pPr>
        <w:ind w:left="3600" w:hanging="360"/>
      </w:pPr>
    </w:lvl>
    <w:lvl w:ilvl="5" w:tplc="B8E6D750" w:tentative="1">
      <w:start w:val="1"/>
      <w:numFmt w:val="lowerRoman"/>
      <w:lvlText w:val="%6."/>
      <w:lvlJc w:val="right"/>
      <w:pPr>
        <w:ind w:left="4320" w:hanging="180"/>
      </w:pPr>
    </w:lvl>
    <w:lvl w:ilvl="6" w:tplc="C11CD5BE" w:tentative="1">
      <w:start w:val="1"/>
      <w:numFmt w:val="decimal"/>
      <w:lvlText w:val="%7."/>
      <w:lvlJc w:val="left"/>
      <w:pPr>
        <w:ind w:left="5040" w:hanging="360"/>
      </w:pPr>
    </w:lvl>
    <w:lvl w:ilvl="7" w:tplc="81F4F452" w:tentative="1">
      <w:start w:val="1"/>
      <w:numFmt w:val="lowerLetter"/>
      <w:lvlText w:val="%8."/>
      <w:lvlJc w:val="left"/>
      <w:pPr>
        <w:ind w:left="5760" w:hanging="360"/>
      </w:pPr>
    </w:lvl>
    <w:lvl w:ilvl="8" w:tplc="91166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111F89"/>
    <w:multiLevelType w:val="multilevel"/>
    <w:tmpl w:val="601CA908"/>
    <w:styleLink w:val="ListStyle-ListBullet1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706E76"/>
    <w:multiLevelType w:val="hybridMultilevel"/>
    <w:tmpl w:val="8876BF8E"/>
    <w:lvl w:ilvl="0" w:tplc="9948FDF8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970C4E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E844F18" w:tentative="1">
      <w:start w:val="1"/>
      <w:numFmt w:val="lowerRoman"/>
      <w:lvlText w:val="%3."/>
      <w:lvlJc w:val="right"/>
      <w:pPr>
        <w:ind w:left="2160" w:hanging="180"/>
      </w:pPr>
    </w:lvl>
    <w:lvl w:ilvl="3" w:tplc="C03A034A" w:tentative="1">
      <w:start w:val="1"/>
      <w:numFmt w:val="decimal"/>
      <w:lvlText w:val="%4."/>
      <w:lvlJc w:val="left"/>
      <w:pPr>
        <w:ind w:left="2880" w:hanging="360"/>
      </w:pPr>
    </w:lvl>
    <w:lvl w:ilvl="4" w:tplc="83D28D2E" w:tentative="1">
      <w:start w:val="1"/>
      <w:numFmt w:val="lowerLetter"/>
      <w:lvlText w:val="%5."/>
      <w:lvlJc w:val="left"/>
      <w:pPr>
        <w:ind w:left="3600" w:hanging="360"/>
      </w:pPr>
    </w:lvl>
    <w:lvl w:ilvl="5" w:tplc="C26E78A4" w:tentative="1">
      <w:start w:val="1"/>
      <w:numFmt w:val="lowerRoman"/>
      <w:lvlText w:val="%6."/>
      <w:lvlJc w:val="right"/>
      <w:pPr>
        <w:ind w:left="4320" w:hanging="180"/>
      </w:pPr>
    </w:lvl>
    <w:lvl w:ilvl="6" w:tplc="B01EDFDA" w:tentative="1">
      <w:start w:val="1"/>
      <w:numFmt w:val="decimal"/>
      <w:lvlText w:val="%7."/>
      <w:lvlJc w:val="left"/>
      <w:pPr>
        <w:ind w:left="5040" w:hanging="360"/>
      </w:pPr>
    </w:lvl>
    <w:lvl w:ilvl="7" w:tplc="5AE457C4" w:tentative="1">
      <w:start w:val="1"/>
      <w:numFmt w:val="lowerLetter"/>
      <w:lvlText w:val="%8."/>
      <w:lvlJc w:val="left"/>
      <w:pPr>
        <w:ind w:left="5760" w:hanging="360"/>
      </w:pPr>
    </w:lvl>
    <w:lvl w:ilvl="8" w:tplc="5344BA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2995061"/>
    <w:multiLevelType w:val="hybridMultilevel"/>
    <w:tmpl w:val="4456F50C"/>
    <w:lvl w:ilvl="0" w:tplc="9214B338">
      <w:start w:val="1"/>
      <w:numFmt w:val="lowerLetter"/>
      <w:lvlText w:val="%1)"/>
      <w:lvlJc w:val="left"/>
      <w:pPr>
        <w:ind w:left="720" w:hanging="360"/>
      </w:pPr>
    </w:lvl>
    <w:lvl w:ilvl="1" w:tplc="066A4AFA">
      <w:start w:val="1"/>
      <w:numFmt w:val="lowerLetter"/>
      <w:lvlText w:val="%2."/>
      <w:lvlJc w:val="left"/>
      <w:pPr>
        <w:ind w:left="1440" w:hanging="360"/>
      </w:pPr>
    </w:lvl>
    <w:lvl w:ilvl="2" w:tplc="D220C04E">
      <w:start w:val="1"/>
      <w:numFmt w:val="lowerRoman"/>
      <w:lvlText w:val="%3."/>
      <w:lvlJc w:val="right"/>
      <w:pPr>
        <w:ind w:left="2160" w:hanging="180"/>
      </w:pPr>
    </w:lvl>
    <w:lvl w:ilvl="3" w:tplc="EED03BFA">
      <w:start w:val="1"/>
      <w:numFmt w:val="decimal"/>
      <w:lvlText w:val="%4."/>
      <w:lvlJc w:val="left"/>
      <w:pPr>
        <w:ind w:left="2880" w:hanging="360"/>
      </w:pPr>
    </w:lvl>
    <w:lvl w:ilvl="4" w:tplc="412ED42E">
      <w:start w:val="1"/>
      <w:numFmt w:val="lowerLetter"/>
      <w:lvlText w:val="%5."/>
      <w:lvlJc w:val="left"/>
      <w:pPr>
        <w:ind w:left="3600" w:hanging="360"/>
      </w:pPr>
    </w:lvl>
    <w:lvl w:ilvl="5" w:tplc="7B1AF67A">
      <w:start w:val="1"/>
      <w:numFmt w:val="lowerRoman"/>
      <w:lvlText w:val="%6."/>
      <w:lvlJc w:val="right"/>
      <w:pPr>
        <w:ind w:left="4320" w:hanging="180"/>
      </w:pPr>
    </w:lvl>
    <w:lvl w:ilvl="6" w:tplc="5E36D72C">
      <w:start w:val="1"/>
      <w:numFmt w:val="decimal"/>
      <w:lvlText w:val="%7."/>
      <w:lvlJc w:val="left"/>
      <w:pPr>
        <w:ind w:left="5040" w:hanging="360"/>
      </w:pPr>
    </w:lvl>
    <w:lvl w:ilvl="7" w:tplc="55B0B086">
      <w:start w:val="1"/>
      <w:numFmt w:val="lowerLetter"/>
      <w:lvlText w:val="%8."/>
      <w:lvlJc w:val="left"/>
      <w:pPr>
        <w:ind w:left="5760" w:hanging="360"/>
      </w:pPr>
    </w:lvl>
    <w:lvl w:ilvl="8" w:tplc="A4FAA88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0C615B"/>
    <w:multiLevelType w:val="hybridMultilevel"/>
    <w:tmpl w:val="7CCAC1BE"/>
    <w:lvl w:ilvl="0" w:tplc="76E81FCE">
      <w:start w:val="1"/>
      <w:numFmt w:val="decimal"/>
      <w:lvlText w:val="%1."/>
      <w:lvlJc w:val="left"/>
      <w:pPr>
        <w:ind w:left="720" w:hanging="360"/>
      </w:pPr>
    </w:lvl>
    <w:lvl w:ilvl="1" w:tplc="9BE4FF52" w:tentative="1">
      <w:start w:val="1"/>
      <w:numFmt w:val="lowerLetter"/>
      <w:lvlText w:val="%2."/>
      <w:lvlJc w:val="left"/>
      <w:pPr>
        <w:ind w:left="1440" w:hanging="360"/>
      </w:pPr>
    </w:lvl>
    <w:lvl w:ilvl="2" w:tplc="A8BA5A1A" w:tentative="1">
      <w:start w:val="1"/>
      <w:numFmt w:val="lowerRoman"/>
      <w:lvlText w:val="%3."/>
      <w:lvlJc w:val="right"/>
      <w:pPr>
        <w:ind w:left="2160" w:hanging="180"/>
      </w:pPr>
    </w:lvl>
    <w:lvl w:ilvl="3" w:tplc="FBC68408" w:tentative="1">
      <w:start w:val="1"/>
      <w:numFmt w:val="decimal"/>
      <w:lvlText w:val="%4."/>
      <w:lvlJc w:val="left"/>
      <w:pPr>
        <w:ind w:left="2880" w:hanging="360"/>
      </w:pPr>
    </w:lvl>
    <w:lvl w:ilvl="4" w:tplc="CB3444F2" w:tentative="1">
      <w:start w:val="1"/>
      <w:numFmt w:val="lowerLetter"/>
      <w:lvlText w:val="%5."/>
      <w:lvlJc w:val="left"/>
      <w:pPr>
        <w:ind w:left="3600" w:hanging="360"/>
      </w:pPr>
    </w:lvl>
    <w:lvl w:ilvl="5" w:tplc="8AB0FE36" w:tentative="1">
      <w:start w:val="1"/>
      <w:numFmt w:val="lowerRoman"/>
      <w:lvlText w:val="%6."/>
      <w:lvlJc w:val="right"/>
      <w:pPr>
        <w:ind w:left="4320" w:hanging="180"/>
      </w:pPr>
    </w:lvl>
    <w:lvl w:ilvl="6" w:tplc="1C1A8360" w:tentative="1">
      <w:start w:val="1"/>
      <w:numFmt w:val="decimal"/>
      <w:lvlText w:val="%7."/>
      <w:lvlJc w:val="left"/>
      <w:pPr>
        <w:ind w:left="5040" w:hanging="360"/>
      </w:pPr>
    </w:lvl>
    <w:lvl w:ilvl="7" w:tplc="6EA66EAA" w:tentative="1">
      <w:start w:val="1"/>
      <w:numFmt w:val="lowerLetter"/>
      <w:lvlText w:val="%8."/>
      <w:lvlJc w:val="left"/>
      <w:pPr>
        <w:ind w:left="5760" w:hanging="360"/>
      </w:pPr>
    </w:lvl>
    <w:lvl w:ilvl="8" w:tplc="E6866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653FA0"/>
    <w:multiLevelType w:val="hybridMultilevel"/>
    <w:tmpl w:val="2EF86ED8"/>
    <w:lvl w:ilvl="0" w:tplc="FD6CB494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3A8C80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74CAF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63D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7FC93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F54F7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AB821E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8186A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96FC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0" w15:restartNumberingAfterBreak="0">
    <w:nsid w:val="6BB00C6D"/>
    <w:multiLevelType w:val="hybridMultilevel"/>
    <w:tmpl w:val="C0006E34"/>
    <w:lvl w:ilvl="0" w:tplc="E3D035F0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B9FC8EB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E4E6674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906A37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66EC86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4342D30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6401AB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5A8266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6F241EB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6BD221D0"/>
    <w:multiLevelType w:val="hybridMultilevel"/>
    <w:tmpl w:val="6576E416"/>
    <w:lvl w:ilvl="0" w:tplc="F4E8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2488EC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287A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A3C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4B5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120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BC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AAE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14AF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D378EB"/>
    <w:multiLevelType w:val="hybridMultilevel"/>
    <w:tmpl w:val="4B3C903E"/>
    <w:lvl w:ilvl="0" w:tplc="A2DC5588">
      <w:start w:val="1"/>
      <w:numFmt w:val="lowerLetter"/>
      <w:lvlText w:val="%1)"/>
      <w:lvlJc w:val="left"/>
      <w:pPr>
        <w:ind w:left="720" w:hanging="360"/>
      </w:pPr>
    </w:lvl>
    <w:lvl w:ilvl="1" w:tplc="A18AD1A2" w:tentative="1">
      <w:start w:val="1"/>
      <w:numFmt w:val="lowerLetter"/>
      <w:lvlText w:val="%2."/>
      <w:lvlJc w:val="left"/>
      <w:pPr>
        <w:ind w:left="1440" w:hanging="360"/>
      </w:pPr>
    </w:lvl>
    <w:lvl w:ilvl="2" w:tplc="E9108C62" w:tentative="1">
      <w:start w:val="1"/>
      <w:numFmt w:val="lowerRoman"/>
      <w:lvlText w:val="%3."/>
      <w:lvlJc w:val="right"/>
      <w:pPr>
        <w:ind w:left="2160" w:hanging="180"/>
      </w:pPr>
    </w:lvl>
    <w:lvl w:ilvl="3" w:tplc="1F66D682" w:tentative="1">
      <w:start w:val="1"/>
      <w:numFmt w:val="decimal"/>
      <w:lvlText w:val="%4."/>
      <w:lvlJc w:val="left"/>
      <w:pPr>
        <w:ind w:left="2880" w:hanging="360"/>
      </w:pPr>
    </w:lvl>
    <w:lvl w:ilvl="4" w:tplc="D2861DFE" w:tentative="1">
      <w:start w:val="1"/>
      <w:numFmt w:val="lowerLetter"/>
      <w:lvlText w:val="%5."/>
      <w:lvlJc w:val="left"/>
      <w:pPr>
        <w:ind w:left="3600" w:hanging="360"/>
      </w:pPr>
    </w:lvl>
    <w:lvl w:ilvl="5" w:tplc="E7740302" w:tentative="1">
      <w:start w:val="1"/>
      <w:numFmt w:val="lowerRoman"/>
      <w:lvlText w:val="%6."/>
      <w:lvlJc w:val="right"/>
      <w:pPr>
        <w:ind w:left="4320" w:hanging="180"/>
      </w:pPr>
    </w:lvl>
    <w:lvl w:ilvl="6" w:tplc="A132A5DE" w:tentative="1">
      <w:start w:val="1"/>
      <w:numFmt w:val="decimal"/>
      <w:lvlText w:val="%7."/>
      <w:lvlJc w:val="left"/>
      <w:pPr>
        <w:ind w:left="5040" w:hanging="360"/>
      </w:pPr>
    </w:lvl>
    <w:lvl w:ilvl="7" w:tplc="AEF8D2D4" w:tentative="1">
      <w:start w:val="1"/>
      <w:numFmt w:val="lowerLetter"/>
      <w:lvlText w:val="%8."/>
      <w:lvlJc w:val="left"/>
      <w:pPr>
        <w:ind w:left="5760" w:hanging="360"/>
      </w:pPr>
    </w:lvl>
    <w:lvl w:ilvl="8" w:tplc="8AF08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F92799"/>
    <w:multiLevelType w:val="hybridMultilevel"/>
    <w:tmpl w:val="8FDA2426"/>
    <w:lvl w:ilvl="0" w:tplc="9D2AF590">
      <w:start w:val="1"/>
      <w:numFmt w:val="lowerLetter"/>
      <w:lvlText w:val="%1)"/>
      <w:lvlJc w:val="left"/>
      <w:pPr>
        <w:ind w:left="720" w:hanging="360"/>
      </w:pPr>
    </w:lvl>
    <w:lvl w:ilvl="1" w:tplc="581EE3D6" w:tentative="1">
      <w:start w:val="1"/>
      <w:numFmt w:val="lowerLetter"/>
      <w:lvlText w:val="%2."/>
      <w:lvlJc w:val="left"/>
      <w:pPr>
        <w:ind w:left="1440" w:hanging="360"/>
      </w:pPr>
    </w:lvl>
    <w:lvl w:ilvl="2" w:tplc="418E6098" w:tentative="1">
      <w:start w:val="1"/>
      <w:numFmt w:val="lowerRoman"/>
      <w:lvlText w:val="%3."/>
      <w:lvlJc w:val="right"/>
      <w:pPr>
        <w:ind w:left="2160" w:hanging="180"/>
      </w:pPr>
    </w:lvl>
    <w:lvl w:ilvl="3" w:tplc="2CF66504" w:tentative="1">
      <w:start w:val="1"/>
      <w:numFmt w:val="decimal"/>
      <w:lvlText w:val="%4."/>
      <w:lvlJc w:val="left"/>
      <w:pPr>
        <w:ind w:left="2880" w:hanging="360"/>
      </w:pPr>
    </w:lvl>
    <w:lvl w:ilvl="4" w:tplc="CE94A9C8" w:tentative="1">
      <w:start w:val="1"/>
      <w:numFmt w:val="lowerLetter"/>
      <w:lvlText w:val="%5."/>
      <w:lvlJc w:val="left"/>
      <w:pPr>
        <w:ind w:left="3600" w:hanging="360"/>
      </w:pPr>
    </w:lvl>
    <w:lvl w:ilvl="5" w:tplc="03620D7E" w:tentative="1">
      <w:start w:val="1"/>
      <w:numFmt w:val="lowerRoman"/>
      <w:lvlText w:val="%6."/>
      <w:lvlJc w:val="right"/>
      <w:pPr>
        <w:ind w:left="4320" w:hanging="180"/>
      </w:pPr>
    </w:lvl>
    <w:lvl w:ilvl="6" w:tplc="113EE73A" w:tentative="1">
      <w:start w:val="1"/>
      <w:numFmt w:val="decimal"/>
      <w:lvlText w:val="%7."/>
      <w:lvlJc w:val="left"/>
      <w:pPr>
        <w:ind w:left="5040" w:hanging="360"/>
      </w:pPr>
    </w:lvl>
    <w:lvl w:ilvl="7" w:tplc="366638CC" w:tentative="1">
      <w:start w:val="1"/>
      <w:numFmt w:val="lowerLetter"/>
      <w:lvlText w:val="%8."/>
      <w:lvlJc w:val="left"/>
      <w:pPr>
        <w:ind w:left="5760" w:hanging="360"/>
      </w:pPr>
    </w:lvl>
    <w:lvl w:ilvl="8" w:tplc="6EDC85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E67D5E"/>
    <w:multiLevelType w:val="hybridMultilevel"/>
    <w:tmpl w:val="8876BF8E"/>
    <w:lvl w:ilvl="0" w:tplc="1D12B74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8454F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CEB116" w:tentative="1">
      <w:start w:val="1"/>
      <w:numFmt w:val="lowerRoman"/>
      <w:lvlText w:val="%3."/>
      <w:lvlJc w:val="right"/>
      <w:pPr>
        <w:ind w:left="2160" w:hanging="180"/>
      </w:pPr>
    </w:lvl>
    <w:lvl w:ilvl="3" w:tplc="2EEC8886" w:tentative="1">
      <w:start w:val="1"/>
      <w:numFmt w:val="decimal"/>
      <w:lvlText w:val="%4."/>
      <w:lvlJc w:val="left"/>
      <w:pPr>
        <w:ind w:left="2880" w:hanging="360"/>
      </w:pPr>
    </w:lvl>
    <w:lvl w:ilvl="4" w:tplc="07DAB43A" w:tentative="1">
      <w:start w:val="1"/>
      <w:numFmt w:val="lowerLetter"/>
      <w:lvlText w:val="%5."/>
      <w:lvlJc w:val="left"/>
      <w:pPr>
        <w:ind w:left="3600" w:hanging="360"/>
      </w:pPr>
    </w:lvl>
    <w:lvl w:ilvl="5" w:tplc="B52AAB0A" w:tentative="1">
      <w:start w:val="1"/>
      <w:numFmt w:val="lowerRoman"/>
      <w:lvlText w:val="%6."/>
      <w:lvlJc w:val="right"/>
      <w:pPr>
        <w:ind w:left="4320" w:hanging="180"/>
      </w:pPr>
    </w:lvl>
    <w:lvl w:ilvl="6" w:tplc="2F380126" w:tentative="1">
      <w:start w:val="1"/>
      <w:numFmt w:val="decimal"/>
      <w:lvlText w:val="%7."/>
      <w:lvlJc w:val="left"/>
      <w:pPr>
        <w:ind w:left="5040" w:hanging="360"/>
      </w:pPr>
    </w:lvl>
    <w:lvl w:ilvl="7" w:tplc="6B6CA8A4" w:tentative="1">
      <w:start w:val="1"/>
      <w:numFmt w:val="lowerLetter"/>
      <w:lvlText w:val="%8."/>
      <w:lvlJc w:val="left"/>
      <w:pPr>
        <w:ind w:left="5760" w:hanging="360"/>
      </w:pPr>
    </w:lvl>
    <w:lvl w:ilvl="8" w:tplc="2DB294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0801CE"/>
    <w:multiLevelType w:val="hybridMultilevel"/>
    <w:tmpl w:val="E5688950"/>
    <w:lvl w:ilvl="0" w:tplc="EECED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F611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B6D7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4A8C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0A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840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86D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409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B62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0746E1"/>
    <w:multiLevelType w:val="hybridMultilevel"/>
    <w:tmpl w:val="8876BF8E"/>
    <w:lvl w:ilvl="0" w:tplc="783288CA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17208F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F5E0412" w:tentative="1">
      <w:start w:val="1"/>
      <w:numFmt w:val="lowerRoman"/>
      <w:lvlText w:val="%3."/>
      <w:lvlJc w:val="right"/>
      <w:pPr>
        <w:ind w:left="2160" w:hanging="180"/>
      </w:pPr>
    </w:lvl>
    <w:lvl w:ilvl="3" w:tplc="A430320E" w:tentative="1">
      <w:start w:val="1"/>
      <w:numFmt w:val="decimal"/>
      <w:lvlText w:val="%4."/>
      <w:lvlJc w:val="left"/>
      <w:pPr>
        <w:ind w:left="2880" w:hanging="360"/>
      </w:pPr>
    </w:lvl>
    <w:lvl w:ilvl="4" w:tplc="93C2F186" w:tentative="1">
      <w:start w:val="1"/>
      <w:numFmt w:val="lowerLetter"/>
      <w:lvlText w:val="%5."/>
      <w:lvlJc w:val="left"/>
      <w:pPr>
        <w:ind w:left="3600" w:hanging="360"/>
      </w:pPr>
    </w:lvl>
    <w:lvl w:ilvl="5" w:tplc="25FA38F4" w:tentative="1">
      <w:start w:val="1"/>
      <w:numFmt w:val="lowerRoman"/>
      <w:lvlText w:val="%6."/>
      <w:lvlJc w:val="right"/>
      <w:pPr>
        <w:ind w:left="4320" w:hanging="180"/>
      </w:pPr>
    </w:lvl>
    <w:lvl w:ilvl="6" w:tplc="334C43BE" w:tentative="1">
      <w:start w:val="1"/>
      <w:numFmt w:val="decimal"/>
      <w:lvlText w:val="%7."/>
      <w:lvlJc w:val="left"/>
      <w:pPr>
        <w:ind w:left="5040" w:hanging="360"/>
      </w:pPr>
    </w:lvl>
    <w:lvl w:ilvl="7" w:tplc="349E23DC" w:tentative="1">
      <w:start w:val="1"/>
      <w:numFmt w:val="lowerLetter"/>
      <w:lvlText w:val="%8."/>
      <w:lvlJc w:val="left"/>
      <w:pPr>
        <w:ind w:left="5760" w:hanging="360"/>
      </w:pPr>
    </w:lvl>
    <w:lvl w:ilvl="8" w:tplc="1F7C27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124255"/>
    <w:multiLevelType w:val="hybridMultilevel"/>
    <w:tmpl w:val="AF5E4F2C"/>
    <w:lvl w:ilvl="0" w:tplc="29146498">
      <w:start w:val="1"/>
      <w:numFmt w:val="lowerLetter"/>
      <w:lvlText w:val="%1)"/>
      <w:lvlJc w:val="left"/>
      <w:pPr>
        <w:ind w:left="1069" w:hanging="360"/>
      </w:pPr>
    </w:lvl>
    <w:lvl w:ilvl="1" w:tplc="7360A630">
      <w:start w:val="1"/>
      <w:numFmt w:val="lowerLetter"/>
      <w:lvlText w:val="%2)"/>
      <w:lvlJc w:val="left"/>
      <w:pPr>
        <w:ind w:left="2149" w:hanging="360"/>
      </w:pPr>
    </w:lvl>
    <w:lvl w:ilvl="2" w:tplc="F282F904">
      <w:start w:val="1"/>
      <w:numFmt w:val="decimal"/>
      <w:lvlText w:val="%3."/>
      <w:lvlJc w:val="left"/>
      <w:pPr>
        <w:ind w:left="2689" w:hanging="360"/>
      </w:pPr>
      <w:rPr>
        <w:rFonts w:hint="default"/>
        <w:color w:val="auto"/>
      </w:rPr>
    </w:lvl>
    <w:lvl w:ilvl="3" w:tplc="DB20F786" w:tentative="1">
      <w:start w:val="1"/>
      <w:numFmt w:val="decimal"/>
      <w:lvlText w:val="%4."/>
      <w:lvlJc w:val="left"/>
      <w:pPr>
        <w:ind w:left="3229" w:hanging="360"/>
      </w:pPr>
    </w:lvl>
    <w:lvl w:ilvl="4" w:tplc="9AD42F64" w:tentative="1">
      <w:start w:val="1"/>
      <w:numFmt w:val="lowerLetter"/>
      <w:lvlText w:val="%5."/>
      <w:lvlJc w:val="left"/>
      <w:pPr>
        <w:ind w:left="3949" w:hanging="360"/>
      </w:pPr>
    </w:lvl>
    <w:lvl w:ilvl="5" w:tplc="5F06D296" w:tentative="1">
      <w:start w:val="1"/>
      <w:numFmt w:val="lowerRoman"/>
      <w:lvlText w:val="%6."/>
      <w:lvlJc w:val="right"/>
      <w:pPr>
        <w:ind w:left="4669" w:hanging="180"/>
      </w:pPr>
    </w:lvl>
    <w:lvl w:ilvl="6" w:tplc="453EAA5A" w:tentative="1">
      <w:start w:val="1"/>
      <w:numFmt w:val="decimal"/>
      <w:lvlText w:val="%7."/>
      <w:lvlJc w:val="left"/>
      <w:pPr>
        <w:ind w:left="5389" w:hanging="360"/>
      </w:pPr>
    </w:lvl>
    <w:lvl w:ilvl="7" w:tplc="B1E2BE4A" w:tentative="1">
      <w:start w:val="1"/>
      <w:numFmt w:val="lowerLetter"/>
      <w:lvlText w:val="%8."/>
      <w:lvlJc w:val="left"/>
      <w:pPr>
        <w:ind w:left="6109" w:hanging="360"/>
      </w:pPr>
    </w:lvl>
    <w:lvl w:ilvl="8" w:tplc="B980123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7B6F1CEB"/>
    <w:multiLevelType w:val="hybridMultilevel"/>
    <w:tmpl w:val="CCDE0E52"/>
    <w:lvl w:ilvl="0" w:tplc="D682B31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814CDE0A" w:tentative="1">
      <w:start w:val="1"/>
      <w:numFmt w:val="lowerLetter"/>
      <w:lvlText w:val="%2."/>
      <w:lvlJc w:val="left"/>
      <w:pPr>
        <w:ind w:left="1440" w:hanging="360"/>
      </w:pPr>
    </w:lvl>
    <w:lvl w:ilvl="2" w:tplc="C8727BEE" w:tentative="1">
      <w:start w:val="1"/>
      <w:numFmt w:val="lowerRoman"/>
      <w:lvlText w:val="%3."/>
      <w:lvlJc w:val="right"/>
      <w:pPr>
        <w:ind w:left="2160" w:hanging="180"/>
      </w:pPr>
    </w:lvl>
    <w:lvl w:ilvl="3" w:tplc="E19CC028" w:tentative="1">
      <w:start w:val="1"/>
      <w:numFmt w:val="decimal"/>
      <w:lvlText w:val="%4."/>
      <w:lvlJc w:val="left"/>
      <w:pPr>
        <w:ind w:left="2880" w:hanging="360"/>
      </w:pPr>
    </w:lvl>
    <w:lvl w:ilvl="4" w:tplc="72F819D6" w:tentative="1">
      <w:start w:val="1"/>
      <w:numFmt w:val="lowerLetter"/>
      <w:lvlText w:val="%5."/>
      <w:lvlJc w:val="left"/>
      <w:pPr>
        <w:ind w:left="3600" w:hanging="360"/>
      </w:pPr>
    </w:lvl>
    <w:lvl w:ilvl="5" w:tplc="701AF28A" w:tentative="1">
      <w:start w:val="1"/>
      <w:numFmt w:val="lowerRoman"/>
      <w:lvlText w:val="%6."/>
      <w:lvlJc w:val="right"/>
      <w:pPr>
        <w:ind w:left="4320" w:hanging="180"/>
      </w:pPr>
    </w:lvl>
    <w:lvl w:ilvl="6" w:tplc="3A30A8DA" w:tentative="1">
      <w:start w:val="1"/>
      <w:numFmt w:val="decimal"/>
      <w:lvlText w:val="%7."/>
      <w:lvlJc w:val="left"/>
      <w:pPr>
        <w:ind w:left="5040" w:hanging="360"/>
      </w:pPr>
    </w:lvl>
    <w:lvl w:ilvl="7" w:tplc="227E811A" w:tentative="1">
      <w:start w:val="1"/>
      <w:numFmt w:val="lowerLetter"/>
      <w:lvlText w:val="%8."/>
      <w:lvlJc w:val="left"/>
      <w:pPr>
        <w:ind w:left="5760" w:hanging="360"/>
      </w:pPr>
    </w:lvl>
    <w:lvl w:ilvl="8" w:tplc="62B05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962B17"/>
    <w:multiLevelType w:val="hybridMultilevel"/>
    <w:tmpl w:val="814A6E64"/>
    <w:lvl w:ilvl="0" w:tplc="9CA8708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750DFE0" w:tentative="1">
      <w:start w:val="1"/>
      <w:numFmt w:val="lowerLetter"/>
      <w:lvlText w:val="%2."/>
      <w:lvlJc w:val="left"/>
      <w:pPr>
        <w:ind w:left="1440" w:hanging="360"/>
      </w:pPr>
    </w:lvl>
    <w:lvl w:ilvl="2" w:tplc="26087130" w:tentative="1">
      <w:start w:val="1"/>
      <w:numFmt w:val="lowerRoman"/>
      <w:lvlText w:val="%3."/>
      <w:lvlJc w:val="right"/>
      <w:pPr>
        <w:ind w:left="2160" w:hanging="180"/>
      </w:pPr>
    </w:lvl>
    <w:lvl w:ilvl="3" w:tplc="DD441138" w:tentative="1">
      <w:start w:val="1"/>
      <w:numFmt w:val="decimal"/>
      <w:lvlText w:val="%4."/>
      <w:lvlJc w:val="left"/>
      <w:pPr>
        <w:ind w:left="2880" w:hanging="360"/>
      </w:pPr>
    </w:lvl>
    <w:lvl w:ilvl="4" w:tplc="F3E07C06" w:tentative="1">
      <w:start w:val="1"/>
      <w:numFmt w:val="lowerLetter"/>
      <w:lvlText w:val="%5."/>
      <w:lvlJc w:val="left"/>
      <w:pPr>
        <w:ind w:left="3600" w:hanging="360"/>
      </w:pPr>
    </w:lvl>
    <w:lvl w:ilvl="5" w:tplc="8182E0BC" w:tentative="1">
      <w:start w:val="1"/>
      <w:numFmt w:val="lowerRoman"/>
      <w:lvlText w:val="%6."/>
      <w:lvlJc w:val="right"/>
      <w:pPr>
        <w:ind w:left="4320" w:hanging="180"/>
      </w:pPr>
    </w:lvl>
    <w:lvl w:ilvl="6" w:tplc="423ECC32" w:tentative="1">
      <w:start w:val="1"/>
      <w:numFmt w:val="decimal"/>
      <w:lvlText w:val="%7."/>
      <w:lvlJc w:val="left"/>
      <w:pPr>
        <w:ind w:left="5040" w:hanging="360"/>
      </w:pPr>
    </w:lvl>
    <w:lvl w:ilvl="7" w:tplc="10C4A246" w:tentative="1">
      <w:start w:val="1"/>
      <w:numFmt w:val="lowerLetter"/>
      <w:lvlText w:val="%8."/>
      <w:lvlJc w:val="left"/>
      <w:pPr>
        <w:ind w:left="5760" w:hanging="360"/>
      </w:pPr>
    </w:lvl>
    <w:lvl w:ilvl="8" w:tplc="CAD2623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735207">
    <w:abstractNumId w:val="4"/>
  </w:num>
  <w:num w:numId="2" w16cid:durableId="963267917">
    <w:abstractNumId w:val="0"/>
  </w:num>
  <w:num w:numId="3" w16cid:durableId="1851673679">
    <w:abstractNumId w:val="26"/>
  </w:num>
  <w:num w:numId="4" w16cid:durableId="157233343">
    <w:abstractNumId w:val="19"/>
  </w:num>
  <w:num w:numId="5" w16cid:durableId="243104508">
    <w:abstractNumId w:val="51"/>
  </w:num>
  <w:num w:numId="6" w16cid:durableId="1129781861">
    <w:abstractNumId w:val="58"/>
  </w:num>
  <w:num w:numId="7" w16cid:durableId="1034618810">
    <w:abstractNumId w:val="52"/>
  </w:num>
  <w:num w:numId="8" w16cid:durableId="1784417424">
    <w:abstractNumId w:val="53"/>
  </w:num>
  <w:num w:numId="9" w16cid:durableId="1610696028">
    <w:abstractNumId w:val="20"/>
  </w:num>
  <w:num w:numId="10" w16cid:durableId="1140075409">
    <w:abstractNumId w:val="35"/>
  </w:num>
  <w:num w:numId="11" w16cid:durableId="273710031">
    <w:abstractNumId w:val="34"/>
  </w:num>
  <w:num w:numId="12" w16cid:durableId="1988514444">
    <w:abstractNumId w:val="27"/>
  </w:num>
  <w:num w:numId="13" w16cid:durableId="1697149198">
    <w:abstractNumId w:val="41"/>
  </w:num>
  <w:num w:numId="14" w16cid:durableId="11038167">
    <w:abstractNumId w:val="23"/>
  </w:num>
  <w:num w:numId="15" w16cid:durableId="1368020235">
    <w:abstractNumId w:val="39"/>
  </w:num>
  <w:num w:numId="16" w16cid:durableId="2124768804">
    <w:abstractNumId w:val="5"/>
  </w:num>
  <w:num w:numId="17" w16cid:durableId="1664120926">
    <w:abstractNumId w:val="8"/>
  </w:num>
  <w:num w:numId="18" w16cid:durableId="263148629">
    <w:abstractNumId w:val="12"/>
  </w:num>
  <w:num w:numId="19" w16cid:durableId="201093012">
    <w:abstractNumId w:val="57"/>
  </w:num>
  <w:num w:numId="20" w16cid:durableId="110054377">
    <w:abstractNumId w:val="48"/>
  </w:num>
  <w:num w:numId="21" w16cid:durableId="988443940">
    <w:abstractNumId w:val="13"/>
  </w:num>
  <w:num w:numId="22" w16cid:durableId="458577138">
    <w:abstractNumId w:val="55"/>
  </w:num>
  <w:num w:numId="23" w16cid:durableId="1496845849">
    <w:abstractNumId w:val="6"/>
  </w:num>
  <w:num w:numId="24" w16cid:durableId="1926300611">
    <w:abstractNumId w:val="45"/>
  </w:num>
  <w:num w:numId="25" w16cid:durableId="2082869337">
    <w:abstractNumId w:val="47"/>
  </w:num>
  <w:num w:numId="26" w16cid:durableId="1072578677">
    <w:abstractNumId w:val="54"/>
  </w:num>
  <w:num w:numId="27" w16cid:durableId="1623342052">
    <w:abstractNumId w:val="40"/>
  </w:num>
  <w:num w:numId="28" w16cid:durableId="630869534">
    <w:abstractNumId w:val="59"/>
  </w:num>
  <w:num w:numId="29" w16cid:durableId="91975183">
    <w:abstractNumId w:val="15"/>
  </w:num>
  <w:num w:numId="30" w16cid:durableId="1400321201">
    <w:abstractNumId w:val="17"/>
  </w:num>
  <w:num w:numId="31" w16cid:durableId="224149741">
    <w:abstractNumId w:val="24"/>
  </w:num>
  <w:num w:numId="32" w16cid:durableId="1408770822">
    <w:abstractNumId w:val="42"/>
  </w:num>
  <w:num w:numId="33" w16cid:durableId="2068675287">
    <w:abstractNumId w:val="31"/>
  </w:num>
  <w:num w:numId="34" w16cid:durableId="1948079789">
    <w:abstractNumId w:val="11"/>
  </w:num>
  <w:num w:numId="35" w16cid:durableId="923303144">
    <w:abstractNumId w:val="22"/>
  </w:num>
  <w:num w:numId="36" w16cid:durableId="877472781">
    <w:abstractNumId w:val="49"/>
  </w:num>
  <w:num w:numId="37" w16cid:durableId="1090663057">
    <w:abstractNumId w:val="30"/>
  </w:num>
  <w:num w:numId="38" w16cid:durableId="1350063982">
    <w:abstractNumId w:val="28"/>
  </w:num>
  <w:num w:numId="39" w16cid:durableId="2134203607">
    <w:abstractNumId w:val="36"/>
    <w:lvlOverride w:ilvl="0">
      <w:lvl w:ilvl="0" w:tplc="E7BC94E8">
        <w:start w:val="1"/>
        <w:numFmt w:val="lowerLetter"/>
        <w:lvlText w:val="%1)"/>
        <w:lvlJc w:val="left"/>
        <w:pPr>
          <w:ind w:left="720" w:hanging="360"/>
        </w:pPr>
      </w:lvl>
    </w:lvlOverride>
    <w:lvlOverride w:ilvl="1">
      <w:lvl w:ilvl="1" w:tplc="164A82A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D3AB528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5A20E9B6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8E34C982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A1C1908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D104FD04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32568B24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6B52A334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0" w16cid:durableId="1937054046">
    <w:abstractNumId w:val="37"/>
  </w:num>
  <w:num w:numId="41" w16cid:durableId="1184783986">
    <w:abstractNumId w:val="43"/>
  </w:num>
  <w:num w:numId="42" w16cid:durableId="1663698137">
    <w:abstractNumId w:val="36"/>
  </w:num>
  <w:num w:numId="43" w16cid:durableId="779223862">
    <w:abstractNumId w:val="29"/>
  </w:num>
  <w:num w:numId="44" w16cid:durableId="1868257187">
    <w:abstractNumId w:val="38"/>
  </w:num>
  <w:num w:numId="45" w16cid:durableId="893738921">
    <w:abstractNumId w:val="7"/>
  </w:num>
  <w:num w:numId="46" w16cid:durableId="982386437">
    <w:abstractNumId w:val="33"/>
  </w:num>
  <w:num w:numId="47" w16cid:durableId="1000735072">
    <w:abstractNumId w:val="44"/>
  </w:num>
  <w:num w:numId="48" w16cid:durableId="126554192">
    <w:abstractNumId w:val="9"/>
  </w:num>
  <w:num w:numId="49" w16cid:durableId="666321476">
    <w:abstractNumId w:val="25"/>
  </w:num>
  <w:num w:numId="50" w16cid:durableId="1670601481">
    <w:abstractNumId w:val="14"/>
  </w:num>
  <w:num w:numId="51" w16cid:durableId="863057520">
    <w:abstractNumId w:val="10"/>
  </w:num>
  <w:num w:numId="52" w16cid:durableId="772750306">
    <w:abstractNumId w:val="16"/>
  </w:num>
  <w:num w:numId="53" w16cid:durableId="1504778047">
    <w:abstractNumId w:val="21"/>
  </w:num>
  <w:num w:numId="54" w16cid:durableId="156464743">
    <w:abstractNumId w:val="32"/>
  </w:num>
  <w:num w:numId="55" w16cid:durableId="1084958782">
    <w:abstractNumId w:val="46"/>
  </w:num>
  <w:num w:numId="56" w16cid:durableId="931201196">
    <w:abstractNumId w:val="56"/>
  </w:num>
  <w:num w:numId="57" w16cid:durableId="1231814768">
    <w:abstractNumId w:val="18"/>
  </w:num>
  <w:num w:numId="58" w16cid:durableId="1356006026">
    <w:abstractNumId w:val="5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FDA"/>
    <w:rsid w:val="00703EF1"/>
    <w:rsid w:val="008558F5"/>
    <w:rsid w:val="00900EF0"/>
    <w:rsid w:val="00A425B0"/>
    <w:rsid w:val="00AD272F"/>
    <w:rsid w:val="00E6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F53FB"/>
  <w15:docId w15:val="{B05BFE65-C0B0-41AF-9EFA-881A3B8D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920D5"/>
    <w:pPr>
      <w:spacing w:line="312" w:lineRule="auto"/>
      <w:jc w:val="both"/>
    </w:pPr>
    <w:rPr>
      <w:rFonts w:ascii="Arial" w:hAnsi="Arial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22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2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F61999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236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236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2366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F61999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F61999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st">
    <w:name w:val="st"/>
    <w:rsid w:val="009E7C1F"/>
  </w:style>
  <w:style w:type="character" w:customStyle="1" w:styleId="Bodytext">
    <w:name w:val="Body text_"/>
    <w:basedOn w:val="Domylnaczcionkaakapitu"/>
    <w:link w:val="Tekstpodstawowy1"/>
    <w:uiPriority w:val="99"/>
    <w:rsid w:val="00331031"/>
    <w:rPr>
      <w:rFonts w:ascii="Verdana" w:eastAsia="Verdana" w:hAnsi="Verdana" w:cs="Verdana"/>
      <w:spacing w:val="-3"/>
      <w:sz w:val="15"/>
      <w:szCs w:val="15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uiPriority w:val="99"/>
    <w:rsid w:val="00331031"/>
    <w:pPr>
      <w:widowControl w:val="0"/>
      <w:shd w:val="clear" w:color="auto" w:fill="FFFFFF"/>
      <w:spacing w:before="120" w:line="0" w:lineRule="atLeast"/>
      <w:ind w:hanging="360"/>
    </w:pPr>
    <w:rPr>
      <w:rFonts w:ascii="Verdana" w:eastAsia="Verdana" w:hAnsi="Verdana" w:cs="Verdana"/>
      <w:spacing w:val="-3"/>
      <w:sz w:val="15"/>
      <w:szCs w:val="15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7D0D52"/>
    <w:rPr>
      <w:sz w:val="16"/>
      <w:szCs w:val="16"/>
    </w:rPr>
  </w:style>
  <w:style w:type="paragraph" w:styleId="Tekstkomentarza">
    <w:name w:val="annotation text"/>
    <w:aliases w:val="Tekst komentarza Znak Znak Znak,Znak Znak Znak Znak Znak Znak Znak Znak Znak Znak"/>
    <w:basedOn w:val="Normalny"/>
    <w:link w:val="TekstkomentarzaZnak"/>
    <w:uiPriority w:val="99"/>
    <w:unhideWhenUsed/>
    <w:qFormat/>
    <w:rsid w:val="007D0D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Tekst komentarza Znak Znak Znak Znak,Znak Znak Znak Znak Znak Znak Znak Znak Znak Znak Znak"/>
    <w:basedOn w:val="Domylnaczcionkaakapitu"/>
    <w:link w:val="Tekstkomentarza"/>
    <w:uiPriority w:val="99"/>
    <w:rsid w:val="007D0D5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0D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0D52"/>
    <w:rPr>
      <w:b/>
      <w:bCs/>
      <w:lang w:eastAsia="en-US"/>
    </w:rPr>
  </w:style>
  <w:style w:type="character" w:customStyle="1" w:styleId="alb">
    <w:name w:val="a_lb"/>
    <w:basedOn w:val="Domylnaczcionkaakapitu"/>
    <w:rsid w:val="00C73E73"/>
  </w:style>
  <w:style w:type="character" w:customStyle="1" w:styleId="alb-s">
    <w:name w:val="a_lb-s"/>
    <w:basedOn w:val="Domylnaczcionkaakapitu"/>
    <w:rsid w:val="00C73E73"/>
  </w:style>
  <w:style w:type="paragraph" w:styleId="Tekstpodstawowy">
    <w:name w:val="Body Text"/>
    <w:basedOn w:val="Normalny"/>
    <w:link w:val="TekstpodstawowyZnak"/>
    <w:rsid w:val="0037245C"/>
    <w:pPr>
      <w:spacing w:line="240" w:lineRule="auto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7245C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A_wyliczenie,Akapit z listą1,Akapit z listą31,Akapit z listą5,BulletC,K-P_odwolanie,List Paragraph_0,List Paragraph_0_0,Liste à puces retrait droite,Nagłówek_JP,Numerowanie,Obiekt,Styl 1,Wyliczanie,maz_wyliczenie,normalny tekst"/>
    <w:basedOn w:val="Normalny"/>
    <w:link w:val="AkapitzlistZnak"/>
    <w:uiPriority w:val="34"/>
    <w:qFormat/>
    <w:rsid w:val="009117FB"/>
    <w:pPr>
      <w:numPr>
        <w:numId w:val="12"/>
      </w:numPr>
      <w:contextualSpacing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aliases w:val="A_wyliczenie Znak,Akapit z listą1 Znak,Akapit z listą31 Znak,Akapit z listą5 Znak,BulletC Znak,K-P_odwolanie Znak,List Paragraph_0 Znak,List Paragraph_0_0 Znak,Liste à puces retrait droite Znak,Nagłówek_JP Znak,Numerowanie Znak"/>
    <w:link w:val="Akapitzlist"/>
    <w:uiPriority w:val="34"/>
    <w:qFormat/>
    <w:rsid w:val="009117FB"/>
    <w:rPr>
      <w:rFonts w:ascii="Arial" w:eastAsia="Times New Roman" w:hAnsi="Arial"/>
      <w:sz w:val="22"/>
      <w:szCs w:val="24"/>
    </w:rPr>
  </w:style>
  <w:style w:type="paragraph" w:customStyle="1" w:styleId="HeaderStyle">
    <w:name w:val="HeaderStyle"/>
    <w:rsid w:val="00D03540"/>
    <w:pPr>
      <w:spacing w:after="200"/>
      <w:jc w:val="center"/>
    </w:pPr>
    <w:rPr>
      <w:rFonts w:ascii="Times New Roman" w:eastAsia="Times New Roman" w:hAnsi="Times New Roman"/>
      <w:b/>
      <w:color w:val="000000" w:themeColor="text1"/>
      <w:sz w:val="24"/>
      <w:szCs w:val="22"/>
    </w:rPr>
  </w:style>
  <w:style w:type="character" w:customStyle="1" w:styleId="luchili">
    <w:name w:val="luc_hili"/>
    <w:basedOn w:val="Domylnaczcionkaakapitu"/>
    <w:rsid w:val="005D4291"/>
  </w:style>
  <w:style w:type="paragraph" w:customStyle="1" w:styleId="western">
    <w:name w:val="western"/>
    <w:basedOn w:val="Normalny"/>
    <w:rsid w:val="005D4291"/>
    <w:pPr>
      <w:spacing w:before="100" w:beforeAutospacing="1" w:after="100" w:afterAutospacing="1" w:line="240" w:lineRule="auto"/>
    </w:pPr>
    <w:rPr>
      <w:rFonts w:eastAsia="Times New Roman"/>
      <w:szCs w:val="24"/>
      <w:lang w:eastAsia="pl-PL"/>
    </w:rPr>
  </w:style>
  <w:style w:type="character" w:customStyle="1" w:styleId="info-list-value-uzasadnienie">
    <w:name w:val="info-list-value-uzasadnienie"/>
    <w:basedOn w:val="Domylnaczcionkaakapitu"/>
    <w:rsid w:val="00E7544D"/>
  </w:style>
  <w:style w:type="character" w:customStyle="1" w:styleId="apple-converted-space">
    <w:name w:val="apple-converted-space"/>
    <w:rsid w:val="000B68CE"/>
  </w:style>
  <w:style w:type="character" w:customStyle="1" w:styleId="Hyperlink1">
    <w:name w:val="Hyperlink.1"/>
    <w:basedOn w:val="apple-converted-space"/>
    <w:rsid w:val="000B68CE"/>
    <w:rPr>
      <w:rFonts w:ascii="Garamond" w:eastAsia="Garamond" w:hAnsi="Garamond" w:cs="Garamond"/>
    </w:rPr>
  </w:style>
  <w:style w:type="character" w:customStyle="1" w:styleId="Hyperlink0">
    <w:name w:val="Hyperlink.0"/>
    <w:basedOn w:val="Domylnaczcionkaakapitu"/>
    <w:rsid w:val="00D51AEC"/>
    <w:rPr>
      <w:color w:val="000000"/>
      <w:u w:val="none" w:color="0000FF"/>
    </w:rPr>
  </w:style>
  <w:style w:type="paragraph" w:styleId="Tekstpodstawowywcity2">
    <w:name w:val="Body Text Indent 2"/>
    <w:link w:val="Tekstpodstawowywcity2Znak"/>
    <w:rsid w:val="00DC0AE8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C0AE8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ng-binding">
    <w:name w:val="ng-binding"/>
    <w:basedOn w:val="Domylnaczcionkaakapitu"/>
    <w:rsid w:val="00D73022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2F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zodstpw">
    <w:name w:val="No Spacing"/>
    <w:uiPriority w:val="1"/>
    <w:qFormat/>
    <w:rsid w:val="008659E0"/>
    <w:pPr>
      <w:spacing w:line="312" w:lineRule="auto"/>
      <w:jc w:val="both"/>
    </w:pPr>
    <w:rPr>
      <w:rFonts w:ascii="Garamond" w:eastAsia="Times New Roman" w:hAnsi="Garamond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DA7B86"/>
    <w:pPr>
      <w:numPr>
        <w:numId w:val="2"/>
      </w:numPr>
      <w:contextualSpacing/>
    </w:pPr>
  </w:style>
  <w:style w:type="character" w:customStyle="1" w:styleId="Nagweklubstopka2">
    <w:name w:val="Nagłówek lub stopka (2)_"/>
    <w:basedOn w:val="Domylnaczcionkaakapitu"/>
    <w:link w:val="Nagweklubstopka20"/>
    <w:rsid w:val="00B47FC1"/>
    <w:rPr>
      <w:rFonts w:ascii="Times New Roman" w:eastAsia="Times New Roman" w:hAnsi="Times New Roman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B47FC1"/>
    <w:rPr>
      <w:rFonts w:ascii="Times New Roman" w:eastAsia="Times New Roman" w:hAnsi="Times New Roman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B47FC1"/>
    <w:pPr>
      <w:widowControl w:val="0"/>
      <w:shd w:val="clear" w:color="auto" w:fill="FFFFFF"/>
      <w:spacing w:line="240" w:lineRule="auto"/>
      <w:jc w:val="left"/>
    </w:pPr>
    <w:rPr>
      <w:rFonts w:eastAsia="Times New Roman"/>
      <w:sz w:val="20"/>
      <w:szCs w:val="20"/>
      <w:lang w:eastAsia="pl-PL"/>
    </w:rPr>
  </w:style>
  <w:style w:type="paragraph" w:customStyle="1" w:styleId="Teksttreci0">
    <w:name w:val="Tekst treści"/>
    <w:basedOn w:val="Normalny"/>
    <w:link w:val="Teksttreci"/>
    <w:rsid w:val="00B47FC1"/>
    <w:pPr>
      <w:widowControl w:val="0"/>
      <w:shd w:val="clear" w:color="auto" w:fill="FFFFFF"/>
      <w:spacing w:line="276" w:lineRule="auto"/>
      <w:jc w:val="left"/>
    </w:pPr>
    <w:rPr>
      <w:rFonts w:eastAsia="Times New Roman"/>
      <w:sz w:val="20"/>
      <w:szCs w:val="20"/>
      <w:lang w:eastAsia="pl-PL"/>
    </w:rPr>
  </w:style>
  <w:style w:type="character" w:customStyle="1" w:styleId="Teksttreci3">
    <w:name w:val="Tekst treści (3)_"/>
    <w:basedOn w:val="Domylnaczcionkaakapitu"/>
    <w:link w:val="Teksttreci30"/>
    <w:rsid w:val="00EA6341"/>
    <w:rPr>
      <w:rFonts w:ascii="Times New Roman" w:eastAsia="Times New Roman" w:hAnsi="Times New Roman"/>
      <w:b/>
      <w:bCs/>
      <w:u w:val="single"/>
      <w:shd w:val="clear" w:color="auto" w:fill="FFFFFF"/>
    </w:rPr>
  </w:style>
  <w:style w:type="character" w:customStyle="1" w:styleId="Inne">
    <w:name w:val="Inne_"/>
    <w:basedOn w:val="Domylnaczcionkaakapitu"/>
    <w:link w:val="Inne0"/>
    <w:rsid w:val="00EA6341"/>
    <w:rPr>
      <w:rFonts w:ascii="Times New Roman" w:eastAsia="Times New Roman" w:hAnsi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A6341"/>
    <w:pPr>
      <w:widowControl w:val="0"/>
      <w:shd w:val="clear" w:color="auto" w:fill="FFFFFF"/>
      <w:spacing w:line="286" w:lineRule="auto"/>
      <w:jc w:val="left"/>
    </w:pPr>
    <w:rPr>
      <w:rFonts w:eastAsia="Times New Roman"/>
      <w:b/>
      <w:bCs/>
      <w:sz w:val="20"/>
      <w:szCs w:val="20"/>
      <w:u w:val="single"/>
      <w:lang w:eastAsia="pl-PL"/>
    </w:rPr>
  </w:style>
  <w:style w:type="paragraph" w:customStyle="1" w:styleId="Inne0">
    <w:name w:val="Inne"/>
    <w:basedOn w:val="Normalny"/>
    <w:link w:val="Inne"/>
    <w:rsid w:val="00EA6341"/>
    <w:pPr>
      <w:widowControl w:val="0"/>
      <w:shd w:val="clear" w:color="auto" w:fill="FFFFFF"/>
      <w:spacing w:line="276" w:lineRule="auto"/>
      <w:jc w:val="left"/>
    </w:pPr>
    <w:rPr>
      <w:rFonts w:eastAsia="Times New Roman"/>
      <w:sz w:val="20"/>
      <w:szCs w:val="20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93466B"/>
    <w:rPr>
      <w:rFonts w:ascii="Times New Roman" w:eastAsia="Times New Roman" w:hAnsi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93466B"/>
    <w:pPr>
      <w:widowControl w:val="0"/>
      <w:shd w:val="clear" w:color="auto" w:fill="FFFFFF"/>
      <w:spacing w:line="240" w:lineRule="auto"/>
      <w:jc w:val="left"/>
    </w:pPr>
    <w:rPr>
      <w:rFonts w:eastAsia="Times New Roman"/>
      <w:sz w:val="20"/>
      <w:szCs w:val="20"/>
      <w:lang w:eastAsia="pl-PL"/>
    </w:rPr>
  </w:style>
  <w:style w:type="paragraph" w:customStyle="1" w:styleId="Akapitzlist4">
    <w:name w:val="Akapit z listą4"/>
    <w:basedOn w:val="Normalny"/>
    <w:rsid w:val="00835650"/>
    <w:pPr>
      <w:suppressAutoHyphens/>
      <w:spacing w:after="200" w:line="276" w:lineRule="auto"/>
      <w:ind w:left="720"/>
      <w:contextualSpacing/>
      <w:jc w:val="left"/>
    </w:pPr>
    <w:rPr>
      <w:rFonts w:ascii="Calibri" w:hAnsi="Calibri"/>
    </w:rPr>
  </w:style>
  <w:style w:type="paragraph" w:styleId="Poprawka">
    <w:name w:val="Revision"/>
    <w:hidden/>
    <w:uiPriority w:val="99"/>
    <w:semiHidden/>
    <w:rsid w:val="0076578B"/>
    <w:rPr>
      <w:rFonts w:ascii="Garamond" w:hAnsi="Garamond"/>
      <w:sz w:val="24"/>
      <w:szCs w:val="22"/>
      <w:lang w:eastAsia="en-US"/>
    </w:rPr>
  </w:style>
  <w:style w:type="character" w:customStyle="1" w:styleId="Bodytext2">
    <w:name w:val="Body text (2)_"/>
    <w:basedOn w:val="Domylnaczcionkaakapitu"/>
    <w:link w:val="Bodytext20"/>
    <w:rsid w:val="008659E0"/>
    <w:rPr>
      <w:sz w:val="17"/>
      <w:szCs w:val="17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659E0"/>
    <w:pPr>
      <w:widowControl w:val="0"/>
      <w:shd w:val="clear" w:color="auto" w:fill="FFFFFF"/>
      <w:spacing w:line="240" w:lineRule="auto"/>
      <w:ind w:firstLine="300"/>
      <w:jc w:val="left"/>
    </w:pPr>
    <w:rPr>
      <w:rFonts w:ascii="Calibri" w:hAnsi="Calibri"/>
      <w:sz w:val="17"/>
      <w:szCs w:val="17"/>
      <w:lang w:eastAsia="pl-PL"/>
    </w:rPr>
  </w:style>
  <w:style w:type="character" w:customStyle="1" w:styleId="Other">
    <w:name w:val="Other_"/>
    <w:basedOn w:val="Domylnaczcionkaakapitu"/>
    <w:link w:val="Other0"/>
    <w:rsid w:val="002B002D"/>
    <w:rPr>
      <w:rFonts w:ascii="Times New Roman" w:eastAsia="Times New Roman" w:hAnsi="Times New Roman"/>
      <w:shd w:val="clear" w:color="auto" w:fill="FFFFFF"/>
    </w:rPr>
  </w:style>
  <w:style w:type="paragraph" w:customStyle="1" w:styleId="Other0">
    <w:name w:val="Other"/>
    <w:basedOn w:val="Normalny"/>
    <w:link w:val="Other"/>
    <w:rsid w:val="002B002D"/>
    <w:pPr>
      <w:widowControl w:val="0"/>
      <w:shd w:val="clear" w:color="auto" w:fill="FFFFFF"/>
      <w:spacing w:line="264" w:lineRule="auto"/>
      <w:jc w:val="left"/>
    </w:pPr>
    <w:rPr>
      <w:rFonts w:eastAsia="Times New Roman"/>
      <w:sz w:val="20"/>
      <w:szCs w:val="20"/>
      <w:lang w:eastAsia="pl-PL"/>
    </w:rPr>
  </w:style>
  <w:style w:type="character" w:customStyle="1" w:styleId="Tablecaption">
    <w:name w:val="Table caption_"/>
    <w:basedOn w:val="Domylnaczcionkaakapitu"/>
    <w:link w:val="Tablecaption0"/>
    <w:rsid w:val="000E0EC6"/>
    <w:rPr>
      <w:rFonts w:ascii="Times New Roman" w:eastAsia="Times New Roman" w:hAnsi="Times New Roman"/>
      <w:i/>
      <w:iCs/>
      <w:sz w:val="17"/>
      <w:szCs w:val="17"/>
      <w:shd w:val="clear" w:color="auto" w:fill="FFFFFF"/>
    </w:rPr>
  </w:style>
  <w:style w:type="paragraph" w:customStyle="1" w:styleId="Tablecaption0">
    <w:name w:val="Table caption"/>
    <w:basedOn w:val="Normalny"/>
    <w:link w:val="Tablecaption"/>
    <w:rsid w:val="000E0EC6"/>
    <w:pPr>
      <w:widowControl w:val="0"/>
      <w:shd w:val="clear" w:color="auto" w:fill="FFFFFF"/>
      <w:spacing w:line="259" w:lineRule="auto"/>
      <w:jc w:val="left"/>
    </w:pPr>
    <w:rPr>
      <w:rFonts w:eastAsia="Times New Roman"/>
      <w:i/>
      <w:iCs/>
      <w:sz w:val="17"/>
      <w:szCs w:val="17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D7A13"/>
    <w:rPr>
      <w:color w:val="808080"/>
    </w:rPr>
  </w:style>
  <w:style w:type="paragraph" w:customStyle="1" w:styleId="Default">
    <w:name w:val="Default"/>
    <w:rsid w:val="00F2380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97955"/>
    <w:rPr>
      <w:color w:val="605E5C"/>
      <w:shd w:val="clear" w:color="auto" w:fill="E1DFDD"/>
    </w:rPr>
  </w:style>
  <w:style w:type="numbering" w:customStyle="1" w:styleId="ListStyle-ListBullet1">
    <w:name w:val="_List Style - List Bullet1"/>
    <w:uiPriority w:val="99"/>
    <w:rsid w:val="00503C36"/>
    <w:pPr>
      <w:numPr>
        <w:numId w:val="24"/>
      </w:numPr>
    </w:pPr>
  </w:style>
  <w:style w:type="paragraph" w:styleId="Tekstprzypisudolnego">
    <w:name w:val="footnote text"/>
    <w:aliases w:val="-E Fußnotentext,-E Fuﬂnotentext,F,FT,Footnote text,Fußnote,Fußnotentext Ursprung,Fuﬂnotentext Ursprung,Podrozdzia3,Podrozdział,Tekst przypisu,Tekst przypisu Znak Znak Znak Znak,Tekst przypisu Znak Znak Znak Znak Znak,fn,ft"/>
    <w:basedOn w:val="Normalny"/>
    <w:link w:val="TekstprzypisudolnegoZnak"/>
    <w:uiPriority w:val="99"/>
    <w:qFormat/>
    <w:rsid w:val="00A23A06"/>
    <w:pPr>
      <w:ind w:firstLine="567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-E Fußnotentext Znak,-E Fuﬂnotentext Znak,F Znak,FT Znak,Footnote text Znak,Fußnote Znak,Fußnotentext Ursprung Znak,Fuﬂnotentext Ursprung Znak,Podrozdzia3 Znak,Podrozdział Znak,Tekst przypisu Znak,fn Znak,ft Znak"/>
    <w:basedOn w:val="Domylnaczcionkaakapitu"/>
    <w:link w:val="Tekstprzypisudolnego"/>
    <w:uiPriority w:val="99"/>
    <w:qFormat/>
    <w:rsid w:val="00A23A06"/>
    <w:rPr>
      <w:rFonts w:ascii="Times New Roman" w:eastAsia="Times New Roman" w:hAnsi="Times New Roman"/>
    </w:rPr>
  </w:style>
  <w:style w:type="numbering" w:customStyle="1" w:styleId="ListStyle-ListBulletNoSpacing11">
    <w:name w:val="_List Style - List Bullet No Spacing11"/>
    <w:uiPriority w:val="99"/>
    <w:rsid w:val="00E27F54"/>
    <w:pPr>
      <w:numPr>
        <w:numId w:val="4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322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A425B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25B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adzio\Desktop\GDOS_GD_2016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4B3E1-D84A-4A78-8DEF-25F7D05D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GDOS_GD_2016.dot</Template>
  <TotalTime>1</TotalTime>
  <Pages>44</Pages>
  <Words>18114</Words>
  <Characters>108690</Characters>
  <Application>Microsoft Office Word</Application>
  <DocSecurity>0</DocSecurity>
  <Lines>905</Lines>
  <Paragraphs>253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eradzio</dc:creator>
  <cp:lastModifiedBy>Ewa Bakuła</cp:lastModifiedBy>
  <cp:revision>2</cp:revision>
  <cp:lastPrinted>2026-09-22T15:06:00Z</cp:lastPrinted>
  <dcterms:created xsi:type="dcterms:W3CDTF">2026-10-05T10:56:00Z</dcterms:created>
  <dcterms:modified xsi:type="dcterms:W3CDTF">2026-10-05T10:56:00Z</dcterms:modified>
</cp:coreProperties>
</file>