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69C07" w14:textId="77777777" w:rsidR="0074607B" w:rsidRDefault="003F0085" w:rsidP="0074607B">
      <w:pPr>
        <w:pStyle w:val="Spistreci1"/>
        <w:spacing w:before="4200" w:after="4200"/>
        <w:rPr>
          <w:rFonts w:ascii="Calibri" w:hAnsi="Calibri" w:cs="Calibri"/>
          <w:b/>
          <w:bCs/>
          <w:sz w:val="40"/>
          <w:szCs w:val="40"/>
        </w:rPr>
      </w:pPr>
      <w:bookmarkStart w:id="0" w:name="_Toc100251687"/>
      <w:bookmarkStart w:id="1" w:name="_Toc156997729"/>
      <w:r w:rsidRPr="008677C0">
        <w:rPr>
          <w:rFonts w:ascii="Calibri" w:hAnsi="Calibri" w:cs="Calibri"/>
          <w:b/>
          <w:bCs/>
          <w:sz w:val="40"/>
          <w:szCs w:val="40"/>
        </w:rPr>
        <w:t>Zasady oceny Przedsięwzięć w Inwestycji C2.1.1</w:t>
      </w:r>
      <w:bookmarkStart w:id="2" w:name="_Toc100251688"/>
      <w:bookmarkStart w:id="3" w:name="_Toc156997730"/>
      <w:bookmarkEnd w:id="0"/>
      <w:bookmarkEnd w:id="1"/>
      <w:r w:rsidR="008677C0">
        <w:rPr>
          <w:rFonts w:ascii="Calibri" w:hAnsi="Calibri" w:cs="Calibri"/>
          <w:b/>
          <w:bCs/>
          <w:sz w:val="40"/>
          <w:szCs w:val="40"/>
        </w:rPr>
        <w:t xml:space="preserve"> </w:t>
      </w:r>
      <w:r w:rsidRPr="008677C0">
        <w:rPr>
          <w:rFonts w:ascii="Calibri" w:hAnsi="Calibri" w:cs="Calibri"/>
          <w:b/>
          <w:bCs/>
          <w:sz w:val="40"/>
          <w:szCs w:val="40"/>
        </w:rPr>
        <w:t>Krajowego Planu Odbudowy i Zwiększania Odporności</w:t>
      </w:r>
      <w:bookmarkEnd w:id="2"/>
      <w:bookmarkEnd w:id="3"/>
    </w:p>
    <w:p w14:paraId="72E1D4A9" w14:textId="77777777" w:rsidR="0074607B" w:rsidRDefault="0074607B">
      <w:pPr>
        <w:rPr>
          <w:rFonts w:ascii="Calibri" w:eastAsiaTheme="majorEastAsia" w:hAnsi="Calibri" w:cs="Calibri"/>
          <w:b/>
          <w:bCs/>
          <w:color w:val="2E74B5" w:themeColor="accent1" w:themeShade="BF"/>
          <w:sz w:val="40"/>
          <w:szCs w:val="40"/>
        </w:rPr>
      </w:pPr>
      <w:r>
        <w:rPr>
          <w:rFonts w:ascii="Calibri" w:hAnsi="Calibri" w:cs="Calibri"/>
          <w:b/>
          <w:bCs/>
          <w:sz w:val="40"/>
          <w:szCs w:val="40"/>
        </w:rPr>
        <w:br w:type="page"/>
      </w:r>
    </w:p>
    <w:sdt>
      <w:sdtPr>
        <w:rPr>
          <w:rFonts w:ascii="Calibri" w:eastAsiaTheme="minorHAnsi" w:hAnsi="Calibri" w:cs="Calibri"/>
          <w:color w:val="auto"/>
          <w:sz w:val="22"/>
          <w:szCs w:val="22"/>
        </w:rPr>
        <w:id w:val="1439793981"/>
        <w:docPartObj>
          <w:docPartGallery w:val="Table of Contents"/>
          <w:docPartUnique/>
        </w:docPartObj>
      </w:sdtPr>
      <w:sdtEndPr>
        <w:rPr>
          <w:b/>
          <w:bCs/>
        </w:rPr>
      </w:sdtEndPr>
      <w:sdtContent>
        <w:p w14:paraId="3453F95C" w14:textId="72063310" w:rsidR="007C488C" w:rsidRPr="00A640DA" w:rsidRDefault="007C488C" w:rsidP="0074607B">
          <w:pPr>
            <w:pStyle w:val="Nagwek1"/>
            <w:jc w:val="center"/>
            <w:rPr>
              <w:rFonts w:ascii="Calibri" w:hAnsi="Calibri" w:cs="Calibri"/>
            </w:rPr>
          </w:pPr>
        </w:p>
        <w:p w14:paraId="1DFA2DB8" w14:textId="6B86FAE4" w:rsidR="00524F92" w:rsidRPr="006304A3" w:rsidRDefault="003F0085" w:rsidP="006304A3">
          <w:pPr>
            <w:pStyle w:val="Spistreci1"/>
            <w:spacing w:line="360" w:lineRule="auto"/>
            <w:rPr>
              <w:rFonts w:ascii="Calibri" w:hAnsi="Calibri" w:cs="Calibri"/>
              <w:sz w:val="24"/>
              <w:szCs w:val="24"/>
            </w:rPr>
          </w:pPr>
          <w:r w:rsidRPr="006304A3">
            <w:rPr>
              <w:rFonts w:ascii="Calibri" w:hAnsi="Calibri" w:cs="Calibri"/>
              <w:sz w:val="24"/>
              <w:szCs w:val="24"/>
            </w:rPr>
            <w:t>Spis treści</w:t>
          </w:r>
        </w:p>
        <w:p w14:paraId="7F9F4507" w14:textId="3648DBFE" w:rsidR="00524F92" w:rsidRPr="006304A3" w:rsidRDefault="0020684E" w:rsidP="006304A3">
          <w:pPr>
            <w:pStyle w:val="Spistreci1"/>
            <w:spacing w:line="360" w:lineRule="auto"/>
            <w:rPr>
              <w:rFonts w:ascii="Calibri" w:eastAsiaTheme="minorEastAsia" w:hAnsi="Calibri" w:cs="Calibri"/>
              <w:noProof/>
              <w:sz w:val="24"/>
              <w:szCs w:val="24"/>
              <w:lang w:eastAsia="pl-PL"/>
            </w:rPr>
          </w:pPr>
          <w:r w:rsidRPr="006304A3">
            <w:rPr>
              <w:rFonts w:ascii="Calibri" w:hAnsi="Calibri" w:cs="Calibri"/>
              <w:b/>
              <w:bCs/>
              <w:sz w:val="24"/>
              <w:szCs w:val="24"/>
            </w:rPr>
            <w:fldChar w:fldCharType="begin"/>
          </w:r>
          <w:r w:rsidRPr="006304A3">
            <w:rPr>
              <w:rFonts w:ascii="Calibri" w:hAnsi="Calibri" w:cs="Calibri"/>
              <w:b/>
              <w:bCs/>
              <w:sz w:val="24"/>
              <w:szCs w:val="24"/>
            </w:rPr>
            <w:instrText xml:space="preserve"> TOC \o "1-3" \h \z \u </w:instrText>
          </w:r>
          <w:r w:rsidRPr="006304A3">
            <w:rPr>
              <w:rFonts w:ascii="Calibri" w:hAnsi="Calibri" w:cs="Calibri"/>
              <w:b/>
              <w:bCs/>
              <w:sz w:val="24"/>
              <w:szCs w:val="24"/>
            </w:rPr>
            <w:fldChar w:fldCharType="separate"/>
          </w:r>
        </w:p>
        <w:p w14:paraId="1C280E03" w14:textId="43D6DDFE" w:rsidR="00524F92" w:rsidRPr="006304A3" w:rsidRDefault="00D44CE8" w:rsidP="006304A3">
          <w:pPr>
            <w:pStyle w:val="Spistreci1"/>
            <w:spacing w:line="360" w:lineRule="auto"/>
            <w:rPr>
              <w:rFonts w:ascii="Calibri" w:eastAsiaTheme="minorEastAsia" w:hAnsi="Calibri" w:cs="Calibri"/>
              <w:noProof/>
              <w:sz w:val="24"/>
              <w:szCs w:val="24"/>
              <w:lang w:eastAsia="pl-PL"/>
            </w:rPr>
          </w:pPr>
          <w:hyperlink w:anchor="_Toc156997732" w:history="1">
            <w:r w:rsidR="00524F92" w:rsidRPr="006304A3">
              <w:rPr>
                <w:rStyle w:val="Hipercze"/>
                <w:rFonts w:ascii="Calibri" w:hAnsi="Calibri" w:cs="Calibri"/>
                <w:noProof/>
                <w:sz w:val="24"/>
                <w:szCs w:val="24"/>
              </w:rPr>
              <w:t>1.</w:t>
            </w:r>
            <w:r w:rsidR="00524F92" w:rsidRPr="006304A3">
              <w:rPr>
                <w:rFonts w:ascii="Calibri" w:eastAsiaTheme="minorEastAsia" w:hAnsi="Calibri" w:cs="Calibri"/>
                <w:noProof/>
                <w:sz w:val="24"/>
                <w:szCs w:val="24"/>
                <w:lang w:eastAsia="pl-PL"/>
              </w:rPr>
              <w:tab/>
            </w:r>
            <w:r w:rsidR="00524F92" w:rsidRPr="006304A3">
              <w:rPr>
                <w:rStyle w:val="Hipercze"/>
                <w:rFonts w:ascii="Calibri" w:hAnsi="Calibri" w:cs="Calibri"/>
                <w:noProof/>
                <w:sz w:val="24"/>
                <w:szCs w:val="24"/>
              </w:rPr>
              <w:t>SŁOWNIK POJĘĆ Z ELEMENTAMI PORADNIKA</w:t>
            </w:r>
            <w:r w:rsidR="00524F92" w:rsidRPr="006304A3">
              <w:rPr>
                <w:rFonts w:ascii="Calibri" w:hAnsi="Calibri" w:cs="Calibri"/>
                <w:noProof/>
                <w:webHidden/>
                <w:sz w:val="24"/>
                <w:szCs w:val="24"/>
              </w:rPr>
              <w:tab/>
            </w:r>
            <w:r w:rsidR="00524F92" w:rsidRPr="006304A3">
              <w:rPr>
                <w:rFonts w:ascii="Calibri" w:hAnsi="Calibri" w:cs="Calibri"/>
                <w:noProof/>
                <w:webHidden/>
                <w:sz w:val="24"/>
                <w:szCs w:val="24"/>
              </w:rPr>
              <w:fldChar w:fldCharType="begin"/>
            </w:r>
            <w:r w:rsidR="00524F92" w:rsidRPr="006304A3">
              <w:rPr>
                <w:rFonts w:ascii="Calibri" w:hAnsi="Calibri" w:cs="Calibri"/>
                <w:noProof/>
                <w:webHidden/>
                <w:sz w:val="24"/>
                <w:szCs w:val="24"/>
              </w:rPr>
              <w:instrText xml:space="preserve"> PAGEREF _Toc156997732 \h </w:instrText>
            </w:r>
            <w:r w:rsidR="00524F92" w:rsidRPr="006304A3">
              <w:rPr>
                <w:rFonts w:ascii="Calibri" w:hAnsi="Calibri" w:cs="Calibri"/>
                <w:noProof/>
                <w:webHidden/>
                <w:sz w:val="24"/>
                <w:szCs w:val="24"/>
              </w:rPr>
            </w:r>
            <w:r w:rsidR="00524F92" w:rsidRPr="006304A3">
              <w:rPr>
                <w:rFonts w:ascii="Calibri" w:hAnsi="Calibri" w:cs="Calibri"/>
                <w:noProof/>
                <w:webHidden/>
                <w:sz w:val="24"/>
                <w:szCs w:val="24"/>
              </w:rPr>
              <w:fldChar w:fldCharType="separate"/>
            </w:r>
            <w:r w:rsidR="006304A3">
              <w:rPr>
                <w:rFonts w:ascii="Calibri" w:hAnsi="Calibri" w:cs="Calibri"/>
                <w:noProof/>
                <w:webHidden/>
                <w:sz w:val="24"/>
                <w:szCs w:val="24"/>
              </w:rPr>
              <w:t>3</w:t>
            </w:r>
            <w:r w:rsidR="00524F92" w:rsidRPr="006304A3">
              <w:rPr>
                <w:rFonts w:ascii="Calibri" w:hAnsi="Calibri" w:cs="Calibri"/>
                <w:noProof/>
                <w:webHidden/>
                <w:sz w:val="24"/>
                <w:szCs w:val="24"/>
              </w:rPr>
              <w:fldChar w:fldCharType="end"/>
            </w:r>
          </w:hyperlink>
        </w:p>
        <w:p w14:paraId="47AE554B" w14:textId="50BBCD24" w:rsidR="00524F92" w:rsidRPr="006304A3" w:rsidRDefault="00D44CE8" w:rsidP="006304A3">
          <w:pPr>
            <w:pStyle w:val="Spistreci1"/>
            <w:spacing w:line="360" w:lineRule="auto"/>
            <w:rPr>
              <w:rFonts w:ascii="Calibri" w:eastAsiaTheme="minorEastAsia" w:hAnsi="Calibri" w:cs="Calibri"/>
              <w:noProof/>
              <w:sz w:val="24"/>
              <w:szCs w:val="24"/>
              <w:lang w:eastAsia="pl-PL"/>
            </w:rPr>
          </w:pPr>
          <w:hyperlink w:anchor="_Toc156997733" w:history="1">
            <w:r w:rsidR="00524F92" w:rsidRPr="006304A3">
              <w:rPr>
                <w:rStyle w:val="Hipercze"/>
                <w:rFonts w:ascii="Calibri" w:hAnsi="Calibri" w:cs="Calibri"/>
                <w:noProof/>
                <w:sz w:val="24"/>
                <w:szCs w:val="24"/>
              </w:rPr>
              <w:t>2.</w:t>
            </w:r>
            <w:r w:rsidR="00524F92" w:rsidRPr="006304A3">
              <w:rPr>
                <w:rFonts w:ascii="Calibri" w:eastAsiaTheme="minorEastAsia" w:hAnsi="Calibri" w:cs="Calibri"/>
                <w:noProof/>
                <w:sz w:val="24"/>
                <w:szCs w:val="24"/>
                <w:lang w:eastAsia="pl-PL"/>
              </w:rPr>
              <w:tab/>
            </w:r>
            <w:r w:rsidR="00524F92" w:rsidRPr="006304A3">
              <w:rPr>
                <w:rStyle w:val="Hipercze"/>
                <w:rFonts w:ascii="Calibri" w:hAnsi="Calibri" w:cs="Calibri"/>
                <w:noProof/>
                <w:sz w:val="24"/>
                <w:szCs w:val="24"/>
              </w:rPr>
              <w:t>KRYTERIA FORMALNE OCENY PRZEDSIĘWZIĘĆ W INWESTYCJI C2.1.1</w:t>
            </w:r>
            <w:r w:rsidR="00524F92" w:rsidRPr="006304A3">
              <w:rPr>
                <w:rFonts w:ascii="Calibri" w:hAnsi="Calibri" w:cs="Calibri"/>
                <w:noProof/>
                <w:webHidden/>
                <w:sz w:val="24"/>
                <w:szCs w:val="24"/>
              </w:rPr>
              <w:tab/>
            </w:r>
            <w:r w:rsidR="00524F92" w:rsidRPr="006304A3">
              <w:rPr>
                <w:rFonts w:ascii="Calibri" w:hAnsi="Calibri" w:cs="Calibri"/>
                <w:noProof/>
                <w:webHidden/>
                <w:sz w:val="24"/>
                <w:szCs w:val="24"/>
              </w:rPr>
              <w:fldChar w:fldCharType="begin"/>
            </w:r>
            <w:r w:rsidR="00524F92" w:rsidRPr="006304A3">
              <w:rPr>
                <w:rFonts w:ascii="Calibri" w:hAnsi="Calibri" w:cs="Calibri"/>
                <w:noProof/>
                <w:webHidden/>
                <w:sz w:val="24"/>
                <w:szCs w:val="24"/>
              </w:rPr>
              <w:instrText xml:space="preserve"> PAGEREF _Toc156997733 \h </w:instrText>
            </w:r>
            <w:r w:rsidR="00524F92" w:rsidRPr="006304A3">
              <w:rPr>
                <w:rFonts w:ascii="Calibri" w:hAnsi="Calibri" w:cs="Calibri"/>
                <w:noProof/>
                <w:webHidden/>
                <w:sz w:val="24"/>
                <w:szCs w:val="24"/>
              </w:rPr>
            </w:r>
            <w:r w:rsidR="00524F92" w:rsidRPr="006304A3">
              <w:rPr>
                <w:rFonts w:ascii="Calibri" w:hAnsi="Calibri" w:cs="Calibri"/>
                <w:noProof/>
                <w:webHidden/>
                <w:sz w:val="24"/>
                <w:szCs w:val="24"/>
              </w:rPr>
              <w:fldChar w:fldCharType="separate"/>
            </w:r>
            <w:r w:rsidR="006304A3">
              <w:rPr>
                <w:rFonts w:ascii="Calibri" w:hAnsi="Calibri" w:cs="Calibri"/>
                <w:noProof/>
                <w:webHidden/>
                <w:sz w:val="24"/>
                <w:szCs w:val="24"/>
              </w:rPr>
              <w:t>11</w:t>
            </w:r>
            <w:r w:rsidR="00524F92" w:rsidRPr="006304A3">
              <w:rPr>
                <w:rFonts w:ascii="Calibri" w:hAnsi="Calibri" w:cs="Calibri"/>
                <w:noProof/>
                <w:webHidden/>
                <w:sz w:val="24"/>
                <w:szCs w:val="24"/>
              </w:rPr>
              <w:fldChar w:fldCharType="end"/>
            </w:r>
          </w:hyperlink>
        </w:p>
        <w:p w14:paraId="060AEDAD" w14:textId="23EB375F" w:rsidR="00524F92" w:rsidRPr="006304A3" w:rsidRDefault="00D44CE8" w:rsidP="006304A3">
          <w:pPr>
            <w:pStyle w:val="Spistreci1"/>
            <w:spacing w:line="360" w:lineRule="auto"/>
            <w:rPr>
              <w:rFonts w:ascii="Calibri" w:eastAsiaTheme="minorEastAsia" w:hAnsi="Calibri" w:cs="Calibri"/>
              <w:noProof/>
              <w:sz w:val="24"/>
              <w:szCs w:val="24"/>
              <w:lang w:eastAsia="pl-PL"/>
            </w:rPr>
          </w:pPr>
          <w:hyperlink w:anchor="_Toc156997734" w:history="1">
            <w:r w:rsidR="00524F92" w:rsidRPr="006304A3">
              <w:rPr>
                <w:rStyle w:val="Hipercze"/>
                <w:rFonts w:ascii="Calibri" w:hAnsi="Calibri" w:cs="Calibri"/>
                <w:noProof/>
                <w:sz w:val="24"/>
                <w:szCs w:val="24"/>
              </w:rPr>
              <w:t>3.</w:t>
            </w:r>
            <w:r w:rsidR="00524F92" w:rsidRPr="006304A3">
              <w:rPr>
                <w:rFonts w:ascii="Calibri" w:eastAsiaTheme="minorEastAsia" w:hAnsi="Calibri" w:cs="Calibri"/>
                <w:noProof/>
                <w:sz w:val="24"/>
                <w:szCs w:val="24"/>
                <w:lang w:eastAsia="pl-PL"/>
              </w:rPr>
              <w:tab/>
            </w:r>
            <w:r w:rsidR="00524F92" w:rsidRPr="006304A3">
              <w:rPr>
                <w:rStyle w:val="Hipercze"/>
                <w:rFonts w:ascii="Calibri" w:hAnsi="Calibri" w:cs="Calibri"/>
                <w:noProof/>
                <w:sz w:val="24"/>
                <w:szCs w:val="24"/>
              </w:rPr>
              <w:t>KRYTERIA MERYTORYCZNE OCENY PRZEDSIĘWZIĘĆ W INWESTYCJI C2.1.1</w:t>
            </w:r>
            <w:r w:rsidR="00524F92" w:rsidRPr="006304A3">
              <w:rPr>
                <w:rFonts w:ascii="Calibri" w:hAnsi="Calibri" w:cs="Calibri"/>
                <w:noProof/>
                <w:webHidden/>
                <w:sz w:val="24"/>
                <w:szCs w:val="24"/>
              </w:rPr>
              <w:tab/>
            </w:r>
            <w:r w:rsidR="00524F92" w:rsidRPr="006304A3">
              <w:rPr>
                <w:rFonts w:ascii="Calibri" w:hAnsi="Calibri" w:cs="Calibri"/>
                <w:noProof/>
                <w:webHidden/>
                <w:sz w:val="24"/>
                <w:szCs w:val="24"/>
              </w:rPr>
              <w:fldChar w:fldCharType="begin"/>
            </w:r>
            <w:r w:rsidR="00524F92" w:rsidRPr="006304A3">
              <w:rPr>
                <w:rFonts w:ascii="Calibri" w:hAnsi="Calibri" w:cs="Calibri"/>
                <w:noProof/>
                <w:webHidden/>
                <w:sz w:val="24"/>
                <w:szCs w:val="24"/>
              </w:rPr>
              <w:instrText xml:space="preserve"> PAGEREF _Toc156997734 \h </w:instrText>
            </w:r>
            <w:r w:rsidR="00524F92" w:rsidRPr="006304A3">
              <w:rPr>
                <w:rFonts w:ascii="Calibri" w:hAnsi="Calibri" w:cs="Calibri"/>
                <w:noProof/>
                <w:webHidden/>
                <w:sz w:val="24"/>
                <w:szCs w:val="24"/>
              </w:rPr>
            </w:r>
            <w:r w:rsidR="00524F92" w:rsidRPr="006304A3">
              <w:rPr>
                <w:rFonts w:ascii="Calibri" w:hAnsi="Calibri" w:cs="Calibri"/>
                <w:noProof/>
                <w:webHidden/>
                <w:sz w:val="24"/>
                <w:szCs w:val="24"/>
              </w:rPr>
              <w:fldChar w:fldCharType="separate"/>
            </w:r>
            <w:r w:rsidR="006304A3">
              <w:rPr>
                <w:rFonts w:ascii="Calibri" w:hAnsi="Calibri" w:cs="Calibri"/>
                <w:noProof/>
                <w:webHidden/>
                <w:sz w:val="24"/>
                <w:szCs w:val="24"/>
              </w:rPr>
              <w:t>15</w:t>
            </w:r>
            <w:r w:rsidR="00524F92" w:rsidRPr="006304A3">
              <w:rPr>
                <w:rFonts w:ascii="Calibri" w:hAnsi="Calibri" w:cs="Calibri"/>
                <w:noProof/>
                <w:webHidden/>
                <w:sz w:val="24"/>
                <w:szCs w:val="24"/>
              </w:rPr>
              <w:fldChar w:fldCharType="end"/>
            </w:r>
          </w:hyperlink>
        </w:p>
        <w:p w14:paraId="405F5463" w14:textId="4F31F2EC" w:rsidR="0074607B" w:rsidRDefault="0020684E" w:rsidP="006304A3">
          <w:pPr>
            <w:tabs>
              <w:tab w:val="left" w:pos="2100"/>
            </w:tabs>
            <w:spacing w:line="360" w:lineRule="auto"/>
            <w:rPr>
              <w:rFonts w:ascii="Calibri" w:hAnsi="Calibri" w:cs="Calibri"/>
            </w:rPr>
          </w:pPr>
          <w:r w:rsidRPr="006304A3">
            <w:rPr>
              <w:rFonts w:ascii="Calibri" w:hAnsi="Calibri" w:cs="Calibri"/>
              <w:b/>
              <w:bCs/>
              <w:sz w:val="24"/>
              <w:szCs w:val="24"/>
            </w:rPr>
            <w:fldChar w:fldCharType="end"/>
          </w:r>
        </w:p>
      </w:sdtContent>
    </w:sdt>
    <w:p w14:paraId="4A4117AF" w14:textId="77777777" w:rsidR="0074607B" w:rsidRDefault="0074607B">
      <w:pPr>
        <w:rPr>
          <w:rFonts w:ascii="Calibri" w:hAnsi="Calibri" w:cs="Calibri"/>
        </w:rPr>
      </w:pPr>
      <w:r>
        <w:rPr>
          <w:rFonts w:ascii="Calibri" w:hAnsi="Calibri" w:cs="Calibri"/>
        </w:rPr>
        <w:br w:type="page"/>
      </w:r>
    </w:p>
    <w:p w14:paraId="5DF00465" w14:textId="55326A23" w:rsidR="00407112" w:rsidRPr="003F36C3" w:rsidRDefault="00953627" w:rsidP="003F36C3">
      <w:pPr>
        <w:pStyle w:val="Nagwek2"/>
        <w:numPr>
          <w:ilvl w:val="0"/>
          <w:numId w:val="22"/>
        </w:numPr>
        <w:spacing w:before="360" w:after="360"/>
        <w:ind w:left="680" w:hanging="340"/>
        <w:rPr>
          <w:b/>
          <w:bCs/>
        </w:rPr>
      </w:pPr>
      <w:bookmarkStart w:id="4" w:name="_Toc156997732"/>
      <w:r w:rsidRPr="007A0B15">
        <w:rPr>
          <w:b/>
          <w:bCs/>
        </w:rPr>
        <w:lastRenderedPageBreak/>
        <w:t>S</w:t>
      </w:r>
      <w:r w:rsidR="00953FB2" w:rsidRPr="007A0B15">
        <w:rPr>
          <w:b/>
          <w:bCs/>
        </w:rPr>
        <w:t>ŁOWNIK</w:t>
      </w:r>
      <w:r w:rsidR="004E50EC" w:rsidRPr="007A0B15">
        <w:rPr>
          <w:b/>
          <w:bCs/>
        </w:rPr>
        <w:t xml:space="preserve"> POJĘĆ</w:t>
      </w:r>
      <w:r w:rsidR="0020684E" w:rsidRPr="007A0B15">
        <w:rPr>
          <w:b/>
          <w:bCs/>
        </w:rPr>
        <w:t xml:space="preserve"> </w:t>
      </w:r>
      <w:r w:rsidR="004E50EC" w:rsidRPr="007A0B15">
        <w:rPr>
          <w:b/>
          <w:bCs/>
        </w:rPr>
        <w:t>Z ELEMENTAMI PORADNIKA</w:t>
      </w:r>
      <w:bookmarkEnd w:id="4"/>
    </w:p>
    <w:tbl>
      <w:tblPr>
        <w:tblStyle w:val="Tabela-Siatka"/>
        <w:tblW w:w="9356" w:type="dxa"/>
        <w:tblInd w:w="-147" w:type="dxa"/>
        <w:tblLayout w:type="fixed"/>
        <w:tblLook w:val="04A0" w:firstRow="1" w:lastRow="0" w:firstColumn="1" w:lastColumn="0" w:noHBand="0" w:noVBand="1"/>
      </w:tblPr>
      <w:tblGrid>
        <w:gridCol w:w="1985"/>
        <w:gridCol w:w="7371"/>
      </w:tblGrid>
      <w:tr w:rsidR="00C6013D" w:rsidRPr="00A640DA" w14:paraId="61097505" w14:textId="77777777" w:rsidTr="0031764D">
        <w:trPr>
          <w:trHeight w:val="859"/>
        </w:trPr>
        <w:tc>
          <w:tcPr>
            <w:tcW w:w="1985" w:type="dxa"/>
            <w:shd w:val="clear" w:color="auto" w:fill="E7E6E6" w:themeFill="background2"/>
            <w:vAlign w:val="center"/>
          </w:tcPr>
          <w:p w14:paraId="5F0008AB" w14:textId="3AC88B2D" w:rsidR="00C6013D" w:rsidRPr="006304A3" w:rsidRDefault="00C6013D" w:rsidP="001E00D4">
            <w:pPr>
              <w:jc w:val="center"/>
              <w:rPr>
                <w:rFonts w:ascii="Calibri" w:hAnsi="Calibri" w:cs="Calibri"/>
                <w:b/>
                <w:color w:val="000000"/>
                <w:sz w:val="24"/>
                <w:szCs w:val="24"/>
              </w:rPr>
            </w:pPr>
            <w:r w:rsidRPr="006304A3">
              <w:rPr>
                <w:rFonts w:ascii="Calibri" w:hAnsi="Calibri" w:cs="Calibri"/>
                <w:b/>
                <w:color w:val="000000"/>
                <w:sz w:val="24"/>
                <w:szCs w:val="24"/>
              </w:rPr>
              <w:t>TERMIN</w:t>
            </w:r>
          </w:p>
        </w:tc>
        <w:tc>
          <w:tcPr>
            <w:tcW w:w="7371" w:type="dxa"/>
            <w:shd w:val="clear" w:color="auto" w:fill="E7E6E6" w:themeFill="background2"/>
            <w:vAlign w:val="center"/>
          </w:tcPr>
          <w:p w14:paraId="3B0C46EB" w14:textId="20C3FF8E" w:rsidR="00C6013D" w:rsidRPr="006304A3" w:rsidRDefault="00C6013D" w:rsidP="001E00D4">
            <w:pPr>
              <w:jc w:val="center"/>
              <w:rPr>
                <w:rFonts w:ascii="Calibri" w:hAnsi="Calibri" w:cs="Calibri"/>
                <w:b/>
                <w:color w:val="000000"/>
                <w:sz w:val="24"/>
                <w:szCs w:val="24"/>
              </w:rPr>
            </w:pPr>
            <w:r w:rsidRPr="006304A3">
              <w:rPr>
                <w:rFonts w:ascii="Calibri" w:hAnsi="Calibri" w:cs="Calibri"/>
                <w:b/>
                <w:color w:val="000000"/>
                <w:sz w:val="24"/>
                <w:szCs w:val="24"/>
              </w:rPr>
              <w:t>ZNACZENIE</w:t>
            </w:r>
            <w:r w:rsidRPr="006304A3">
              <w:rPr>
                <w:rStyle w:val="Odwoanieprzypisudolnego"/>
                <w:rFonts w:ascii="Calibri" w:hAnsi="Calibri" w:cs="Calibri"/>
                <w:b/>
                <w:color w:val="000000"/>
                <w:sz w:val="24"/>
                <w:szCs w:val="24"/>
              </w:rPr>
              <w:footnoteReference w:id="2"/>
            </w:r>
          </w:p>
        </w:tc>
      </w:tr>
      <w:tr w:rsidR="00C6013D" w:rsidRPr="00A640DA" w14:paraId="72455544" w14:textId="77777777" w:rsidTr="0031764D">
        <w:tc>
          <w:tcPr>
            <w:tcW w:w="1985" w:type="dxa"/>
            <w:shd w:val="clear" w:color="auto" w:fill="FFFFFF" w:themeFill="background1"/>
          </w:tcPr>
          <w:p w14:paraId="643F807B" w14:textId="71E9D909" w:rsidR="00C6013D" w:rsidRPr="006304A3" w:rsidDel="0075216D" w:rsidRDefault="00C6013D" w:rsidP="006B107F">
            <w:pPr>
              <w:rPr>
                <w:rFonts w:ascii="Calibri" w:hAnsi="Calibri" w:cs="Calibri"/>
                <w:b/>
                <w:color w:val="000000"/>
                <w:sz w:val="24"/>
                <w:szCs w:val="24"/>
              </w:rPr>
            </w:pPr>
            <w:r w:rsidRPr="006304A3">
              <w:rPr>
                <w:rFonts w:ascii="Calibri" w:hAnsi="Calibri" w:cs="Calibri"/>
                <w:b/>
                <w:color w:val="000000"/>
                <w:sz w:val="24"/>
                <w:szCs w:val="24"/>
              </w:rPr>
              <w:t>DG COMP</w:t>
            </w:r>
          </w:p>
        </w:tc>
        <w:tc>
          <w:tcPr>
            <w:tcW w:w="7371" w:type="dxa"/>
            <w:shd w:val="clear" w:color="auto" w:fill="FFFFFF" w:themeFill="background1"/>
          </w:tcPr>
          <w:p w14:paraId="36FBBB18" w14:textId="74058A4E" w:rsidR="00C6013D" w:rsidRPr="006304A3" w:rsidDel="0075216D" w:rsidRDefault="00C6013D" w:rsidP="00AD16A9">
            <w:pPr>
              <w:rPr>
                <w:rFonts w:ascii="Calibri" w:hAnsi="Calibri" w:cs="Calibri"/>
                <w:sz w:val="24"/>
                <w:szCs w:val="24"/>
              </w:rPr>
            </w:pPr>
            <w:r w:rsidRPr="006304A3">
              <w:rPr>
                <w:rFonts w:ascii="Calibri" w:hAnsi="Calibri" w:cs="Calibri"/>
                <w:sz w:val="24"/>
                <w:szCs w:val="24"/>
              </w:rPr>
              <w:t>Dyrekcja Generalna ds. Konkurencji, Komisja Europejska.</w:t>
            </w:r>
          </w:p>
        </w:tc>
      </w:tr>
      <w:tr w:rsidR="00C6013D" w:rsidRPr="00A640DA" w14:paraId="54CE2E94" w14:textId="77777777" w:rsidTr="0031764D">
        <w:tc>
          <w:tcPr>
            <w:tcW w:w="1985" w:type="dxa"/>
          </w:tcPr>
          <w:p w14:paraId="5ADF925C" w14:textId="2A1A5265" w:rsidR="00C6013D" w:rsidRPr="006304A3" w:rsidRDefault="00C6013D" w:rsidP="002150A7">
            <w:pPr>
              <w:rPr>
                <w:rFonts w:ascii="Calibri" w:hAnsi="Calibri" w:cs="Calibri"/>
                <w:b/>
                <w:color w:val="000000"/>
                <w:sz w:val="24"/>
                <w:szCs w:val="24"/>
              </w:rPr>
            </w:pPr>
            <w:r w:rsidRPr="006304A3">
              <w:rPr>
                <w:rFonts w:ascii="Calibri" w:hAnsi="Calibri" w:cs="Calibri"/>
                <w:b/>
                <w:color w:val="000000"/>
                <w:sz w:val="24"/>
                <w:szCs w:val="24"/>
              </w:rPr>
              <w:t>e-usługa publiczna na co najmniej 4 poziomie dojrzałości</w:t>
            </w:r>
          </w:p>
        </w:tc>
        <w:tc>
          <w:tcPr>
            <w:tcW w:w="7371" w:type="dxa"/>
          </w:tcPr>
          <w:p w14:paraId="7708D6B8" w14:textId="11B3BAF2" w:rsidR="00C6013D" w:rsidRPr="006304A3" w:rsidRDefault="00C6013D" w:rsidP="001E00D4">
            <w:pPr>
              <w:spacing w:after="360"/>
              <w:rPr>
                <w:rFonts w:ascii="Calibri" w:hAnsi="Calibri" w:cs="Calibri"/>
                <w:sz w:val="24"/>
                <w:szCs w:val="24"/>
              </w:rPr>
            </w:pPr>
            <w:r w:rsidRPr="006304A3">
              <w:rPr>
                <w:rFonts w:ascii="Calibri" w:hAnsi="Calibri" w:cs="Calibri"/>
                <w:sz w:val="24"/>
                <w:szCs w:val="24"/>
              </w:rPr>
              <w:t>Działanie podejmowane przez podmiot realizujący zadania publiczne, polegające na</w:t>
            </w:r>
            <w:r w:rsidR="00A63218" w:rsidRPr="006304A3">
              <w:rPr>
                <w:rFonts w:ascii="Calibri" w:hAnsi="Calibri" w:cs="Calibri"/>
                <w:sz w:val="24"/>
                <w:szCs w:val="24"/>
              </w:rPr>
              <w:t xml:space="preserve"> </w:t>
            </w:r>
            <w:r w:rsidRPr="006304A3">
              <w:rPr>
                <w:rFonts w:ascii="Calibri" w:hAnsi="Calibri" w:cs="Calibri"/>
                <w:sz w:val="24"/>
                <w:szCs w:val="24"/>
              </w:rPr>
              <w:t>umożliwieniu obywatelom lub przedsiębiorstwom realizacji obowiązku lub uprawnienia określonego przepisem prawa, realizowane z udziałem tych podmiotów za pomocą środków komunikacji elektronicznej na odległość, tzn. bez jednoczesnej obecności stron.</w:t>
            </w:r>
          </w:p>
          <w:p w14:paraId="29225B3D" w14:textId="205DEFE0" w:rsidR="00C6013D" w:rsidRPr="006304A3" w:rsidRDefault="00C6013D" w:rsidP="006B107F">
            <w:pPr>
              <w:rPr>
                <w:rFonts w:ascii="Calibri" w:hAnsi="Calibri" w:cs="Calibri"/>
                <w:sz w:val="24"/>
                <w:szCs w:val="24"/>
              </w:rPr>
            </w:pPr>
            <w:r w:rsidRPr="006304A3">
              <w:rPr>
                <w:rFonts w:ascii="Calibri" w:hAnsi="Calibri" w:cs="Calibri"/>
                <w:sz w:val="24"/>
                <w:szCs w:val="24"/>
              </w:rPr>
              <w:t>Zdefiniowanie usługi powinno obejmować opis pełnego procesu realizacji danej sprawy dotyczącej konkretnego zdarzenia życiowego.</w:t>
            </w:r>
          </w:p>
          <w:p w14:paraId="1DE24CB4" w14:textId="6E0106B8" w:rsidR="00C6013D" w:rsidRPr="006304A3" w:rsidRDefault="00C6013D" w:rsidP="00EB317B">
            <w:pPr>
              <w:pStyle w:val="pf0"/>
              <w:rPr>
                <w:rFonts w:ascii="Calibri" w:hAnsi="Calibri" w:cs="Calibri"/>
              </w:rPr>
            </w:pPr>
            <w:r w:rsidRPr="006304A3">
              <w:rPr>
                <w:rStyle w:val="cf01"/>
                <w:rFonts w:ascii="Calibri" w:hAnsi="Calibri" w:cs="Calibri"/>
                <w:sz w:val="24"/>
                <w:szCs w:val="24"/>
              </w:rPr>
              <w:t>Realizacja e-usługi odbywa się od zainicjalizowania sprawy obywatela lub przedsiębiorcy (przez obywatela, przedsiębiorcę lub administrację) do całkowitego jej zakończenia. Każda interakcja z obywatelem lub przedsiębiorc</w:t>
            </w:r>
            <w:r w:rsidR="002E006A" w:rsidRPr="006304A3">
              <w:rPr>
                <w:rStyle w:val="cf01"/>
                <w:rFonts w:ascii="Calibri" w:hAnsi="Calibri" w:cs="Calibri"/>
                <w:sz w:val="24"/>
                <w:szCs w:val="24"/>
              </w:rPr>
              <w:t>ą</w:t>
            </w:r>
            <w:r w:rsidRPr="006304A3">
              <w:rPr>
                <w:rStyle w:val="cf01"/>
                <w:rFonts w:ascii="Calibri" w:hAnsi="Calibri" w:cs="Calibri"/>
                <w:sz w:val="24"/>
                <w:szCs w:val="24"/>
              </w:rPr>
              <w:t>, w tym wezwanie do uzupełnienia danych sprawy i samo uzupełnienie danych sprawy, musi być możliwe do zrealizowania za pomocą środków komunikacji elektronicznej za pośrednictwem spójnego interfejsu.</w:t>
            </w:r>
            <w:r w:rsidRPr="006304A3">
              <w:rPr>
                <w:rFonts w:ascii="Calibri" w:hAnsi="Calibri" w:cs="Calibri"/>
              </w:rPr>
              <w:t xml:space="preserve"> </w:t>
            </w:r>
            <w:r w:rsidRPr="006304A3">
              <w:rPr>
                <w:rStyle w:val="cf01"/>
                <w:rFonts w:ascii="Calibri" w:hAnsi="Calibri" w:cs="Calibri"/>
                <w:sz w:val="24"/>
                <w:szCs w:val="24"/>
              </w:rPr>
              <w:t xml:space="preserve">E-usługa na każdym etapie realizacji posługuje się domyślnie dokumentem elektronicznym w rozumieniu ustawy o informatyzacji działalności podmiotów realizujących zadania publiczne. </w:t>
            </w:r>
            <w:r w:rsidRPr="006304A3">
              <w:rPr>
                <w:rFonts w:ascii="Calibri" w:hAnsi="Calibri" w:cs="Calibri"/>
              </w:rPr>
              <w:t xml:space="preserve"> </w:t>
            </w:r>
            <w:r w:rsidRPr="006304A3">
              <w:rPr>
                <w:rStyle w:val="cf01"/>
                <w:rFonts w:ascii="Calibri" w:hAnsi="Calibri" w:cs="Calibri"/>
                <w:sz w:val="24"/>
                <w:szCs w:val="24"/>
              </w:rPr>
              <w:t>E-usługa, na żadnym etapie, nie może wymagać od obywatela wprowadzania danych, które są już przechowywane wewnątrz administracji. Jeżeli jakość danych przechowywanych w administracji może być nieaktualna, e-usługa może wymagać od obywatela weryfikacji tych danych i jeżeli są nieaktualne, daje możliwość poprawienia tych danych. W przypadku nieaktualności danych, e-usługa musi powiadomić o tym fakcie podmiot, od którego otrzymała dane.</w:t>
            </w:r>
          </w:p>
          <w:p w14:paraId="7463C2FB" w14:textId="7BC5DCAB" w:rsidR="00A71106" w:rsidRPr="006304A3" w:rsidRDefault="00C6013D" w:rsidP="001E00D4">
            <w:pPr>
              <w:spacing w:after="360"/>
              <w:rPr>
                <w:rFonts w:ascii="Calibri" w:hAnsi="Calibri" w:cs="Calibri"/>
                <w:sz w:val="24"/>
                <w:szCs w:val="24"/>
              </w:rPr>
            </w:pPr>
            <w:r w:rsidRPr="006304A3">
              <w:rPr>
                <w:rFonts w:ascii="Calibri" w:hAnsi="Calibri" w:cs="Calibri"/>
                <w:sz w:val="24"/>
                <w:szCs w:val="24"/>
              </w:rPr>
              <w:t>Odrębną usługą nie jest informowanie o statusie sprawy czy też oferowanie usługi w różnych wersjach językowych.</w:t>
            </w:r>
          </w:p>
          <w:p w14:paraId="40FB2C4C" w14:textId="77777777" w:rsidR="00C6013D" w:rsidRPr="006304A3" w:rsidRDefault="00C6013D" w:rsidP="006B107F">
            <w:pPr>
              <w:rPr>
                <w:rFonts w:ascii="Calibri" w:hAnsi="Calibri" w:cs="Calibri"/>
                <w:sz w:val="24"/>
                <w:szCs w:val="24"/>
              </w:rPr>
            </w:pPr>
            <w:r w:rsidRPr="006304A3">
              <w:rPr>
                <w:rFonts w:ascii="Calibri" w:hAnsi="Calibri" w:cs="Calibri"/>
                <w:b/>
                <w:sz w:val="24"/>
                <w:szCs w:val="24"/>
              </w:rPr>
              <w:t>e-usługa publiczna</w:t>
            </w:r>
            <w:r w:rsidRPr="006304A3">
              <w:rPr>
                <w:rFonts w:ascii="Calibri" w:hAnsi="Calibri" w:cs="Calibri"/>
                <w:sz w:val="24"/>
                <w:szCs w:val="24"/>
              </w:rPr>
              <w:t xml:space="preserve"> na 4 poziomie dojrzałości zakłada, że całość usługi realizowana jest w postaci elektronicznej, w szczególności zaś:</w:t>
            </w:r>
          </w:p>
          <w:p w14:paraId="7EDF364C" w14:textId="77777777" w:rsidR="00C6013D" w:rsidRPr="006304A3" w:rsidRDefault="00C6013D">
            <w:pPr>
              <w:pStyle w:val="Akapitzlist"/>
              <w:numPr>
                <w:ilvl w:val="0"/>
                <w:numId w:val="1"/>
              </w:numPr>
              <w:rPr>
                <w:rFonts w:ascii="Calibri" w:hAnsi="Calibri" w:cs="Calibri"/>
                <w:sz w:val="24"/>
                <w:szCs w:val="24"/>
              </w:rPr>
            </w:pPr>
            <w:r w:rsidRPr="006304A3">
              <w:rPr>
                <w:rFonts w:ascii="Calibri" w:hAnsi="Calibri" w:cs="Calibri"/>
                <w:sz w:val="24"/>
                <w:szCs w:val="24"/>
              </w:rPr>
              <w:t>dostarczenie wszystkich dokumentów i doręczeń w postaci elektronicznej;</w:t>
            </w:r>
          </w:p>
          <w:p w14:paraId="543307E1" w14:textId="77777777" w:rsidR="00C6013D" w:rsidRPr="006304A3" w:rsidRDefault="00C6013D">
            <w:pPr>
              <w:pStyle w:val="Akapitzlist"/>
              <w:numPr>
                <w:ilvl w:val="0"/>
                <w:numId w:val="1"/>
              </w:numPr>
              <w:rPr>
                <w:rFonts w:ascii="Calibri" w:hAnsi="Calibri" w:cs="Calibri"/>
                <w:sz w:val="24"/>
                <w:szCs w:val="24"/>
              </w:rPr>
            </w:pPr>
            <w:r w:rsidRPr="006304A3">
              <w:rPr>
                <w:rFonts w:ascii="Calibri" w:hAnsi="Calibri" w:cs="Calibri"/>
                <w:sz w:val="24"/>
                <w:szCs w:val="24"/>
              </w:rPr>
              <w:t>brak czynności, które obywatel lub przedsiębiorca musiałby wykonać w postaci papierowej;</w:t>
            </w:r>
          </w:p>
          <w:p w14:paraId="450AA474" w14:textId="77777777" w:rsidR="00C6013D" w:rsidRPr="006304A3" w:rsidRDefault="00C6013D" w:rsidP="001E00D4">
            <w:pPr>
              <w:pStyle w:val="Akapitzlist"/>
              <w:numPr>
                <w:ilvl w:val="0"/>
                <w:numId w:val="1"/>
              </w:numPr>
              <w:spacing w:after="360"/>
              <w:ind w:left="714" w:hanging="357"/>
              <w:rPr>
                <w:rFonts w:ascii="Calibri" w:hAnsi="Calibri" w:cs="Calibri"/>
                <w:sz w:val="24"/>
                <w:szCs w:val="24"/>
              </w:rPr>
            </w:pPr>
            <w:r w:rsidRPr="006304A3">
              <w:rPr>
                <w:rFonts w:ascii="Calibri" w:hAnsi="Calibri" w:cs="Calibri"/>
                <w:sz w:val="24"/>
                <w:szCs w:val="24"/>
              </w:rPr>
              <w:lastRenderedPageBreak/>
              <w:t>w przypadku, gdy w procedurze istnieje konieczność dokonania płatności, usługodawca zapewni przekierowanie usługobiorcy do właściwego pośrednika dla dokonania płatności (operacja przekierowania musi zapewnić zachowanie kontekstu zdarzenia, tzn. wszystkie pola niezbędne do zdefiniowania i wykonania płatności, np. przelewu, są wypełniane automatycznie przez system usługodawcy).</w:t>
            </w:r>
          </w:p>
          <w:p w14:paraId="1E2C2517" w14:textId="5EEE15DE" w:rsidR="00C6013D" w:rsidRPr="006304A3" w:rsidRDefault="00C6013D" w:rsidP="00883C60">
            <w:pPr>
              <w:rPr>
                <w:rFonts w:ascii="Calibri" w:hAnsi="Calibri" w:cs="Calibri"/>
                <w:sz w:val="24"/>
                <w:szCs w:val="24"/>
              </w:rPr>
            </w:pPr>
            <w:r w:rsidRPr="006304A3">
              <w:rPr>
                <w:rFonts w:ascii="Calibri" w:hAnsi="Calibri" w:cs="Calibri"/>
                <w:b/>
                <w:sz w:val="24"/>
                <w:szCs w:val="24"/>
              </w:rPr>
              <w:t>e-usługa publiczna</w:t>
            </w:r>
            <w:r w:rsidRPr="006304A3">
              <w:rPr>
                <w:rFonts w:ascii="Calibri" w:hAnsi="Calibri" w:cs="Calibri"/>
                <w:sz w:val="24"/>
                <w:szCs w:val="24"/>
              </w:rPr>
              <w:t xml:space="preserve"> na 5 poziomie dojrzałości zakłada personalizację/ indywidualizację usługi (poziom nieobligatoryjny dla inwestycji </w:t>
            </w:r>
            <w:r w:rsidR="00D34084" w:rsidRPr="006304A3">
              <w:rPr>
                <w:rFonts w:ascii="Calibri" w:hAnsi="Calibri" w:cs="Calibri"/>
                <w:sz w:val="24"/>
                <w:szCs w:val="24"/>
              </w:rPr>
              <w:t>C2.1.1)</w:t>
            </w:r>
            <w:r w:rsidRPr="006304A3">
              <w:rPr>
                <w:rFonts w:ascii="Calibri" w:hAnsi="Calibri" w:cs="Calibri"/>
                <w:sz w:val="24"/>
                <w:szCs w:val="24"/>
              </w:rPr>
              <w:t>. Zakłada, że:</w:t>
            </w:r>
          </w:p>
          <w:p w14:paraId="1E979E67" w14:textId="1B4D9084" w:rsidR="00C6013D" w:rsidRPr="006304A3" w:rsidRDefault="00C6013D">
            <w:pPr>
              <w:pStyle w:val="Akapitzlist"/>
              <w:numPr>
                <w:ilvl w:val="0"/>
                <w:numId w:val="1"/>
              </w:numPr>
              <w:rPr>
                <w:rFonts w:ascii="Calibri" w:hAnsi="Calibri" w:cs="Calibri"/>
                <w:sz w:val="24"/>
                <w:szCs w:val="24"/>
              </w:rPr>
            </w:pPr>
            <w:r w:rsidRPr="006304A3">
              <w:rPr>
                <w:rFonts w:ascii="Calibri" w:hAnsi="Calibri" w:cs="Calibri"/>
                <w:sz w:val="24"/>
                <w:szCs w:val="24"/>
              </w:rPr>
              <w:t>formularze wniosków w postaci elektronicznej będą wstępnie wypełniane będącymi w posiadaniu podmiotu świadczącego usługę danymi obywatela lub przedsiębiorcy (np. imię i nazwisko, dane adresowe, numer PESEL, REGON itp.);</w:t>
            </w:r>
          </w:p>
          <w:p w14:paraId="39A48DFD" w14:textId="09ADD59F" w:rsidR="00C6013D" w:rsidRPr="006304A3" w:rsidRDefault="00C6013D">
            <w:pPr>
              <w:pStyle w:val="Akapitzlist"/>
              <w:numPr>
                <w:ilvl w:val="0"/>
                <w:numId w:val="1"/>
              </w:numPr>
              <w:rPr>
                <w:rFonts w:ascii="Calibri" w:hAnsi="Calibri" w:cs="Calibri"/>
                <w:sz w:val="24"/>
                <w:szCs w:val="24"/>
              </w:rPr>
            </w:pPr>
            <w:r w:rsidRPr="006304A3">
              <w:rPr>
                <w:rFonts w:ascii="Calibri" w:hAnsi="Calibri" w:cs="Calibri"/>
                <w:sz w:val="24"/>
                <w:szCs w:val="24"/>
              </w:rPr>
              <w:t>w przypadku usług, w których nie ma konieczności składania wniosku, urząd automatycznie załatwia sprawę (realizuje usługę) w zakresie odpowiednim do sytuacji życiowej usługobiorcy;</w:t>
            </w:r>
          </w:p>
          <w:p w14:paraId="77A43A3D" w14:textId="64739D87" w:rsidR="00C6013D" w:rsidRPr="001E00D4" w:rsidRDefault="00C6013D" w:rsidP="001E00D4">
            <w:pPr>
              <w:pStyle w:val="Akapitzlist"/>
              <w:numPr>
                <w:ilvl w:val="0"/>
                <w:numId w:val="1"/>
              </w:numPr>
              <w:spacing w:after="360"/>
              <w:ind w:left="714" w:hanging="357"/>
              <w:rPr>
                <w:rFonts w:ascii="Calibri" w:hAnsi="Calibri" w:cs="Calibri"/>
                <w:sz w:val="24"/>
                <w:szCs w:val="24"/>
              </w:rPr>
            </w:pPr>
            <w:r w:rsidRPr="006304A3">
              <w:rPr>
                <w:rFonts w:ascii="Calibri" w:hAnsi="Calibri" w:cs="Calibri"/>
                <w:sz w:val="24"/>
                <w:szCs w:val="24"/>
              </w:rPr>
              <w:t>w przypadku, gdy w procedurze istnieje konieczność dokonania płatności, usługodawca zapewni przekierowanie usługobiorcy do właściwego pośrednika dla dokonania płatności (operacja przekierowania musi zapewnić zachowanie kontekstu zdarzenia, tzn. wszystkie pola niezbędne do zdefiniowania i wykonania płatności, np. przelewu, są wypełniane automatycznie przez system usługodawcy).</w:t>
            </w:r>
          </w:p>
          <w:p w14:paraId="2C9849B2" w14:textId="0945F014" w:rsidR="00C6013D" w:rsidRPr="006304A3" w:rsidRDefault="00C6013D" w:rsidP="001E00D4">
            <w:pPr>
              <w:spacing w:after="360"/>
              <w:rPr>
                <w:rFonts w:ascii="Calibri" w:hAnsi="Calibri" w:cs="Calibri"/>
                <w:b/>
                <w:sz w:val="24"/>
                <w:szCs w:val="24"/>
              </w:rPr>
            </w:pPr>
            <w:r w:rsidRPr="006304A3">
              <w:rPr>
                <w:rFonts w:ascii="Calibri" w:hAnsi="Calibri" w:cs="Calibri"/>
                <w:b/>
                <w:sz w:val="24"/>
                <w:szCs w:val="24"/>
              </w:rPr>
              <w:t xml:space="preserve">WSKAZÓWKI: </w:t>
            </w:r>
          </w:p>
          <w:p w14:paraId="694FEC7B" w14:textId="77777777" w:rsidR="00C6013D" w:rsidRPr="006304A3" w:rsidRDefault="00C6013D" w:rsidP="00883C60">
            <w:pPr>
              <w:rPr>
                <w:rFonts w:ascii="Calibri" w:hAnsi="Calibri" w:cs="Calibri"/>
                <w:sz w:val="24"/>
                <w:szCs w:val="24"/>
              </w:rPr>
            </w:pPr>
            <w:r w:rsidRPr="006304A3">
              <w:rPr>
                <w:rFonts w:ascii="Calibri" w:hAnsi="Calibri" w:cs="Calibri"/>
                <w:sz w:val="24"/>
                <w:szCs w:val="24"/>
              </w:rPr>
              <w:t xml:space="preserve">Dla każdej </w:t>
            </w:r>
            <w:r w:rsidRPr="006304A3">
              <w:rPr>
                <w:rFonts w:ascii="Calibri" w:hAnsi="Calibri" w:cs="Calibri"/>
                <w:b/>
                <w:sz w:val="24"/>
                <w:szCs w:val="24"/>
              </w:rPr>
              <w:t>e-usługi publicznej</w:t>
            </w:r>
            <w:r w:rsidRPr="006304A3">
              <w:rPr>
                <w:rFonts w:ascii="Calibri" w:hAnsi="Calibri" w:cs="Calibri"/>
                <w:sz w:val="24"/>
                <w:szCs w:val="24"/>
              </w:rPr>
              <w:t xml:space="preserve"> należy wskazać:</w:t>
            </w:r>
          </w:p>
          <w:p w14:paraId="3A301B14" w14:textId="77777777" w:rsidR="00C6013D" w:rsidRPr="006304A3" w:rsidRDefault="00C6013D">
            <w:pPr>
              <w:pStyle w:val="Akapitzlist"/>
              <w:numPr>
                <w:ilvl w:val="0"/>
                <w:numId w:val="1"/>
              </w:numPr>
              <w:rPr>
                <w:rFonts w:ascii="Calibri" w:hAnsi="Calibri" w:cs="Calibri"/>
                <w:sz w:val="24"/>
                <w:szCs w:val="24"/>
              </w:rPr>
            </w:pPr>
            <w:r w:rsidRPr="006304A3">
              <w:rPr>
                <w:rFonts w:ascii="Calibri" w:hAnsi="Calibri" w:cs="Calibri"/>
                <w:sz w:val="24"/>
                <w:szCs w:val="24"/>
              </w:rPr>
              <w:t>nazwę i definicję e-usługi;</w:t>
            </w:r>
          </w:p>
          <w:p w14:paraId="628B936C" w14:textId="77777777" w:rsidR="00C6013D" w:rsidRPr="006304A3" w:rsidRDefault="00C6013D">
            <w:pPr>
              <w:pStyle w:val="Akapitzlist"/>
              <w:numPr>
                <w:ilvl w:val="0"/>
                <w:numId w:val="1"/>
              </w:numPr>
              <w:rPr>
                <w:rFonts w:ascii="Calibri" w:hAnsi="Calibri" w:cs="Calibri"/>
                <w:sz w:val="24"/>
                <w:szCs w:val="24"/>
              </w:rPr>
            </w:pPr>
            <w:r w:rsidRPr="006304A3">
              <w:rPr>
                <w:rFonts w:ascii="Calibri" w:hAnsi="Calibri" w:cs="Calibri"/>
                <w:sz w:val="24"/>
                <w:szCs w:val="24"/>
              </w:rPr>
              <w:t>opis procesu (zdarzenia życiowego), którego dotyczy e-usługa;</w:t>
            </w:r>
          </w:p>
          <w:p w14:paraId="1FA3892D" w14:textId="77777777" w:rsidR="00C6013D" w:rsidRPr="006304A3" w:rsidRDefault="00C6013D">
            <w:pPr>
              <w:pStyle w:val="Akapitzlist"/>
              <w:numPr>
                <w:ilvl w:val="0"/>
                <w:numId w:val="1"/>
              </w:numPr>
              <w:rPr>
                <w:rFonts w:ascii="Calibri" w:hAnsi="Calibri" w:cs="Calibri"/>
                <w:sz w:val="24"/>
                <w:szCs w:val="24"/>
              </w:rPr>
            </w:pPr>
            <w:r w:rsidRPr="006304A3">
              <w:rPr>
                <w:rFonts w:ascii="Calibri" w:hAnsi="Calibri" w:cs="Calibri"/>
                <w:sz w:val="24"/>
                <w:szCs w:val="24"/>
              </w:rPr>
              <w:t>aktualny poziom dojrzałości e-usługi;</w:t>
            </w:r>
          </w:p>
          <w:p w14:paraId="5FD24F40" w14:textId="77777777" w:rsidR="00C6013D" w:rsidRPr="006304A3" w:rsidRDefault="00C6013D">
            <w:pPr>
              <w:pStyle w:val="Akapitzlist"/>
              <w:numPr>
                <w:ilvl w:val="0"/>
                <w:numId w:val="1"/>
              </w:numPr>
              <w:rPr>
                <w:rFonts w:ascii="Calibri" w:hAnsi="Calibri" w:cs="Calibri"/>
                <w:sz w:val="24"/>
                <w:szCs w:val="24"/>
              </w:rPr>
            </w:pPr>
            <w:r w:rsidRPr="006304A3">
              <w:rPr>
                <w:rFonts w:ascii="Calibri" w:hAnsi="Calibri" w:cs="Calibri"/>
                <w:sz w:val="24"/>
                <w:szCs w:val="24"/>
              </w:rPr>
              <w:t>docelowy poziom dojrzałości e-usługi wraz z opisem nowych funkcjonalności systemu, które pozwolą na osiągnięcie docelowego poziomu dojrzałości;</w:t>
            </w:r>
          </w:p>
          <w:p w14:paraId="387337E6" w14:textId="4C29505B" w:rsidR="00C6013D" w:rsidRPr="001E00D4" w:rsidRDefault="00C6013D" w:rsidP="001E00D4">
            <w:pPr>
              <w:pStyle w:val="Akapitzlist"/>
              <w:numPr>
                <w:ilvl w:val="0"/>
                <w:numId w:val="1"/>
              </w:numPr>
              <w:spacing w:after="360"/>
              <w:ind w:left="714" w:hanging="357"/>
              <w:rPr>
                <w:rFonts w:ascii="Calibri" w:hAnsi="Calibri" w:cs="Calibri"/>
                <w:sz w:val="24"/>
                <w:szCs w:val="24"/>
              </w:rPr>
            </w:pPr>
            <w:r w:rsidRPr="006304A3">
              <w:rPr>
                <w:rFonts w:ascii="Calibri" w:hAnsi="Calibri" w:cs="Calibri"/>
                <w:sz w:val="24"/>
                <w:szCs w:val="24"/>
              </w:rPr>
              <w:t>systemy teleinformatyczne i rejestry, z którymi komunikować się ma usługa.</w:t>
            </w:r>
          </w:p>
          <w:p w14:paraId="7BDEDDD7" w14:textId="77777777" w:rsidR="00C6013D" w:rsidRPr="006304A3" w:rsidRDefault="00C6013D" w:rsidP="00883C60">
            <w:pPr>
              <w:rPr>
                <w:rFonts w:ascii="Calibri" w:hAnsi="Calibri" w:cs="Calibri"/>
                <w:sz w:val="24"/>
                <w:szCs w:val="24"/>
              </w:rPr>
            </w:pPr>
            <w:r w:rsidRPr="006304A3">
              <w:rPr>
                <w:rFonts w:ascii="Calibri" w:hAnsi="Calibri" w:cs="Calibri"/>
                <w:sz w:val="24"/>
                <w:szCs w:val="24"/>
              </w:rPr>
              <w:t>Usługi powinny być zdefiniowane w następujący sposób:</w:t>
            </w:r>
          </w:p>
          <w:p w14:paraId="2FF18535" w14:textId="4FC36D8D" w:rsidR="00C6013D" w:rsidRPr="006304A3" w:rsidRDefault="00C6013D">
            <w:pPr>
              <w:pStyle w:val="Akapitzlist"/>
              <w:numPr>
                <w:ilvl w:val="0"/>
                <w:numId w:val="1"/>
              </w:numPr>
              <w:rPr>
                <w:rFonts w:ascii="Calibri" w:hAnsi="Calibri" w:cs="Calibri"/>
                <w:sz w:val="24"/>
                <w:szCs w:val="24"/>
              </w:rPr>
            </w:pPr>
            <w:r w:rsidRPr="006304A3">
              <w:rPr>
                <w:rFonts w:ascii="Calibri" w:hAnsi="Calibri" w:cs="Calibri"/>
                <w:sz w:val="24"/>
                <w:szCs w:val="24"/>
              </w:rPr>
              <w:t xml:space="preserve">opisane w sposób jasny, zrozumiały również dla oceniającego nieznającego szczegółowo specyfiki danego obszaru (należy unikać żargonu branżowego i pamiętać, że kwestie wydające się oczywistymi dla Ostatecznego odbiorcy </w:t>
            </w:r>
            <w:r w:rsidR="00D34084" w:rsidRPr="006304A3">
              <w:rPr>
                <w:rFonts w:ascii="Calibri" w:hAnsi="Calibri" w:cs="Calibri"/>
                <w:sz w:val="24"/>
                <w:szCs w:val="24"/>
              </w:rPr>
              <w:t>wsparcia nie</w:t>
            </w:r>
            <w:r w:rsidRPr="006304A3">
              <w:rPr>
                <w:rFonts w:ascii="Calibri" w:hAnsi="Calibri" w:cs="Calibri"/>
                <w:sz w:val="24"/>
                <w:szCs w:val="24"/>
              </w:rPr>
              <w:t xml:space="preserve"> zawsze są oczywiste dla oceniającego Przedsięwzięcie);</w:t>
            </w:r>
          </w:p>
          <w:p w14:paraId="03D5153B" w14:textId="6300E508" w:rsidR="000C6F25" w:rsidRPr="001E00D4" w:rsidRDefault="00C6013D" w:rsidP="001E00D4">
            <w:pPr>
              <w:pStyle w:val="Akapitzlist"/>
              <w:numPr>
                <w:ilvl w:val="0"/>
                <w:numId w:val="1"/>
              </w:numPr>
              <w:spacing w:after="360"/>
              <w:ind w:left="714" w:hanging="357"/>
              <w:rPr>
                <w:rFonts w:ascii="Calibri" w:hAnsi="Calibri" w:cs="Calibri"/>
                <w:sz w:val="24"/>
                <w:szCs w:val="24"/>
              </w:rPr>
            </w:pPr>
            <w:r w:rsidRPr="006304A3">
              <w:rPr>
                <w:rFonts w:ascii="Calibri" w:hAnsi="Calibri" w:cs="Calibri"/>
                <w:sz w:val="24"/>
                <w:szCs w:val="24"/>
              </w:rPr>
              <w:lastRenderedPageBreak/>
              <w:t xml:space="preserve">poziom dojrzałości e-usługi należy udowodnić poprzez szczegółowy opis danej usługi oraz opis adekwatnych funkcjonalności systemu umożliwiające jednoznaczną identyfikację przez eksperta oceniającego poziomu zaawansowania usługi wraz odwołaniem się do konkretnych elementów definicji danego poziomu dojrzałości. </w:t>
            </w:r>
          </w:p>
          <w:p w14:paraId="322BC916" w14:textId="323C17D6" w:rsidR="00C6013D" w:rsidRPr="006304A3" w:rsidRDefault="00FB56E3" w:rsidP="00883C60">
            <w:pPr>
              <w:rPr>
                <w:rFonts w:ascii="Calibri" w:hAnsi="Calibri" w:cs="Calibri"/>
                <w:sz w:val="24"/>
                <w:szCs w:val="24"/>
              </w:rPr>
            </w:pPr>
            <w:r w:rsidRPr="006304A3">
              <w:rPr>
                <w:rStyle w:val="cf01"/>
                <w:rFonts w:ascii="Calibri" w:hAnsi="Calibri" w:cs="Calibri"/>
                <w:sz w:val="24"/>
                <w:szCs w:val="24"/>
              </w:rPr>
              <w:t xml:space="preserve">Opracowywane rozwiązania muszą wykorzystywać już istniejące lub opracowywane w administracji rozwiązania do realizacji poszczególnych funkcjonalności, w szczególności Gov.pl, Węzeł Krajowy, </w:t>
            </w:r>
            <w:proofErr w:type="spellStart"/>
            <w:r w:rsidRPr="006304A3">
              <w:rPr>
                <w:rStyle w:val="cf01"/>
                <w:rFonts w:ascii="Calibri" w:hAnsi="Calibri" w:cs="Calibri"/>
                <w:sz w:val="24"/>
                <w:szCs w:val="24"/>
              </w:rPr>
              <w:t>Geoportal</w:t>
            </w:r>
            <w:proofErr w:type="spellEnd"/>
            <w:r w:rsidRPr="006304A3">
              <w:rPr>
                <w:rStyle w:val="cf01"/>
                <w:rFonts w:ascii="Calibri" w:hAnsi="Calibri" w:cs="Calibri"/>
                <w:sz w:val="24"/>
                <w:szCs w:val="24"/>
              </w:rPr>
              <w:t>, EZD PUW/EZD RP, Katalog Podmiotów Publicznych, mObywatel, inne.</w:t>
            </w:r>
          </w:p>
        </w:tc>
      </w:tr>
      <w:tr w:rsidR="00B96F87" w:rsidRPr="00A640DA" w14:paraId="3A1F426F" w14:textId="77777777" w:rsidTr="0031764D">
        <w:tc>
          <w:tcPr>
            <w:tcW w:w="1985" w:type="dxa"/>
          </w:tcPr>
          <w:p w14:paraId="4D8B1E6B" w14:textId="5E11C858" w:rsidR="00B96F87" w:rsidRPr="006304A3" w:rsidRDefault="00B96F87" w:rsidP="006B107F">
            <w:pPr>
              <w:rPr>
                <w:rFonts w:ascii="Calibri" w:hAnsi="Calibri" w:cs="Calibri"/>
                <w:b/>
                <w:color w:val="000000"/>
                <w:sz w:val="24"/>
                <w:szCs w:val="24"/>
              </w:rPr>
            </w:pPr>
            <w:r w:rsidRPr="006304A3">
              <w:rPr>
                <w:rFonts w:ascii="Calibri" w:hAnsi="Calibri" w:cs="Calibri"/>
                <w:b/>
                <w:color w:val="000000"/>
                <w:sz w:val="24"/>
                <w:szCs w:val="24"/>
              </w:rPr>
              <w:lastRenderedPageBreak/>
              <w:t>e-usługa publiczna na co najmniej 3 poziomie dojrzałości</w:t>
            </w:r>
            <w:r w:rsidR="003C4105" w:rsidRPr="006304A3">
              <w:rPr>
                <w:rFonts w:ascii="Calibri" w:hAnsi="Calibri" w:cs="Calibri"/>
                <w:b/>
                <w:color w:val="000000"/>
                <w:sz w:val="24"/>
                <w:szCs w:val="24"/>
              </w:rPr>
              <w:t xml:space="preserve"> (dotyczy tylko e-usług udostępnianych w aplikacji mObywatel</w:t>
            </w:r>
            <w:r w:rsidR="003E3E76">
              <w:rPr>
                <w:rFonts w:ascii="Calibri" w:hAnsi="Calibri" w:cs="Calibri"/>
                <w:b/>
                <w:color w:val="000000"/>
                <w:sz w:val="24"/>
                <w:szCs w:val="24"/>
              </w:rPr>
              <w:t>)</w:t>
            </w:r>
          </w:p>
        </w:tc>
        <w:tc>
          <w:tcPr>
            <w:tcW w:w="7371" w:type="dxa"/>
          </w:tcPr>
          <w:p w14:paraId="3276E3BD" w14:textId="77777777" w:rsidR="00B96F87" w:rsidRPr="006304A3" w:rsidRDefault="00B96F87" w:rsidP="00B96F87">
            <w:pPr>
              <w:rPr>
                <w:rFonts w:ascii="Calibri" w:hAnsi="Calibri" w:cs="Calibri"/>
                <w:sz w:val="24"/>
                <w:szCs w:val="24"/>
              </w:rPr>
            </w:pPr>
            <w:r w:rsidRPr="006304A3">
              <w:rPr>
                <w:rFonts w:ascii="Calibri" w:hAnsi="Calibri" w:cs="Calibri"/>
                <w:sz w:val="24"/>
                <w:szCs w:val="24"/>
              </w:rPr>
              <w:t xml:space="preserve">Poziom 3: dwustronna interakcja – aby spełnić wymagania dla tego poziomu dojrzałości, konieczne jest: </w:t>
            </w:r>
          </w:p>
          <w:p w14:paraId="160B9DCF" w14:textId="6CE8FB0B" w:rsidR="00B96F87" w:rsidRPr="006304A3" w:rsidRDefault="00B96F87" w:rsidP="00B96F87">
            <w:pPr>
              <w:pStyle w:val="Akapitzlist"/>
              <w:numPr>
                <w:ilvl w:val="0"/>
                <w:numId w:val="15"/>
              </w:numPr>
              <w:rPr>
                <w:rFonts w:ascii="Calibri" w:hAnsi="Calibri" w:cs="Calibri"/>
                <w:b/>
                <w:sz w:val="24"/>
                <w:szCs w:val="24"/>
              </w:rPr>
            </w:pPr>
            <w:r w:rsidRPr="006304A3">
              <w:rPr>
                <w:rFonts w:ascii="Calibri" w:hAnsi="Calibri" w:cs="Calibri"/>
                <w:sz w:val="24"/>
                <w:szCs w:val="24"/>
              </w:rPr>
              <w:t xml:space="preserve">udostępnienie na publicznie dostępnej stronie internetowej formularzy do wypełnienia, </w:t>
            </w:r>
          </w:p>
          <w:p w14:paraId="56B1C100" w14:textId="40F3BD5F" w:rsidR="00B96F87" w:rsidRPr="006304A3" w:rsidRDefault="00B96F87" w:rsidP="00B96F87">
            <w:pPr>
              <w:pStyle w:val="Akapitzlist"/>
              <w:numPr>
                <w:ilvl w:val="0"/>
                <w:numId w:val="15"/>
              </w:numPr>
              <w:rPr>
                <w:rFonts w:ascii="Calibri" w:hAnsi="Calibri" w:cs="Calibri"/>
                <w:b/>
                <w:sz w:val="24"/>
                <w:szCs w:val="24"/>
              </w:rPr>
            </w:pPr>
            <w:r w:rsidRPr="006304A3">
              <w:rPr>
                <w:rFonts w:ascii="Calibri" w:hAnsi="Calibri" w:cs="Calibri"/>
                <w:sz w:val="24"/>
                <w:szCs w:val="24"/>
              </w:rPr>
              <w:t xml:space="preserve">zapewnienie uwierzytelnienia w systemie teleinformatycznym obywatela lub przedsiębiorcy, </w:t>
            </w:r>
          </w:p>
          <w:p w14:paraId="23FB9DB1" w14:textId="0EAC1AB3" w:rsidR="00B96F87" w:rsidRPr="001E00D4" w:rsidRDefault="00B96F87" w:rsidP="001E00D4">
            <w:pPr>
              <w:pStyle w:val="Akapitzlist"/>
              <w:numPr>
                <w:ilvl w:val="0"/>
                <w:numId w:val="15"/>
              </w:numPr>
              <w:spacing w:after="360"/>
              <w:ind w:left="714" w:hanging="357"/>
              <w:rPr>
                <w:rFonts w:ascii="Calibri" w:hAnsi="Calibri" w:cs="Calibri"/>
                <w:b/>
                <w:sz w:val="24"/>
                <w:szCs w:val="24"/>
              </w:rPr>
            </w:pPr>
            <w:r w:rsidRPr="006304A3">
              <w:rPr>
                <w:rFonts w:ascii="Calibri" w:hAnsi="Calibri" w:cs="Calibri"/>
                <w:sz w:val="24"/>
                <w:szCs w:val="24"/>
              </w:rPr>
              <w:t xml:space="preserve">umożliwienie wszczęcia sprawy (usługi) drogą elektroniczną rozumiane jako złożenie wniosku w postaci elektronicznej wraz z wymaganymi załącznikami. </w:t>
            </w:r>
          </w:p>
          <w:p w14:paraId="6D1AD9B7" w14:textId="28317820" w:rsidR="00B96F87" w:rsidRPr="006304A3" w:rsidRDefault="00B96F87" w:rsidP="00B96F87">
            <w:pPr>
              <w:rPr>
                <w:rFonts w:ascii="Calibri" w:hAnsi="Calibri" w:cs="Calibri"/>
                <w:b/>
                <w:sz w:val="24"/>
                <w:szCs w:val="24"/>
              </w:rPr>
            </w:pPr>
            <w:r w:rsidRPr="006304A3">
              <w:rPr>
                <w:rFonts w:ascii="Calibri" w:hAnsi="Calibri" w:cs="Calibri"/>
                <w:sz w:val="24"/>
                <w:szCs w:val="24"/>
              </w:rPr>
              <w:t>Ten poziom dojrzałości dopuszcza, aby dokumenty lub inne obiekty fizyczne były dostarczane drogą tradycyjną, łącznie z osobistym stawiennictwem obywatela lub przedsiębiorcy w urzędzie. Dopuszczalne jest również dokonywanie płatności w postaci elektronicznej. Uwaga: formularz elektroniczny służący do zamówienia formularza nieelektronicznego (papierowego) jest traktowany jako 2 poziom dojrzałości.</w:t>
            </w:r>
          </w:p>
        </w:tc>
      </w:tr>
      <w:tr w:rsidR="00C6013D" w:rsidRPr="00A640DA" w14:paraId="473539A9" w14:textId="77777777" w:rsidTr="0031764D">
        <w:tc>
          <w:tcPr>
            <w:tcW w:w="1985" w:type="dxa"/>
          </w:tcPr>
          <w:p w14:paraId="04DDB897" w14:textId="77777777" w:rsidR="00C6013D" w:rsidRPr="006304A3" w:rsidRDefault="00C6013D" w:rsidP="006B107F">
            <w:pPr>
              <w:rPr>
                <w:rFonts w:ascii="Calibri" w:hAnsi="Calibri" w:cs="Calibri"/>
                <w:b/>
                <w:color w:val="000000"/>
                <w:sz w:val="24"/>
                <w:szCs w:val="24"/>
                <w:highlight w:val="yellow"/>
              </w:rPr>
            </w:pPr>
            <w:r w:rsidRPr="006304A3">
              <w:rPr>
                <w:rFonts w:ascii="Calibri" w:hAnsi="Calibri" w:cs="Calibri"/>
                <w:b/>
                <w:color w:val="000000"/>
                <w:sz w:val="24"/>
                <w:szCs w:val="24"/>
              </w:rPr>
              <w:t>Grupa docelowa</w:t>
            </w:r>
          </w:p>
        </w:tc>
        <w:tc>
          <w:tcPr>
            <w:tcW w:w="7371" w:type="dxa"/>
          </w:tcPr>
          <w:p w14:paraId="0DD3CCC7" w14:textId="3E3B929B" w:rsidR="00D01E02" w:rsidRPr="00D01E02" w:rsidRDefault="00D01E02" w:rsidP="0031764D">
            <w:pPr>
              <w:spacing w:after="360"/>
              <w:rPr>
                <w:rFonts w:ascii="Calibri" w:hAnsi="Calibri" w:cs="Calibri"/>
                <w:bCs/>
                <w:sz w:val="24"/>
                <w:szCs w:val="24"/>
              </w:rPr>
            </w:pPr>
            <w:r w:rsidRPr="00D01E02">
              <w:rPr>
                <w:rFonts w:ascii="Calibri" w:hAnsi="Calibri" w:cs="Calibri"/>
                <w:bCs/>
                <w:sz w:val="24"/>
                <w:szCs w:val="24"/>
              </w:rPr>
              <w:t>Użytkownicy (osoby i podmioty korzystające z Rozwiązania IT) i interesariusze (grupy zainteresowane realizacją Przedsięwzięcia).</w:t>
            </w:r>
          </w:p>
          <w:p w14:paraId="34256C8D" w14:textId="36EC86F9" w:rsidR="00D01E02" w:rsidRPr="00D01E02" w:rsidRDefault="00D01E02" w:rsidP="0031764D">
            <w:pPr>
              <w:spacing w:after="360"/>
              <w:rPr>
                <w:rFonts w:ascii="Calibri" w:hAnsi="Calibri" w:cs="Calibri"/>
                <w:bCs/>
                <w:sz w:val="24"/>
                <w:szCs w:val="24"/>
              </w:rPr>
            </w:pPr>
            <w:r w:rsidRPr="00D01E02">
              <w:rPr>
                <w:rFonts w:ascii="Calibri" w:hAnsi="Calibri" w:cs="Calibri"/>
                <w:bCs/>
                <w:sz w:val="24"/>
                <w:szCs w:val="24"/>
              </w:rPr>
              <w:t>Użytkownicy to podmioty oraz osoby, które korzystają bezpośrednio z e-usługi publicznej lub innych Produktów Przedsięwzięcia. To osoby, które obsługują lub dostarczają dane, np. pracownicy obsługi. Dla tych grup szczególnie ważne będą aspekty związane z obsługą systemu informatycznego, jego funkcjonalnością i użytecznością, sposobem prezentacji i udostępniania danych.</w:t>
            </w:r>
          </w:p>
          <w:p w14:paraId="28D56654" w14:textId="1CBB14D7" w:rsidR="00D01E02" w:rsidRPr="00D01E02" w:rsidRDefault="00D01E02" w:rsidP="0031764D">
            <w:pPr>
              <w:spacing w:after="360"/>
              <w:rPr>
                <w:rFonts w:ascii="Calibri" w:hAnsi="Calibri" w:cs="Calibri"/>
                <w:bCs/>
                <w:sz w:val="24"/>
                <w:szCs w:val="24"/>
              </w:rPr>
            </w:pPr>
            <w:r w:rsidRPr="00D01E02">
              <w:rPr>
                <w:rFonts w:ascii="Calibri" w:hAnsi="Calibri" w:cs="Calibri"/>
                <w:bCs/>
                <w:sz w:val="24"/>
                <w:szCs w:val="24"/>
              </w:rPr>
              <w:t xml:space="preserve">Interesariusze to podmioty lub osoby zaangażowane w wytwarzanie, utrzymywanie, rozwijanie i dostarczanie Rozwiązania IT. Posiadają interes w obszarze związanym z realizacją Przedsięwzięcia. Mają pośredni wpływ na Przedsięwzięcie. Mogą to być zarówno pojedyncze osoby, jak i grupy osób, społeczności, instytucje, organizacje, urzędy itp., które w jakikolwiek sposób będą współtworzyć lub korzystać z Rozwiązania IT i zebranych danych, np. poprzez API. Są to także inne </w:t>
            </w:r>
            <w:r w:rsidRPr="00D01E02">
              <w:rPr>
                <w:rFonts w:ascii="Calibri" w:hAnsi="Calibri" w:cs="Calibri"/>
                <w:bCs/>
                <w:sz w:val="24"/>
                <w:szCs w:val="24"/>
              </w:rPr>
              <w:lastRenderedPageBreak/>
              <w:t>podmioty, w których interesie może leżeć działanie Rozwiązania IT, lub też podmioty, które w związku z realizowanym Przedsięwzięciem będą musiały zmienić swój dotychczasowy sposób funkcjonowania.</w:t>
            </w:r>
          </w:p>
          <w:p w14:paraId="6F3241F8" w14:textId="6519DCB2" w:rsidR="00D01E02" w:rsidRPr="0031764D" w:rsidRDefault="00D01E02" w:rsidP="0031764D">
            <w:pPr>
              <w:spacing w:after="360"/>
              <w:rPr>
                <w:rFonts w:ascii="Calibri" w:hAnsi="Calibri" w:cs="Calibri"/>
                <w:b/>
                <w:sz w:val="24"/>
                <w:szCs w:val="24"/>
              </w:rPr>
            </w:pPr>
            <w:r w:rsidRPr="00D01E02">
              <w:rPr>
                <w:rFonts w:ascii="Calibri" w:hAnsi="Calibri" w:cs="Calibri"/>
                <w:b/>
                <w:sz w:val="24"/>
                <w:szCs w:val="24"/>
              </w:rPr>
              <w:t>WSKAZÓWKI:</w:t>
            </w:r>
          </w:p>
          <w:p w14:paraId="0894956D" w14:textId="7619C771" w:rsidR="00C6013D" w:rsidRPr="00D01E02" w:rsidRDefault="00D01E02" w:rsidP="00D01E02">
            <w:pPr>
              <w:rPr>
                <w:rFonts w:ascii="Calibri" w:hAnsi="Calibri" w:cs="Calibri"/>
                <w:bCs/>
                <w:sz w:val="24"/>
                <w:szCs w:val="24"/>
              </w:rPr>
            </w:pPr>
            <w:r w:rsidRPr="00D01E02">
              <w:rPr>
                <w:rFonts w:ascii="Calibri" w:hAnsi="Calibri" w:cs="Calibri"/>
                <w:bCs/>
                <w:sz w:val="24"/>
                <w:szCs w:val="24"/>
              </w:rPr>
              <w:t>Dokonując analizy Grup docelowych opisuje i charakteryzuje się osobno każdą grupę użytkowników oraz interesariuszy. Identyfikuje się ich główne cele, potrzeby oraz korzyści, które mają dane Grupy docelowe z tworzonego Rozwiązania IT. Cele różnych grup mogą się od siebie różnić.</w:t>
            </w:r>
          </w:p>
        </w:tc>
      </w:tr>
      <w:tr w:rsidR="00C6013D" w:rsidRPr="00A640DA" w14:paraId="333A7917" w14:textId="77777777" w:rsidTr="0031764D">
        <w:tc>
          <w:tcPr>
            <w:tcW w:w="1985" w:type="dxa"/>
          </w:tcPr>
          <w:p w14:paraId="5FF1D1AC" w14:textId="77777777" w:rsidR="00C6013D" w:rsidRPr="006304A3" w:rsidRDefault="00C6013D" w:rsidP="006B107F">
            <w:pPr>
              <w:rPr>
                <w:rFonts w:ascii="Calibri" w:hAnsi="Calibri" w:cs="Calibri"/>
                <w:b/>
                <w:color w:val="000000"/>
                <w:sz w:val="24"/>
                <w:szCs w:val="24"/>
              </w:rPr>
            </w:pPr>
            <w:r w:rsidRPr="006304A3">
              <w:rPr>
                <w:rFonts w:ascii="Calibri" w:hAnsi="Calibri" w:cs="Calibri"/>
                <w:b/>
                <w:color w:val="000000"/>
                <w:sz w:val="24"/>
                <w:szCs w:val="24"/>
              </w:rPr>
              <w:lastRenderedPageBreak/>
              <w:t>Instytucja odpowiedzialna za realizację Inwestycji (IOI)</w:t>
            </w:r>
          </w:p>
        </w:tc>
        <w:tc>
          <w:tcPr>
            <w:tcW w:w="7371" w:type="dxa"/>
          </w:tcPr>
          <w:p w14:paraId="52EECB3B" w14:textId="6D389698" w:rsidR="00C6013D" w:rsidRPr="006304A3" w:rsidRDefault="00C6013D" w:rsidP="0031764D">
            <w:pPr>
              <w:spacing w:after="360"/>
              <w:rPr>
                <w:rFonts w:ascii="Calibri" w:hAnsi="Calibri" w:cs="Calibri"/>
                <w:sz w:val="24"/>
                <w:szCs w:val="24"/>
              </w:rPr>
            </w:pPr>
            <w:r w:rsidRPr="006304A3">
              <w:rPr>
                <w:rFonts w:ascii="Calibri" w:hAnsi="Calibri" w:cs="Calibri"/>
                <w:sz w:val="24"/>
                <w:szCs w:val="24"/>
              </w:rPr>
              <w:t xml:space="preserve">Minister kierujący działem administracji rządowej, któremu zgodnie z </w:t>
            </w:r>
            <w:r w:rsidRPr="006304A3">
              <w:rPr>
                <w:rFonts w:ascii="Calibri" w:hAnsi="Calibri" w:cs="Calibri"/>
                <w:b/>
                <w:sz w:val="24"/>
                <w:szCs w:val="24"/>
              </w:rPr>
              <w:t>Planem rozwojowym</w:t>
            </w:r>
            <w:r w:rsidRPr="006304A3">
              <w:rPr>
                <w:rFonts w:ascii="Calibri" w:hAnsi="Calibri" w:cs="Calibri"/>
                <w:sz w:val="24"/>
                <w:szCs w:val="24"/>
              </w:rPr>
              <w:t xml:space="preserve"> zostało powierzone zadanie realizacji </w:t>
            </w:r>
            <w:r w:rsidR="005C3853" w:rsidRPr="006304A3">
              <w:rPr>
                <w:rFonts w:ascii="Calibri" w:hAnsi="Calibri" w:cs="Calibri"/>
                <w:sz w:val="24"/>
                <w:szCs w:val="24"/>
              </w:rPr>
              <w:t>i</w:t>
            </w:r>
            <w:r w:rsidRPr="006304A3">
              <w:rPr>
                <w:rFonts w:ascii="Calibri" w:hAnsi="Calibri" w:cs="Calibri"/>
                <w:sz w:val="24"/>
                <w:szCs w:val="24"/>
              </w:rPr>
              <w:t>nwestycji.</w:t>
            </w:r>
          </w:p>
          <w:p w14:paraId="0980F4C2" w14:textId="179E081C" w:rsidR="00C6013D" w:rsidRPr="006304A3" w:rsidRDefault="00C6013D" w:rsidP="006B107F">
            <w:pPr>
              <w:rPr>
                <w:rFonts w:ascii="Calibri" w:hAnsi="Calibri" w:cs="Calibri"/>
                <w:sz w:val="24"/>
                <w:szCs w:val="24"/>
              </w:rPr>
            </w:pPr>
            <w:r w:rsidRPr="006304A3">
              <w:rPr>
                <w:rFonts w:ascii="Calibri" w:hAnsi="Calibri" w:cs="Calibri"/>
                <w:sz w:val="24"/>
                <w:szCs w:val="24"/>
              </w:rPr>
              <w:t xml:space="preserve">Instytucją odpowiedzialną za realizację </w:t>
            </w:r>
            <w:r w:rsidRPr="006304A3">
              <w:rPr>
                <w:rFonts w:ascii="Calibri" w:hAnsi="Calibri" w:cs="Calibri"/>
                <w:b/>
                <w:sz w:val="24"/>
                <w:szCs w:val="24"/>
              </w:rPr>
              <w:t>Inwestycji C2.1.1</w:t>
            </w:r>
            <w:r w:rsidRPr="006304A3">
              <w:rPr>
                <w:rFonts w:ascii="Calibri" w:hAnsi="Calibri" w:cs="Calibri"/>
                <w:sz w:val="24"/>
                <w:szCs w:val="24"/>
              </w:rPr>
              <w:t xml:space="preserve">. jest minister właściwy ds. informatyzacji, którego obsługuje Ministerstwo Cyfryzacji. </w:t>
            </w:r>
          </w:p>
        </w:tc>
      </w:tr>
      <w:tr w:rsidR="00C6013D" w:rsidRPr="00A640DA" w14:paraId="047848DA" w14:textId="77777777" w:rsidTr="0031764D">
        <w:tc>
          <w:tcPr>
            <w:tcW w:w="1985" w:type="dxa"/>
          </w:tcPr>
          <w:p w14:paraId="65442D30" w14:textId="77777777" w:rsidR="00C6013D" w:rsidRPr="006304A3" w:rsidRDefault="00C6013D" w:rsidP="006B107F">
            <w:pPr>
              <w:rPr>
                <w:rFonts w:ascii="Calibri" w:hAnsi="Calibri" w:cs="Calibri"/>
                <w:b/>
                <w:color w:val="000000"/>
                <w:sz w:val="24"/>
                <w:szCs w:val="24"/>
              </w:rPr>
            </w:pPr>
            <w:r w:rsidRPr="006304A3">
              <w:rPr>
                <w:rFonts w:ascii="Calibri" w:hAnsi="Calibri" w:cs="Calibri"/>
                <w:b/>
                <w:sz w:val="24"/>
                <w:szCs w:val="24"/>
              </w:rPr>
              <w:t xml:space="preserve">Inwestycja C2.1.1 </w:t>
            </w:r>
          </w:p>
        </w:tc>
        <w:tc>
          <w:tcPr>
            <w:tcW w:w="7371" w:type="dxa"/>
          </w:tcPr>
          <w:p w14:paraId="3CC14046" w14:textId="61BAAAB0" w:rsidR="00C6013D" w:rsidRPr="006304A3" w:rsidRDefault="00C6013D" w:rsidP="0031764D">
            <w:pPr>
              <w:spacing w:after="360"/>
              <w:rPr>
                <w:rFonts w:ascii="Calibri" w:hAnsi="Calibri" w:cs="Calibri"/>
                <w:sz w:val="24"/>
                <w:szCs w:val="24"/>
              </w:rPr>
            </w:pPr>
            <w:r w:rsidRPr="006304A3">
              <w:rPr>
                <w:rFonts w:ascii="Calibri" w:hAnsi="Calibri" w:cs="Calibri"/>
                <w:sz w:val="24"/>
                <w:szCs w:val="24"/>
              </w:rPr>
              <w:t xml:space="preserve">Inwestycja w rozumieniu </w:t>
            </w:r>
            <w:r w:rsidRPr="006304A3">
              <w:rPr>
                <w:rFonts w:ascii="Calibri" w:hAnsi="Calibri" w:cs="Calibri"/>
                <w:b/>
                <w:sz w:val="24"/>
                <w:szCs w:val="24"/>
              </w:rPr>
              <w:t>Rozporządzenia RRF</w:t>
            </w:r>
            <w:r w:rsidRPr="006304A3">
              <w:rPr>
                <w:rFonts w:ascii="Calibri" w:hAnsi="Calibri" w:cs="Calibri"/>
                <w:sz w:val="24"/>
                <w:szCs w:val="24"/>
              </w:rPr>
              <w:t xml:space="preserve"> zmierzająca do osiągnięcia celu w </w:t>
            </w:r>
            <w:r w:rsidRPr="006304A3">
              <w:rPr>
                <w:rFonts w:ascii="Calibri" w:hAnsi="Calibri" w:cs="Calibri"/>
                <w:b/>
                <w:sz w:val="24"/>
                <w:szCs w:val="24"/>
              </w:rPr>
              <w:t>Planie rozwojowym</w:t>
            </w:r>
            <w:r w:rsidRPr="006304A3">
              <w:rPr>
                <w:rFonts w:ascii="Calibri" w:hAnsi="Calibri" w:cs="Calibri"/>
                <w:sz w:val="24"/>
                <w:szCs w:val="24"/>
              </w:rPr>
              <w:t xml:space="preserve"> polegającego na zwiększeniu skali zastosowań rozwiązań cyfrowych w sferze publicznej, gospodarce i społeczeństwie. Cel </w:t>
            </w:r>
            <w:r w:rsidRPr="006304A3">
              <w:rPr>
                <w:rFonts w:ascii="Calibri" w:hAnsi="Calibri" w:cs="Calibri"/>
                <w:b/>
                <w:sz w:val="24"/>
                <w:szCs w:val="24"/>
              </w:rPr>
              <w:t>Inwestycji C2.1.1</w:t>
            </w:r>
            <w:r w:rsidRPr="006304A3">
              <w:rPr>
                <w:rFonts w:ascii="Calibri" w:hAnsi="Calibri" w:cs="Calibri"/>
                <w:sz w:val="24"/>
                <w:szCs w:val="24"/>
              </w:rPr>
              <w:t xml:space="preserve"> jest określony wskaźnikami. </w:t>
            </w:r>
            <w:r w:rsidRPr="006304A3">
              <w:rPr>
                <w:rFonts w:ascii="Calibri" w:hAnsi="Calibri" w:cs="Calibri"/>
                <w:b/>
                <w:sz w:val="24"/>
                <w:szCs w:val="24"/>
              </w:rPr>
              <w:t>Inwestycja C2.1.1</w:t>
            </w:r>
            <w:r w:rsidRPr="006304A3">
              <w:rPr>
                <w:rFonts w:ascii="Calibri" w:hAnsi="Calibri" w:cs="Calibri"/>
                <w:sz w:val="24"/>
                <w:szCs w:val="24"/>
              </w:rPr>
              <w:t xml:space="preserve"> ma określony początek i koniec realizacji.</w:t>
            </w:r>
          </w:p>
          <w:p w14:paraId="0A4E9A0B" w14:textId="6E358E39" w:rsidR="00C6013D" w:rsidRPr="006304A3" w:rsidRDefault="00C6013D" w:rsidP="006B107F">
            <w:pPr>
              <w:rPr>
                <w:rFonts w:ascii="Calibri" w:hAnsi="Calibri" w:cs="Calibri"/>
                <w:sz w:val="24"/>
                <w:szCs w:val="24"/>
              </w:rPr>
            </w:pPr>
            <w:r w:rsidRPr="006304A3">
              <w:rPr>
                <w:rFonts w:ascii="Calibri" w:hAnsi="Calibri" w:cs="Calibri"/>
                <w:b/>
                <w:sz w:val="24"/>
                <w:szCs w:val="24"/>
              </w:rPr>
              <w:t>Inwestycja C2.1.1</w:t>
            </w:r>
            <w:r w:rsidRPr="006304A3">
              <w:rPr>
                <w:rFonts w:ascii="Calibri" w:hAnsi="Calibri" w:cs="Calibri"/>
                <w:sz w:val="24"/>
                <w:szCs w:val="24"/>
              </w:rPr>
              <w:t xml:space="preserve"> polega na budowie lub modernizacji </w:t>
            </w:r>
            <w:r w:rsidRPr="006304A3">
              <w:rPr>
                <w:rFonts w:ascii="Calibri" w:hAnsi="Calibri" w:cs="Calibri"/>
                <w:b/>
                <w:sz w:val="24"/>
                <w:szCs w:val="24"/>
              </w:rPr>
              <w:t>e-usług publicznych</w:t>
            </w:r>
            <w:r w:rsidRPr="006304A3">
              <w:rPr>
                <w:rFonts w:ascii="Calibri" w:hAnsi="Calibri" w:cs="Calibri"/>
                <w:sz w:val="24"/>
                <w:szCs w:val="24"/>
              </w:rPr>
              <w:t xml:space="preserve">, </w:t>
            </w:r>
            <w:r w:rsidRPr="006304A3">
              <w:rPr>
                <w:rFonts w:ascii="Calibri" w:hAnsi="Calibri" w:cs="Calibri"/>
                <w:b/>
                <w:bCs/>
                <w:sz w:val="24"/>
                <w:szCs w:val="24"/>
              </w:rPr>
              <w:t xml:space="preserve">publicznych systemów informatycznych oraz </w:t>
            </w:r>
            <w:r w:rsidRPr="006304A3">
              <w:rPr>
                <w:rFonts w:ascii="Calibri" w:hAnsi="Calibri" w:cs="Calibri"/>
                <w:b/>
                <w:sz w:val="24"/>
                <w:szCs w:val="24"/>
              </w:rPr>
              <w:t>Rozwiązań IT</w:t>
            </w:r>
            <w:r w:rsidRPr="006304A3">
              <w:rPr>
                <w:rFonts w:ascii="Calibri" w:hAnsi="Calibri" w:cs="Calibri"/>
                <w:sz w:val="24"/>
                <w:szCs w:val="24"/>
              </w:rPr>
              <w:t xml:space="preserve"> usprawniających funkcjonowanie administracji i sektorów gospodarki. </w:t>
            </w:r>
          </w:p>
        </w:tc>
      </w:tr>
      <w:tr w:rsidR="00C6013D" w:rsidRPr="00A640DA" w14:paraId="4CA1B4E4" w14:textId="77777777" w:rsidTr="0031764D">
        <w:tc>
          <w:tcPr>
            <w:tcW w:w="1985" w:type="dxa"/>
          </w:tcPr>
          <w:p w14:paraId="12B623E0" w14:textId="1D7BA62E" w:rsidR="00C6013D" w:rsidRPr="006304A3" w:rsidRDefault="00C6013D" w:rsidP="006B107F">
            <w:pPr>
              <w:rPr>
                <w:rFonts w:ascii="Calibri" w:hAnsi="Calibri" w:cs="Calibri"/>
                <w:b/>
                <w:sz w:val="24"/>
                <w:szCs w:val="24"/>
              </w:rPr>
            </w:pPr>
            <w:r w:rsidRPr="006304A3">
              <w:rPr>
                <w:rFonts w:ascii="Calibri" w:hAnsi="Calibri" w:cs="Calibri"/>
                <w:b/>
                <w:sz w:val="24"/>
                <w:szCs w:val="24"/>
              </w:rPr>
              <w:t>Jednostka wspierająca</w:t>
            </w:r>
          </w:p>
        </w:tc>
        <w:tc>
          <w:tcPr>
            <w:tcW w:w="7371" w:type="dxa"/>
          </w:tcPr>
          <w:p w14:paraId="22706364" w14:textId="5133073D" w:rsidR="00C6013D" w:rsidRPr="006304A3" w:rsidRDefault="00C6013D" w:rsidP="006B107F">
            <w:pPr>
              <w:rPr>
                <w:rFonts w:ascii="Calibri" w:hAnsi="Calibri" w:cs="Calibri"/>
                <w:sz w:val="24"/>
                <w:szCs w:val="24"/>
              </w:rPr>
            </w:pPr>
            <w:r w:rsidRPr="006304A3">
              <w:rPr>
                <w:rFonts w:ascii="Calibri" w:hAnsi="Calibri" w:cs="Calibri"/>
                <w:sz w:val="24"/>
                <w:szCs w:val="24"/>
              </w:rPr>
              <w:t xml:space="preserve">Podmiot, któremu w drodze porozumienia zawartego z IOI została powierzona realizacja zadań w ramach Inwestycji C2.1.1. Jednostką </w:t>
            </w:r>
            <w:r w:rsidRPr="006304A3">
              <w:rPr>
                <w:rFonts w:ascii="Calibri" w:hAnsi="Calibri" w:cs="Calibri"/>
                <w:b/>
                <w:bCs/>
                <w:sz w:val="24"/>
                <w:szCs w:val="24"/>
              </w:rPr>
              <w:t xml:space="preserve">wspierającą </w:t>
            </w:r>
            <w:r w:rsidR="005C3853" w:rsidRPr="006304A3">
              <w:rPr>
                <w:rFonts w:ascii="Calibri" w:hAnsi="Calibri" w:cs="Calibri"/>
                <w:b/>
                <w:bCs/>
                <w:sz w:val="24"/>
                <w:szCs w:val="24"/>
              </w:rPr>
              <w:t>P</w:t>
            </w:r>
            <w:r w:rsidRPr="006304A3">
              <w:rPr>
                <w:rFonts w:ascii="Calibri" w:hAnsi="Calibri" w:cs="Calibri"/>
                <w:b/>
                <w:bCs/>
                <w:sz w:val="24"/>
                <w:szCs w:val="24"/>
              </w:rPr>
              <w:t xml:space="preserve">lan </w:t>
            </w:r>
            <w:r w:rsidR="005C3853" w:rsidRPr="006304A3">
              <w:rPr>
                <w:rFonts w:ascii="Calibri" w:hAnsi="Calibri" w:cs="Calibri"/>
                <w:b/>
                <w:bCs/>
                <w:sz w:val="24"/>
                <w:szCs w:val="24"/>
              </w:rPr>
              <w:t>R</w:t>
            </w:r>
            <w:r w:rsidRPr="006304A3">
              <w:rPr>
                <w:rFonts w:ascii="Calibri" w:hAnsi="Calibri" w:cs="Calibri"/>
                <w:b/>
                <w:bCs/>
                <w:sz w:val="24"/>
                <w:szCs w:val="24"/>
              </w:rPr>
              <w:t>ozwojowy</w:t>
            </w:r>
            <w:r w:rsidRPr="006304A3">
              <w:rPr>
                <w:rFonts w:ascii="Calibri" w:hAnsi="Calibri" w:cs="Calibri"/>
                <w:sz w:val="24"/>
                <w:szCs w:val="24"/>
              </w:rPr>
              <w:t xml:space="preserve"> w Inwestycji C2.1.1 jest Centrum Projektów Polska Cyfrowa (CPPC). CPPC jest Instytucją Organizując</w:t>
            </w:r>
            <w:r w:rsidR="00976FAB">
              <w:rPr>
                <w:rFonts w:ascii="Calibri" w:hAnsi="Calibri" w:cs="Calibri"/>
                <w:sz w:val="24"/>
                <w:szCs w:val="24"/>
              </w:rPr>
              <w:t>ą</w:t>
            </w:r>
            <w:r w:rsidRPr="006304A3">
              <w:rPr>
                <w:rFonts w:ascii="Calibri" w:hAnsi="Calibri" w:cs="Calibri"/>
                <w:sz w:val="24"/>
                <w:szCs w:val="24"/>
              </w:rPr>
              <w:t xml:space="preserve"> Nabór na Wnioski o objęcie Przedsięwzięcia wsparciem. </w:t>
            </w:r>
          </w:p>
        </w:tc>
      </w:tr>
      <w:tr w:rsidR="00C6013D" w:rsidRPr="00A640DA" w14:paraId="5B098FA8" w14:textId="77777777" w:rsidTr="0031764D">
        <w:tc>
          <w:tcPr>
            <w:tcW w:w="1985" w:type="dxa"/>
          </w:tcPr>
          <w:p w14:paraId="158F9728" w14:textId="77777777" w:rsidR="00C6013D" w:rsidRPr="006304A3" w:rsidRDefault="00C6013D" w:rsidP="006B107F">
            <w:pPr>
              <w:rPr>
                <w:rFonts w:ascii="Calibri" w:hAnsi="Calibri" w:cs="Calibri"/>
                <w:b/>
                <w:color w:val="000000"/>
                <w:sz w:val="24"/>
                <w:szCs w:val="24"/>
                <w:highlight w:val="yellow"/>
              </w:rPr>
            </w:pPr>
            <w:r w:rsidRPr="006304A3">
              <w:rPr>
                <w:rFonts w:ascii="Calibri" w:hAnsi="Calibri" w:cs="Calibri"/>
                <w:b/>
                <w:color w:val="000000"/>
                <w:sz w:val="24"/>
                <w:szCs w:val="24"/>
              </w:rPr>
              <w:t>Komitet Rady Ministrów do spraw Cyfryzacji (KRMC)</w:t>
            </w:r>
          </w:p>
        </w:tc>
        <w:tc>
          <w:tcPr>
            <w:tcW w:w="7371" w:type="dxa"/>
          </w:tcPr>
          <w:p w14:paraId="77698A4C" w14:textId="5B7ABE94" w:rsidR="00C6013D" w:rsidRPr="006304A3" w:rsidRDefault="00C6013D" w:rsidP="006B107F">
            <w:pPr>
              <w:rPr>
                <w:rFonts w:ascii="Calibri" w:hAnsi="Calibri" w:cs="Calibri"/>
                <w:sz w:val="24"/>
                <w:szCs w:val="24"/>
              </w:rPr>
            </w:pPr>
            <w:r w:rsidRPr="006304A3">
              <w:rPr>
                <w:rFonts w:ascii="Calibri" w:hAnsi="Calibri" w:cs="Calibri"/>
                <w:sz w:val="24"/>
                <w:szCs w:val="24"/>
              </w:rPr>
              <w:t>Organ pomocniczy Rady Ministrów i Prezesa Rady Ministrów</w:t>
            </w:r>
            <w:r w:rsidR="00D1537B" w:rsidRPr="006304A3">
              <w:rPr>
                <w:rFonts w:ascii="Calibri" w:hAnsi="Calibri" w:cs="Calibri"/>
                <w:sz w:val="24"/>
                <w:szCs w:val="24"/>
              </w:rPr>
              <w:t xml:space="preserve"> </w:t>
            </w:r>
            <w:r w:rsidRPr="006304A3">
              <w:rPr>
                <w:rFonts w:ascii="Calibri" w:hAnsi="Calibri" w:cs="Calibri"/>
                <w:sz w:val="24"/>
                <w:szCs w:val="24"/>
              </w:rPr>
              <w:t>do którego zadań należą:</w:t>
            </w:r>
          </w:p>
          <w:p w14:paraId="26EB71A8" w14:textId="08631073" w:rsidR="00C6013D" w:rsidRPr="006304A3" w:rsidRDefault="00C6013D">
            <w:pPr>
              <w:pStyle w:val="Akapitzlist"/>
              <w:numPr>
                <w:ilvl w:val="0"/>
                <w:numId w:val="1"/>
              </w:numPr>
              <w:rPr>
                <w:rFonts w:ascii="Calibri" w:hAnsi="Calibri" w:cs="Calibri"/>
                <w:sz w:val="24"/>
                <w:szCs w:val="24"/>
              </w:rPr>
            </w:pPr>
            <w:r w:rsidRPr="006304A3">
              <w:rPr>
                <w:rFonts w:ascii="Calibri" w:hAnsi="Calibri" w:cs="Calibri"/>
                <w:sz w:val="24"/>
                <w:szCs w:val="24"/>
              </w:rPr>
              <w:t>rozpatrywanie projektów dokumentów rządowych związanych z informatyzacją;</w:t>
            </w:r>
          </w:p>
          <w:p w14:paraId="3174112D" w14:textId="0C432EB2" w:rsidR="00C6013D" w:rsidRPr="006304A3" w:rsidRDefault="00C6013D">
            <w:pPr>
              <w:pStyle w:val="Akapitzlist"/>
              <w:numPr>
                <w:ilvl w:val="0"/>
                <w:numId w:val="1"/>
              </w:numPr>
              <w:rPr>
                <w:rFonts w:ascii="Calibri" w:hAnsi="Calibri" w:cs="Calibri"/>
                <w:sz w:val="24"/>
                <w:szCs w:val="24"/>
              </w:rPr>
            </w:pPr>
            <w:r w:rsidRPr="006304A3">
              <w:rPr>
                <w:rFonts w:ascii="Calibri" w:hAnsi="Calibri" w:cs="Calibri"/>
                <w:sz w:val="24"/>
                <w:szCs w:val="24"/>
              </w:rPr>
              <w:t>opiniowanie projektów informatycznych o publicznym zastosowaniu związanych z informatyzacją i planowanych do realizacji ze środków publicznych pod kątem ich zgodności ze strategicznymi kierunkami rozwoju w obszarze informatyzacji;</w:t>
            </w:r>
          </w:p>
          <w:p w14:paraId="4CC3A857" w14:textId="77777777" w:rsidR="00C6013D" w:rsidRPr="006304A3" w:rsidRDefault="00C6013D">
            <w:pPr>
              <w:pStyle w:val="Akapitzlist"/>
              <w:numPr>
                <w:ilvl w:val="0"/>
                <w:numId w:val="1"/>
              </w:numPr>
              <w:rPr>
                <w:rFonts w:ascii="Calibri" w:hAnsi="Calibri" w:cs="Calibri"/>
                <w:sz w:val="24"/>
                <w:szCs w:val="24"/>
              </w:rPr>
            </w:pPr>
            <w:r w:rsidRPr="006304A3">
              <w:rPr>
                <w:rFonts w:ascii="Calibri" w:hAnsi="Calibri" w:cs="Calibri"/>
                <w:sz w:val="24"/>
                <w:szCs w:val="24"/>
              </w:rPr>
              <w:t>monitorowanie postępów w realizacji projektów informatycznych.</w:t>
            </w:r>
          </w:p>
          <w:p w14:paraId="091DE5E7" w14:textId="77777777" w:rsidR="00C6013D" w:rsidRPr="006304A3" w:rsidRDefault="00C6013D" w:rsidP="006B107F">
            <w:pPr>
              <w:rPr>
                <w:rFonts w:ascii="Calibri" w:hAnsi="Calibri" w:cs="Calibri"/>
                <w:sz w:val="24"/>
                <w:szCs w:val="24"/>
              </w:rPr>
            </w:pPr>
          </w:p>
        </w:tc>
      </w:tr>
      <w:tr w:rsidR="00C6013D" w:rsidRPr="00A640DA" w14:paraId="632C454D" w14:textId="77777777" w:rsidTr="0031764D">
        <w:tc>
          <w:tcPr>
            <w:tcW w:w="1985" w:type="dxa"/>
            <w:shd w:val="clear" w:color="auto" w:fill="FFFFFF" w:themeFill="background1"/>
          </w:tcPr>
          <w:p w14:paraId="118A7E39" w14:textId="22228711" w:rsidR="00C6013D" w:rsidRPr="006304A3" w:rsidRDefault="00C6013D" w:rsidP="006B107F">
            <w:pPr>
              <w:rPr>
                <w:rFonts w:ascii="Calibri" w:hAnsi="Calibri" w:cs="Calibri"/>
                <w:b/>
                <w:color w:val="000000"/>
                <w:sz w:val="24"/>
                <w:szCs w:val="24"/>
              </w:rPr>
            </w:pPr>
            <w:r w:rsidRPr="006304A3">
              <w:rPr>
                <w:rFonts w:ascii="Calibri" w:hAnsi="Calibri" w:cs="Calibri"/>
                <w:b/>
                <w:color w:val="000000"/>
                <w:sz w:val="24"/>
                <w:szCs w:val="24"/>
              </w:rPr>
              <w:t>Komisja Oceny Przedsięwzięć</w:t>
            </w:r>
          </w:p>
        </w:tc>
        <w:tc>
          <w:tcPr>
            <w:tcW w:w="7371" w:type="dxa"/>
            <w:shd w:val="clear" w:color="auto" w:fill="FFFFFF" w:themeFill="background1"/>
          </w:tcPr>
          <w:p w14:paraId="1EE21AD6" w14:textId="0EEE1374" w:rsidR="00C6013D" w:rsidRPr="006304A3" w:rsidRDefault="00C6013D" w:rsidP="006B107F">
            <w:pPr>
              <w:rPr>
                <w:rFonts w:ascii="Calibri" w:hAnsi="Calibri" w:cs="Calibri"/>
                <w:sz w:val="24"/>
                <w:szCs w:val="24"/>
              </w:rPr>
            </w:pPr>
            <w:r w:rsidRPr="006304A3">
              <w:rPr>
                <w:rFonts w:ascii="Calibri" w:hAnsi="Calibri" w:cs="Calibri"/>
                <w:sz w:val="24"/>
                <w:szCs w:val="24"/>
              </w:rPr>
              <w:t>Zespół ekspertów przeprowadzających ocenę Przedsięwzięć do objęcia wsparciem. Komisję Oceny Przedsięwzięć powołuje Instytucj</w:t>
            </w:r>
            <w:r w:rsidR="00E640E6" w:rsidRPr="006304A3">
              <w:rPr>
                <w:rFonts w:ascii="Calibri" w:hAnsi="Calibri" w:cs="Calibri"/>
                <w:sz w:val="24"/>
                <w:szCs w:val="24"/>
              </w:rPr>
              <w:t>a</w:t>
            </w:r>
            <w:r w:rsidRPr="006304A3">
              <w:rPr>
                <w:rFonts w:ascii="Calibri" w:hAnsi="Calibri" w:cs="Calibri"/>
                <w:sz w:val="24"/>
                <w:szCs w:val="24"/>
              </w:rPr>
              <w:t xml:space="preserve"> Organizująca Nabór.</w:t>
            </w:r>
          </w:p>
        </w:tc>
      </w:tr>
      <w:tr w:rsidR="00C6013D" w:rsidRPr="00A640DA" w14:paraId="6F0F02D7" w14:textId="77777777" w:rsidTr="0031764D">
        <w:tc>
          <w:tcPr>
            <w:tcW w:w="1985" w:type="dxa"/>
          </w:tcPr>
          <w:p w14:paraId="18D8F77A" w14:textId="77777777" w:rsidR="00C6013D" w:rsidRPr="006304A3" w:rsidRDefault="00C6013D" w:rsidP="006B107F">
            <w:pPr>
              <w:rPr>
                <w:rFonts w:ascii="Calibri" w:hAnsi="Calibri" w:cs="Calibri"/>
                <w:b/>
                <w:color w:val="000000"/>
                <w:sz w:val="24"/>
                <w:szCs w:val="24"/>
                <w:highlight w:val="yellow"/>
              </w:rPr>
            </w:pPr>
            <w:r w:rsidRPr="006304A3">
              <w:rPr>
                <w:rFonts w:ascii="Calibri" w:hAnsi="Calibri" w:cs="Calibri"/>
                <w:b/>
                <w:color w:val="000000"/>
                <w:sz w:val="24"/>
                <w:szCs w:val="24"/>
              </w:rPr>
              <w:t>Oprogramowanie</w:t>
            </w:r>
          </w:p>
        </w:tc>
        <w:tc>
          <w:tcPr>
            <w:tcW w:w="7371" w:type="dxa"/>
          </w:tcPr>
          <w:p w14:paraId="75461AF2" w14:textId="77777777" w:rsidR="00C6013D" w:rsidRPr="006304A3" w:rsidRDefault="00C6013D" w:rsidP="006B107F">
            <w:pPr>
              <w:rPr>
                <w:rFonts w:ascii="Calibri" w:hAnsi="Calibri" w:cs="Calibri"/>
                <w:sz w:val="24"/>
                <w:szCs w:val="24"/>
              </w:rPr>
            </w:pPr>
            <w:r w:rsidRPr="006304A3">
              <w:rPr>
                <w:rFonts w:ascii="Calibri" w:hAnsi="Calibri" w:cs="Calibri"/>
                <w:b/>
                <w:sz w:val="24"/>
                <w:szCs w:val="24"/>
              </w:rPr>
              <w:t>Oprogramowanie</w:t>
            </w:r>
            <w:r w:rsidRPr="006304A3">
              <w:rPr>
                <w:rFonts w:ascii="Calibri" w:hAnsi="Calibri" w:cs="Calibri"/>
                <w:sz w:val="24"/>
                <w:szCs w:val="24"/>
              </w:rPr>
              <w:t xml:space="preserve"> można podzielić na:</w:t>
            </w:r>
          </w:p>
          <w:p w14:paraId="1D84AF73" w14:textId="77777777" w:rsidR="00C6013D" w:rsidRPr="006304A3" w:rsidRDefault="00C6013D">
            <w:pPr>
              <w:pStyle w:val="Akapitzlist"/>
              <w:numPr>
                <w:ilvl w:val="0"/>
                <w:numId w:val="2"/>
              </w:numPr>
              <w:rPr>
                <w:rFonts w:ascii="Calibri" w:hAnsi="Calibri" w:cs="Calibri"/>
                <w:sz w:val="24"/>
                <w:szCs w:val="24"/>
              </w:rPr>
            </w:pPr>
            <w:r w:rsidRPr="006304A3">
              <w:rPr>
                <w:rFonts w:ascii="Calibri" w:hAnsi="Calibri" w:cs="Calibri"/>
                <w:sz w:val="24"/>
                <w:szCs w:val="24"/>
              </w:rPr>
              <w:lastRenderedPageBreak/>
              <w:t>oprogramowanie systemowe – to pliki i programy, z których składa się system operacyjny. Tworzy środowisko do uruchamiania innego oprogramowania (aplikacyjnego, dedykowanego). Oprogramowanie systemowe obejmuje biblioteki programistyczne, sterowniki urządzeń, kompilatory, narzędzia do zarządzania plikami itd. Oprogramowania systemowego nie uruchamia użytkownik;</w:t>
            </w:r>
          </w:p>
          <w:p w14:paraId="064B9A3C" w14:textId="165DEE01" w:rsidR="00C6013D" w:rsidRPr="006304A3" w:rsidRDefault="00C6013D">
            <w:pPr>
              <w:pStyle w:val="Akapitzlist"/>
              <w:numPr>
                <w:ilvl w:val="0"/>
                <w:numId w:val="2"/>
              </w:numPr>
              <w:rPr>
                <w:rFonts w:ascii="Calibri" w:hAnsi="Calibri" w:cs="Calibri"/>
                <w:sz w:val="24"/>
                <w:szCs w:val="24"/>
              </w:rPr>
            </w:pPr>
            <w:r w:rsidRPr="006304A3">
              <w:rPr>
                <w:rFonts w:ascii="Calibri" w:hAnsi="Calibri" w:cs="Calibri"/>
                <w:sz w:val="24"/>
                <w:szCs w:val="24"/>
              </w:rPr>
              <w:t xml:space="preserve">oprogramowanie aplikacyjne – to program użytkowy, który działa na komputerze. Do tej grupy należą przeglądarki internetowe, programy do </w:t>
            </w:r>
            <w:r w:rsidR="002931C2" w:rsidRPr="006304A3">
              <w:rPr>
                <w:rFonts w:ascii="Calibri" w:hAnsi="Calibri" w:cs="Calibri"/>
                <w:sz w:val="24"/>
                <w:szCs w:val="24"/>
              </w:rPr>
              <w:t>ob</w:t>
            </w:r>
            <w:r w:rsidRPr="006304A3">
              <w:rPr>
                <w:rFonts w:ascii="Calibri" w:hAnsi="Calibri" w:cs="Calibri"/>
                <w:sz w:val="24"/>
                <w:szCs w:val="24"/>
              </w:rPr>
              <w:t>sługi poczty e-mail, edytory tekstu itd.;</w:t>
            </w:r>
          </w:p>
          <w:p w14:paraId="1D689FE7" w14:textId="5D4BAE24" w:rsidR="00C6013D" w:rsidRPr="006304A3" w:rsidRDefault="00C6013D">
            <w:pPr>
              <w:pStyle w:val="Akapitzlist"/>
              <w:numPr>
                <w:ilvl w:val="0"/>
                <w:numId w:val="2"/>
              </w:numPr>
              <w:rPr>
                <w:rFonts w:ascii="Calibri" w:hAnsi="Calibri" w:cs="Calibri"/>
                <w:sz w:val="24"/>
                <w:szCs w:val="24"/>
              </w:rPr>
            </w:pPr>
            <w:r w:rsidRPr="006304A3">
              <w:rPr>
                <w:rFonts w:ascii="Calibri" w:hAnsi="Calibri" w:cs="Calibri"/>
                <w:sz w:val="24"/>
                <w:szCs w:val="24"/>
              </w:rPr>
              <w:t>oprogramowanie dedykowane – oprogramowanie „uszyte na miarę” według potrzeb kon</w:t>
            </w:r>
            <w:r w:rsidR="004F7186" w:rsidRPr="006304A3">
              <w:rPr>
                <w:rFonts w:ascii="Calibri" w:hAnsi="Calibri" w:cs="Calibri"/>
                <w:sz w:val="24"/>
                <w:szCs w:val="24"/>
              </w:rPr>
              <w:t>kr</w:t>
            </w:r>
            <w:r w:rsidRPr="006304A3">
              <w:rPr>
                <w:rFonts w:ascii="Calibri" w:hAnsi="Calibri" w:cs="Calibri"/>
                <w:sz w:val="24"/>
                <w:szCs w:val="24"/>
              </w:rPr>
              <w:t>et</w:t>
            </w:r>
            <w:r w:rsidR="004F7186" w:rsidRPr="006304A3">
              <w:rPr>
                <w:rFonts w:ascii="Calibri" w:hAnsi="Calibri" w:cs="Calibri"/>
                <w:sz w:val="24"/>
                <w:szCs w:val="24"/>
              </w:rPr>
              <w:t>n</w:t>
            </w:r>
            <w:r w:rsidRPr="006304A3">
              <w:rPr>
                <w:rFonts w:ascii="Calibri" w:hAnsi="Calibri" w:cs="Calibri"/>
                <w:sz w:val="24"/>
                <w:szCs w:val="24"/>
              </w:rPr>
              <w:t>ego użytkownika/użytkowników. W przeważającej większości oprogramowanie dedykowane powstaje dla sprecyzowanego użytkownika/użytkowników według ich wytycznych;</w:t>
            </w:r>
          </w:p>
          <w:p w14:paraId="7A60CFC0" w14:textId="5F522A81" w:rsidR="00C6013D" w:rsidRPr="006304A3" w:rsidRDefault="00C6013D" w:rsidP="006B107F">
            <w:pPr>
              <w:pStyle w:val="Akapitzlist"/>
              <w:numPr>
                <w:ilvl w:val="0"/>
                <w:numId w:val="2"/>
              </w:numPr>
              <w:rPr>
                <w:rFonts w:ascii="Calibri" w:hAnsi="Calibri" w:cs="Calibri"/>
                <w:sz w:val="24"/>
                <w:szCs w:val="24"/>
              </w:rPr>
            </w:pPr>
            <w:r w:rsidRPr="006304A3">
              <w:rPr>
                <w:rFonts w:ascii="Calibri" w:hAnsi="Calibri" w:cs="Calibri"/>
                <w:sz w:val="24"/>
                <w:szCs w:val="24"/>
              </w:rPr>
              <w:t xml:space="preserve">oprogramowanie </w:t>
            </w:r>
            <w:r w:rsidRPr="0031764D">
              <w:rPr>
                <w:rFonts w:ascii="Calibri" w:hAnsi="Calibri" w:cs="Calibri"/>
                <w:iCs/>
                <w:sz w:val="24"/>
                <w:szCs w:val="24"/>
              </w:rPr>
              <w:t xml:space="preserve">open </w:t>
            </w:r>
            <w:proofErr w:type="spellStart"/>
            <w:r w:rsidRPr="0031764D">
              <w:rPr>
                <w:rFonts w:ascii="Calibri" w:hAnsi="Calibri" w:cs="Calibri"/>
                <w:iCs/>
                <w:sz w:val="24"/>
                <w:szCs w:val="24"/>
              </w:rPr>
              <w:t>source</w:t>
            </w:r>
            <w:proofErr w:type="spellEnd"/>
            <w:r w:rsidRPr="0031764D">
              <w:rPr>
                <w:rFonts w:ascii="Calibri" w:hAnsi="Calibri" w:cs="Calibri"/>
                <w:iCs/>
                <w:sz w:val="24"/>
                <w:szCs w:val="24"/>
              </w:rPr>
              <w:t xml:space="preserve"> – oprogramowanie dystrybuowane na warunkach tzw. licencji otwartych (open </w:t>
            </w:r>
            <w:proofErr w:type="spellStart"/>
            <w:r w:rsidRPr="0031764D">
              <w:rPr>
                <w:rFonts w:ascii="Calibri" w:hAnsi="Calibri" w:cs="Calibri"/>
                <w:iCs/>
                <w:sz w:val="24"/>
                <w:szCs w:val="24"/>
              </w:rPr>
              <w:t>source</w:t>
            </w:r>
            <w:proofErr w:type="spellEnd"/>
            <w:r w:rsidRPr="0031764D">
              <w:rPr>
                <w:rFonts w:ascii="Calibri" w:hAnsi="Calibri" w:cs="Calibri"/>
                <w:iCs/>
                <w:sz w:val="24"/>
                <w:szCs w:val="24"/>
              </w:rPr>
              <w:t>).</w:t>
            </w:r>
          </w:p>
        </w:tc>
      </w:tr>
      <w:tr w:rsidR="00C6013D" w:rsidRPr="00A640DA" w14:paraId="0F6D1CA2" w14:textId="77777777" w:rsidTr="0031764D">
        <w:tc>
          <w:tcPr>
            <w:tcW w:w="1985" w:type="dxa"/>
          </w:tcPr>
          <w:p w14:paraId="2DECE951" w14:textId="77777777" w:rsidR="00C6013D" w:rsidRPr="006304A3" w:rsidRDefault="00C6013D" w:rsidP="006B107F">
            <w:pPr>
              <w:rPr>
                <w:rFonts w:ascii="Calibri" w:hAnsi="Calibri" w:cs="Calibri"/>
                <w:b/>
                <w:color w:val="000000"/>
                <w:sz w:val="24"/>
                <w:szCs w:val="24"/>
              </w:rPr>
            </w:pPr>
            <w:r w:rsidRPr="006304A3">
              <w:rPr>
                <w:rFonts w:ascii="Calibri" w:hAnsi="Calibri" w:cs="Calibri"/>
                <w:b/>
                <w:color w:val="000000"/>
                <w:sz w:val="24"/>
                <w:szCs w:val="24"/>
              </w:rPr>
              <w:lastRenderedPageBreak/>
              <w:t xml:space="preserve">Ostateczny odbiorca wsparcia </w:t>
            </w:r>
          </w:p>
        </w:tc>
        <w:tc>
          <w:tcPr>
            <w:tcW w:w="7371" w:type="dxa"/>
          </w:tcPr>
          <w:p w14:paraId="179D7A64" w14:textId="42E2C83D" w:rsidR="00C6013D" w:rsidRPr="006304A3" w:rsidRDefault="00C6013D" w:rsidP="002A50BE">
            <w:pPr>
              <w:rPr>
                <w:rFonts w:ascii="Calibri" w:hAnsi="Calibri" w:cs="Calibri"/>
                <w:color w:val="000000"/>
                <w:sz w:val="24"/>
                <w:szCs w:val="24"/>
              </w:rPr>
            </w:pPr>
            <w:r w:rsidRPr="006304A3">
              <w:rPr>
                <w:rFonts w:ascii="Calibri" w:hAnsi="Calibri" w:cs="Calibri"/>
                <w:sz w:val="24"/>
                <w:szCs w:val="24"/>
              </w:rPr>
              <w:t xml:space="preserve">Podmiot realizujący </w:t>
            </w:r>
            <w:r w:rsidRPr="006304A3">
              <w:rPr>
                <w:rFonts w:ascii="Calibri" w:hAnsi="Calibri" w:cs="Calibri"/>
                <w:b/>
                <w:sz w:val="24"/>
                <w:szCs w:val="24"/>
              </w:rPr>
              <w:t>Przedsięwzięcie</w:t>
            </w:r>
            <w:r w:rsidRPr="006304A3">
              <w:rPr>
                <w:rFonts w:ascii="Calibri" w:hAnsi="Calibri" w:cs="Calibri"/>
                <w:sz w:val="24"/>
                <w:szCs w:val="24"/>
              </w:rPr>
              <w:t xml:space="preserve">, który ubiega się </w:t>
            </w:r>
            <w:r w:rsidRPr="006304A3">
              <w:rPr>
                <w:rFonts w:ascii="Calibri" w:hAnsi="Calibri" w:cs="Calibri"/>
                <w:color w:val="000000"/>
                <w:sz w:val="24"/>
                <w:szCs w:val="24"/>
              </w:rPr>
              <w:t xml:space="preserve">o objęcie </w:t>
            </w:r>
            <w:r w:rsidRPr="006304A3">
              <w:rPr>
                <w:rFonts w:ascii="Calibri" w:hAnsi="Calibri" w:cs="Calibri"/>
                <w:b/>
                <w:color w:val="000000"/>
                <w:sz w:val="24"/>
                <w:szCs w:val="24"/>
              </w:rPr>
              <w:t>Przedsięwzięcia</w:t>
            </w:r>
            <w:r w:rsidRPr="006304A3">
              <w:rPr>
                <w:rFonts w:ascii="Calibri" w:hAnsi="Calibri" w:cs="Calibri"/>
                <w:sz w:val="24"/>
                <w:szCs w:val="24"/>
              </w:rPr>
              <w:t xml:space="preserve"> wsparciem lub podpisał </w:t>
            </w:r>
            <w:r w:rsidRPr="006304A3">
              <w:rPr>
                <w:rFonts w:ascii="Calibri" w:hAnsi="Calibri" w:cs="Calibri"/>
                <w:b/>
                <w:color w:val="000000"/>
                <w:sz w:val="24"/>
                <w:szCs w:val="24"/>
              </w:rPr>
              <w:t xml:space="preserve">Umowę </w:t>
            </w:r>
            <w:r w:rsidRPr="006304A3">
              <w:rPr>
                <w:rFonts w:ascii="Calibri" w:hAnsi="Calibri" w:cs="Calibri"/>
                <w:color w:val="000000"/>
                <w:sz w:val="24"/>
                <w:szCs w:val="24"/>
              </w:rPr>
              <w:t xml:space="preserve">lub </w:t>
            </w:r>
            <w:r w:rsidRPr="006304A3">
              <w:rPr>
                <w:rFonts w:ascii="Calibri" w:hAnsi="Calibri" w:cs="Calibri"/>
                <w:b/>
                <w:color w:val="000000"/>
                <w:sz w:val="24"/>
                <w:szCs w:val="24"/>
              </w:rPr>
              <w:t>Porozumienie o objęcie Przedsięwzięcia wsparciem.</w:t>
            </w:r>
          </w:p>
        </w:tc>
      </w:tr>
      <w:tr w:rsidR="00C6013D" w:rsidRPr="00A640DA" w14:paraId="5CCCB45B" w14:textId="77777777" w:rsidTr="0031764D">
        <w:tc>
          <w:tcPr>
            <w:tcW w:w="1985" w:type="dxa"/>
          </w:tcPr>
          <w:p w14:paraId="67F01F35" w14:textId="77777777" w:rsidR="00C6013D" w:rsidRPr="006304A3" w:rsidRDefault="00C6013D" w:rsidP="006B107F">
            <w:pPr>
              <w:rPr>
                <w:rFonts w:ascii="Calibri" w:hAnsi="Calibri" w:cs="Calibri"/>
                <w:b/>
                <w:color w:val="000000"/>
                <w:sz w:val="24"/>
                <w:szCs w:val="24"/>
              </w:rPr>
            </w:pPr>
            <w:r w:rsidRPr="006304A3">
              <w:rPr>
                <w:rFonts w:ascii="Calibri" w:hAnsi="Calibri" w:cs="Calibri"/>
                <w:b/>
                <w:color w:val="000000"/>
                <w:sz w:val="24"/>
                <w:szCs w:val="24"/>
              </w:rPr>
              <w:t xml:space="preserve">Partner </w:t>
            </w:r>
          </w:p>
        </w:tc>
        <w:tc>
          <w:tcPr>
            <w:tcW w:w="7371" w:type="dxa"/>
          </w:tcPr>
          <w:p w14:paraId="796CC4F4" w14:textId="3A4365DD" w:rsidR="00C6013D" w:rsidRPr="006304A3" w:rsidRDefault="00C6013D" w:rsidP="002A50BE">
            <w:pPr>
              <w:rPr>
                <w:rFonts w:ascii="Calibri" w:hAnsi="Calibri" w:cs="Calibri"/>
                <w:sz w:val="24"/>
                <w:szCs w:val="24"/>
              </w:rPr>
            </w:pPr>
            <w:r w:rsidRPr="006304A3">
              <w:rPr>
                <w:rFonts w:ascii="Calibri" w:hAnsi="Calibri" w:cs="Calibri"/>
                <w:sz w:val="24"/>
                <w:szCs w:val="24"/>
              </w:rPr>
              <w:t xml:space="preserve">Podmiot wymieniony we </w:t>
            </w:r>
            <w:r w:rsidRPr="006304A3">
              <w:rPr>
                <w:rFonts w:ascii="Calibri" w:hAnsi="Calibri" w:cs="Calibri"/>
                <w:b/>
                <w:sz w:val="24"/>
                <w:szCs w:val="24"/>
              </w:rPr>
              <w:t>Wniosku o objęcie Przedsięwzięcia wsparciem</w:t>
            </w:r>
            <w:r w:rsidRPr="006304A3">
              <w:rPr>
                <w:rFonts w:ascii="Calibri" w:hAnsi="Calibri" w:cs="Calibri"/>
                <w:sz w:val="24"/>
                <w:szCs w:val="24"/>
              </w:rPr>
              <w:t xml:space="preserve">, uczestniczący w realizacji </w:t>
            </w:r>
            <w:r w:rsidRPr="006304A3">
              <w:rPr>
                <w:rFonts w:ascii="Calibri" w:hAnsi="Calibri" w:cs="Calibri"/>
                <w:b/>
                <w:sz w:val="24"/>
                <w:szCs w:val="24"/>
              </w:rPr>
              <w:t>Przedsięwzięcia</w:t>
            </w:r>
            <w:r w:rsidRPr="006304A3">
              <w:rPr>
                <w:rFonts w:ascii="Calibri" w:hAnsi="Calibri" w:cs="Calibri"/>
                <w:sz w:val="24"/>
                <w:szCs w:val="24"/>
              </w:rPr>
              <w:t xml:space="preserve">, którego udział jest uzasadniony, konieczny i niezbędny, wnoszący do </w:t>
            </w:r>
            <w:r w:rsidR="001608BB" w:rsidRPr="006304A3">
              <w:rPr>
                <w:rFonts w:ascii="Calibri" w:hAnsi="Calibri" w:cs="Calibri"/>
                <w:b/>
                <w:sz w:val="24"/>
                <w:szCs w:val="24"/>
              </w:rPr>
              <w:t>Przedsięwzięcia</w:t>
            </w:r>
            <w:r w:rsidR="001608BB" w:rsidRPr="006304A3">
              <w:rPr>
                <w:rFonts w:ascii="Calibri" w:hAnsi="Calibri" w:cs="Calibri"/>
                <w:sz w:val="24"/>
                <w:szCs w:val="24"/>
              </w:rPr>
              <w:t xml:space="preserve"> zasoby</w:t>
            </w:r>
            <w:r w:rsidRPr="006304A3">
              <w:rPr>
                <w:rFonts w:ascii="Calibri" w:hAnsi="Calibri" w:cs="Calibri"/>
                <w:sz w:val="24"/>
                <w:szCs w:val="24"/>
              </w:rPr>
              <w:t xml:space="preserve"> ludzkie, organizacyjne, techniczne lub finansowe, realizujący </w:t>
            </w:r>
            <w:r w:rsidRPr="006304A3">
              <w:rPr>
                <w:rFonts w:ascii="Calibri" w:hAnsi="Calibri" w:cs="Calibri"/>
                <w:b/>
                <w:sz w:val="24"/>
                <w:szCs w:val="24"/>
              </w:rPr>
              <w:t>Przedsięwzięcie</w:t>
            </w:r>
            <w:r w:rsidRPr="006304A3">
              <w:rPr>
                <w:rFonts w:ascii="Calibri" w:hAnsi="Calibri" w:cs="Calibri"/>
                <w:sz w:val="24"/>
                <w:szCs w:val="24"/>
              </w:rPr>
              <w:t xml:space="preserve"> wspólnie z </w:t>
            </w:r>
            <w:r w:rsidRPr="006304A3">
              <w:rPr>
                <w:rFonts w:ascii="Calibri" w:hAnsi="Calibri" w:cs="Calibri"/>
                <w:b/>
                <w:sz w:val="24"/>
                <w:szCs w:val="24"/>
              </w:rPr>
              <w:t>Ostatecznym odbiorcą wsparcia</w:t>
            </w:r>
            <w:r w:rsidRPr="006304A3">
              <w:rPr>
                <w:rFonts w:ascii="Calibri" w:hAnsi="Calibri" w:cs="Calibri"/>
                <w:sz w:val="24"/>
                <w:szCs w:val="24"/>
              </w:rPr>
              <w:t xml:space="preserve"> na warunkach określonych w porozumieniu lub umowie o partnerstwie. Posiada znamiona </w:t>
            </w:r>
            <w:r w:rsidRPr="006304A3">
              <w:rPr>
                <w:rFonts w:ascii="Calibri" w:hAnsi="Calibri" w:cs="Calibri"/>
                <w:b/>
                <w:sz w:val="24"/>
                <w:szCs w:val="24"/>
              </w:rPr>
              <w:t>Ostatecznego odbiorcy wsparcia</w:t>
            </w:r>
            <w:r w:rsidRPr="006304A3">
              <w:rPr>
                <w:rFonts w:ascii="Calibri" w:hAnsi="Calibri" w:cs="Calibri"/>
                <w:sz w:val="24"/>
                <w:szCs w:val="24"/>
              </w:rPr>
              <w:t>.</w:t>
            </w:r>
          </w:p>
        </w:tc>
      </w:tr>
      <w:tr w:rsidR="00C6013D" w:rsidRPr="00A640DA" w14:paraId="033B01AD" w14:textId="77777777" w:rsidTr="0031764D">
        <w:tc>
          <w:tcPr>
            <w:tcW w:w="1985" w:type="dxa"/>
          </w:tcPr>
          <w:p w14:paraId="343000AB" w14:textId="606EB045" w:rsidR="00C6013D" w:rsidRPr="006304A3" w:rsidRDefault="00C6013D" w:rsidP="006B107F">
            <w:pPr>
              <w:rPr>
                <w:rFonts w:ascii="Calibri" w:hAnsi="Calibri" w:cs="Calibri"/>
                <w:b/>
                <w:color w:val="000000"/>
                <w:sz w:val="24"/>
                <w:szCs w:val="24"/>
              </w:rPr>
            </w:pPr>
            <w:r w:rsidRPr="006304A3">
              <w:rPr>
                <w:rFonts w:ascii="Calibri" w:hAnsi="Calibri" w:cs="Calibri"/>
                <w:b/>
                <w:color w:val="000000"/>
                <w:sz w:val="24"/>
                <w:szCs w:val="24"/>
              </w:rPr>
              <w:t xml:space="preserve">Plan rozwojowy </w:t>
            </w:r>
          </w:p>
        </w:tc>
        <w:tc>
          <w:tcPr>
            <w:tcW w:w="7371" w:type="dxa"/>
          </w:tcPr>
          <w:p w14:paraId="25172033" w14:textId="118DAB46" w:rsidR="00C6013D" w:rsidRPr="006304A3" w:rsidRDefault="00C6013D" w:rsidP="007E6807">
            <w:pPr>
              <w:rPr>
                <w:rFonts w:ascii="Calibri" w:hAnsi="Calibri" w:cs="Calibri"/>
                <w:color w:val="000000"/>
                <w:sz w:val="24"/>
                <w:szCs w:val="24"/>
              </w:rPr>
            </w:pPr>
            <w:r w:rsidRPr="006304A3">
              <w:rPr>
                <w:rFonts w:ascii="Calibri" w:hAnsi="Calibri" w:cs="Calibri"/>
                <w:sz w:val="24"/>
                <w:szCs w:val="24"/>
              </w:rPr>
              <w:t xml:space="preserve">Dokument pn. Krajowy Plany Odbudowy i Zwiększania Odporności, o którym mowa w art. 17 ust. 1 </w:t>
            </w:r>
            <w:r w:rsidRPr="006304A3">
              <w:rPr>
                <w:rFonts w:ascii="Calibri" w:hAnsi="Calibri" w:cs="Calibri"/>
                <w:b/>
                <w:sz w:val="24"/>
                <w:szCs w:val="24"/>
              </w:rPr>
              <w:t>Rozporządzenia RRF</w:t>
            </w:r>
            <w:r w:rsidRPr="006304A3">
              <w:rPr>
                <w:rFonts w:ascii="Calibri" w:hAnsi="Calibri" w:cs="Calibri"/>
                <w:sz w:val="24"/>
                <w:szCs w:val="24"/>
              </w:rPr>
              <w:t>, stanowiący podstawę realizacji reform i inwestycji objętych wsparciem (finansowaniem) ze środków Instrumentu na rzecz Odbudowy i Zwiększania Odporności.</w:t>
            </w:r>
          </w:p>
        </w:tc>
      </w:tr>
      <w:tr w:rsidR="00C6013D" w:rsidRPr="00A640DA" w14:paraId="066E5F96" w14:textId="77777777" w:rsidTr="0031764D">
        <w:tc>
          <w:tcPr>
            <w:tcW w:w="1985" w:type="dxa"/>
          </w:tcPr>
          <w:p w14:paraId="09BBF65C" w14:textId="77777777" w:rsidR="00C6013D" w:rsidRPr="006304A3" w:rsidRDefault="00C6013D" w:rsidP="006B107F">
            <w:pPr>
              <w:rPr>
                <w:rFonts w:ascii="Calibri" w:hAnsi="Calibri" w:cs="Calibri"/>
                <w:b/>
                <w:color w:val="000000"/>
                <w:sz w:val="24"/>
                <w:szCs w:val="24"/>
                <w:highlight w:val="yellow"/>
              </w:rPr>
            </w:pPr>
            <w:r w:rsidRPr="006304A3">
              <w:rPr>
                <w:rFonts w:ascii="Calibri" w:hAnsi="Calibri" w:cs="Calibri"/>
                <w:b/>
                <w:color w:val="000000"/>
                <w:sz w:val="24"/>
                <w:szCs w:val="24"/>
              </w:rPr>
              <w:t xml:space="preserve">Produkt </w:t>
            </w:r>
          </w:p>
        </w:tc>
        <w:tc>
          <w:tcPr>
            <w:tcW w:w="7371" w:type="dxa"/>
          </w:tcPr>
          <w:p w14:paraId="06CD20C2" w14:textId="0448415F" w:rsidR="00C6013D" w:rsidRPr="006304A3" w:rsidRDefault="00C6013D" w:rsidP="006B107F">
            <w:pPr>
              <w:rPr>
                <w:rFonts w:ascii="Calibri" w:hAnsi="Calibri" w:cs="Calibri"/>
                <w:sz w:val="24"/>
                <w:szCs w:val="24"/>
              </w:rPr>
            </w:pPr>
            <w:r w:rsidRPr="006304A3">
              <w:rPr>
                <w:rFonts w:ascii="Calibri" w:hAnsi="Calibri" w:cs="Calibri"/>
                <w:sz w:val="24"/>
                <w:szCs w:val="24"/>
              </w:rPr>
              <w:t xml:space="preserve">Efekt </w:t>
            </w:r>
            <w:r w:rsidRPr="006304A3">
              <w:rPr>
                <w:rFonts w:ascii="Calibri" w:hAnsi="Calibri" w:cs="Calibri"/>
                <w:b/>
                <w:sz w:val="24"/>
                <w:szCs w:val="24"/>
              </w:rPr>
              <w:t>Przedsięwzięcia</w:t>
            </w:r>
            <w:r w:rsidRPr="006304A3">
              <w:rPr>
                <w:rFonts w:ascii="Calibri" w:hAnsi="Calibri" w:cs="Calibri"/>
                <w:sz w:val="24"/>
                <w:szCs w:val="24"/>
              </w:rPr>
              <w:t xml:space="preserve">. Produktem może być np. wdrożone </w:t>
            </w:r>
            <w:r w:rsidRPr="006304A3">
              <w:rPr>
                <w:rFonts w:ascii="Calibri" w:hAnsi="Calibri" w:cs="Calibri"/>
                <w:b/>
                <w:sz w:val="24"/>
                <w:szCs w:val="24"/>
              </w:rPr>
              <w:t>Oprogramowanie</w:t>
            </w:r>
            <w:r w:rsidRPr="006304A3">
              <w:rPr>
                <w:rFonts w:ascii="Calibri" w:hAnsi="Calibri" w:cs="Calibri"/>
                <w:sz w:val="24"/>
                <w:szCs w:val="24"/>
              </w:rPr>
              <w:t>, udostępniona infrastruktura informatyczna, przeprowadzone szkolenie itd.</w:t>
            </w:r>
          </w:p>
        </w:tc>
      </w:tr>
      <w:tr w:rsidR="00C6013D" w:rsidRPr="00A640DA" w14:paraId="1CCFD15C" w14:textId="77777777" w:rsidTr="0031764D">
        <w:tc>
          <w:tcPr>
            <w:tcW w:w="1985" w:type="dxa"/>
          </w:tcPr>
          <w:p w14:paraId="5355BE4E" w14:textId="747BE647" w:rsidR="00C6013D" w:rsidRPr="006304A3" w:rsidRDefault="00C6013D" w:rsidP="006B107F">
            <w:pPr>
              <w:rPr>
                <w:rFonts w:ascii="Calibri" w:hAnsi="Calibri" w:cs="Calibri"/>
                <w:b/>
                <w:color w:val="000000"/>
                <w:sz w:val="24"/>
                <w:szCs w:val="24"/>
              </w:rPr>
            </w:pPr>
            <w:r w:rsidRPr="006304A3">
              <w:rPr>
                <w:rFonts w:ascii="Calibri" w:hAnsi="Calibri" w:cs="Calibri"/>
                <w:b/>
                <w:color w:val="000000"/>
                <w:sz w:val="24"/>
                <w:szCs w:val="24"/>
              </w:rPr>
              <w:t>Przedsięwzięcie</w:t>
            </w:r>
          </w:p>
        </w:tc>
        <w:tc>
          <w:tcPr>
            <w:tcW w:w="7371" w:type="dxa"/>
          </w:tcPr>
          <w:p w14:paraId="3B852A65" w14:textId="365912F3" w:rsidR="00C6013D" w:rsidRPr="00C2500F" w:rsidRDefault="00C6013D" w:rsidP="00C2500F">
            <w:pPr>
              <w:spacing w:after="360"/>
              <w:rPr>
                <w:rFonts w:ascii="Calibri" w:hAnsi="Calibri" w:cs="Calibri"/>
                <w:sz w:val="24"/>
                <w:szCs w:val="24"/>
              </w:rPr>
            </w:pPr>
            <w:r w:rsidRPr="006304A3">
              <w:rPr>
                <w:rFonts w:ascii="Calibri" w:hAnsi="Calibri" w:cs="Calibri"/>
                <w:sz w:val="24"/>
                <w:szCs w:val="24"/>
              </w:rPr>
              <w:t xml:space="preserve">Projekt lub grupa projektów realizowany przez </w:t>
            </w:r>
            <w:r w:rsidRPr="006304A3">
              <w:rPr>
                <w:rFonts w:ascii="Calibri" w:hAnsi="Calibri" w:cs="Calibri"/>
                <w:b/>
                <w:sz w:val="24"/>
                <w:szCs w:val="24"/>
              </w:rPr>
              <w:t>Ostatecznego odbiorcę wsparcia</w:t>
            </w:r>
            <w:r w:rsidRPr="006304A3">
              <w:rPr>
                <w:rFonts w:ascii="Calibri" w:hAnsi="Calibri" w:cs="Calibri"/>
                <w:sz w:val="24"/>
                <w:szCs w:val="24"/>
              </w:rPr>
              <w:t xml:space="preserve">, zmierzający do osiągnięcia założonego celu określonego wskaźnikami, z określonym początkiem i końcem realizacji. Co do zasady Przedsięwzięcie odpowiada definicji „projektu”, a w </w:t>
            </w:r>
            <w:r w:rsidRPr="006304A3">
              <w:rPr>
                <w:rFonts w:ascii="Calibri" w:hAnsi="Calibri" w:cs="Calibri"/>
                <w:b/>
                <w:sz w:val="24"/>
                <w:szCs w:val="24"/>
              </w:rPr>
              <w:t>Inwestycji C2.1.1.</w:t>
            </w:r>
            <w:r w:rsidRPr="006304A3">
              <w:rPr>
                <w:rFonts w:ascii="Calibri" w:hAnsi="Calibri" w:cs="Calibri"/>
                <w:sz w:val="24"/>
                <w:szCs w:val="24"/>
              </w:rPr>
              <w:t xml:space="preserve"> „projektu informatycznego” lub „przedsięwzięcia informatycznego”.</w:t>
            </w:r>
          </w:p>
          <w:p w14:paraId="7A6F59AA" w14:textId="56A64B4E" w:rsidR="00C6013D" w:rsidRPr="006304A3" w:rsidRDefault="00C6013D" w:rsidP="006B107F">
            <w:pPr>
              <w:rPr>
                <w:rFonts w:ascii="Calibri" w:hAnsi="Calibri" w:cs="Calibri"/>
                <w:sz w:val="24"/>
                <w:szCs w:val="24"/>
              </w:rPr>
            </w:pPr>
            <w:r w:rsidRPr="006304A3">
              <w:rPr>
                <w:rFonts w:ascii="Calibri" w:hAnsi="Calibri" w:cs="Calibri"/>
                <w:sz w:val="24"/>
                <w:szCs w:val="24"/>
              </w:rPr>
              <w:t xml:space="preserve">Przedsięwzięcie, analogicznie jak „projekt informatyczny”, to udokumentowany zespół czynności organizacyjnych i technicznych, które polegają na  budowie, rozbudowie, modyfikacji lub unowocześnieniu systemu teleinformatycznego, lub udostępnianiu danych w postaci elektronicznej w celu wykorzystania do realizacji określonych zadań, lub wdrożeniu określonych usług realizowanych drogą elektroniczną, </w:t>
            </w:r>
            <w:r w:rsidRPr="006304A3">
              <w:rPr>
                <w:rFonts w:ascii="Calibri" w:hAnsi="Calibri" w:cs="Calibri"/>
                <w:sz w:val="24"/>
                <w:szCs w:val="24"/>
              </w:rPr>
              <w:lastRenderedPageBreak/>
              <w:t>opracowaniu procedur realizowania określonych zadań drogą elektroniczną lub cyfrowym udostępnianiu danych, e-usług publicznych lub innych Rozwiązań IT.</w:t>
            </w:r>
          </w:p>
        </w:tc>
      </w:tr>
      <w:tr w:rsidR="00C6013D" w:rsidRPr="00A640DA" w14:paraId="23261E05" w14:textId="77777777" w:rsidTr="0031764D">
        <w:tc>
          <w:tcPr>
            <w:tcW w:w="1985" w:type="dxa"/>
          </w:tcPr>
          <w:p w14:paraId="6B9F80F9" w14:textId="77777777" w:rsidR="00C6013D" w:rsidRPr="006304A3" w:rsidRDefault="00C6013D" w:rsidP="006B107F">
            <w:pPr>
              <w:rPr>
                <w:rFonts w:ascii="Calibri" w:hAnsi="Calibri" w:cs="Calibri"/>
                <w:b/>
                <w:color w:val="000000"/>
                <w:sz w:val="24"/>
                <w:szCs w:val="24"/>
              </w:rPr>
            </w:pPr>
            <w:r w:rsidRPr="006304A3">
              <w:rPr>
                <w:rFonts w:ascii="Calibri" w:hAnsi="Calibri" w:cs="Calibri"/>
                <w:b/>
                <w:color w:val="000000"/>
                <w:sz w:val="24"/>
                <w:szCs w:val="24"/>
              </w:rPr>
              <w:lastRenderedPageBreak/>
              <w:t>Przedsięwzięcie partnerskie</w:t>
            </w:r>
          </w:p>
        </w:tc>
        <w:tc>
          <w:tcPr>
            <w:tcW w:w="7371" w:type="dxa"/>
          </w:tcPr>
          <w:p w14:paraId="13AB0687" w14:textId="2DAD8640" w:rsidR="00C6013D" w:rsidRPr="006304A3" w:rsidRDefault="00C6013D" w:rsidP="006B107F">
            <w:pPr>
              <w:rPr>
                <w:rFonts w:ascii="Calibri" w:hAnsi="Calibri" w:cs="Calibri"/>
                <w:sz w:val="24"/>
                <w:szCs w:val="24"/>
              </w:rPr>
            </w:pPr>
            <w:r w:rsidRPr="006304A3">
              <w:rPr>
                <w:rFonts w:ascii="Calibri" w:hAnsi="Calibri" w:cs="Calibri"/>
                <w:b/>
                <w:sz w:val="24"/>
                <w:szCs w:val="24"/>
              </w:rPr>
              <w:t>Przedsięwzięcie</w:t>
            </w:r>
            <w:r w:rsidRPr="006304A3">
              <w:rPr>
                <w:rFonts w:ascii="Calibri" w:hAnsi="Calibri" w:cs="Calibri"/>
                <w:sz w:val="24"/>
                <w:szCs w:val="24"/>
              </w:rPr>
              <w:t xml:space="preserve"> realizowane na podstawie umowy albo porozumienia, ustanawiającego partnerstwo w celu wspólnej realizacji zadań, zawarty przez co najmniej dwa podmioty, które nie są wykluczone z możliwości otrzymania wsparcia (uzyskania finansowania).</w:t>
            </w:r>
          </w:p>
        </w:tc>
      </w:tr>
      <w:tr w:rsidR="00C6013D" w:rsidRPr="00A640DA" w14:paraId="5972F3FB" w14:textId="77777777" w:rsidTr="0031764D">
        <w:tc>
          <w:tcPr>
            <w:tcW w:w="1985" w:type="dxa"/>
          </w:tcPr>
          <w:p w14:paraId="0B9B9FEF" w14:textId="2D932A89" w:rsidR="00C6013D" w:rsidRPr="006304A3" w:rsidRDefault="00C6013D" w:rsidP="006B107F">
            <w:pPr>
              <w:rPr>
                <w:rFonts w:ascii="Calibri" w:hAnsi="Calibri" w:cs="Calibri"/>
                <w:b/>
                <w:color w:val="000000"/>
                <w:sz w:val="24"/>
                <w:szCs w:val="24"/>
              </w:rPr>
            </w:pPr>
            <w:r w:rsidRPr="006304A3">
              <w:rPr>
                <w:rFonts w:ascii="Calibri" w:hAnsi="Calibri" w:cs="Calibri"/>
                <w:b/>
                <w:color w:val="000000"/>
                <w:sz w:val="24"/>
                <w:szCs w:val="24"/>
              </w:rPr>
              <w:t xml:space="preserve">Regulamin </w:t>
            </w:r>
          </w:p>
        </w:tc>
        <w:tc>
          <w:tcPr>
            <w:tcW w:w="7371" w:type="dxa"/>
          </w:tcPr>
          <w:p w14:paraId="5061F7F9" w14:textId="1E36BDF0" w:rsidR="00C6013D" w:rsidRPr="006304A3" w:rsidRDefault="00C6013D" w:rsidP="00FD0D95">
            <w:pPr>
              <w:rPr>
                <w:rFonts w:ascii="Calibri" w:hAnsi="Calibri" w:cs="Calibri"/>
                <w:sz w:val="24"/>
                <w:szCs w:val="24"/>
              </w:rPr>
            </w:pPr>
            <w:r w:rsidRPr="006304A3">
              <w:rPr>
                <w:rFonts w:ascii="Calibri" w:hAnsi="Calibri" w:cs="Calibri"/>
                <w:sz w:val="24"/>
                <w:szCs w:val="24"/>
              </w:rPr>
              <w:t xml:space="preserve">Regulamin wyboru Przedsięwzięć do objęcia wsparciem w ramach Krajowego Planu Odbudowy i Zwiększania Odporności. Regulamin dotyczy </w:t>
            </w:r>
            <w:r w:rsidRPr="006304A3">
              <w:rPr>
                <w:rFonts w:ascii="Calibri" w:hAnsi="Calibri" w:cs="Calibri"/>
                <w:b/>
                <w:bCs/>
                <w:sz w:val="24"/>
                <w:szCs w:val="24"/>
              </w:rPr>
              <w:t>Inwestycji C2.1.1</w:t>
            </w:r>
            <w:r w:rsidRPr="006304A3">
              <w:rPr>
                <w:rFonts w:ascii="Calibri" w:hAnsi="Calibri" w:cs="Calibri"/>
                <w:sz w:val="24"/>
                <w:szCs w:val="24"/>
              </w:rPr>
              <w:t xml:space="preserve"> E-usługi publiczne, rozwiązania IT usprawniające funkcjonowanie administracji i sektorów gospodarki. </w:t>
            </w:r>
          </w:p>
        </w:tc>
      </w:tr>
      <w:tr w:rsidR="00C6013D" w:rsidRPr="00A640DA" w14:paraId="06EA935A" w14:textId="77777777" w:rsidTr="0031764D">
        <w:tc>
          <w:tcPr>
            <w:tcW w:w="1985" w:type="dxa"/>
          </w:tcPr>
          <w:p w14:paraId="085A6968" w14:textId="77777777" w:rsidR="00C6013D" w:rsidRPr="006304A3" w:rsidRDefault="00C6013D" w:rsidP="006B107F">
            <w:pPr>
              <w:rPr>
                <w:rFonts w:ascii="Calibri" w:hAnsi="Calibri" w:cs="Calibri"/>
                <w:b/>
                <w:color w:val="000000"/>
                <w:sz w:val="24"/>
                <w:szCs w:val="24"/>
              </w:rPr>
            </w:pPr>
            <w:r w:rsidRPr="006304A3">
              <w:rPr>
                <w:rFonts w:ascii="Calibri" w:hAnsi="Calibri" w:cs="Calibri"/>
                <w:b/>
                <w:sz w:val="24"/>
                <w:szCs w:val="24"/>
              </w:rPr>
              <w:t xml:space="preserve">Rozporządzenie RRF </w:t>
            </w:r>
          </w:p>
        </w:tc>
        <w:tc>
          <w:tcPr>
            <w:tcW w:w="7371" w:type="dxa"/>
          </w:tcPr>
          <w:p w14:paraId="33F94243" w14:textId="77777777" w:rsidR="00C6013D" w:rsidRPr="006304A3" w:rsidRDefault="00C6013D" w:rsidP="006B107F">
            <w:pPr>
              <w:rPr>
                <w:rFonts w:ascii="Calibri" w:hAnsi="Calibri" w:cs="Calibri"/>
                <w:sz w:val="24"/>
                <w:szCs w:val="24"/>
              </w:rPr>
            </w:pPr>
            <w:r w:rsidRPr="006304A3">
              <w:rPr>
                <w:rFonts w:ascii="Calibri" w:hAnsi="Calibri" w:cs="Calibri"/>
                <w:sz w:val="24"/>
                <w:szCs w:val="24"/>
              </w:rPr>
              <w:t>Rozporządzenie Parlamentu Europejskiego i Rady (UE) 2021/241 z dnia 12 lutego 2021 r. ustanawiające Instrument na rzecz Odbudowy i Zwiększania Odporności (Dz. Urz. UE L 57 z 18.02.2021, s. 17).</w:t>
            </w:r>
          </w:p>
          <w:p w14:paraId="7A1EB3F4" w14:textId="1F58DD91" w:rsidR="00C6013D" w:rsidRPr="006304A3" w:rsidRDefault="00C6013D" w:rsidP="006B107F">
            <w:pPr>
              <w:rPr>
                <w:rFonts w:ascii="Calibri" w:hAnsi="Calibri" w:cs="Calibri"/>
                <w:color w:val="000000"/>
                <w:sz w:val="24"/>
                <w:szCs w:val="24"/>
              </w:rPr>
            </w:pPr>
            <w:r w:rsidRPr="006304A3">
              <w:rPr>
                <w:rFonts w:ascii="Calibri" w:hAnsi="Calibri" w:cs="Calibri"/>
                <w:sz w:val="24"/>
                <w:szCs w:val="24"/>
              </w:rPr>
              <w:t>https://eur-lex.europa.eu/legal-content/PL/TXT/PDF/?uri=CELEX:32021R0241&amp;from=PL</w:t>
            </w:r>
          </w:p>
        </w:tc>
      </w:tr>
      <w:tr w:rsidR="00C6013D" w:rsidRPr="00A640DA" w14:paraId="44B431A2" w14:textId="77777777" w:rsidTr="0031764D">
        <w:tc>
          <w:tcPr>
            <w:tcW w:w="1985" w:type="dxa"/>
          </w:tcPr>
          <w:p w14:paraId="702392F9" w14:textId="77777777" w:rsidR="00C6013D" w:rsidRPr="006304A3" w:rsidRDefault="00C6013D" w:rsidP="006B107F">
            <w:pPr>
              <w:rPr>
                <w:rFonts w:ascii="Calibri" w:hAnsi="Calibri" w:cs="Calibri"/>
                <w:b/>
                <w:color w:val="000000"/>
                <w:sz w:val="24"/>
                <w:szCs w:val="24"/>
              </w:rPr>
            </w:pPr>
            <w:r w:rsidRPr="006304A3">
              <w:rPr>
                <w:rFonts w:ascii="Calibri" w:hAnsi="Calibri" w:cs="Calibri"/>
                <w:b/>
                <w:color w:val="000000"/>
                <w:sz w:val="24"/>
                <w:szCs w:val="24"/>
              </w:rPr>
              <w:t>Rozwiązanie IT</w:t>
            </w:r>
          </w:p>
        </w:tc>
        <w:tc>
          <w:tcPr>
            <w:tcW w:w="7371" w:type="dxa"/>
          </w:tcPr>
          <w:p w14:paraId="6D753662" w14:textId="21704DA8" w:rsidR="00C6013D" w:rsidRPr="006304A3" w:rsidRDefault="00C6013D" w:rsidP="006B107F">
            <w:pPr>
              <w:rPr>
                <w:rFonts w:ascii="Calibri" w:hAnsi="Calibri" w:cs="Calibri"/>
                <w:sz w:val="24"/>
                <w:szCs w:val="24"/>
              </w:rPr>
            </w:pPr>
            <w:r w:rsidRPr="006304A3">
              <w:rPr>
                <w:rFonts w:ascii="Calibri" w:hAnsi="Calibri" w:cs="Calibri"/>
                <w:sz w:val="24"/>
                <w:szCs w:val="24"/>
              </w:rPr>
              <w:t xml:space="preserve">Zespół współpracujących ze sobą urządzeń informatycznych i </w:t>
            </w:r>
            <w:r w:rsidRPr="006304A3">
              <w:rPr>
                <w:rFonts w:ascii="Calibri" w:hAnsi="Calibri" w:cs="Calibri"/>
                <w:b/>
                <w:sz w:val="24"/>
                <w:szCs w:val="24"/>
              </w:rPr>
              <w:t>Oprogramowania</w:t>
            </w:r>
            <w:r w:rsidRPr="006304A3">
              <w:rPr>
                <w:rFonts w:ascii="Calibri" w:hAnsi="Calibri" w:cs="Calibri"/>
                <w:sz w:val="24"/>
                <w:szCs w:val="24"/>
              </w:rPr>
              <w:t xml:space="preserve"> zapewniający przetwarzanie, przechowywanie, a także wysyłanie i odbieranie danych przez sieci telekomunikacyjne za pomocą właściwego dla danego rodzaju sieci telekomunikacyjnego urządzenia końcowego w rozumieniu przepisów ustawy z dnia 16 lipca 2004 r. – Prawo telekomunikacyjne (</w:t>
            </w:r>
            <w:r w:rsidR="00D34084" w:rsidRPr="006304A3">
              <w:rPr>
                <w:rFonts w:ascii="Calibri" w:hAnsi="Calibri" w:cs="Calibri"/>
                <w:sz w:val="24"/>
                <w:szCs w:val="24"/>
              </w:rPr>
              <w:t>tj.</w:t>
            </w:r>
            <w:r w:rsidRPr="006304A3">
              <w:rPr>
                <w:rFonts w:ascii="Calibri" w:hAnsi="Calibri" w:cs="Calibri"/>
                <w:sz w:val="24"/>
                <w:szCs w:val="24"/>
              </w:rPr>
              <w:t xml:space="preserve"> Dz. U. z 2018 r. poz. 1954).</w:t>
            </w:r>
          </w:p>
        </w:tc>
      </w:tr>
      <w:tr w:rsidR="00C6013D" w:rsidRPr="00A640DA" w14:paraId="60D20B09" w14:textId="77777777" w:rsidTr="0031764D">
        <w:tc>
          <w:tcPr>
            <w:tcW w:w="1985" w:type="dxa"/>
          </w:tcPr>
          <w:p w14:paraId="48DE6EE4" w14:textId="77777777" w:rsidR="00C6013D" w:rsidRPr="006304A3" w:rsidRDefault="00C6013D" w:rsidP="004E344E">
            <w:pPr>
              <w:rPr>
                <w:rFonts w:ascii="Calibri" w:hAnsi="Calibri" w:cs="Calibri"/>
                <w:b/>
                <w:color w:val="000000"/>
                <w:sz w:val="24"/>
                <w:szCs w:val="24"/>
              </w:rPr>
            </w:pPr>
            <w:r w:rsidRPr="006304A3">
              <w:rPr>
                <w:rFonts w:ascii="Calibri" w:hAnsi="Calibri" w:cs="Calibri"/>
                <w:b/>
                <w:color w:val="000000"/>
                <w:sz w:val="24"/>
                <w:szCs w:val="24"/>
              </w:rPr>
              <w:t>Traktat o funkcjonowaniu Unii Europejskiej (TFUE)</w:t>
            </w:r>
          </w:p>
        </w:tc>
        <w:tc>
          <w:tcPr>
            <w:tcW w:w="7371" w:type="dxa"/>
          </w:tcPr>
          <w:p w14:paraId="62D5A47B" w14:textId="6115CD60" w:rsidR="003E5E7F" w:rsidRPr="006304A3" w:rsidRDefault="00C6013D" w:rsidP="00FD0D95">
            <w:pPr>
              <w:spacing w:after="360"/>
              <w:rPr>
                <w:rFonts w:ascii="Calibri" w:hAnsi="Calibri" w:cs="Calibri"/>
                <w:sz w:val="24"/>
                <w:szCs w:val="24"/>
              </w:rPr>
            </w:pPr>
            <w:r w:rsidRPr="006304A3">
              <w:rPr>
                <w:rFonts w:ascii="Calibri" w:hAnsi="Calibri" w:cs="Calibri"/>
                <w:sz w:val="24"/>
                <w:szCs w:val="24"/>
              </w:rPr>
              <w:t>Główny akt prawa pierwotnego Unii Europejskiej.</w:t>
            </w:r>
          </w:p>
          <w:p w14:paraId="2919E0CE" w14:textId="4251D24B" w:rsidR="00C6013D" w:rsidRPr="006304A3" w:rsidRDefault="00C6013D" w:rsidP="004E344E">
            <w:pPr>
              <w:rPr>
                <w:rFonts w:ascii="Calibri" w:hAnsi="Calibri" w:cs="Calibri"/>
                <w:sz w:val="24"/>
                <w:szCs w:val="24"/>
              </w:rPr>
            </w:pPr>
            <w:r w:rsidRPr="006304A3">
              <w:rPr>
                <w:rFonts w:ascii="Calibri" w:hAnsi="Calibri" w:cs="Calibri"/>
                <w:sz w:val="24"/>
                <w:szCs w:val="24"/>
              </w:rPr>
              <w:t>http://oide.sejm.gov.pl/oide/index.php?option=com_content&amp;view=article&amp;id=14804</w:t>
            </w:r>
          </w:p>
        </w:tc>
      </w:tr>
      <w:tr w:rsidR="00C6013D" w:rsidRPr="00A640DA" w14:paraId="6A8C4813" w14:textId="77777777" w:rsidTr="0031764D">
        <w:trPr>
          <w:trHeight w:val="2568"/>
        </w:trPr>
        <w:tc>
          <w:tcPr>
            <w:tcW w:w="1985" w:type="dxa"/>
          </w:tcPr>
          <w:p w14:paraId="746A912E" w14:textId="1AA261AC" w:rsidR="00C6013D" w:rsidRPr="006304A3" w:rsidRDefault="00C6013D" w:rsidP="004E344E">
            <w:pPr>
              <w:rPr>
                <w:rFonts w:ascii="Calibri" w:hAnsi="Calibri" w:cs="Calibri"/>
                <w:b/>
                <w:bCs/>
                <w:color w:val="000000"/>
                <w:sz w:val="24"/>
                <w:szCs w:val="24"/>
              </w:rPr>
            </w:pPr>
            <w:r w:rsidRPr="006304A3">
              <w:rPr>
                <w:rFonts w:ascii="Calibri" w:hAnsi="Calibri" w:cs="Calibri"/>
                <w:b/>
                <w:bCs/>
                <w:sz w:val="24"/>
                <w:szCs w:val="24"/>
              </w:rPr>
              <w:t>Unikatowość e-usługi publicznej</w:t>
            </w:r>
          </w:p>
        </w:tc>
        <w:tc>
          <w:tcPr>
            <w:tcW w:w="7371" w:type="dxa"/>
          </w:tcPr>
          <w:p w14:paraId="72098AEC" w14:textId="070E35C0" w:rsidR="003E5E7F" w:rsidRPr="006304A3" w:rsidRDefault="00C6013D" w:rsidP="00684C3F">
            <w:pPr>
              <w:rPr>
                <w:rFonts w:ascii="Calibri" w:hAnsi="Calibri" w:cs="Calibri"/>
                <w:sz w:val="24"/>
                <w:szCs w:val="24"/>
              </w:rPr>
            </w:pPr>
            <w:r w:rsidRPr="006304A3">
              <w:rPr>
                <w:rFonts w:ascii="Calibri" w:hAnsi="Calibri" w:cs="Calibri"/>
                <w:sz w:val="24"/>
                <w:szCs w:val="24"/>
              </w:rPr>
              <w:t>E-usługa publiczna jest unikatowa wówczas, gdy nie funkcjonuje już taka</w:t>
            </w:r>
            <w:r w:rsidR="00340DF5">
              <w:rPr>
                <w:rFonts w:ascii="Calibri" w:hAnsi="Calibri" w:cs="Calibri"/>
                <w:sz w:val="24"/>
                <w:szCs w:val="24"/>
              </w:rPr>
              <w:t xml:space="preserve"> </w:t>
            </w:r>
            <w:r w:rsidR="00180E03" w:rsidRPr="006304A3">
              <w:rPr>
                <w:rFonts w:ascii="Calibri" w:hAnsi="Calibri" w:cs="Calibri"/>
                <w:sz w:val="24"/>
                <w:szCs w:val="24"/>
              </w:rPr>
              <w:t xml:space="preserve">sama </w:t>
            </w:r>
            <w:r w:rsidR="009E38F3" w:rsidRPr="006304A3">
              <w:rPr>
                <w:rFonts w:ascii="Calibri" w:hAnsi="Calibri" w:cs="Calibri"/>
                <w:sz w:val="24"/>
                <w:szCs w:val="24"/>
              </w:rPr>
              <w:t>u</w:t>
            </w:r>
            <w:r w:rsidR="00180E03" w:rsidRPr="006304A3">
              <w:rPr>
                <w:rFonts w:ascii="Calibri" w:hAnsi="Calibri" w:cs="Calibri"/>
                <w:sz w:val="24"/>
                <w:szCs w:val="24"/>
              </w:rPr>
              <w:t>sługa</w:t>
            </w:r>
            <w:r w:rsidR="003E5E7F" w:rsidRPr="006304A3">
              <w:rPr>
                <w:rFonts w:ascii="Calibri" w:hAnsi="Calibri" w:cs="Calibri"/>
                <w:sz w:val="24"/>
                <w:szCs w:val="24"/>
              </w:rPr>
              <w:t xml:space="preserve"> dostępna dla</w:t>
            </w:r>
            <w:r w:rsidR="00180E03" w:rsidRPr="006304A3">
              <w:rPr>
                <w:rFonts w:ascii="Calibri" w:hAnsi="Calibri" w:cs="Calibri"/>
                <w:sz w:val="24"/>
                <w:szCs w:val="24"/>
              </w:rPr>
              <w:t xml:space="preserve"> wszystkich uprawnionych</w:t>
            </w:r>
            <w:r w:rsidR="00684C3F">
              <w:rPr>
                <w:rFonts w:ascii="Calibri" w:hAnsi="Calibri" w:cs="Calibri"/>
                <w:sz w:val="24"/>
                <w:szCs w:val="24"/>
              </w:rPr>
              <w:t xml:space="preserve"> </w:t>
            </w:r>
            <w:r w:rsidR="00180E03" w:rsidRPr="006304A3">
              <w:rPr>
                <w:rFonts w:ascii="Calibri" w:hAnsi="Calibri" w:cs="Calibri"/>
                <w:sz w:val="24"/>
                <w:szCs w:val="24"/>
              </w:rPr>
              <w:t>obywateli/</w:t>
            </w:r>
            <w:r w:rsidR="00684C3F">
              <w:rPr>
                <w:rFonts w:ascii="Calibri" w:hAnsi="Calibri" w:cs="Calibri"/>
                <w:sz w:val="24"/>
                <w:szCs w:val="24"/>
              </w:rPr>
              <w:t xml:space="preserve"> </w:t>
            </w:r>
            <w:r w:rsidR="00180E03" w:rsidRPr="006304A3">
              <w:rPr>
                <w:rFonts w:ascii="Calibri" w:hAnsi="Calibri" w:cs="Calibri"/>
                <w:sz w:val="24"/>
                <w:szCs w:val="24"/>
              </w:rPr>
              <w:t xml:space="preserve">przedsiębiorców </w:t>
            </w:r>
            <w:r w:rsidR="00684C3F">
              <w:rPr>
                <w:rFonts w:ascii="Calibri" w:hAnsi="Calibri" w:cs="Calibri"/>
                <w:sz w:val="24"/>
                <w:szCs w:val="24"/>
              </w:rPr>
              <w:t xml:space="preserve"> </w:t>
            </w:r>
            <w:r w:rsidR="00180E03" w:rsidRPr="006304A3">
              <w:rPr>
                <w:rFonts w:ascii="Calibri" w:hAnsi="Calibri" w:cs="Calibri"/>
                <w:sz w:val="24"/>
                <w:szCs w:val="24"/>
              </w:rPr>
              <w:t xml:space="preserve">niezależnie od miejsca zamieszkania lub prowadzenia działalności gospodarczej, </w:t>
            </w:r>
            <w:r w:rsidR="00684C3F">
              <w:rPr>
                <w:rFonts w:ascii="Calibri" w:hAnsi="Calibri" w:cs="Calibri"/>
                <w:sz w:val="24"/>
                <w:szCs w:val="24"/>
              </w:rPr>
              <w:t xml:space="preserve"> </w:t>
            </w:r>
            <w:r w:rsidR="00180E03" w:rsidRPr="006304A3">
              <w:rPr>
                <w:rFonts w:ascii="Calibri" w:hAnsi="Calibri" w:cs="Calibri"/>
                <w:sz w:val="24"/>
                <w:szCs w:val="24"/>
              </w:rPr>
              <w:t xml:space="preserve">przy czym modyfikacja działającej e-usługi może być traktowana jako tworzenie </w:t>
            </w:r>
            <w:r w:rsidR="00684C3F">
              <w:rPr>
                <w:rFonts w:ascii="Calibri" w:hAnsi="Calibri" w:cs="Calibri"/>
                <w:sz w:val="24"/>
                <w:szCs w:val="24"/>
              </w:rPr>
              <w:t xml:space="preserve"> </w:t>
            </w:r>
            <w:r w:rsidR="00180E03" w:rsidRPr="006304A3">
              <w:rPr>
                <w:rFonts w:ascii="Calibri" w:hAnsi="Calibri" w:cs="Calibri"/>
                <w:sz w:val="24"/>
                <w:szCs w:val="24"/>
              </w:rPr>
              <w:t xml:space="preserve">e-usługi o unikatowym charakterze, w szczególności w przypadkach podniesienia </w:t>
            </w:r>
            <w:r w:rsidR="00684C3F">
              <w:rPr>
                <w:rFonts w:ascii="Calibri" w:hAnsi="Calibri" w:cs="Calibri"/>
                <w:sz w:val="24"/>
                <w:szCs w:val="24"/>
              </w:rPr>
              <w:t xml:space="preserve"> </w:t>
            </w:r>
            <w:r w:rsidR="00180E03" w:rsidRPr="006304A3">
              <w:rPr>
                <w:rFonts w:ascii="Calibri" w:hAnsi="Calibri" w:cs="Calibri"/>
                <w:sz w:val="24"/>
                <w:szCs w:val="24"/>
              </w:rPr>
              <w:t xml:space="preserve">dojrzałości e-usługi, pełnej elektronizacji e-usługi poprzez dołączenia wszystkich </w:t>
            </w:r>
            <w:r w:rsidR="00684C3F">
              <w:rPr>
                <w:rFonts w:ascii="Calibri" w:hAnsi="Calibri" w:cs="Calibri"/>
                <w:sz w:val="24"/>
                <w:szCs w:val="24"/>
              </w:rPr>
              <w:t xml:space="preserve"> </w:t>
            </w:r>
            <w:r w:rsidR="00180E03" w:rsidRPr="006304A3">
              <w:rPr>
                <w:rFonts w:ascii="Calibri" w:hAnsi="Calibri" w:cs="Calibri"/>
                <w:sz w:val="24"/>
                <w:szCs w:val="24"/>
              </w:rPr>
              <w:t xml:space="preserve">uczestników postępowania </w:t>
            </w:r>
            <w:r w:rsidR="00BF14A6" w:rsidRPr="006304A3">
              <w:rPr>
                <w:rFonts w:ascii="Calibri" w:hAnsi="Calibri" w:cs="Calibri"/>
                <w:sz w:val="24"/>
                <w:szCs w:val="24"/>
              </w:rPr>
              <w:t xml:space="preserve">lub udostępnienia e-usługi w aplikacji mObywatel </w:t>
            </w:r>
            <w:r w:rsidR="00180E03" w:rsidRPr="006304A3">
              <w:rPr>
                <w:rFonts w:ascii="Calibri" w:hAnsi="Calibri" w:cs="Calibri"/>
                <w:sz w:val="24"/>
                <w:szCs w:val="24"/>
              </w:rPr>
              <w:t>itd.</w:t>
            </w:r>
          </w:p>
          <w:p w14:paraId="28B2B310" w14:textId="4D56814D" w:rsidR="00C6013D" w:rsidRPr="006304A3" w:rsidRDefault="00180E03" w:rsidP="00FD0D95">
            <w:pPr>
              <w:rPr>
                <w:rFonts w:ascii="Calibri" w:hAnsi="Calibri" w:cs="Calibri"/>
                <w:sz w:val="24"/>
                <w:szCs w:val="24"/>
              </w:rPr>
            </w:pPr>
            <w:r w:rsidRPr="006304A3">
              <w:rPr>
                <w:rFonts w:ascii="Calibri" w:hAnsi="Calibri" w:cs="Calibri"/>
                <w:sz w:val="24"/>
                <w:szCs w:val="24"/>
              </w:rPr>
              <w:t>Zmiana liczby lub sekwencji kroków, jaką wykonuje użytkownik w procesie</w:t>
            </w:r>
            <w:r w:rsidR="003E5E7F" w:rsidRPr="006304A3">
              <w:rPr>
                <w:rFonts w:ascii="Calibri" w:hAnsi="Calibri" w:cs="Calibri"/>
                <w:sz w:val="24"/>
                <w:szCs w:val="24"/>
              </w:rPr>
              <w:t xml:space="preserve"> </w:t>
            </w:r>
            <w:r w:rsidRPr="006304A3">
              <w:rPr>
                <w:rFonts w:ascii="Calibri" w:hAnsi="Calibri" w:cs="Calibri"/>
                <w:sz w:val="24"/>
                <w:szCs w:val="24"/>
              </w:rPr>
              <w:t>korzystania z e-usługi nie będzie traktowana jako stworzenie e-usługi o unikatowym charakterze.</w:t>
            </w:r>
          </w:p>
        </w:tc>
      </w:tr>
      <w:tr w:rsidR="00C6013D" w:rsidRPr="00A640DA" w14:paraId="1B1C8513" w14:textId="77777777" w:rsidTr="0031764D">
        <w:tc>
          <w:tcPr>
            <w:tcW w:w="1985" w:type="dxa"/>
          </w:tcPr>
          <w:p w14:paraId="4F632077" w14:textId="77777777" w:rsidR="003E5E7F" w:rsidRPr="006304A3" w:rsidRDefault="00C6013D" w:rsidP="00510BAA">
            <w:pPr>
              <w:rPr>
                <w:rFonts w:ascii="Calibri" w:hAnsi="Calibri" w:cs="Calibri"/>
                <w:b/>
                <w:color w:val="000000"/>
                <w:sz w:val="24"/>
                <w:szCs w:val="24"/>
              </w:rPr>
            </w:pPr>
            <w:r w:rsidRPr="006304A3">
              <w:rPr>
                <w:rFonts w:ascii="Calibri" w:hAnsi="Calibri" w:cs="Calibri"/>
                <w:b/>
                <w:color w:val="000000"/>
                <w:sz w:val="24"/>
                <w:szCs w:val="24"/>
              </w:rPr>
              <w:t>Umowa/</w:t>
            </w:r>
          </w:p>
          <w:p w14:paraId="5B055D9B" w14:textId="6F5C9EE2" w:rsidR="00C6013D" w:rsidRPr="006304A3" w:rsidRDefault="00C6013D" w:rsidP="00510BAA">
            <w:pPr>
              <w:rPr>
                <w:rFonts w:ascii="Calibri" w:hAnsi="Calibri" w:cs="Calibri"/>
                <w:b/>
                <w:color w:val="000000"/>
                <w:sz w:val="24"/>
                <w:szCs w:val="24"/>
              </w:rPr>
            </w:pPr>
            <w:r w:rsidRPr="006304A3">
              <w:rPr>
                <w:rFonts w:ascii="Calibri" w:hAnsi="Calibri" w:cs="Calibri"/>
                <w:b/>
                <w:color w:val="000000"/>
                <w:sz w:val="24"/>
                <w:szCs w:val="24"/>
              </w:rPr>
              <w:t>Porozumienie o objęcie Przedsięwzięcia wsparciem</w:t>
            </w:r>
          </w:p>
        </w:tc>
        <w:tc>
          <w:tcPr>
            <w:tcW w:w="7371" w:type="dxa"/>
          </w:tcPr>
          <w:p w14:paraId="325251E5" w14:textId="1DE66423" w:rsidR="00C6013D" w:rsidRPr="006304A3" w:rsidRDefault="00C6013D" w:rsidP="00510BAA">
            <w:pPr>
              <w:rPr>
                <w:rFonts w:ascii="Calibri" w:hAnsi="Calibri" w:cs="Calibri"/>
                <w:sz w:val="24"/>
                <w:szCs w:val="24"/>
              </w:rPr>
            </w:pPr>
            <w:r w:rsidRPr="006304A3">
              <w:rPr>
                <w:rFonts w:ascii="Calibri" w:hAnsi="Calibri" w:cs="Calibri"/>
                <w:sz w:val="24"/>
                <w:szCs w:val="24"/>
              </w:rPr>
              <w:t>Umowa (w tym Porozumienie), o której mowa w art. 14lzh ust. 1 ustawy o zasadach prowadzenia polityki rozwoju.</w:t>
            </w:r>
          </w:p>
        </w:tc>
      </w:tr>
      <w:tr w:rsidR="00C6013D" w:rsidRPr="00A640DA" w14:paraId="12DF0079" w14:textId="77777777" w:rsidTr="0031764D">
        <w:tc>
          <w:tcPr>
            <w:tcW w:w="1985" w:type="dxa"/>
          </w:tcPr>
          <w:p w14:paraId="3ACC0E12" w14:textId="3B6102D6" w:rsidR="00C6013D" w:rsidRPr="006304A3" w:rsidRDefault="001608BB" w:rsidP="00510BAA">
            <w:pPr>
              <w:rPr>
                <w:rFonts w:ascii="Calibri" w:hAnsi="Calibri" w:cs="Calibri"/>
                <w:b/>
                <w:color w:val="000000"/>
                <w:sz w:val="24"/>
                <w:szCs w:val="24"/>
              </w:rPr>
            </w:pPr>
            <w:r w:rsidRPr="006304A3">
              <w:rPr>
                <w:rFonts w:ascii="Calibri" w:hAnsi="Calibri" w:cs="Calibri"/>
                <w:b/>
                <w:color w:val="000000"/>
                <w:sz w:val="24"/>
                <w:szCs w:val="24"/>
              </w:rPr>
              <w:t>Ustawa o</w:t>
            </w:r>
            <w:r w:rsidR="00C6013D" w:rsidRPr="006304A3">
              <w:rPr>
                <w:rFonts w:ascii="Calibri" w:hAnsi="Calibri" w:cs="Calibri"/>
                <w:b/>
                <w:color w:val="000000"/>
                <w:sz w:val="24"/>
                <w:szCs w:val="24"/>
              </w:rPr>
              <w:t xml:space="preserve"> informatyzacji działalności </w:t>
            </w:r>
            <w:r w:rsidR="00C6013D" w:rsidRPr="006304A3">
              <w:rPr>
                <w:rFonts w:ascii="Calibri" w:hAnsi="Calibri" w:cs="Calibri"/>
                <w:b/>
                <w:color w:val="000000"/>
                <w:sz w:val="24"/>
                <w:szCs w:val="24"/>
              </w:rPr>
              <w:lastRenderedPageBreak/>
              <w:t xml:space="preserve">podmiotów realizujących zadania publiczne </w:t>
            </w:r>
          </w:p>
        </w:tc>
        <w:tc>
          <w:tcPr>
            <w:tcW w:w="7371" w:type="dxa"/>
          </w:tcPr>
          <w:p w14:paraId="010AB56E" w14:textId="42731EFD" w:rsidR="00C6013D" w:rsidRPr="006304A3" w:rsidRDefault="00C6013D" w:rsidP="00510BAA">
            <w:pPr>
              <w:rPr>
                <w:rFonts w:ascii="Calibri" w:hAnsi="Calibri" w:cs="Calibri"/>
                <w:sz w:val="24"/>
                <w:szCs w:val="24"/>
              </w:rPr>
            </w:pPr>
            <w:r w:rsidRPr="006304A3">
              <w:rPr>
                <w:rFonts w:ascii="Calibri" w:hAnsi="Calibri" w:cs="Calibri"/>
                <w:sz w:val="24"/>
                <w:szCs w:val="24"/>
              </w:rPr>
              <w:lastRenderedPageBreak/>
              <w:t xml:space="preserve">Ustawa z dnia 17 lutego 2005 r. o informatyzacji działalności podmiotów realizujących zadania publiczne (Dz.U. 2023 poz. 57). </w:t>
            </w:r>
          </w:p>
        </w:tc>
      </w:tr>
      <w:tr w:rsidR="00C734D8" w:rsidRPr="00A640DA" w14:paraId="714A256A" w14:textId="77777777" w:rsidTr="0031764D">
        <w:tc>
          <w:tcPr>
            <w:tcW w:w="1985" w:type="dxa"/>
          </w:tcPr>
          <w:p w14:paraId="20449385" w14:textId="08C39FD1" w:rsidR="00C734D8" w:rsidRPr="006304A3" w:rsidRDefault="001C4180" w:rsidP="00510BAA">
            <w:pPr>
              <w:rPr>
                <w:rFonts w:ascii="Calibri" w:hAnsi="Calibri" w:cs="Calibri"/>
                <w:b/>
                <w:color w:val="000000"/>
                <w:sz w:val="24"/>
                <w:szCs w:val="24"/>
              </w:rPr>
            </w:pPr>
            <w:r>
              <w:rPr>
                <w:rFonts w:ascii="Calibri" w:hAnsi="Calibri" w:cs="Calibri"/>
                <w:b/>
                <w:color w:val="000000"/>
                <w:sz w:val="24"/>
                <w:szCs w:val="24"/>
              </w:rPr>
              <w:t>Ustawa o zasadach prowadzenia polityki rozwoju</w:t>
            </w:r>
          </w:p>
        </w:tc>
        <w:tc>
          <w:tcPr>
            <w:tcW w:w="7371" w:type="dxa"/>
          </w:tcPr>
          <w:p w14:paraId="01DC08CC" w14:textId="4199E81F" w:rsidR="00C734D8" w:rsidRPr="001C4180" w:rsidRDefault="00C734D8" w:rsidP="00510BAA">
            <w:pPr>
              <w:rPr>
                <w:rFonts w:ascii="Calibri" w:hAnsi="Calibri" w:cs="Calibri"/>
                <w:bCs/>
                <w:sz w:val="24"/>
                <w:szCs w:val="24"/>
              </w:rPr>
            </w:pPr>
            <w:r w:rsidRPr="000A0D3F">
              <w:rPr>
                <w:rFonts w:ascii="Calibri" w:hAnsi="Calibri" w:cs="Calibri"/>
                <w:bCs/>
                <w:color w:val="000000"/>
                <w:sz w:val="24"/>
                <w:szCs w:val="24"/>
              </w:rPr>
              <w:t>ustawa z dnia 6 grudnia 2006 r. o zasadach prowadzenia polityki rozwoju (</w:t>
            </w:r>
            <w:r w:rsidR="000A40F4" w:rsidRPr="000A40F4">
              <w:rPr>
                <w:rFonts w:ascii="Calibri" w:hAnsi="Calibri" w:cs="Calibri"/>
                <w:bCs/>
                <w:color w:val="000000"/>
                <w:sz w:val="24"/>
                <w:szCs w:val="24"/>
              </w:rPr>
              <w:t>Dz.U. 2023 r. poz. 1259 z późn. zm.)</w:t>
            </w:r>
            <w:r w:rsidRPr="000A0D3F">
              <w:rPr>
                <w:rFonts w:ascii="Calibri" w:hAnsi="Calibri" w:cs="Calibri"/>
                <w:bCs/>
                <w:color w:val="000000"/>
                <w:sz w:val="24"/>
                <w:szCs w:val="24"/>
              </w:rPr>
              <w:t>)</w:t>
            </w:r>
            <w:r w:rsidR="000A40F4">
              <w:rPr>
                <w:rFonts w:ascii="Calibri" w:hAnsi="Calibri" w:cs="Calibri"/>
                <w:bCs/>
                <w:color w:val="000000"/>
                <w:sz w:val="24"/>
                <w:szCs w:val="24"/>
              </w:rPr>
              <w:t>.</w:t>
            </w:r>
          </w:p>
        </w:tc>
      </w:tr>
      <w:tr w:rsidR="00C6013D" w:rsidRPr="00A640DA" w14:paraId="654F1EEE" w14:textId="77777777" w:rsidTr="0031764D">
        <w:tc>
          <w:tcPr>
            <w:tcW w:w="1985" w:type="dxa"/>
          </w:tcPr>
          <w:p w14:paraId="3029FD4C" w14:textId="77777777" w:rsidR="00C6013D" w:rsidRPr="006304A3" w:rsidRDefault="00C6013D" w:rsidP="00510BAA">
            <w:pPr>
              <w:rPr>
                <w:rFonts w:ascii="Calibri" w:hAnsi="Calibri" w:cs="Calibri"/>
                <w:b/>
                <w:color w:val="000000"/>
                <w:sz w:val="24"/>
                <w:szCs w:val="24"/>
              </w:rPr>
            </w:pPr>
            <w:r w:rsidRPr="005C7420">
              <w:rPr>
                <w:rFonts w:ascii="Calibri" w:hAnsi="Calibri" w:cs="Calibri"/>
                <w:b/>
                <w:color w:val="000000"/>
                <w:sz w:val="24"/>
                <w:szCs w:val="24"/>
              </w:rPr>
              <w:t>Wniosek o objęcie Przedsięwzięcia wsparciem</w:t>
            </w:r>
            <w:r w:rsidRPr="006304A3">
              <w:rPr>
                <w:rFonts w:ascii="Calibri" w:hAnsi="Calibri" w:cs="Calibri"/>
                <w:b/>
                <w:color w:val="000000"/>
                <w:sz w:val="24"/>
                <w:szCs w:val="24"/>
              </w:rPr>
              <w:t xml:space="preserve"> </w:t>
            </w:r>
          </w:p>
        </w:tc>
        <w:tc>
          <w:tcPr>
            <w:tcW w:w="7371" w:type="dxa"/>
          </w:tcPr>
          <w:p w14:paraId="4EC48C81" w14:textId="54345AF2" w:rsidR="00C6013D" w:rsidRPr="006304A3" w:rsidRDefault="00C6013D" w:rsidP="00510BAA">
            <w:pPr>
              <w:rPr>
                <w:rFonts w:ascii="Calibri" w:hAnsi="Calibri" w:cs="Calibri"/>
                <w:sz w:val="24"/>
                <w:szCs w:val="24"/>
              </w:rPr>
            </w:pPr>
            <w:r w:rsidRPr="00AC6518">
              <w:rPr>
                <w:rFonts w:ascii="Calibri" w:hAnsi="Calibri" w:cs="Calibri"/>
                <w:sz w:val="24"/>
                <w:szCs w:val="24"/>
              </w:rPr>
              <w:t xml:space="preserve">Wniosek o sfinansowanie </w:t>
            </w:r>
            <w:r w:rsidRPr="00AC6518">
              <w:rPr>
                <w:rFonts w:ascii="Calibri" w:hAnsi="Calibri" w:cs="Calibri"/>
                <w:b/>
                <w:sz w:val="24"/>
                <w:szCs w:val="24"/>
              </w:rPr>
              <w:t>Przedsięwzięcia</w:t>
            </w:r>
            <w:r w:rsidRPr="00AC6518">
              <w:rPr>
                <w:rFonts w:ascii="Calibri" w:hAnsi="Calibri" w:cs="Calibri"/>
                <w:sz w:val="24"/>
                <w:szCs w:val="24"/>
              </w:rPr>
              <w:t xml:space="preserve"> ze środków Instrumentu na rzecz Odbudowy i Zwiększania Odporności.</w:t>
            </w:r>
          </w:p>
        </w:tc>
      </w:tr>
      <w:tr w:rsidR="00C6013D" w:rsidRPr="00A640DA" w14:paraId="08E05B25" w14:textId="77777777" w:rsidTr="0031764D">
        <w:tc>
          <w:tcPr>
            <w:tcW w:w="1985" w:type="dxa"/>
          </w:tcPr>
          <w:p w14:paraId="0594E050" w14:textId="080F1222" w:rsidR="00521597" w:rsidRPr="00405D34" w:rsidRDefault="00C6013D" w:rsidP="00521597">
            <w:pPr>
              <w:rPr>
                <w:rFonts w:ascii="Calibri" w:hAnsi="Calibri" w:cs="Calibri"/>
                <w:b/>
                <w:sz w:val="24"/>
                <w:szCs w:val="24"/>
              </w:rPr>
            </w:pPr>
            <w:r w:rsidRPr="00405D34">
              <w:rPr>
                <w:rFonts w:ascii="Calibri" w:hAnsi="Calibri" w:cs="Calibri"/>
                <w:b/>
                <w:sz w:val="24"/>
                <w:szCs w:val="24"/>
              </w:rPr>
              <w:t xml:space="preserve">Wskaźniki określone w </w:t>
            </w:r>
            <w:r w:rsidR="00521597" w:rsidRPr="00405D34">
              <w:rPr>
                <w:rFonts w:ascii="Calibri" w:hAnsi="Calibri" w:cs="Calibri"/>
                <w:b/>
                <w:sz w:val="24"/>
                <w:szCs w:val="24"/>
              </w:rPr>
              <w:t>Załączniku do decyzji wykonawczej Rady zmieniającej decyzję</w:t>
            </w:r>
          </w:p>
          <w:p w14:paraId="3B6E1BB4" w14:textId="77777777" w:rsidR="00521597" w:rsidRPr="00405D34" w:rsidRDefault="00521597" w:rsidP="00521597">
            <w:pPr>
              <w:rPr>
                <w:rFonts w:ascii="Calibri" w:hAnsi="Calibri" w:cs="Calibri"/>
                <w:b/>
                <w:sz w:val="24"/>
                <w:szCs w:val="24"/>
              </w:rPr>
            </w:pPr>
            <w:r w:rsidRPr="00405D34">
              <w:rPr>
                <w:rFonts w:ascii="Calibri" w:hAnsi="Calibri" w:cs="Calibri"/>
                <w:b/>
                <w:sz w:val="24"/>
                <w:szCs w:val="24"/>
              </w:rPr>
              <w:t>wykonawczą z dnia 17 czerwca 2022 r. w sprawie zatwierdzenia oceny</w:t>
            </w:r>
          </w:p>
          <w:p w14:paraId="27628A25" w14:textId="0A299C8A" w:rsidR="00C6013D" w:rsidRPr="00405D34" w:rsidRDefault="00521597" w:rsidP="00521597">
            <w:pPr>
              <w:rPr>
                <w:rFonts w:ascii="Calibri" w:hAnsi="Calibri" w:cs="Calibri"/>
                <w:b/>
                <w:sz w:val="24"/>
                <w:szCs w:val="24"/>
              </w:rPr>
            </w:pPr>
            <w:r w:rsidRPr="00405D34">
              <w:rPr>
                <w:rFonts w:ascii="Calibri" w:hAnsi="Calibri" w:cs="Calibri"/>
                <w:b/>
                <w:sz w:val="24"/>
                <w:szCs w:val="24"/>
              </w:rPr>
              <w:t>Planu Odbudowy i Zwiększania Odporności Polski</w:t>
            </w:r>
          </w:p>
          <w:p w14:paraId="0A5A86AF" w14:textId="77777777" w:rsidR="00C6013D" w:rsidRPr="00405D34" w:rsidRDefault="00C6013D" w:rsidP="00510BAA">
            <w:pPr>
              <w:rPr>
                <w:rFonts w:ascii="Calibri" w:hAnsi="Calibri" w:cs="Calibri"/>
                <w:b/>
                <w:sz w:val="24"/>
                <w:szCs w:val="24"/>
              </w:rPr>
            </w:pPr>
          </w:p>
        </w:tc>
        <w:tc>
          <w:tcPr>
            <w:tcW w:w="7371" w:type="dxa"/>
          </w:tcPr>
          <w:p w14:paraId="6B7BB0EE" w14:textId="07E5493F" w:rsidR="007A0B15" w:rsidRDefault="00C6013D" w:rsidP="00D77AAC">
            <w:pPr>
              <w:spacing w:after="360"/>
              <w:rPr>
                <w:rFonts w:ascii="Calibri" w:hAnsi="Calibri" w:cs="Calibri"/>
                <w:color w:val="FF0000"/>
                <w:sz w:val="24"/>
                <w:szCs w:val="24"/>
              </w:rPr>
            </w:pPr>
            <w:r w:rsidRPr="006304A3">
              <w:rPr>
                <w:rFonts w:ascii="Calibri" w:hAnsi="Calibri" w:cs="Calibri"/>
                <w:sz w:val="24"/>
                <w:szCs w:val="24"/>
              </w:rPr>
              <w:t xml:space="preserve">Wartości docelowe, o których mowa w art. 2 pkt 4 </w:t>
            </w:r>
            <w:r w:rsidRPr="006304A3">
              <w:rPr>
                <w:rFonts w:ascii="Calibri" w:hAnsi="Calibri" w:cs="Calibri"/>
                <w:b/>
                <w:sz w:val="24"/>
                <w:szCs w:val="24"/>
              </w:rPr>
              <w:t>Rozporządzenia RRF</w:t>
            </w:r>
            <w:r w:rsidRPr="006304A3">
              <w:rPr>
                <w:rFonts w:ascii="Calibri" w:hAnsi="Calibri" w:cs="Calibri"/>
                <w:sz w:val="24"/>
                <w:szCs w:val="24"/>
              </w:rPr>
              <w:t xml:space="preserve">, </w:t>
            </w:r>
            <w:r w:rsidR="00685D2E">
              <w:rPr>
                <w:rFonts w:ascii="Calibri" w:hAnsi="Calibri" w:cs="Calibri"/>
                <w:sz w:val="24"/>
                <w:szCs w:val="24"/>
              </w:rPr>
              <w:t xml:space="preserve">to </w:t>
            </w:r>
            <w:r w:rsidRPr="006304A3">
              <w:rPr>
                <w:rFonts w:ascii="Calibri" w:hAnsi="Calibri" w:cs="Calibri"/>
                <w:sz w:val="24"/>
                <w:szCs w:val="24"/>
              </w:rPr>
              <w:t xml:space="preserve">mierniki postępów w realizacji inwestycji, mające charakter ilościowy. </w:t>
            </w:r>
          </w:p>
          <w:p w14:paraId="60BFD7C4" w14:textId="6687C2C3" w:rsidR="00C6013D" w:rsidRPr="00D77AAC" w:rsidRDefault="00C6013D" w:rsidP="00D77AAC">
            <w:pPr>
              <w:spacing w:after="360"/>
              <w:rPr>
                <w:rFonts w:ascii="Calibri" w:hAnsi="Calibri" w:cs="Calibri"/>
                <w:color w:val="FF0000"/>
                <w:sz w:val="24"/>
                <w:szCs w:val="24"/>
              </w:rPr>
            </w:pPr>
            <w:r w:rsidRPr="006304A3">
              <w:rPr>
                <w:rFonts w:ascii="Calibri" w:hAnsi="Calibri" w:cs="Calibri"/>
                <w:sz w:val="24"/>
                <w:szCs w:val="24"/>
              </w:rPr>
              <w:t xml:space="preserve">Dla </w:t>
            </w:r>
            <w:r w:rsidRPr="006304A3">
              <w:rPr>
                <w:rFonts w:ascii="Calibri" w:hAnsi="Calibri" w:cs="Calibri"/>
                <w:b/>
                <w:sz w:val="24"/>
                <w:szCs w:val="24"/>
              </w:rPr>
              <w:t>Inwestycji C2.1.1</w:t>
            </w:r>
            <w:r w:rsidR="000C5CE5">
              <w:rPr>
                <w:rFonts w:ascii="Calibri" w:hAnsi="Calibri" w:cs="Calibri"/>
                <w:b/>
                <w:sz w:val="24"/>
                <w:szCs w:val="24"/>
              </w:rPr>
              <w:t>,</w:t>
            </w:r>
            <w:r w:rsidRPr="006304A3">
              <w:rPr>
                <w:rFonts w:ascii="Calibri" w:hAnsi="Calibri" w:cs="Calibri"/>
                <w:b/>
                <w:sz w:val="24"/>
                <w:szCs w:val="24"/>
              </w:rPr>
              <w:t xml:space="preserve"> </w:t>
            </w:r>
            <w:r w:rsidR="000C5CE5">
              <w:rPr>
                <w:rFonts w:ascii="Calibri" w:hAnsi="Calibri" w:cs="Calibri"/>
                <w:b/>
                <w:sz w:val="24"/>
                <w:szCs w:val="24"/>
              </w:rPr>
              <w:t xml:space="preserve">w </w:t>
            </w:r>
            <w:r w:rsidR="00521597" w:rsidRPr="006304A3">
              <w:rPr>
                <w:rFonts w:ascii="Calibri" w:hAnsi="Calibri" w:cs="Calibri"/>
                <w:b/>
                <w:sz w:val="24"/>
                <w:szCs w:val="24"/>
              </w:rPr>
              <w:t>Załącznik</w:t>
            </w:r>
            <w:r w:rsidR="000C5CE5">
              <w:rPr>
                <w:rFonts w:ascii="Calibri" w:hAnsi="Calibri" w:cs="Calibri"/>
                <w:b/>
                <w:sz w:val="24"/>
                <w:szCs w:val="24"/>
              </w:rPr>
              <w:t>u</w:t>
            </w:r>
            <w:r w:rsidR="00521597" w:rsidRPr="006304A3">
              <w:rPr>
                <w:rFonts w:ascii="Calibri" w:hAnsi="Calibri" w:cs="Calibri"/>
                <w:b/>
                <w:sz w:val="24"/>
                <w:szCs w:val="24"/>
              </w:rPr>
              <w:t xml:space="preserve"> do decyzji wykonawczej Rady zmieniającej decyzję wykonawczą z dnia 17 czerwca 2022 r. w sprawie zatwierdzenia oceny</w:t>
            </w:r>
            <w:r w:rsidR="00684C3F" w:rsidRPr="00405D34">
              <w:rPr>
                <w:rFonts w:ascii="Calibri" w:hAnsi="Calibri" w:cs="Calibri"/>
                <w:sz w:val="24"/>
                <w:szCs w:val="24"/>
              </w:rPr>
              <w:t xml:space="preserve"> </w:t>
            </w:r>
            <w:r w:rsidR="00521597" w:rsidRPr="006304A3">
              <w:rPr>
                <w:rFonts w:ascii="Calibri" w:hAnsi="Calibri" w:cs="Calibri"/>
                <w:b/>
                <w:sz w:val="24"/>
                <w:szCs w:val="24"/>
              </w:rPr>
              <w:t>Planu Odbudowy i Zwiększania Odporności Polski</w:t>
            </w:r>
            <w:r w:rsidR="000C5CE5">
              <w:rPr>
                <w:rFonts w:ascii="Calibri" w:hAnsi="Calibri" w:cs="Calibri"/>
                <w:b/>
                <w:sz w:val="24"/>
                <w:szCs w:val="24"/>
              </w:rPr>
              <w:t>,</w:t>
            </w:r>
            <w:r w:rsidR="00521597" w:rsidRPr="006304A3">
              <w:rPr>
                <w:rFonts w:ascii="Calibri" w:hAnsi="Calibri" w:cs="Calibri"/>
                <w:b/>
                <w:sz w:val="24"/>
                <w:szCs w:val="24"/>
              </w:rPr>
              <w:t xml:space="preserve"> </w:t>
            </w:r>
            <w:r w:rsidRPr="006304A3">
              <w:rPr>
                <w:rFonts w:ascii="Calibri" w:hAnsi="Calibri" w:cs="Calibri"/>
                <w:sz w:val="24"/>
                <w:szCs w:val="24"/>
              </w:rPr>
              <w:t>określ</w:t>
            </w:r>
            <w:r w:rsidR="000C5CE5">
              <w:rPr>
                <w:rFonts w:ascii="Calibri" w:hAnsi="Calibri" w:cs="Calibri"/>
                <w:sz w:val="24"/>
                <w:szCs w:val="24"/>
              </w:rPr>
              <w:t>ono</w:t>
            </w:r>
            <w:r w:rsidRPr="006304A3">
              <w:rPr>
                <w:rFonts w:ascii="Calibri" w:hAnsi="Calibri" w:cs="Calibri"/>
                <w:sz w:val="24"/>
                <w:szCs w:val="24"/>
              </w:rPr>
              <w:t xml:space="preserve"> następujące </w:t>
            </w:r>
            <w:r w:rsidRPr="006304A3">
              <w:rPr>
                <w:rFonts w:ascii="Calibri" w:hAnsi="Calibri" w:cs="Calibri"/>
                <w:b/>
                <w:sz w:val="24"/>
                <w:szCs w:val="24"/>
              </w:rPr>
              <w:t>Wskaźniki:</w:t>
            </w:r>
          </w:p>
          <w:p w14:paraId="76338D2C" w14:textId="7DDD57F9" w:rsidR="00C6013D" w:rsidRPr="006304A3" w:rsidRDefault="00C6013D">
            <w:pPr>
              <w:pStyle w:val="Akapitzlist"/>
              <w:numPr>
                <w:ilvl w:val="0"/>
                <w:numId w:val="7"/>
              </w:numPr>
              <w:rPr>
                <w:rFonts w:ascii="Calibri" w:hAnsi="Calibri" w:cs="Calibri"/>
                <w:sz w:val="24"/>
                <w:szCs w:val="24"/>
              </w:rPr>
            </w:pPr>
            <w:r w:rsidRPr="006304A3">
              <w:rPr>
                <w:rFonts w:ascii="Calibri" w:hAnsi="Calibri" w:cs="Calibri"/>
                <w:sz w:val="24"/>
                <w:szCs w:val="24"/>
              </w:rPr>
              <w:t>Zakończenie procesu opracowywania nowych lub udoskonalania istniejących e-usług.</w:t>
            </w:r>
          </w:p>
          <w:p w14:paraId="459FBC97" w14:textId="224A3D09" w:rsidR="00C6013D" w:rsidRPr="006304A3" w:rsidRDefault="000C5CE5" w:rsidP="00D77AAC">
            <w:pPr>
              <w:spacing w:after="360"/>
              <w:rPr>
                <w:rFonts w:ascii="Calibri" w:hAnsi="Calibri" w:cs="Calibri"/>
                <w:sz w:val="24"/>
                <w:szCs w:val="24"/>
              </w:rPr>
            </w:pPr>
            <w:r>
              <w:rPr>
                <w:rFonts w:ascii="Calibri" w:hAnsi="Calibri" w:cs="Calibri"/>
                <w:sz w:val="24"/>
                <w:szCs w:val="24"/>
              </w:rPr>
              <w:t xml:space="preserve">Cel </w:t>
            </w:r>
            <w:r w:rsidR="00C6013D" w:rsidRPr="006304A3">
              <w:rPr>
                <w:rFonts w:ascii="Calibri" w:hAnsi="Calibri" w:cs="Calibri"/>
                <w:sz w:val="24"/>
                <w:szCs w:val="24"/>
              </w:rPr>
              <w:t>dla Inwestycji C2.1.1 - 70.</w:t>
            </w:r>
          </w:p>
          <w:p w14:paraId="177CE5F9" w14:textId="4D234440" w:rsidR="00FD5552" w:rsidRPr="006304A3" w:rsidRDefault="00C6013D" w:rsidP="00FD5552">
            <w:pPr>
              <w:rPr>
                <w:rFonts w:ascii="Calibri" w:hAnsi="Calibri" w:cs="Calibri"/>
                <w:sz w:val="24"/>
                <w:szCs w:val="24"/>
              </w:rPr>
            </w:pPr>
            <w:r w:rsidRPr="006304A3">
              <w:rPr>
                <w:rFonts w:ascii="Calibri" w:hAnsi="Calibri" w:cs="Calibri"/>
                <w:sz w:val="24"/>
                <w:szCs w:val="24"/>
              </w:rPr>
              <w:t xml:space="preserve">Opis wskaźnika: </w:t>
            </w:r>
            <w:r w:rsidR="00FD5552" w:rsidRPr="006304A3">
              <w:rPr>
                <w:rFonts w:ascii="Calibri" w:hAnsi="Calibri" w:cs="Calibri"/>
                <w:sz w:val="24"/>
                <w:szCs w:val="24"/>
              </w:rPr>
              <w:t xml:space="preserve">nowo opracowane lub udoskonalone e-usługi, uwzględniające usługi dostępne za pośrednictwem kanału mobilnego w ramach aplikacji mObywatel. Nowo opracowane lub udoskonalone e-usługi usprawniają cyfrowe kontakty między obywatelami i przedsiębiorstwami a organami administracji publicznej dzięki elementom takim jak: </w:t>
            </w:r>
          </w:p>
          <w:p w14:paraId="59EF4ECD" w14:textId="3D2FCB49" w:rsidR="00FD5552" w:rsidRPr="006304A3" w:rsidRDefault="00FD5552" w:rsidP="00FD5552">
            <w:pPr>
              <w:rPr>
                <w:rFonts w:ascii="Calibri" w:hAnsi="Calibri" w:cs="Calibri"/>
                <w:sz w:val="24"/>
                <w:szCs w:val="24"/>
              </w:rPr>
            </w:pPr>
            <w:r w:rsidRPr="006304A3">
              <w:rPr>
                <w:rFonts w:ascii="Calibri" w:hAnsi="Calibri" w:cs="Calibri"/>
                <w:sz w:val="24"/>
                <w:szCs w:val="24"/>
              </w:rPr>
              <w:t>- pełna cyfryzacja procedur</w:t>
            </w:r>
            <w:r w:rsidR="00816C8A">
              <w:rPr>
                <w:rFonts w:ascii="Calibri" w:hAnsi="Calibri" w:cs="Calibri"/>
                <w:sz w:val="24"/>
                <w:szCs w:val="24"/>
              </w:rPr>
              <w:t>;</w:t>
            </w:r>
          </w:p>
          <w:p w14:paraId="12C9F99A" w14:textId="43FDB623" w:rsidR="00FD5552" w:rsidRPr="006304A3" w:rsidRDefault="00FD5552" w:rsidP="00FD5552">
            <w:pPr>
              <w:rPr>
                <w:rFonts w:ascii="Calibri" w:hAnsi="Calibri" w:cs="Calibri"/>
                <w:sz w:val="24"/>
                <w:szCs w:val="24"/>
              </w:rPr>
            </w:pPr>
            <w:r w:rsidRPr="006304A3">
              <w:rPr>
                <w:rFonts w:ascii="Calibri" w:hAnsi="Calibri" w:cs="Calibri"/>
                <w:sz w:val="24"/>
                <w:szCs w:val="24"/>
              </w:rPr>
              <w:t>- możliwość korzystania z podpisu elektronicznego i przedkładania załączników</w:t>
            </w:r>
            <w:r w:rsidR="00816C8A">
              <w:rPr>
                <w:rFonts w:ascii="Calibri" w:hAnsi="Calibri" w:cs="Calibri"/>
                <w:sz w:val="24"/>
                <w:szCs w:val="24"/>
              </w:rPr>
              <w:t>;</w:t>
            </w:r>
          </w:p>
          <w:p w14:paraId="2109A2AE" w14:textId="078B7EC9" w:rsidR="00FD5552" w:rsidRPr="006304A3" w:rsidRDefault="00FD5552" w:rsidP="00FD5552">
            <w:pPr>
              <w:rPr>
                <w:rFonts w:ascii="Calibri" w:hAnsi="Calibri" w:cs="Calibri"/>
                <w:sz w:val="24"/>
                <w:szCs w:val="24"/>
              </w:rPr>
            </w:pPr>
            <w:r w:rsidRPr="006304A3">
              <w:rPr>
                <w:rFonts w:ascii="Calibri" w:hAnsi="Calibri" w:cs="Calibri"/>
                <w:sz w:val="24"/>
                <w:szCs w:val="24"/>
              </w:rPr>
              <w:t xml:space="preserve">- możliwość dokonywania płatności przez </w:t>
            </w:r>
            <w:r w:rsidR="008015D0" w:rsidRPr="006304A3">
              <w:rPr>
                <w:rFonts w:ascii="Calibri" w:hAnsi="Calibri" w:cs="Calibri"/>
                <w:sz w:val="24"/>
                <w:szCs w:val="24"/>
              </w:rPr>
              <w:t>Internet</w:t>
            </w:r>
            <w:r w:rsidRPr="006304A3">
              <w:rPr>
                <w:rFonts w:ascii="Calibri" w:hAnsi="Calibri" w:cs="Calibri"/>
                <w:sz w:val="24"/>
                <w:szCs w:val="24"/>
              </w:rPr>
              <w:t xml:space="preserve">. </w:t>
            </w:r>
          </w:p>
          <w:p w14:paraId="04FE59C9" w14:textId="098D8ECB" w:rsidR="00C6013D" w:rsidRPr="006304A3" w:rsidRDefault="00FD5552" w:rsidP="00F95BD9">
            <w:pPr>
              <w:spacing w:after="360"/>
              <w:rPr>
                <w:rFonts w:ascii="Calibri" w:hAnsi="Calibri" w:cs="Calibri"/>
                <w:sz w:val="24"/>
                <w:szCs w:val="24"/>
              </w:rPr>
            </w:pPr>
            <w:r w:rsidRPr="006304A3">
              <w:rPr>
                <w:rFonts w:ascii="Calibri" w:hAnsi="Calibri" w:cs="Calibri"/>
                <w:sz w:val="24"/>
                <w:szCs w:val="24"/>
              </w:rPr>
              <w:t>Co najmniej 40 % nowo opracowanych lub udoskonalonych e-usług</w:t>
            </w:r>
            <w:r w:rsidR="00C87202" w:rsidRPr="006304A3">
              <w:rPr>
                <w:rFonts w:ascii="Calibri" w:hAnsi="Calibri" w:cs="Calibri"/>
                <w:sz w:val="24"/>
                <w:szCs w:val="24"/>
              </w:rPr>
              <w:t xml:space="preserve"> będzie </w:t>
            </w:r>
            <w:r w:rsidRPr="006304A3">
              <w:rPr>
                <w:rFonts w:ascii="Calibri" w:hAnsi="Calibri" w:cs="Calibri"/>
                <w:sz w:val="24"/>
                <w:szCs w:val="24"/>
              </w:rPr>
              <w:t>udostępni</w:t>
            </w:r>
            <w:r w:rsidR="00C87202" w:rsidRPr="006304A3">
              <w:rPr>
                <w:rFonts w:ascii="Calibri" w:hAnsi="Calibri" w:cs="Calibri"/>
                <w:sz w:val="24"/>
                <w:szCs w:val="24"/>
              </w:rPr>
              <w:t>onych</w:t>
            </w:r>
            <w:r w:rsidRPr="006304A3">
              <w:rPr>
                <w:rFonts w:ascii="Calibri" w:hAnsi="Calibri" w:cs="Calibri"/>
                <w:sz w:val="24"/>
                <w:szCs w:val="24"/>
              </w:rPr>
              <w:t xml:space="preserve"> w aplikacji mObywatel.</w:t>
            </w:r>
          </w:p>
          <w:p w14:paraId="70357149" w14:textId="48952584" w:rsidR="00C6013D" w:rsidRPr="006304A3" w:rsidRDefault="00C6013D">
            <w:pPr>
              <w:pStyle w:val="Akapitzlist"/>
              <w:numPr>
                <w:ilvl w:val="0"/>
                <w:numId w:val="7"/>
              </w:numPr>
              <w:rPr>
                <w:rFonts w:ascii="Calibri" w:hAnsi="Calibri" w:cs="Calibri"/>
                <w:sz w:val="24"/>
                <w:szCs w:val="24"/>
              </w:rPr>
            </w:pPr>
            <w:r w:rsidRPr="006304A3">
              <w:rPr>
                <w:rFonts w:ascii="Calibri" w:hAnsi="Calibri" w:cs="Calibri"/>
                <w:sz w:val="24"/>
                <w:szCs w:val="24"/>
              </w:rPr>
              <w:t>Zakończenie procesu opracowywania nowych lub rozwijania istniejących publicznych systemów informatycznych.</w:t>
            </w:r>
          </w:p>
          <w:p w14:paraId="78004970" w14:textId="2DA99F2E" w:rsidR="00C6013D" w:rsidRPr="006304A3" w:rsidRDefault="002A5761" w:rsidP="00F95BD9">
            <w:pPr>
              <w:spacing w:after="360"/>
              <w:rPr>
                <w:rFonts w:ascii="Calibri" w:hAnsi="Calibri" w:cs="Calibri"/>
                <w:sz w:val="24"/>
                <w:szCs w:val="24"/>
              </w:rPr>
            </w:pPr>
            <w:r>
              <w:rPr>
                <w:rFonts w:ascii="Calibri" w:hAnsi="Calibri" w:cs="Calibri"/>
                <w:sz w:val="24"/>
                <w:szCs w:val="24"/>
              </w:rPr>
              <w:t xml:space="preserve">Cel </w:t>
            </w:r>
            <w:r w:rsidR="00C6013D" w:rsidRPr="006304A3">
              <w:rPr>
                <w:rFonts w:ascii="Calibri" w:hAnsi="Calibri" w:cs="Calibri"/>
                <w:sz w:val="24"/>
                <w:szCs w:val="24"/>
              </w:rPr>
              <w:t xml:space="preserve">dla Inwestycji </w:t>
            </w:r>
            <w:r w:rsidR="001608BB" w:rsidRPr="006304A3">
              <w:rPr>
                <w:rFonts w:ascii="Calibri" w:hAnsi="Calibri" w:cs="Calibri"/>
                <w:sz w:val="24"/>
                <w:szCs w:val="24"/>
              </w:rPr>
              <w:t>C2.1.1 -</w:t>
            </w:r>
            <w:r w:rsidR="00C6013D" w:rsidRPr="006304A3">
              <w:rPr>
                <w:rFonts w:ascii="Calibri" w:hAnsi="Calibri" w:cs="Calibri"/>
                <w:sz w:val="24"/>
                <w:szCs w:val="24"/>
              </w:rPr>
              <w:t xml:space="preserve"> 4.</w:t>
            </w:r>
          </w:p>
          <w:p w14:paraId="2779DB57" w14:textId="283AB5C9" w:rsidR="00C6013D" w:rsidRPr="006304A3" w:rsidRDefault="00C6013D" w:rsidP="008B663E">
            <w:pPr>
              <w:rPr>
                <w:rFonts w:ascii="Calibri" w:hAnsi="Calibri" w:cs="Calibri"/>
                <w:sz w:val="24"/>
                <w:szCs w:val="24"/>
              </w:rPr>
            </w:pPr>
            <w:r w:rsidRPr="006304A3">
              <w:rPr>
                <w:rFonts w:ascii="Calibri" w:hAnsi="Calibri" w:cs="Calibri"/>
                <w:sz w:val="24"/>
                <w:szCs w:val="24"/>
              </w:rPr>
              <w:t xml:space="preserve">Opis wskaźnika: </w:t>
            </w:r>
            <w:r w:rsidR="00F43C55" w:rsidRPr="006304A3">
              <w:rPr>
                <w:rFonts w:ascii="Calibri" w:hAnsi="Calibri" w:cs="Calibri"/>
                <w:sz w:val="24"/>
                <w:szCs w:val="24"/>
              </w:rPr>
              <w:t xml:space="preserve">zakończony proces opracowywania (w przypadku nowych publicznych systemów informatycznych) lub rozwijania (w przypadku istniejących publicznych systemów informatycznych) co najmniej 4 publicznych systemów informatycznych przyczyniających się </w:t>
            </w:r>
            <w:r w:rsidR="00F43C55" w:rsidRPr="006304A3">
              <w:rPr>
                <w:rFonts w:ascii="Calibri" w:hAnsi="Calibri" w:cs="Calibri"/>
                <w:sz w:val="24"/>
                <w:szCs w:val="24"/>
              </w:rPr>
              <w:lastRenderedPageBreak/>
              <w:t>do opracowywania nowych lub poprawy jakości (wygody użytkowania) istniejących e-usług.</w:t>
            </w:r>
          </w:p>
        </w:tc>
      </w:tr>
      <w:tr w:rsidR="009612B3" w:rsidRPr="00A640DA" w14:paraId="5C835D00" w14:textId="77777777" w:rsidTr="0031764D">
        <w:tc>
          <w:tcPr>
            <w:tcW w:w="1985" w:type="dxa"/>
          </w:tcPr>
          <w:p w14:paraId="56E75A68" w14:textId="0AF9FD25" w:rsidR="009612B3" w:rsidRPr="006304A3" w:rsidRDefault="009612B3" w:rsidP="00510BAA">
            <w:pPr>
              <w:rPr>
                <w:rFonts w:ascii="Calibri" w:hAnsi="Calibri" w:cs="Calibri"/>
                <w:b/>
                <w:color w:val="000000"/>
                <w:sz w:val="24"/>
                <w:szCs w:val="24"/>
              </w:rPr>
            </w:pPr>
            <w:r>
              <w:rPr>
                <w:rFonts w:ascii="Calibri" w:hAnsi="Calibri" w:cs="Calibri"/>
                <w:b/>
                <w:color w:val="000000"/>
                <w:sz w:val="24"/>
                <w:szCs w:val="24"/>
              </w:rPr>
              <w:lastRenderedPageBreak/>
              <w:t>Wskaźniki własne</w:t>
            </w:r>
          </w:p>
        </w:tc>
        <w:tc>
          <w:tcPr>
            <w:tcW w:w="7371" w:type="dxa"/>
          </w:tcPr>
          <w:p w14:paraId="048424C5" w14:textId="6A9CE1A1" w:rsidR="009612B3" w:rsidRPr="008C7517" w:rsidRDefault="009612B3" w:rsidP="008A77B5">
            <w:pPr>
              <w:spacing w:after="360"/>
              <w:rPr>
                <w:rFonts w:ascii="Calibri" w:hAnsi="Calibri" w:cs="Calibri"/>
                <w:sz w:val="24"/>
                <w:szCs w:val="24"/>
              </w:rPr>
            </w:pPr>
            <w:r w:rsidRPr="009612B3">
              <w:rPr>
                <w:rFonts w:ascii="Calibri" w:hAnsi="Calibri" w:cs="Calibri"/>
                <w:sz w:val="24"/>
                <w:szCs w:val="24"/>
              </w:rPr>
              <w:t xml:space="preserve">wskaźniki </w:t>
            </w:r>
            <w:r w:rsidR="00656195" w:rsidRPr="00656195">
              <w:rPr>
                <w:rFonts w:ascii="Calibri" w:hAnsi="Calibri" w:cs="Calibri"/>
                <w:sz w:val="24"/>
                <w:szCs w:val="24"/>
              </w:rPr>
              <w:t>adekwatne do celu i zakresu danego Przedsięwzięcia</w:t>
            </w:r>
            <w:r w:rsidR="00656195">
              <w:rPr>
                <w:rFonts w:ascii="Calibri" w:hAnsi="Calibri" w:cs="Calibri"/>
                <w:sz w:val="24"/>
                <w:szCs w:val="24"/>
              </w:rPr>
              <w:t xml:space="preserve">, </w:t>
            </w:r>
            <w:r w:rsidRPr="009612B3">
              <w:rPr>
                <w:rFonts w:ascii="Calibri" w:hAnsi="Calibri" w:cs="Calibri"/>
                <w:sz w:val="24"/>
                <w:szCs w:val="24"/>
              </w:rPr>
              <w:t>inne niż wskaźniki dla Inwestycji w Załączniku do decyzji wykonawczej Rady zmieniającej decyzję wykonawczą z dnia 17 czerwca 2022 r. w sprawie zatwierdzenia oceny Planu Odbudowy i Zwiększania Odporności Polski i wspólne wskaźniki na poziomie RRF</w:t>
            </w:r>
          </w:p>
        </w:tc>
      </w:tr>
      <w:tr w:rsidR="00C6013D" w:rsidRPr="00A640DA" w14:paraId="1BB415A5" w14:textId="77777777" w:rsidTr="0031764D">
        <w:tc>
          <w:tcPr>
            <w:tcW w:w="1985" w:type="dxa"/>
          </w:tcPr>
          <w:p w14:paraId="6529D3DD" w14:textId="77777777" w:rsidR="00C6013D" w:rsidRPr="006304A3" w:rsidRDefault="00C6013D" w:rsidP="00510BAA">
            <w:pPr>
              <w:rPr>
                <w:rFonts w:ascii="Calibri" w:hAnsi="Calibri" w:cs="Calibri"/>
                <w:b/>
                <w:color w:val="000000"/>
                <w:sz w:val="24"/>
                <w:szCs w:val="24"/>
              </w:rPr>
            </w:pPr>
            <w:r w:rsidRPr="006304A3">
              <w:rPr>
                <w:rFonts w:ascii="Calibri" w:hAnsi="Calibri" w:cs="Calibri"/>
                <w:b/>
                <w:color w:val="000000"/>
                <w:sz w:val="24"/>
                <w:szCs w:val="24"/>
              </w:rPr>
              <w:t>Wskaźniki wspólne</w:t>
            </w:r>
          </w:p>
        </w:tc>
        <w:tc>
          <w:tcPr>
            <w:tcW w:w="7371" w:type="dxa"/>
          </w:tcPr>
          <w:p w14:paraId="5066866C" w14:textId="31C9EBEF" w:rsidR="00C6013D" w:rsidRPr="006304A3" w:rsidRDefault="00C6013D" w:rsidP="008A77B5">
            <w:pPr>
              <w:spacing w:after="360"/>
              <w:rPr>
                <w:rFonts w:ascii="Calibri" w:hAnsi="Calibri" w:cs="Calibri"/>
                <w:sz w:val="24"/>
                <w:szCs w:val="24"/>
              </w:rPr>
            </w:pPr>
            <w:r w:rsidRPr="008C7517">
              <w:rPr>
                <w:rFonts w:ascii="Calibri" w:hAnsi="Calibri" w:cs="Calibri"/>
                <w:sz w:val="24"/>
                <w:szCs w:val="24"/>
              </w:rPr>
              <w:t>Wskaźniki wymienione w załączniku I do</w:t>
            </w:r>
            <w:r w:rsidRPr="006304A3">
              <w:rPr>
                <w:rFonts w:ascii="Calibri" w:hAnsi="Calibri" w:cs="Calibri"/>
                <w:sz w:val="24"/>
                <w:szCs w:val="24"/>
              </w:rPr>
              <w:t xml:space="preserve"> Rozporządzenia delegowanego Komisji (UE) 2021/2106 z dnia 28 września 2021 r. w sprawie uzupełnienia Rozporządzenia Parlamentu Europejskiego i Rady (UE) 2021/241 ustanawiającego Instrument na rzecz Odbudowy i Zwiększania Odporności przez określenie wspólnych wskaźników oraz szczegółowych elementów tabeli wyników w zakresie odbudowy i zwiększania odporności (Dz. Urz. UE L 429 z 01.12.2021, s. 83).</w:t>
            </w:r>
          </w:p>
          <w:p w14:paraId="106D596C" w14:textId="3755B9AD" w:rsidR="00C6013D" w:rsidRPr="008A77B5" w:rsidRDefault="00C6013D" w:rsidP="008A77B5">
            <w:pPr>
              <w:spacing w:after="360"/>
              <w:rPr>
                <w:rFonts w:ascii="Calibri" w:hAnsi="Calibri" w:cs="Calibri"/>
                <w:b/>
                <w:sz w:val="24"/>
                <w:szCs w:val="24"/>
              </w:rPr>
            </w:pPr>
            <w:r w:rsidRPr="006304A3">
              <w:rPr>
                <w:rFonts w:ascii="Calibri" w:hAnsi="Calibri" w:cs="Calibri"/>
                <w:b/>
                <w:sz w:val="24"/>
                <w:szCs w:val="24"/>
              </w:rPr>
              <w:t xml:space="preserve">WSKAZÓWKI: </w:t>
            </w:r>
          </w:p>
          <w:p w14:paraId="4E0C3383" w14:textId="47D81F30" w:rsidR="00C6013D" w:rsidRPr="006304A3" w:rsidRDefault="00C6013D" w:rsidP="00510BAA">
            <w:pPr>
              <w:rPr>
                <w:rFonts w:ascii="Calibri" w:hAnsi="Calibri" w:cs="Calibri"/>
                <w:sz w:val="24"/>
                <w:szCs w:val="24"/>
              </w:rPr>
            </w:pPr>
            <w:r w:rsidRPr="006304A3">
              <w:rPr>
                <w:rFonts w:ascii="Calibri" w:hAnsi="Calibri" w:cs="Calibri"/>
                <w:sz w:val="24"/>
                <w:szCs w:val="24"/>
              </w:rPr>
              <w:t xml:space="preserve">Dla </w:t>
            </w:r>
            <w:r w:rsidRPr="006304A3">
              <w:rPr>
                <w:rFonts w:ascii="Calibri" w:hAnsi="Calibri" w:cs="Calibri"/>
                <w:b/>
                <w:sz w:val="24"/>
                <w:szCs w:val="24"/>
              </w:rPr>
              <w:t>Inwestycji C2.1.1.</w:t>
            </w:r>
            <w:r w:rsidRPr="006304A3">
              <w:rPr>
                <w:rFonts w:ascii="Calibri" w:hAnsi="Calibri" w:cs="Calibri"/>
                <w:sz w:val="24"/>
                <w:szCs w:val="24"/>
              </w:rPr>
              <w:t xml:space="preserve">, w tym dla tzw. filaru 2 (transformacja cyfrowa), Wskaźnik </w:t>
            </w:r>
            <w:r w:rsidR="00C87202" w:rsidRPr="006304A3">
              <w:rPr>
                <w:rFonts w:ascii="Calibri" w:hAnsi="Calibri" w:cs="Calibri"/>
                <w:sz w:val="24"/>
                <w:szCs w:val="24"/>
              </w:rPr>
              <w:t>wspólny obejmuj</w:t>
            </w:r>
            <w:r w:rsidR="00930244" w:rsidRPr="006304A3">
              <w:rPr>
                <w:rFonts w:ascii="Calibri" w:hAnsi="Calibri" w:cs="Calibri"/>
                <w:sz w:val="24"/>
                <w:szCs w:val="24"/>
              </w:rPr>
              <w:t>e</w:t>
            </w:r>
            <w:r w:rsidRPr="006304A3">
              <w:rPr>
                <w:rFonts w:ascii="Calibri" w:hAnsi="Calibri" w:cs="Calibri"/>
                <w:sz w:val="24"/>
                <w:szCs w:val="24"/>
              </w:rPr>
              <w:t>:</w:t>
            </w:r>
          </w:p>
          <w:p w14:paraId="389A6EB0" w14:textId="7CC3680B" w:rsidR="00FA4288" w:rsidRPr="008A77B5" w:rsidRDefault="00C6013D" w:rsidP="008A77B5">
            <w:pPr>
              <w:pStyle w:val="Akapitzlist"/>
              <w:numPr>
                <w:ilvl w:val="0"/>
                <w:numId w:val="1"/>
              </w:numPr>
              <w:spacing w:after="360"/>
              <w:ind w:left="714" w:hanging="357"/>
              <w:rPr>
                <w:rFonts w:ascii="Calibri" w:hAnsi="Calibri" w:cs="Calibri"/>
                <w:sz w:val="24"/>
                <w:szCs w:val="24"/>
              </w:rPr>
            </w:pPr>
            <w:r w:rsidRPr="006304A3">
              <w:rPr>
                <w:rFonts w:ascii="Calibri" w:hAnsi="Calibri" w:cs="Calibri"/>
                <w:sz w:val="24"/>
                <w:szCs w:val="24"/>
              </w:rPr>
              <w:t xml:space="preserve">użytkownicy nowych i zmodernizowanych </w:t>
            </w:r>
            <w:r w:rsidR="009612B3">
              <w:rPr>
                <w:rFonts w:ascii="Calibri" w:hAnsi="Calibri" w:cs="Calibri"/>
                <w:b/>
                <w:sz w:val="24"/>
                <w:szCs w:val="24"/>
              </w:rPr>
              <w:t>publicznych usług</w:t>
            </w:r>
            <w:r w:rsidRPr="006304A3">
              <w:rPr>
                <w:rFonts w:ascii="Calibri" w:hAnsi="Calibri" w:cs="Calibri"/>
                <w:sz w:val="24"/>
                <w:szCs w:val="24"/>
              </w:rPr>
              <w:t>, produktów i procesów cyfrowych</w:t>
            </w:r>
            <w:r w:rsidR="00930244" w:rsidRPr="006304A3">
              <w:rPr>
                <w:rFonts w:ascii="Calibri" w:hAnsi="Calibri" w:cs="Calibri"/>
                <w:sz w:val="24"/>
                <w:szCs w:val="24"/>
              </w:rPr>
              <w:t>.</w:t>
            </w:r>
          </w:p>
          <w:p w14:paraId="3148E79F" w14:textId="49314057" w:rsidR="00C6013D" w:rsidRPr="006304A3" w:rsidRDefault="005225D0" w:rsidP="008A77B5">
            <w:pPr>
              <w:spacing w:after="360"/>
              <w:rPr>
                <w:rFonts w:ascii="Calibri" w:hAnsi="Calibri" w:cs="Calibri"/>
                <w:sz w:val="24"/>
                <w:szCs w:val="24"/>
              </w:rPr>
            </w:pPr>
            <w:r w:rsidRPr="006304A3">
              <w:rPr>
                <w:rFonts w:ascii="Calibri" w:hAnsi="Calibri" w:cs="Calibri"/>
                <w:sz w:val="24"/>
                <w:szCs w:val="24"/>
              </w:rPr>
              <w:t>Wskaźnik wspólny nie jest obowiązkowy w</w:t>
            </w:r>
            <w:r w:rsidR="00372344" w:rsidRPr="006304A3">
              <w:rPr>
                <w:rFonts w:ascii="Calibri" w:hAnsi="Calibri" w:cs="Calibri"/>
                <w:sz w:val="24"/>
                <w:szCs w:val="24"/>
              </w:rPr>
              <w:t xml:space="preserve"> każdym Przedsięwzięciu w </w:t>
            </w:r>
            <w:r w:rsidRPr="006304A3">
              <w:rPr>
                <w:rFonts w:ascii="Calibri" w:hAnsi="Calibri" w:cs="Calibri"/>
                <w:sz w:val="24"/>
                <w:szCs w:val="24"/>
              </w:rPr>
              <w:t>Inwestycji C2.1.1</w:t>
            </w:r>
            <w:r w:rsidR="00372344" w:rsidRPr="006304A3">
              <w:rPr>
                <w:rFonts w:ascii="Calibri" w:hAnsi="Calibri" w:cs="Calibri"/>
                <w:sz w:val="24"/>
                <w:szCs w:val="24"/>
              </w:rPr>
              <w:t>.</w:t>
            </w:r>
          </w:p>
          <w:p w14:paraId="454C505F" w14:textId="57FD4C7B" w:rsidR="00C6013D" w:rsidRPr="006304A3" w:rsidRDefault="00C6013D" w:rsidP="00510BAA">
            <w:pPr>
              <w:rPr>
                <w:rFonts w:ascii="Calibri" w:hAnsi="Calibri" w:cs="Calibri"/>
                <w:color w:val="000000"/>
                <w:sz w:val="24"/>
                <w:szCs w:val="24"/>
              </w:rPr>
            </w:pPr>
            <w:r w:rsidRPr="006304A3">
              <w:rPr>
                <w:rFonts w:ascii="Calibri" w:hAnsi="Calibri" w:cs="Calibri"/>
                <w:sz w:val="24"/>
                <w:szCs w:val="24"/>
              </w:rPr>
              <w:t>https://eur-lex.europa.eu/legal-content/PL/TXT/PDF/?uri=CELEX:32021R2106&amp;from=EN</w:t>
            </w:r>
          </w:p>
        </w:tc>
      </w:tr>
      <w:tr w:rsidR="00C6013D" w:rsidRPr="00A640DA" w14:paraId="5D10A61C" w14:textId="77777777" w:rsidTr="0031764D">
        <w:tc>
          <w:tcPr>
            <w:tcW w:w="1985" w:type="dxa"/>
          </w:tcPr>
          <w:p w14:paraId="66AF1934" w14:textId="77777777" w:rsidR="00C6013D" w:rsidRPr="006304A3" w:rsidRDefault="00C6013D" w:rsidP="00510BAA">
            <w:pPr>
              <w:rPr>
                <w:rFonts w:ascii="Calibri" w:hAnsi="Calibri" w:cs="Calibri"/>
                <w:b/>
                <w:color w:val="000000"/>
                <w:sz w:val="24"/>
                <w:szCs w:val="24"/>
              </w:rPr>
            </w:pPr>
            <w:r w:rsidRPr="006304A3">
              <w:rPr>
                <w:rFonts w:ascii="Calibri" w:hAnsi="Calibri" w:cs="Calibri"/>
                <w:b/>
                <w:color w:val="000000"/>
                <w:sz w:val="24"/>
                <w:szCs w:val="24"/>
              </w:rPr>
              <w:t>Wytyczne techniczne dotyczące stosowania zasad „niewyrządzania znaczącej szkody środowisku”</w:t>
            </w:r>
          </w:p>
        </w:tc>
        <w:tc>
          <w:tcPr>
            <w:tcW w:w="7371" w:type="dxa"/>
          </w:tcPr>
          <w:p w14:paraId="2D428498" w14:textId="3C5DF546" w:rsidR="00C6013D" w:rsidRPr="006304A3" w:rsidRDefault="00C6013D" w:rsidP="008A77B5">
            <w:pPr>
              <w:spacing w:after="360"/>
              <w:rPr>
                <w:rFonts w:ascii="Calibri" w:hAnsi="Calibri" w:cs="Calibri"/>
                <w:sz w:val="24"/>
                <w:szCs w:val="24"/>
              </w:rPr>
            </w:pPr>
            <w:r w:rsidRPr="006304A3">
              <w:rPr>
                <w:rFonts w:ascii="Calibri" w:hAnsi="Calibri" w:cs="Calibri"/>
                <w:sz w:val="24"/>
                <w:szCs w:val="24"/>
              </w:rPr>
              <w:t xml:space="preserve">Wytyczne techniczne dotyczące stosowania zasady „nie czyń poważnych szkód” wydane na podstawie </w:t>
            </w:r>
            <w:r w:rsidRPr="006304A3">
              <w:rPr>
                <w:rFonts w:ascii="Calibri" w:hAnsi="Calibri" w:cs="Calibri"/>
                <w:b/>
                <w:sz w:val="24"/>
                <w:szCs w:val="24"/>
              </w:rPr>
              <w:t>Rozporządzenia RRF</w:t>
            </w:r>
            <w:r w:rsidRPr="006304A3">
              <w:rPr>
                <w:rFonts w:ascii="Calibri" w:hAnsi="Calibri" w:cs="Calibri"/>
                <w:sz w:val="24"/>
                <w:szCs w:val="24"/>
              </w:rPr>
              <w:t xml:space="preserve"> (Dz. Urz. UE L 58 z 18.02.2021, s. 1).</w:t>
            </w:r>
          </w:p>
          <w:p w14:paraId="6BE576EF" w14:textId="2B6BDE3B" w:rsidR="00C6013D" w:rsidRPr="006304A3" w:rsidRDefault="00C6013D" w:rsidP="00510BAA">
            <w:pPr>
              <w:rPr>
                <w:rFonts w:ascii="Calibri" w:hAnsi="Calibri" w:cs="Calibri"/>
                <w:sz w:val="24"/>
                <w:szCs w:val="24"/>
              </w:rPr>
            </w:pPr>
            <w:r w:rsidRPr="006304A3">
              <w:rPr>
                <w:rFonts w:ascii="Calibri" w:hAnsi="Calibri" w:cs="Calibri"/>
                <w:sz w:val="24"/>
                <w:szCs w:val="24"/>
              </w:rPr>
              <w:t>https://eur-lex.europa.eu/legal-content/PL/TXT/PDF/?uri=CELEX:52021XC0218(01)&amp;from=PL</w:t>
            </w:r>
          </w:p>
        </w:tc>
      </w:tr>
      <w:tr w:rsidR="00DA7850" w:rsidRPr="00A640DA" w14:paraId="678351DF" w14:textId="77777777" w:rsidTr="0031764D">
        <w:tc>
          <w:tcPr>
            <w:tcW w:w="1985" w:type="dxa"/>
          </w:tcPr>
          <w:p w14:paraId="6F93B16B" w14:textId="77777777" w:rsidR="00DA7850" w:rsidRPr="006304A3" w:rsidRDefault="00DA7850" w:rsidP="00DA7850">
            <w:pPr>
              <w:rPr>
                <w:rFonts w:ascii="Calibri" w:hAnsi="Calibri" w:cs="Calibri"/>
                <w:b/>
                <w:color w:val="000000"/>
                <w:sz w:val="24"/>
                <w:szCs w:val="24"/>
              </w:rPr>
            </w:pPr>
            <w:r w:rsidRPr="006304A3">
              <w:rPr>
                <w:rFonts w:ascii="Calibri" w:hAnsi="Calibri" w:cs="Calibri"/>
                <w:b/>
                <w:color w:val="000000"/>
                <w:sz w:val="24"/>
                <w:szCs w:val="24"/>
              </w:rPr>
              <w:t>Załącznik do decyzji wykonawczej Rady zmieniającej decyzję</w:t>
            </w:r>
          </w:p>
          <w:p w14:paraId="100A3DE0" w14:textId="77777777" w:rsidR="00DA7850" w:rsidRPr="006304A3" w:rsidRDefault="00DA7850" w:rsidP="00DA7850">
            <w:pPr>
              <w:rPr>
                <w:rFonts w:ascii="Calibri" w:hAnsi="Calibri" w:cs="Calibri"/>
                <w:b/>
                <w:color w:val="000000"/>
                <w:sz w:val="24"/>
                <w:szCs w:val="24"/>
              </w:rPr>
            </w:pPr>
            <w:r w:rsidRPr="006304A3">
              <w:rPr>
                <w:rFonts w:ascii="Calibri" w:hAnsi="Calibri" w:cs="Calibri"/>
                <w:b/>
                <w:color w:val="000000"/>
                <w:sz w:val="24"/>
                <w:szCs w:val="24"/>
              </w:rPr>
              <w:t xml:space="preserve">wykonawczą z dnia 17 czerwca 2022 r. w sprawie </w:t>
            </w:r>
            <w:r w:rsidRPr="006304A3">
              <w:rPr>
                <w:rFonts w:ascii="Calibri" w:hAnsi="Calibri" w:cs="Calibri"/>
                <w:b/>
                <w:color w:val="000000"/>
                <w:sz w:val="24"/>
                <w:szCs w:val="24"/>
              </w:rPr>
              <w:lastRenderedPageBreak/>
              <w:t>zatwierdzenia oceny</w:t>
            </w:r>
          </w:p>
          <w:p w14:paraId="4ED433C6" w14:textId="65FF90A0" w:rsidR="00DA7850" w:rsidRPr="006304A3" w:rsidRDefault="00DA7850" w:rsidP="00DA7850">
            <w:pPr>
              <w:rPr>
                <w:rFonts w:ascii="Calibri" w:hAnsi="Calibri" w:cs="Calibri"/>
                <w:b/>
                <w:color w:val="000000"/>
                <w:sz w:val="24"/>
                <w:szCs w:val="24"/>
              </w:rPr>
            </w:pPr>
            <w:r w:rsidRPr="006304A3">
              <w:rPr>
                <w:rFonts w:ascii="Calibri" w:hAnsi="Calibri" w:cs="Calibri"/>
                <w:b/>
                <w:color w:val="000000"/>
                <w:sz w:val="24"/>
                <w:szCs w:val="24"/>
              </w:rPr>
              <w:t>Planu Odbudowy i Zwiększania Odporności Polski</w:t>
            </w:r>
            <w:r w:rsidRPr="006304A3">
              <w:rPr>
                <w:rFonts w:ascii="Calibri" w:hAnsi="Calibri" w:cs="Calibri"/>
                <w:b/>
                <w:color w:val="000000"/>
                <w:sz w:val="24"/>
                <w:szCs w:val="24"/>
              </w:rPr>
              <w:tab/>
            </w:r>
          </w:p>
        </w:tc>
        <w:tc>
          <w:tcPr>
            <w:tcW w:w="7371" w:type="dxa"/>
          </w:tcPr>
          <w:p w14:paraId="225E10E4" w14:textId="4ABECC19" w:rsidR="00AD7226" w:rsidRPr="006304A3" w:rsidRDefault="00DA7850" w:rsidP="008A77B5">
            <w:pPr>
              <w:spacing w:after="360"/>
              <w:rPr>
                <w:rFonts w:ascii="Calibri" w:hAnsi="Calibri" w:cs="Calibri"/>
                <w:sz w:val="24"/>
                <w:szCs w:val="24"/>
              </w:rPr>
            </w:pPr>
            <w:r w:rsidRPr="006304A3">
              <w:rPr>
                <w:rFonts w:ascii="Calibri" w:hAnsi="Calibri" w:cs="Calibri"/>
                <w:sz w:val="24"/>
                <w:szCs w:val="24"/>
              </w:rPr>
              <w:lastRenderedPageBreak/>
              <w:t>Dokument stanowiący podstawę realizacji reform i inwestycji objętych wsparciem (finansowaniem) ze środków Instrumentu na rzecz Odbudowy i Zwiększania Odporności.</w:t>
            </w:r>
          </w:p>
          <w:p w14:paraId="3DD3201A" w14:textId="2475BB7E" w:rsidR="00AD7226" w:rsidRPr="006304A3" w:rsidRDefault="00AD7226" w:rsidP="00510BAA">
            <w:pPr>
              <w:rPr>
                <w:rFonts w:ascii="Calibri" w:hAnsi="Calibri" w:cs="Calibri"/>
                <w:sz w:val="24"/>
                <w:szCs w:val="24"/>
              </w:rPr>
            </w:pPr>
            <w:r w:rsidRPr="006304A3">
              <w:rPr>
                <w:rFonts w:ascii="Calibri" w:hAnsi="Calibri" w:cs="Calibri"/>
                <w:sz w:val="24"/>
                <w:szCs w:val="24"/>
              </w:rPr>
              <w:t>https://eur-lex.europa.eu/legal-content/PL/TXT/PDF/?uri=CONSIL:ST_15835_2023_ADD_1&amp;qid=1712059059550</w:t>
            </w:r>
            <w:r w:rsidR="00892BC9" w:rsidRPr="006304A3">
              <w:rPr>
                <w:rFonts w:ascii="Calibri" w:hAnsi="Calibri" w:cs="Calibri"/>
                <w:sz w:val="24"/>
                <w:szCs w:val="24"/>
              </w:rPr>
              <w:t xml:space="preserve"> </w:t>
            </w:r>
          </w:p>
        </w:tc>
      </w:tr>
    </w:tbl>
    <w:p w14:paraId="62C1609A" w14:textId="77777777" w:rsidR="00B7743F" w:rsidRPr="00A640DA" w:rsidRDefault="00B7743F" w:rsidP="00E56EC6">
      <w:pPr>
        <w:rPr>
          <w:rFonts w:ascii="Calibri" w:hAnsi="Calibri" w:cs="Calibri"/>
          <w:sz w:val="20"/>
          <w:szCs w:val="20"/>
        </w:rPr>
      </w:pPr>
    </w:p>
    <w:p w14:paraId="2FA3EB62" w14:textId="77777777" w:rsidR="00420FD1" w:rsidRPr="00A640DA" w:rsidRDefault="00420FD1" w:rsidP="008A77B5">
      <w:pPr>
        <w:pStyle w:val="Akapitzlist"/>
        <w:ind w:left="0"/>
        <w:rPr>
          <w:rStyle w:val="markedcontent"/>
          <w:rFonts w:ascii="Calibri" w:hAnsi="Calibri" w:cs="Calibri"/>
          <w:sz w:val="25"/>
          <w:szCs w:val="25"/>
        </w:rPr>
      </w:pPr>
    </w:p>
    <w:p w14:paraId="48FAE781" w14:textId="77777777" w:rsidR="007334E0" w:rsidRPr="00A640DA" w:rsidRDefault="007334E0" w:rsidP="007334E0">
      <w:pPr>
        <w:rPr>
          <w:rFonts w:ascii="Calibri" w:hAnsi="Calibri" w:cs="Calibri"/>
        </w:rPr>
      </w:pPr>
    </w:p>
    <w:p w14:paraId="5C90089E" w14:textId="77777777" w:rsidR="007334E0" w:rsidRPr="00A640DA" w:rsidRDefault="007334E0" w:rsidP="007334E0">
      <w:pPr>
        <w:rPr>
          <w:rFonts w:ascii="Calibri" w:hAnsi="Calibri" w:cs="Calibri"/>
        </w:rPr>
      </w:pPr>
    </w:p>
    <w:p w14:paraId="3590E685" w14:textId="77777777" w:rsidR="007334E0" w:rsidRPr="00A640DA" w:rsidRDefault="007334E0" w:rsidP="007334E0">
      <w:pPr>
        <w:rPr>
          <w:rFonts w:ascii="Calibri" w:hAnsi="Calibri" w:cs="Calibri"/>
        </w:rPr>
      </w:pPr>
    </w:p>
    <w:p w14:paraId="12E859FB" w14:textId="77777777" w:rsidR="007334E0" w:rsidRPr="00A640DA" w:rsidRDefault="007334E0" w:rsidP="007334E0">
      <w:pPr>
        <w:rPr>
          <w:rFonts w:ascii="Calibri" w:hAnsi="Calibri" w:cs="Calibri"/>
        </w:rPr>
      </w:pPr>
    </w:p>
    <w:p w14:paraId="76D0A79B" w14:textId="77777777" w:rsidR="007334E0" w:rsidRPr="00A640DA" w:rsidRDefault="007334E0" w:rsidP="007334E0">
      <w:pPr>
        <w:rPr>
          <w:rFonts w:ascii="Calibri" w:hAnsi="Calibri" w:cs="Calibri"/>
        </w:rPr>
      </w:pPr>
    </w:p>
    <w:p w14:paraId="3DBAD2B4" w14:textId="77777777" w:rsidR="007334E0" w:rsidRPr="00A640DA" w:rsidRDefault="007334E0" w:rsidP="007334E0">
      <w:pPr>
        <w:rPr>
          <w:rFonts w:ascii="Calibri" w:hAnsi="Calibri" w:cs="Calibri"/>
        </w:rPr>
      </w:pPr>
    </w:p>
    <w:p w14:paraId="433224B9" w14:textId="77777777" w:rsidR="007334E0" w:rsidRPr="00A640DA" w:rsidRDefault="007334E0" w:rsidP="007334E0">
      <w:pPr>
        <w:rPr>
          <w:rFonts w:ascii="Calibri" w:hAnsi="Calibri" w:cs="Calibri"/>
        </w:rPr>
        <w:sectPr w:rsidR="007334E0" w:rsidRPr="00A640DA" w:rsidSect="0074607B">
          <w:headerReference w:type="default" r:id="rId8"/>
          <w:footerReference w:type="default" r:id="rId9"/>
          <w:headerReference w:type="first" r:id="rId10"/>
          <w:pgSz w:w="11906" w:h="16838"/>
          <w:pgMar w:top="1702" w:right="1418" w:bottom="1418" w:left="1418" w:header="709" w:footer="709" w:gutter="0"/>
          <w:pgNumType w:start="1"/>
          <w:cols w:space="708"/>
          <w:titlePg/>
          <w:docGrid w:linePitch="360"/>
        </w:sectPr>
      </w:pPr>
    </w:p>
    <w:p w14:paraId="21486C44" w14:textId="30C2B16E" w:rsidR="00B409E6" w:rsidRPr="008A77B5" w:rsidRDefault="00B409E6" w:rsidP="008A77B5">
      <w:pPr>
        <w:pStyle w:val="Nagwek2"/>
        <w:numPr>
          <w:ilvl w:val="0"/>
          <w:numId w:val="22"/>
        </w:numPr>
        <w:spacing w:after="360"/>
        <w:ind w:left="714" w:hanging="357"/>
        <w:rPr>
          <w:b/>
          <w:bCs/>
        </w:rPr>
      </w:pPr>
      <w:bookmarkStart w:id="5" w:name="_Toc156997733"/>
      <w:r w:rsidRPr="007A0B15">
        <w:rPr>
          <w:b/>
          <w:bCs/>
        </w:rPr>
        <w:lastRenderedPageBreak/>
        <w:t>KRYTERIA FORMALNE OCENY PRZEDSIĘWZIĘĆ W INWESTYCJI C2.1.1</w:t>
      </w:r>
      <w:bookmarkEnd w:id="5"/>
      <w:r w:rsidRPr="007A0B15">
        <w:rPr>
          <w:b/>
          <w:bCs/>
        </w:rPr>
        <w:t xml:space="preserve"> </w:t>
      </w:r>
    </w:p>
    <w:tbl>
      <w:tblPr>
        <w:tblStyle w:val="Tabela-Siatka"/>
        <w:tblW w:w="13530" w:type="dxa"/>
        <w:tblLook w:val="04A0" w:firstRow="1" w:lastRow="0" w:firstColumn="1" w:lastColumn="0" w:noHBand="0" w:noVBand="1"/>
      </w:tblPr>
      <w:tblGrid>
        <w:gridCol w:w="782"/>
        <w:gridCol w:w="2535"/>
        <w:gridCol w:w="8968"/>
        <w:gridCol w:w="1245"/>
      </w:tblGrid>
      <w:tr w:rsidR="00B409E6" w:rsidRPr="00A640DA" w14:paraId="3D522C13" w14:textId="77777777" w:rsidTr="00800A89">
        <w:trPr>
          <w:trHeight w:val="997"/>
        </w:trPr>
        <w:tc>
          <w:tcPr>
            <w:tcW w:w="7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6E3A1A" w14:textId="77777777" w:rsidR="00B409E6" w:rsidRPr="00A640DA" w:rsidRDefault="00B409E6" w:rsidP="00B409E6">
            <w:pPr>
              <w:jc w:val="center"/>
              <w:rPr>
                <w:rFonts w:ascii="Calibri" w:hAnsi="Calibri" w:cs="Calibri"/>
                <w:b/>
                <w:sz w:val="28"/>
                <w:szCs w:val="28"/>
              </w:rPr>
            </w:pPr>
            <w:bookmarkStart w:id="6" w:name="_Hlk159937327"/>
            <w:r w:rsidRPr="00A640DA">
              <w:rPr>
                <w:rFonts w:ascii="Calibri" w:hAnsi="Calibri" w:cs="Calibri"/>
                <w:b/>
                <w:bCs/>
                <w:color w:val="000000"/>
                <w:sz w:val="28"/>
                <w:szCs w:val="28"/>
              </w:rPr>
              <w:t>Nr</w:t>
            </w:r>
          </w:p>
        </w:tc>
        <w:tc>
          <w:tcPr>
            <w:tcW w:w="2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B7E9A4" w14:textId="77777777" w:rsidR="00B409E6" w:rsidRPr="00A640DA" w:rsidRDefault="00B409E6" w:rsidP="00B409E6">
            <w:pPr>
              <w:jc w:val="center"/>
              <w:rPr>
                <w:rFonts w:ascii="Calibri" w:hAnsi="Calibri" w:cs="Calibri"/>
                <w:b/>
                <w:bCs/>
                <w:sz w:val="16"/>
                <w:szCs w:val="16"/>
              </w:rPr>
            </w:pPr>
            <w:r w:rsidRPr="00A640DA">
              <w:rPr>
                <w:rFonts w:ascii="Calibri" w:hAnsi="Calibri" w:cs="Calibri"/>
                <w:b/>
                <w:bCs/>
                <w:color w:val="000000"/>
                <w:sz w:val="28"/>
                <w:szCs w:val="28"/>
              </w:rPr>
              <w:t>Nazwa kryterium</w:t>
            </w:r>
          </w:p>
        </w:tc>
        <w:tc>
          <w:tcPr>
            <w:tcW w:w="90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8AE528" w14:textId="77777777" w:rsidR="00B409E6" w:rsidRPr="00A640DA" w:rsidRDefault="00B409E6" w:rsidP="00B409E6">
            <w:pPr>
              <w:jc w:val="center"/>
              <w:rPr>
                <w:rFonts w:ascii="Calibri" w:hAnsi="Calibri" w:cs="Calibri"/>
                <w:b/>
                <w:bCs/>
                <w:color w:val="000000"/>
                <w:sz w:val="28"/>
                <w:szCs w:val="28"/>
              </w:rPr>
            </w:pPr>
            <w:r w:rsidRPr="00A640DA">
              <w:rPr>
                <w:rFonts w:ascii="Calibri" w:hAnsi="Calibri" w:cs="Calibri"/>
                <w:b/>
                <w:bCs/>
                <w:color w:val="000000"/>
                <w:sz w:val="28"/>
                <w:szCs w:val="28"/>
              </w:rPr>
              <w:t>Opis kryterium</w:t>
            </w:r>
            <w:r w:rsidRPr="00A640DA">
              <w:rPr>
                <w:rStyle w:val="Odwoanieprzypisudolnego"/>
                <w:rFonts w:ascii="Calibri" w:hAnsi="Calibri" w:cs="Calibri"/>
                <w:b/>
                <w:bCs/>
                <w:color w:val="000000"/>
                <w:sz w:val="28"/>
                <w:szCs w:val="28"/>
              </w:rPr>
              <w:footnoteReference w:id="3"/>
            </w:r>
          </w:p>
        </w:tc>
        <w:tc>
          <w:tcPr>
            <w:tcW w:w="12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8632A8" w14:textId="436D10E3" w:rsidR="00B409E6" w:rsidRPr="00A640DA" w:rsidRDefault="00B409E6" w:rsidP="00B409E6">
            <w:pPr>
              <w:jc w:val="center"/>
              <w:rPr>
                <w:rFonts w:ascii="Calibri" w:hAnsi="Calibri" w:cs="Calibri"/>
                <w:b/>
                <w:bCs/>
                <w:color w:val="000000"/>
                <w:sz w:val="28"/>
                <w:szCs w:val="28"/>
              </w:rPr>
            </w:pPr>
            <w:r w:rsidRPr="00A640DA">
              <w:rPr>
                <w:rFonts w:ascii="Calibri" w:hAnsi="Calibri" w:cs="Calibri"/>
                <w:b/>
                <w:bCs/>
                <w:color w:val="000000"/>
                <w:sz w:val="28"/>
                <w:szCs w:val="28"/>
              </w:rPr>
              <w:t>Sposób oceny</w:t>
            </w:r>
          </w:p>
        </w:tc>
      </w:tr>
      <w:bookmarkEnd w:id="6"/>
      <w:tr w:rsidR="00B409E6" w:rsidRPr="00A640DA" w14:paraId="4339F423" w14:textId="77777777" w:rsidTr="00800A89">
        <w:trPr>
          <w:trHeight w:val="1789"/>
        </w:trPr>
        <w:tc>
          <w:tcPr>
            <w:tcW w:w="784" w:type="dxa"/>
            <w:tcBorders>
              <w:top w:val="single" w:sz="4" w:space="0" w:color="auto"/>
              <w:left w:val="single" w:sz="4" w:space="0" w:color="auto"/>
              <w:bottom w:val="single" w:sz="4" w:space="0" w:color="auto"/>
              <w:right w:val="single" w:sz="4" w:space="0" w:color="auto"/>
            </w:tcBorders>
          </w:tcPr>
          <w:p w14:paraId="1471B4F7" w14:textId="77777777" w:rsidR="00B409E6" w:rsidRPr="006304A3" w:rsidRDefault="00481A2C" w:rsidP="00B409E6">
            <w:pPr>
              <w:jc w:val="center"/>
              <w:rPr>
                <w:rFonts w:ascii="Calibri" w:hAnsi="Calibri" w:cs="Calibri"/>
                <w:b/>
                <w:sz w:val="24"/>
                <w:szCs w:val="24"/>
              </w:rPr>
            </w:pPr>
            <w:r w:rsidRPr="006304A3">
              <w:rPr>
                <w:rFonts w:ascii="Calibri" w:hAnsi="Calibri" w:cs="Calibri"/>
                <w:b/>
                <w:sz w:val="24"/>
                <w:szCs w:val="24"/>
              </w:rPr>
              <w:t>1</w:t>
            </w:r>
          </w:p>
        </w:tc>
        <w:tc>
          <w:tcPr>
            <w:tcW w:w="2538" w:type="dxa"/>
            <w:tcBorders>
              <w:top w:val="single" w:sz="4" w:space="0" w:color="auto"/>
              <w:left w:val="single" w:sz="4" w:space="0" w:color="auto"/>
              <w:bottom w:val="single" w:sz="4" w:space="0" w:color="auto"/>
              <w:right w:val="single" w:sz="4" w:space="0" w:color="auto"/>
            </w:tcBorders>
          </w:tcPr>
          <w:p w14:paraId="27AF5AFB" w14:textId="7F562E49" w:rsidR="00EE360A" w:rsidRPr="008C7517" w:rsidRDefault="00EE360A" w:rsidP="00B409E6">
            <w:pPr>
              <w:rPr>
                <w:rFonts w:ascii="Calibri" w:hAnsi="Calibri" w:cs="Calibri"/>
                <w:b/>
                <w:bCs/>
                <w:sz w:val="24"/>
                <w:szCs w:val="24"/>
              </w:rPr>
            </w:pPr>
            <w:r w:rsidRPr="008C7517">
              <w:rPr>
                <w:rFonts w:ascii="Calibri" w:hAnsi="Calibri" w:cs="Calibri"/>
                <w:b/>
                <w:bCs/>
                <w:sz w:val="24"/>
                <w:szCs w:val="24"/>
              </w:rPr>
              <w:t xml:space="preserve">Złożenie Wniosku o </w:t>
            </w:r>
            <w:r w:rsidR="001608BB" w:rsidRPr="008C7517">
              <w:rPr>
                <w:rFonts w:ascii="Calibri" w:hAnsi="Calibri" w:cs="Calibri"/>
                <w:b/>
                <w:bCs/>
                <w:sz w:val="24"/>
                <w:szCs w:val="24"/>
              </w:rPr>
              <w:t>objęcie Przedsięwzięcia</w:t>
            </w:r>
            <w:r w:rsidRPr="008C7517">
              <w:rPr>
                <w:rFonts w:ascii="Calibri" w:hAnsi="Calibri" w:cs="Calibri"/>
                <w:b/>
                <w:bCs/>
                <w:sz w:val="24"/>
                <w:szCs w:val="24"/>
              </w:rPr>
              <w:t xml:space="preserve"> wsparciem w </w:t>
            </w:r>
            <w:r w:rsidR="00B409E6" w:rsidRPr="008C7517">
              <w:rPr>
                <w:rFonts w:ascii="Calibri" w:hAnsi="Calibri" w:cs="Calibri"/>
                <w:b/>
                <w:bCs/>
                <w:sz w:val="24"/>
                <w:szCs w:val="24"/>
              </w:rPr>
              <w:t>odpowiedniej formie</w:t>
            </w:r>
          </w:p>
        </w:tc>
        <w:tc>
          <w:tcPr>
            <w:tcW w:w="9026" w:type="dxa"/>
            <w:tcBorders>
              <w:top w:val="single" w:sz="4" w:space="0" w:color="auto"/>
              <w:left w:val="single" w:sz="4" w:space="0" w:color="auto"/>
              <w:bottom w:val="single" w:sz="4" w:space="0" w:color="auto"/>
              <w:right w:val="single" w:sz="4" w:space="0" w:color="auto"/>
            </w:tcBorders>
          </w:tcPr>
          <w:p w14:paraId="0D421625" w14:textId="77777777" w:rsidR="00B409E6" w:rsidRPr="006304A3" w:rsidRDefault="00B409E6" w:rsidP="00B409E6">
            <w:pPr>
              <w:rPr>
                <w:rFonts w:ascii="Calibri" w:hAnsi="Calibri" w:cs="Calibri"/>
                <w:color w:val="000000"/>
                <w:sz w:val="24"/>
                <w:szCs w:val="24"/>
              </w:rPr>
            </w:pPr>
            <w:r w:rsidRPr="006304A3">
              <w:rPr>
                <w:rFonts w:ascii="Calibri" w:hAnsi="Calibri" w:cs="Calibri"/>
                <w:color w:val="000000"/>
                <w:sz w:val="24"/>
                <w:szCs w:val="24"/>
              </w:rPr>
              <w:t xml:space="preserve">Ostateczny odbiorca wsparcia złożył </w:t>
            </w:r>
            <w:r w:rsidR="00B94AD8" w:rsidRPr="006304A3">
              <w:rPr>
                <w:rFonts w:ascii="Calibri" w:hAnsi="Calibri" w:cs="Calibri"/>
                <w:color w:val="000000"/>
                <w:sz w:val="24"/>
                <w:szCs w:val="24"/>
              </w:rPr>
              <w:t xml:space="preserve">podpisany </w:t>
            </w:r>
            <w:r w:rsidR="007F39AC" w:rsidRPr="006304A3">
              <w:rPr>
                <w:rFonts w:ascii="Calibri" w:hAnsi="Calibri" w:cs="Calibri"/>
                <w:color w:val="000000"/>
                <w:sz w:val="24"/>
                <w:szCs w:val="24"/>
              </w:rPr>
              <w:t xml:space="preserve">przez upoważnioną osobę/osoby </w:t>
            </w:r>
            <w:r w:rsidRPr="006304A3">
              <w:rPr>
                <w:rFonts w:ascii="Calibri" w:hAnsi="Calibri" w:cs="Calibri"/>
                <w:color w:val="000000"/>
                <w:sz w:val="24"/>
                <w:szCs w:val="24"/>
              </w:rPr>
              <w:t>Wniosek o objęcie Przedsięwzięcia wsparciem w postaci elektronicznej zgodnie z wymaganiami określonymi w Regulaminie.</w:t>
            </w:r>
          </w:p>
        </w:tc>
        <w:tc>
          <w:tcPr>
            <w:tcW w:w="1247" w:type="dxa"/>
            <w:tcBorders>
              <w:top w:val="single" w:sz="4" w:space="0" w:color="auto"/>
              <w:left w:val="single" w:sz="4" w:space="0" w:color="auto"/>
              <w:bottom w:val="single" w:sz="4" w:space="0" w:color="auto"/>
              <w:right w:val="single" w:sz="4" w:space="0" w:color="auto"/>
            </w:tcBorders>
            <w:vAlign w:val="center"/>
          </w:tcPr>
          <w:p w14:paraId="3B583D71" w14:textId="5E8F385E" w:rsidR="00B409E6" w:rsidRPr="006304A3" w:rsidRDefault="00716FBE" w:rsidP="002C4C0F">
            <w:pPr>
              <w:jc w:val="center"/>
              <w:rPr>
                <w:rFonts w:ascii="Calibri" w:hAnsi="Calibri" w:cs="Calibri"/>
                <w:color w:val="000000"/>
                <w:sz w:val="24"/>
                <w:szCs w:val="24"/>
              </w:rPr>
            </w:pPr>
            <w:r w:rsidRPr="006304A3">
              <w:rPr>
                <w:rFonts w:ascii="Calibri" w:hAnsi="Calibri" w:cs="Calibri"/>
                <w:color w:val="000000"/>
                <w:sz w:val="24"/>
                <w:szCs w:val="24"/>
              </w:rPr>
              <w:t>0/1</w:t>
            </w:r>
          </w:p>
        </w:tc>
      </w:tr>
      <w:tr w:rsidR="00B409E6" w:rsidRPr="00A640DA" w14:paraId="18E76C26" w14:textId="77777777" w:rsidTr="00800A89">
        <w:trPr>
          <w:trHeight w:val="2394"/>
        </w:trPr>
        <w:tc>
          <w:tcPr>
            <w:tcW w:w="784" w:type="dxa"/>
            <w:tcBorders>
              <w:top w:val="single" w:sz="4" w:space="0" w:color="auto"/>
              <w:left w:val="single" w:sz="4" w:space="0" w:color="auto"/>
              <w:bottom w:val="single" w:sz="4" w:space="0" w:color="auto"/>
              <w:right w:val="single" w:sz="4" w:space="0" w:color="auto"/>
            </w:tcBorders>
          </w:tcPr>
          <w:p w14:paraId="2157C59F" w14:textId="77777777" w:rsidR="00B409E6" w:rsidRPr="006304A3" w:rsidRDefault="00481A2C" w:rsidP="00B409E6">
            <w:pPr>
              <w:jc w:val="center"/>
              <w:rPr>
                <w:rFonts w:ascii="Calibri" w:hAnsi="Calibri" w:cs="Calibri"/>
                <w:b/>
                <w:sz w:val="24"/>
                <w:szCs w:val="24"/>
              </w:rPr>
            </w:pPr>
            <w:r w:rsidRPr="006304A3">
              <w:rPr>
                <w:rFonts w:ascii="Calibri" w:hAnsi="Calibri" w:cs="Calibri"/>
                <w:b/>
                <w:sz w:val="24"/>
                <w:szCs w:val="24"/>
              </w:rPr>
              <w:t>2</w:t>
            </w:r>
          </w:p>
        </w:tc>
        <w:tc>
          <w:tcPr>
            <w:tcW w:w="2538" w:type="dxa"/>
            <w:tcBorders>
              <w:top w:val="single" w:sz="4" w:space="0" w:color="auto"/>
              <w:left w:val="single" w:sz="4" w:space="0" w:color="auto"/>
              <w:bottom w:val="single" w:sz="4" w:space="0" w:color="auto"/>
              <w:right w:val="single" w:sz="4" w:space="0" w:color="auto"/>
            </w:tcBorders>
          </w:tcPr>
          <w:p w14:paraId="5D267B23" w14:textId="734297A9" w:rsidR="00EE360A" w:rsidRPr="008C7517" w:rsidRDefault="00EE360A" w:rsidP="00B409E6">
            <w:pPr>
              <w:rPr>
                <w:rFonts w:ascii="Calibri" w:hAnsi="Calibri" w:cs="Calibri"/>
                <w:b/>
                <w:bCs/>
                <w:sz w:val="24"/>
                <w:szCs w:val="24"/>
              </w:rPr>
            </w:pPr>
            <w:r w:rsidRPr="008C7517">
              <w:rPr>
                <w:rFonts w:ascii="Calibri" w:hAnsi="Calibri" w:cs="Calibri"/>
                <w:b/>
                <w:bCs/>
                <w:sz w:val="24"/>
                <w:szCs w:val="24"/>
              </w:rPr>
              <w:t xml:space="preserve">Kompletność dokumentacji wymaganej </w:t>
            </w:r>
            <w:r w:rsidR="00B409E6" w:rsidRPr="008C7517">
              <w:rPr>
                <w:rFonts w:ascii="Calibri" w:hAnsi="Calibri" w:cs="Calibri"/>
                <w:b/>
                <w:bCs/>
                <w:sz w:val="24"/>
                <w:szCs w:val="24"/>
              </w:rPr>
              <w:t>na etapie aplikowania</w:t>
            </w:r>
            <w:r w:rsidR="005C29C6" w:rsidRPr="008C7517">
              <w:rPr>
                <w:rFonts w:ascii="Calibri" w:hAnsi="Calibri" w:cs="Calibri"/>
                <w:b/>
                <w:bCs/>
                <w:sz w:val="24"/>
                <w:szCs w:val="24"/>
              </w:rPr>
              <w:t xml:space="preserve"> – ubiegania się o</w:t>
            </w:r>
            <w:r w:rsidR="001A49BF" w:rsidRPr="008C7517">
              <w:rPr>
                <w:rFonts w:ascii="Calibri" w:hAnsi="Calibri" w:cs="Calibri"/>
                <w:b/>
                <w:bCs/>
                <w:sz w:val="24"/>
                <w:szCs w:val="24"/>
              </w:rPr>
              <w:t xml:space="preserve"> objęcie Przedsięwzięcia wsparci</w:t>
            </w:r>
            <w:r w:rsidR="001B3209" w:rsidRPr="008C7517">
              <w:rPr>
                <w:rFonts w:ascii="Calibri" w:hAnsi="Calibri" w:cs="Calibri"/>
                <w:b/>
                <w:bCs/>
                <w:sz w:val="24"/>
                <w:szCs w:val="24"/>
              </w:rPr>
              <w:t>em</w:t>
            </w:r>
            <w:r w:rsidR="001A49BF" w:rsidRPr="008C7517">
              <w:rPr>
                <w:rFonts w:ascii="Calibri" w:hAnsi="Calibri" w:cs="Calibri"/>
                <w:b/>
                <w:bCs/>
                <w:sz w:val="24"/>
                <w:szCs w:val="24"/>
              </w:rPr>
              <w:t xml:space="preserve"> </w:t>
            </w:r>
          </w:p>
        </w:tc>
        <w:tc>
          <w:tcPr>
            <w:tcW w:w="9026" w:type="dxa"/>
            <w:tcBorders>
              <w:top w:val="single" w:sz="4" w:space="0" w:color="auto"/>
              <w:left w:val="single" w:sz="4" w:space="0" w:color="auto"/>
              <w:bottom w:val="single" w:sz="4" w:space="0" w:color="auto"/>
              <w:right w:val="single" w:sz="4" w:space="0" w:color="auto"/>
            </w:tcBorders>
          </w:tcPr>
          <w:p w14:paraId="0CA76093" w14:textId="6B2B1361" w:rsidR="007C5A48" w:rsidRPr="006304A3" w:rsidRDefault="007C5A48" w:rsidP="008A77B5">
            <w:pPr>
              <w:spacing w:after="360"/>
              <w:rPr>
                <w:rFonts w:ascii="Calibri" w:hAnsi="Calibri" w:cs="Calibri"/>
                <w:color w:val="000000"/>
                <w:sz w:val="24"/>
                <w:szCs w:val="24"/>
              </w:rPr>
            </w:pPr>
            <w:r w:rsidRPr="006304A3">
              <w:rPr>
                <w:rFonts w:ascii="Calibri" w:hAnsi="Calibri" w:cs="Calibri"/>
                <w:color w:val="000000"/>
                <w:sz w:val="24"/>
                <w:szCs w:val="24"/>
              </w:rPr>
              <w:t xml:space="preserve">Ostateczny odbiorca wsparcia złożył Wniosek o objęcie </w:t>
            </w:r>
            <w:r w:rsidR="005476B5" w:rsidRPr="006304A3">
              <w:rPr>
                <w:rFonts w:ascii="Calibri" w:hAnsi="Calibri" w:cs="Calibri"/>
                <w:color w:val="000000"/>
                <w:sz w:val="24"/>
                <w:szCs w:val="24"/>
              </w:rPr>
              <w:t>P</w:t>
            </w:r>
            <w:r w:rsidRPr="006304A3">
              <w:rPr>
                <w:rFonts w:ascii="Calibri" w:hAnsi="Calibri" w:cs="Calibri"/>
                <w:color w:val="000000"/>
                <w:sz w:val="24"/>
                <w:szCs w:val="24"/>
              </w:rPr>
              <w:t xml:space="preserve">rzedsięwzięcia wsparciem wypełniony zgodnie z Instrukcją wypełniania Wniosku o objęcie </w:t>
            </w:r>
            <w:r w:rsidR="005476B5" w:rsidRPr="006304A3">
              <w:rPr>
                <w:rFonts w:ascii="Calibri" w:hAnsi="Calibri" w:cs="Calibri"/>
                <w:color w:val="000000"/>
                <w:sz w:val="24"/>
                <w:szCs w:val="24"/>
              </w:rPr>
              <w:t>P</w:t>
            </w:r>
            <w:r w:rsidRPr="006304A3">
              <w:rPr>
                <w:rFonts w:ascii="Calibri" w:hAnsi="Calibri" w:cs="Calibri"/>
                <w:color w:val="000000"/>
                <w:sz w:val="24"/>
                <w:szCs w:val="24"/>
              </w:rPr>
              <w:t xml:space="preserve">rzedsięwzięcia wsparciem wraz z kompletem wymaganych </w:t>
            </w:r>
            <w:r w:rsidR="005476B5" w:rsidRPr="006304A3">
              <w:rPr>
                <w:rFonts w:ascii="Calibri" w:hAnsi="Calibri" w:cs="Calibri"/>
                <w:color w:val="000000"/>
                <w:sz w:val="24"/>
                <w:szCs w:val="24"/>
              </w:rPr>
              <w:t xml:space="preserve">czytelnych </w:t>
            </w:r>
            <w:r w:rsidR="001608BB" w:rsidRPr="006304A3">
              <w:rPr>
                <w:rFonts w:ascii="Calibri" w:hAnsi="Calibri" w:cs="Calibri"/>
                <w:color w:val="000000"/>
                <w:sz w:val="24"/>
                <w:szCs w:val="24"/>
              </w:rPr>
              <w:t>załączników.</w:t>
            </w:r>
          </w:p>
          <w:p w14:paraId="284EC2E9" w14:textId="5EF1DA72" w:rsidR="00A67D71" w:rsidRPr="006304A3" w:rsidRDefault="000A3866" w:rsidP="00B409E6">
            <w:pPr>
              <w:rPr>
                <w:rFonts w:ascii="Calibri" w:hAnsi="Calibri" w:cs="Calibri"/>
                <w:color w:val="000000"/>
                <w:sz w:val="24"/>
                <w:szCs w:val="24"/>
              </w:rPr>
            </w:pPr>
            <w:r w:rsidRPr="006304A3">
              <w:rPr>
                <w:rFonts w:ascii="Calibri" w:hAnsi="Calibri" w:cs="Calibri"/>
                <w:color w:val="000000"/>
                <w:sz w:val="24"/>
                <w:szCs w:val="24"/>
              </w:rPr>
              <w:t xml:space="preserve">We wniosku o objęcie Przedsięwzięcia wsparciem, oświadczeniach oraz załącznikach do </w:t>
            </w:r>
            <w:r w:rsidR="00A72F65" w:rsidRPr="006304A3">
              <w:rPr>
                <w:rFonts w:ascii="Calibri" w:hAnsi="Calibri" w:cs="Calibri"/>
                <w:color w:val="000000"/>
                <w:sz w:val="24"/>
                <w:szCs w:val="24"/>
              </w:rPr>
              <w:t>W</w:t>
            </w:r>
            <w:r w:rsidRPr="006304A3">
              <w:rPr>
                <w:rFonts w:ascii="Calibri" w:hAnsi="Calibri" w:cs="Calibri"/>
                <w:color w:val="000000"/>
                <w:sz w:val="24"/>
                <w:szCs w:val="24"/>
              </w:rPr>
              <w:t>niosku nie występują istotne rozbieżności: w szczególności wartość budżetu Przedsięwzięcia i wskaźniki Przedsięwzięcia.</w:t>
            </w:r>
          </w:p>
        </w:tc>
        <w:tc>
          <w:tcPr>
            <w:tcW w:w="1247" w:type="dxa"/>
            <w:tcBorders>
              <w:top w:val="single" w:sz="4" w:space="0" w:color="auto"/>
              <w:left w:val="single" w:sz="4" w:space="0" w:color="auto"/>
              <w:bottom w:val="single" w:sz="4" w:space="0" w:color="auto"/>
              <w:right w:val="single" w:sz="4" w:space="0" w:color="auto"/>
            </w:tcBorders>
            <w:vAlign w:val="center"/>
          </w:tcPr>
          <w:p w14:paraId="70982C46" w14:textId="39CFBD96" w:rsidR="00B409E6" w:rsidRPr="006304A3" w:rsidRDefault="00913099" w:rsidP="002C4C0F">
            <w:pPr>
              <w:jc w:val="center"/>
              <w:rPr>
                <w:rFonts w:ascii="Calibri" w:hAnsi="Calibri" w:cs="Calibri"/>
                <w:color w:val="000000"/>
                <w:sz w:val="24"/>
                <w:szCs w:val="24"/>
              </w:rPr>
            </w:pPr>
            <w:r w:rsidRPr="006304A3">
              <w:rPr>
                <w:rFonts w:ascii="Calibri" w:hAnsi="Calibri" w:cs="Calibri"/>
                <w:sz w:val="24"/>
                <w:szCs w:val="24"/>
              </w:rPr>
              <w:t>0/1</w:t>
            </w:r>
          </w:p>
        </w:tc>
      </w:tr>
      <w:tr w:rsidR="00B409E6" w:rsidRPr="00A640DA" w14:paraId="53732E63" w14:textId="77777777" w:rsidTr="00800A89">
        <w:trPr>
          <w:trHeight w:val="1209"/>
        </w:trPr>
        <w:tc>
          <w:tcPr>
            <w:tcW w:w="784" w:type="dxa"/>
            <w:tcBorders>
              <w:top w:val="single" w:sz="4" w:space="0" w:color="auto"/>
              <w:left w:val="single" w:sz="4" w:space="0" w:color="auto"/>
              <w:bottom w:val="single" w:sz="4" w:space="0" w:color="auto"/>
              <w:right w:val="single" w:sz="4" w:space="0" w:color="auto"/>
            </w:tcBorders>
          </w:tcPr>
          <w:p w14:paraId="012CA4E2" w14:textId="77777777" w:rsidR="00B409E6" w:rsidRPr="006304A3" w:rsidRDefault="00481A2C" w:rsidP="00B409E6">
            <w:pPr>
              <w:jc w:val="center"/>
              <w:rPr>
                <w:rFonts w:ascii="Calibri" w:hAnsi="Calibri" w:cs="Calibri"/>
                <w:b/>
                <w:sz w:val="24"/>
                <w:szCs w:val="24"/>
              </w:rPr>
            </w:pPr>
            <w:r w:rsidRPr="006304A3">
              <w:rPr>
                <w:rFonts w:ascii="Calibri" w:hAnsi="Calibri" w:cs="Calibri"/>
                <w:b/>
                <w:sz w:val="24"/>
                <w:szCs w:val="24"/>
              </w:rPr>
              <w:t>3</w:t>
            </w:r>
          </w:p>
        </w:tc>
        <w:tc>
          <w:tcPr>
            <w:tcW w:w="2538" w:type="dxa"/>
            <w:tcBorders>
              <w:top w:val="single" w:sz="4" w:space="0" w:color="auto"/>
              <w:left w:val="single" w:sz="4" w:space="0" w:color="auto"/>
              <w:bottom w:val="single" w:sz="4" w:space="0" w:color="auto"/>
              <w:right w:val="single" w:sz="4" w:space="0" w:color="auto"/>
            </w:tcBorders>
          </w:tcPr>
          <w:p w14:paraId="1EDD3129" w14:textId="4754DF04" w:rsidR="00EE360A" w:rsidRPr="008C7517" w:rsidRDefault="001608BB" w:rsidP="00B409E6">
            <w:pPr>
              <w:rPr>
                <w:rFonts w:ascii="Calibri" w:hAnsi="Calibri" w:cs="Calibri"/>
                <w:b/>
                <w:bCs/>
                <w:sz w:val="24"/>
                <w:szCs w:val="24"/>
              </w:rPr>
            </w:pPr>
            <w:r w:rsidRPr="008C7517">
              <w:rPr>
                <w:rFonts w:ascii="Calibri" w:hAnsi="Calibri" w:cs="Calibri"/>
                <w:b/>
                <w:bCs/>
                <w:sz w:val="24"/>
                <w:szCs w:val="24"/>
              </w:rPr>
              <w:t>Kwalifikowalność Ostatecznego</w:t>
            </w:r>
            <w:r w:rsidR="00B409E6" w:rsidRPr="008C7517">
              <w:rPr>
                <w:rFonts w:ascii="Calibri" w:hAnsi="Calibri" w:cs="Calibri"/>
                <w:b/>
                <w:bCs/>
                <w:sz w:val="24"/>
                <w:szCs w:val="24"/>
              </w:rPr>
              <w:t xml:space="preserve"> odbiorcy wsparcia/Partnerów</w:t>
            </w:r>
          </w:p>
        </w:tc>
        <w:tc>
          <w:tcPr>
            <w:tcW w:w="9026" w:type="dxa"/>
            <w:tcBorders>
              <w:top w:val="single" w:sz="4" w:space="0" w:color="auto"/>
              <w:left w:val="single" w:sz="4" w:space="0" w:color="auto"/>
              <w:bottom w:val="single" w:sz="4" w:space="0" w:color="auto"/>
              <w:right w:val="single" w:sz="4" w:space="0" w:color="auto"/>
            </w:tcBorders>
          </w:tcPr>
          <w:p w14:paraId="26B3B73E" w14:textId="586000E2" w:rsidR="00F21452" w:rsidRPr="006304A3" w:rsidRDefault="00B409E6" w:rsidP="007A0473">
            <w:pPr>
              <w:rPr>
                <w:rFonts w:ascii="Calibri" w:hAnsi="Calibri" w:cs="Calibri"/>
                <w:color w:val="000000"/>
                <w:sz w:val="24"/>
                <w:szCs w:val="24"/>
              </w:rPr>
            </w:pPr>
            <w:r w:rsidRPr="006304A3">
              <w:rPr>
                <w:rFonts w:ascii="Calibri" w:hAnsi="Calibri" w:cs="Calibri"/>
                <w:color w:val="000000"/>
                <w:sz w:val="24"/>
                <w:szCs w:val="24"/>
              </w:rPr>
              <w:t xml:space="preserve">Ostateczny odbiorca wsparcia (i </w:t>
            </w:r>
            <w:r w:rsidR="00316FF1" w:rsidRPr="006304A3">
              <w:rPr>
                <w:rFonts w:ascii="Calibri" w:hAnsi="Calibri" w:cs="Calibri"/>
                <w:color w:val="000000"/>
                <w:sz w:val="24"/>
                <w:szCs w:val="24"/>
              </w:rPr>
              <w:t>Partner/</w:t>
            </w:r>
            <w:r w:rsidRPr="006304A3">
              <w:rPr>
                <w:rFonts w:ascii="Calibri" w:hAnsi="Calibri" w:cs="Calibri"/>
                <w:color w:val="000000"/>
                <w:sz w:val="24"/>
                <w:szCs w:val="24"/>
              </w:rPr>
              <w:t>Partnerzy – jeśli dotyczy) są podmiotami kwalifikującymi się do wsparcia w ramach Inwestycji C2.1.1</w:t>
            </w:r>
            <w:r w:rsidR="005D6997" w:rsidRPr="006304A3">
              <w:rPr>
                <w:rFonts w:ascii="Calibri" w:hAnsi="Calibri" w:cs="Calibri"/>
                <w:color w:val="000000"/>
                <w:sz w:val="24"/>
                <w:szCs w:val="24"/>
              </w:rPr>
              <w:t xml:space="preserve"> </w:t>
            </w:r>
            <w:r w:rsidR="00305643" w:rsidRPr="006304A3">
              <w:rPr>
                <w:rFonts w:ascii="Calibri" w:hAnsi="Calibri" w:cs="Calibri"/>
                <w:color w:val="000000"/>
                <w:sz w:val="24"/>
                <w:szCs w:val="24"/>
              </w:rPr>
              <w:t>zgodnie z zapisami w Regulaminie</w:t>
            </w:r>
            <w:r w:rsidR="006A41A4" w:rsidRPr="006304A3">
              <w:rPr>
                <w:rFonts w:ascii="Calibri" w:hAnsi="Calibri" w:cs="Calibri"/>
                <w:color w:val="000000"/>
                <w:sz w:val="24"/>
                <w:szCs w:val="24"/>
              </w:rPr>
              <w:t>.</w:t>
            </w:r>
          </w:p>
        </w:tc>
        <w:tc>
          <w:tcPr>
            <w:tcW w:w="1247" w:type="dxa"/>
            <w:tcBorders>
              <w:top w:val="single" w:sz="4" w:space="0" w:color="auto"/>
              <w:left w:val="single" w:sz="4" w:space="0" w:color="auto"/>
              <w:bottom w:val="single" w:sz="4" w:space="0" w:color="auto"/>
              <w:right w:val="single" w:sz="4" w:space="0" w:color="auto"/>
            </w:tcBorders>
            <w:vAlign w:val="center"/>
          </w:tcPr>
          <w:p w14:paraId="57899057" w14:textId="18923806" w:rsidR="00B409E6" w:rsidRPr="006304A3" w:rsidRDefault="00913099" w:rsidP="00B409E6">
            <w:pPr>
              <w:jc w:val="center"/>
              <w:rPr>
                <w:rFonts w:ascii="Calibri" w:hAnsi="Calibri" w:cs="Calibri"/>
                <w:color w:val="000000"/>
                <w:sz w:val="24"/>
                <w:szCs w:val="24"/>
              </w:rPr>
            </w:pPr>
            <w:r w:rsidRPr="006304A3">
              <w:rPr>
                <w:rFonts w:ascii="Calibri" w:hAnsi="Calibri" w:cs="Calibri"/>
                <w:color w:val="000000"/>
                <w:sz w:val="24"/>
                <w:szCs w:val="24"/>
              </w:rPr>
              <w:t>0/1</w:t>
            </w:r>
          </w:p>
        </w:tc>
      </w:tr>
      <w:tr w:rsidR="001D332E" w:rsidRPr="00A640DA" w14:paraId="6D0DB3D5" w14:textId="77777777" w:rsidTr="00800A89">
        <w:trPr>
          <w:trHeight w:val="1486"/>
        </w:trPr>
        <w:tc>
          <w:tcPr>
            <w:tcW w:w="784" w:type="dxa"/>
            <w:tcBorders>
              <w:top w:val="single" w:sz="4" w:space="0" w:color="auto"/>
              <w:left w:val="single" w:sz="4" w:space="0" w:color="auto"/>
              <w:bottom w:val="single" w:sz="4" w:space="0" w:color="auto"/>
              <w:right w:val="single" w:sz="4" w:space="0" w:color="auto"/>
            </w:tcBorders>
          </w:tcPr>
          <w:p w14:paraId="57251C0F" w14:textId="13D9E824" w:rsidR="001D332E" w:rsidRPr="006304A3" w:rsidRDefault="001D332E" w:rsidP="00B409E6">
            <w:pPr>
              <w:jc w:val="center"/>
              <w:rPr>
                <w:rFonts w:ascii="Calibri" w:hAnsi="Calibri" w:cs="Calibri"/>
                <w:b/>
                <w:sz w:val="24"/>
                <w:szCs w:val="24"/>
              </w:rPr>
            </w:pPr>
            <w:r w:rsidRPr="006304A3">
              <w:rPr>
                <w:rFonts w:ascii="Calibri" w:hAnsi="Calibri" w:cs="Calibri"/>
                <w:b/>
                <w:sz w:val="24"/>
                <w:szCs w:val="24"/>
              </w:rPr>
              <w:lastRenderedPageBreak/>
              <w:t>4</w:t>
            </w:r>
          </w:p>
        </w:tc>
        <w:tc>
          <w:tcPr>
            <w:tcW w:w="2538" w:type="dxa"/>
            <w:tcBorders>
              <w:top w:val="single" w:sz="4" w:space="0" w:color="auto"/>
              <w:left w:val="single" w:sz="4" w:space="0" w:color="auto"/>
              <w:bottom w:val="single" w:sz="4" w:space="0" w:color="auto"/>
              <w:right w:val="single" w:sz="4" w:space="0" w:color="auto"/>
            </w:tcBorders>
          </w:tcPr>
          <w:p w14:paraId="36B6D36F" w14:textId="77777777" w:rsidR="001D332E" w:rsidRPr="001D332E" w:rsidRDefault="001D332E" w:rsidP="001D332E">
            <w:pPr>
              <w:rPr>
                <w:rFonts w:ascii="Calibri" w:hAnsi="Calibri" w:cs="Calibri"/>
                <w:b/>
                <w:bCs/>
                <w:sz w:val="24"/>
                <w:szCs w:val="24"/>
              </w:rPr>
            </w:pPr>
            <w:r w:rsidRPr="001D332E">
              <w:rPr>
                <w:rFonts w:ascii="Calibri" w:hAnsi="Calibri" w:cs="Calibri"/>
                <w:b/>
                <w:bCs/>
                <w:sz w:val="24"/>
                <w:szCs w:val="24"/>
              </w:rPr>
              <w:t>Przedsięwzięcie jest zgodne z ramami</w:t>
            </w:r>
          </w:p>
          <w:p w14:paraId="1EDA13CE" w14:textId="77777777" w:rsidR="001D332E" w:rsidRPr="001D332E" w:rsidRDefault="001D332E" w:rsidP="001D332E">
            <w:pPr>
              <w:rPr>
                <w:rFonts w:ascii="Calibri" w:hAnsi="Calibri" w:cs="Calibri"/>
                <w:b/>
                <w:bCs/>
                <w:sz w:val="24"/>
                <w:szCs w:val="24"/>
              </w:rPr>
            </w:pPr>
            <w:r w:rsidRPr="001D332E">
              <w:rPr>
                <w:rFonts w:ascii="Calibri" w:hAnsi="Calibri" w:cs="Calibri"/>
                <w:b/>
                <w:bCs/>
                <w:sz w:val="24"/>
                <w:szCs w:val="24"/>
              </w:rPr>
              <w:t>czasowymi określonymi w Rozporządzeniu RRF oraz w Załączniku do decyzji wykonawczej Rady zmieniającej decyzję</w:t>
            </w:r>
          </w:p>
          <w:p w14:paraId="2F368E71" w14:textId="77777777" w:rsidR="001D332E" w:rsidRPr="001D332E" w:rsidRDefault="001D332E" w:rsidP="001D332E">
            <w:pPr>
              <w:rPr>
                <w:rFonts w:ascii="Calibri" w:hAnsi="Calibri" w:cs="Calibri"/>
                <w:b/>
                <w:bCs/>
                <w:sz w:val="24"/>
                <w:szCs w:val="24"/>
              </w:rPr>
            </w:pPr>
            <w:r w:rsidRPr="001D332E">
              <w:rPr>
                <w:rFonts w:ascii="Calibri" w:hAnsi="Calibri" w:cs="Calibri"/>
                <w:b/>
                <w:bCs/>
                <w:sz w:val="24"/>
                <w:szCs w:val="24"/>
              </w:rPr>
              <w:t>wykonawczą z dnia 17 czerwca 2022 r. w sprawie zatwierdzenia oceny</w:t>
            </w:r>
          </w:p>
          <w:p w14:paraId="45B24A62" w14:textId="5B035F43" w:rsidR="001D332E" w:rsidRPr="006304A3" w:rsidRDefault="001D332E" w:rsidP="001D332E">
            <w:pPr>
              <w:rPr>
                <w:rFonts w:ascii="Calibri" w:hAnsi="Calibri" w:cs="Calibri"/>
                <w:b/>
                <w:bCs/>
                <w:sz w:val="24"/>
                <w:szCs w:val="24"/>
              </w:rPr>
            </w:pPr>
            <w:r w:rsidRPr="001D332E">
              <w:rPr>
                <w:rFonts w:ascii="Calibri" w:hAnsi="Calibri" w:cs="Calibri"/>
                <w:b/>
                <w:bCs/>
                <w:sz w:val="24"/>
                <w:szCs w:val="24"/>
              </w:rPr>
              <w:t>Planu Odbudowy i Zwiększania Odporności Polski</w:t>
            </w:r>
          </w:p>
        </w:tc>
        <w:tc>
          <w:tcPr>
            <w:tcW w:w="9026" w:type="dxa"/>
            <w:tcBorders>
              <w:top w:val="single" w:sz="4" w:space="0" w:color="auto"/>
              <w:left w:val="single" w:sz="4" w:space="0" w:color="auto"/>
              <w:bottom w:val="single" w:sz="4" w:space="0" w:color="auto"/>
              <w:right w:val="single" w:sz="4" w:space="0" w:color="auto"/>
            </w:tcBorders>
          </w:tcPr>
          <w:p w14:paraId="42A14F7F" w14:textId="4C75EB87" w:rsidR="001D332E" w:rsidRPr="001D332E" w:rsidRDefault="001D332E" w:rsidP="008A77B5">
            <w:pPr>
              <w:spacing w:after="360"/>
              <w:rPr>
                <w:rFonts w:ascii="Calibri" w:hAnsi="Calibri" w:cs="Calibri"/>
                <w:color w:val="000000"/>
                <w:sz w:val="24"/>
                <w:szCs w:val="24"/>
              </w:rPr>
            </w:pPr>
            <w:r w:rsidRPr="001D332E">
              <w:rPr>
                <w:rFonts w:ascii="Calibri" w:hAnsi="Calibri" w:cs="Calibri"/>
                <w:color w:val="000000"/>
                <w:sz w:val="24"/>
                <w:szCs w:val="24"/>
              </w:rPr>
              <w:t>Harmonogram realizacji Przedsięwzięcia nie przekracza ram czasowych kwalifikowalności Przedsięwzięć określonych w:</w:t>
            </w:r>
          </w:p>
          <w:p w14:paraId="4A1281F2" w14:textId="3A70483B" w:rsidR="00084F0D" w:rsidRPr="00084F0D" w:rsidRDefault="00084F0D" w:rsidP="00084F0D">
            <w:pPr>
              <w:pStyle w:val="Akapitzlist"/>
              <w:numPr>
                <w:ilvl w:val="0"/>
                <w:numId w:val="1"/>
              </w:numPr>
              <w:rPr>
                <w:rFonts w:ascii="Calibri" w:hAnsi="Calibri" w:cs="Calibri"/>
                <w:color w:val="000000"/>
                <w:sz w:val="24"/>
                <w:szCs w:val="24"/>
              </w:rPr>
            </w:pPr>
            <w:r w:rsidRPr="00084F0D">
              <w:rPr>
                <w:rFonts w:ascii="Calibri" w:hAnsi="Calibri" w:cs="Calibri"/>
                <w:color w:val="000000"/>
                <w:sz w:val="24"/>
                <w:szCs w:val="24"/>
              </w:rPr>
              <w:t>w art.</w:t>
            </w:r>
            <w:r w:rsidR="00A7108E">
              <w:rPr>
                <w:rFonts w:ascii="Calibri" w:hAnsi="Calibri" w:cs="Calibri"/>
                <w:color w:val="000000"/>
                <w:sz w:val="24"/>
                <w:szCs w:val="24"/>
              </w:rPr>
              <w:t xml:space="preserve"> 17 ust 2 i art. </w:t>
            </w:r>
            <w:r w:rsidRPr="00084F0D">
              <w:rPr>
                <w:rFonts w:ascii="Calibri" w:hAnsi="Calibri" w:cs="Calibri"/>
                <w:color w:val="000000"/>
                <w:sz w:val="24"/>
                <w:szCs w:val="24"/>
              </w:rPr>
              <w:t xml:space="preserve"> 20 ust. 5 lit. d Rozporządzenia o RRF;</w:t>
            </w:r>
          </w:p>
          <w:p w14:paraId="43100518" w14:textId="77777777" w:rsidR="00084F0D" w:rsidRPr="00084F0D" w:rsidRDefault="00084F0D" w:rsidP="00084F0D">
            <w:pPr>
              <w:pStyle w:val="Akapitzlist"/>
              <w:numPr>
                <w:ilvl w:val="0"/>
                <w:numId w:val="1"/>
              </w:numPr>
              <w:rPr>
                <w:rFonts w:ascii="Calibri" w:hAnsi="Calibri" w:cs="Calibri"/>
                <w:color w:val="000000"/>
                <w:sz w:val="24"/>
                <w:szCs w:val="24"/>
              </w:rPr>
            </w:pPr>
            <w:r w:rsidRPr="00084F0D">
              <w:rPr>
                <w:rFonts w:ascii="Calibri" w:hAnsi="Calibri" w:cs="Calibri"/>
                <w:color w:val="000000"/>
                <w:sz w:val="24"/>
                <w:szCs w:val="24"/>
              </w:rPr>
              <w:t>w planie rozwojowym (w tym w odpowiedniej decyzji implementacyjnej Rady UE).</w:t>
            </w:r>
          </w:p>
          <w:p w14:paraId="7B0E4985" w14:textId="77777777" w:rsidR="00084F0D" w:rsidRDefault="00084F0D" w:rsidP="00084F0D">
            <w:pPr>
              <w:pStyle w:val="Akapitzlist"/>
              <w:rPr>
                <w:rFonts w:ascii="Calibri" w:hAnsi="Calibri" w:cs="Calibri"/>
                <w:color w:val="000000"/>
                <w:sz w:val="24"/>
                <w:szCs w:val="24"/>
              </w:rPr>
            </w:pPr>
          </w:p>
          <w:p w14:paraId="63DC70C2" w14:textId="17C8537E" w:rsidR="001D332E" w:rsidRPr="008658CD" w:rsidRDefault="001D332E" w:rsidP="008658CD">
            <w:pPr>
              <w:rPr>
                <w:rFonts w:ascii="Calibri" w:hAnsi="Calibri" w:cs="Calibri"/>
                <w:color w:val="000000"/>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1ADEB68B" w14:textId="33594F4D" w:rsidR="001D332E" w:rsidRPr="006304A3" w:rsidRDefault="001D332E" w:rsidP="00B409E6">
            <w:pPr>
              <w:jc w:val="center"/>
              <w:rPr>
                <w:rFonts w:ascii="Calibri" w:hAnsi="Calibri" w:cs="Calibri"/>
                <w:color w:val="000000"/>
                <w:sz w:val="24"/>
                <w:szCs w:val="24"/>
              </w:rPr>
            </w:pPr>
            <w:r w:rsidRPr="006304A3">
              <w:rPr>
                <w:rFonts w:ascii="Calibri" w:hAnsi="Calibri" w:cs="Calibri"/>
                <w:color w:val="000000"/>
                <w:sz w:val="24"/>
                <w:szCs w:val="24"/>
              </w:rPr>
              <w:t>0/1</w:t>
            </w:r>
          </w:p>
        </w:tc>
      </w:tr>
      <w:tr w:rsidR="00BE2478" w:rsidRPr="00A640DA" w14:paraId="40BE7A04" w14:textId="77777777" w:rsidTr="00800A89">
        <w:trPr>
          <w:trHeight w:val="146"/>
        </w:trPr>
        <w:tc>
          <w:tcPr>
            <w:tcW w:w="784" w:type="dxa"/>
            <w:tcBorders>
              <w:top w:val="single" w:sz="4" w:space="0" w:color="auto"/>
              <w:left w:val="single" w:sz="4" w:space="0" w:color="auto"/>
              <w:bottom w:val="single" w:sz="4" w:space="0" w:color="auto"/>
              <w:right w:val="single" w:sz="4" w:space="0" w:color="auto"/>
            </w:tcBorders>
          </w:tcPr>
          <w:p w14:paraId="3B440147" w14:textId="45EC8AC1" w:rsidR="00BE2478" w:rsidRPr="006304A3" w:rsidRDefault="00211085" w:rsidP="001204D7">
            <w:pPr>
              <w:jc w:val="center"/>
              <w:rPr>
                <w:rFonts w:ascii="Calibri" w:hAnsi="Calibri" w:cs="Calibri"/>
                <w:b/>
                <w:sz w:val="24"/>
                <w:szCs w:val="24"/>
              </w:rPr>
            </w:pPr>
            <w:r w:rsidRPr="006304A3">
              <w:rPr>
                <w:rFonts w:ascii="Calibri" w:hAnsi="Calibri" w:cs="Calibri"/>
                <w:b/>
                <w:sz w:val="24"/>
                <w:szCs w:val="24"/>
              </w:rPr>
              <w:t>5</w:t>
            </w:r>
          </w:p>
        </w:tc>
        <w:tc>
          <w:tcPr>
            <w:tcW w:w="2538" w:type="dxa"/>
            <w:tcBorders>
              <w:bottom w:val="single" w:sz="4" w:space="0" w:color="auto"/>
            </w:tcBorders>
            <w:shd w:val="clear" w:color="auto" w:fill="FFFFFF" w:themeFill="background1"/>
          </w:tcPr>
          <w:p w14:paraId="588D0BB2" w14:textId="1498109C" w:rsidR="00A30CC3" w:rsidRPr="006304A3" w:rsidRDefault="00BE2478" w:rsidP="00A30CC3">
            <w:pPr>
              <w:rPr>
                <w:rFonts w:ascii="Calibri" w:hAnsi="Calibri" w:cs="Calibri"/>
                <w:b/>
                <w:bCs/>
                <w:sz w:val="24"/>
                <w:szCs w:val="24"/>
              </w:rPr>
            </w:pPr>
            <w:r w:rsidRPr="006304A3">
              <w:rPr>
                <w:rFonts w:ascii="Calibri" w:hAnsi="Calibri" w:cs="Calibri"/>
                <w:b/>
                <w:bCs/>
                <w:sz w:val="24"/>
                <w:szCs w:val="24"/>
              </w:rPr>
              <w:t>Przedsięwzięcie jest zgodne z</w:t>
            </w:r>
            <w:r w:rsidR="00A30CC3" w:rsidRPr="006304A3">
              <w:rPr>
                <w:rFonts w:ascii="Calibri" w:hAnsi="Calibri" w:cs="Calibri"/>
                <w:b/>
                <w:bCs/>
                <w:sz w:val="24"/>
                <w:szCs w:val="24"/>
              </w:rPr>
              <w:t xml:space="preserve"> Załącznikiem do decyzji wykonawczej Rady zmieniającej decyzję</w:t>
            </w:r>
          </w:p>
          <w:p w14:paraId="36069BC2" w14:textId="77777777" w:rsidR="00A30CC3" w:rsidRPr="006304A3" w:rsidRDefault="00A30CC3" w:rsidP="00A30CC3">
            <w:pPr>
              <w:rPr>
                <w:rFonts w:ascii="Calibri" w:hAnsi="Calibri" w:cs="Calibri"/>
                <w:b/>
                <w:bCs/>
                <w:sz w:val="24"/>
                <w:szCs w:val="24"/>
              </w:rPr>
            </w:pPr>
            <w:r w:rsidRPr="006304A3">
              <w:rPr>
                <w:rFonts w:ascii="Calibri" w:hAnsi="Calibri" w:cs="Calibri"/>
                <w:b/>
                <w:bCs/>
                <w:sz w:val="24"/>
                <w:szCs w:val="24"/>
              </w:rPr>
              <w:t>wykonawczą z dnia 17 czerwca 2022 r. w sprawie zatwierdzenia oceny</w:t>
            </w:r>
          </w:p>
          <w:p w14:paraId="3AF1C667" w14:textId="7FEED957" w:rsidR="00BE2478" w:rsidRPr="006304A3" w:rsidRDefault="00A30CC3" w:rsidP="00A30CC3">
            <w:pPr>
              <w:rPr>
                <w:rFonts w:ascii="Calibri" w:hAnsi="Calibri" w:cs="Calibri"/>
                <w:b/>
                <w:bCs/>
                <w:sz w:val="24"/>
                <w:szCs w:val="24"/>
              </w:rPr>
            </w:pPr>
            <w:r w:rsidRPr="006304A3">
              <w:rPr>
                <w:rFonts w:ascii="Calibri" w:hAnsi="Calibri" w:cs="Calibri"/>
                <w:b/>
                <w:bCs/>
                <w:sz w:val="24"/>
                <w:szCs w:val="24"/>
              </w:rPr>
              <w:t>Planu Odbudowy i Zwiększania Odporności Polski</w:t>
            </w:r>
          </w:p>
        </w:tc>
        <w:tc>
          <w:tcPr>
            <w:tcW w:w="9026" w:type="dxa"/>
            <w:tcBorders>
              <w:bottom w:val="single" w:sz="4" w:space="0" w:color="auto"/>
            </w:tcBorders>
            <w:shd w:val="clear" w:color="auto" w:fill="FFFFFF" w:themeFill="background1"/>
          </w:tcPr>
          <w:p w14:paraId="6931F7AC" w14:textId="5C739E0E" w:rsidR="00694FA7" w:rsidRPr="006304A3" w:rsidRDefault="00A72F65" w:rsidP="009C4358">
            <w:pPr>
              <w:spacing w:after="360"/>
              <w:rPr>
                <w:rFonts w:ascii="Calibri" w:hAnsi="Calibri" w:cs="Calibri"/>
                <w:color w:val="000000"/>
                <w:sz w:val="24"/>
                <w:szCs w:val="24"/>
              </w:rPr>
            </w:pPr>
            <w:r w:rsidRPr="006304A3">
              <w:rPr>
                <w:rFonts w:ascii="Calibri" w:hAnsi="Calibri" w:cs="Calibri"/>
                <w:color w:val="000000"/>
                <w:sz w:val="24"/>
                <w:szCs w:val="24"/>
              </w:rPr>
              <w:t xml:space="preserve">Warunkiem spełnienia kryterium jest zapewnienie przez Ostatecznego odbiorcę wsparcia zgodności Przedsięwzięcia z </w:t>
            </w:r>
            <w:r w:rsidR="00A30CC3" w:rsidRPr="006304A3">
              <w:rPr>
                <w:rFonts w:ascii="Calibri" w:hAnsi="Calibri" w:cs="Calibri"/>
                <w:color w:val="000000"/>
                <w:sz w:val="24"/>
                <w:szCs w:val="24"/>
              </w:rPr>
              <w:t>Załącznikiem do decyzji wykonawczej Rady zmieniającej decyzję wykonawczą z dnia 17 czerwca 2022 r. w sprawie zatwierdzenia oceny</w:t>
            </w:r>
            <w:r w:rsidR="00E55114">
              <w:rPr>
                <w:rFonts w:ascii="Calibri" w:hAnsi="Calibri" w:cs="Calibri"/>
                <w:color w:val="000000"/>
                <w:sz w:val="24"/>
                <w:szCs w:val="24"/>
              </w:rPr>
              <w:t xml:space="preserve"> </w:t>
            </w:r>
            <w:r w:rsidR="00A30CC3" w:rsidRPr="006304A3">
              <w:rPr>
                <w:rFonts w:ascii="Calibri" w:hAnsi="Calibri" w:cs="Calibri"/>
                <w:color w:val="000000"/>
                <w:sz w:val="24"/>
                <w:szCs w:val="24"/>
              </w:rPr>
              <w:t xml:space="preserve">Planu Odbudowy i Zwiększania Odporności Polski </w:t>
            </w:r>
            <w:r w:rsidRPr="006304A3">
              <w:rPr>
                <w:rFonts w:ascii="Calibri" w:hAnsi="Calibri" w:cs="Calibri"/>
                <w:color w:val="000000"/>
                <w:sz w:val="24"/>
                <w:szCs w:val="24"/>
              </w:rPr>
              <w:t>oraz z przepisami rozporządzenia RRF, w tym zapewnienie, że:</w:t>
            </w:r>
          </w:p>
          <w:p w14:paraId="3CF76AC2" w14:textId="10F7AB85" w:rsidR="00694FA7" w:rsidRPr="006304A3" w:rsidRDefault="00694FA7">
            <w:pPr>
              <w:pStyle w:val="Akapitzlist"/>
              <w:numPr>
                <w:ilvl w:val="0"/>
                <w:numId w:val="10"/>
              </w:numPr>
              <w:rPr>
                <w:rFonts w:ascii="Calibri" w:hAnsi="Calibri" w:cs="Calibri"/>
                <w:color w:val="000000"/>
                <w:sz w:val="24"/>
                <w:szCs w:val="24"/>
              </w:rPr>
            </w:pPr>
            <w:r w:rsidRPr="006304A3">
              <w:rPr>
                <w:rFonts w:ascii="Calibri" w:hAnsi="Calibri" w:cs="Calibri"/>
                <w:color w:val="000000"/>
                <w:sz w:val="24"/>
                <w:szCs w:val="24"/>
              </w:rPr>
              <w:t xml:space="preserve">Przedsięwzięcie jest zgodne z rodzajem </w:t>
            </w:r>
            <w:r w:rsidR="00E95709" w:rsidRPr="006304A3">
              <w:rPr>
                <w:rFonts w:ascii="Calibri" w:hAnsi="Calibri" w:cs="Calibri"/>
                <w:color w:val="000000"/>
                <w:sz w:val="24"/>
                <w:szCs w:val="24"/>
              </w:rPr>
              <w:t>P</w:t>
            </w:r>
            <w:r w:rsidRPr="006304A3">
              <w:rPr>
                <w:rFonts w:ascii="Calibri" w:hAnsi="Calibri" w:cs="Calibri"/>
                <w:color w:val="000000"/>
                <w:sz w:val="24"/>
                <w:szCs w:val="24"/>
              </w:rPr>
              <w:t>rzedsięwzięć przewidzianym w opisie Inwestycji C2.1.1;</w:t>
            </w:r>
          </w:p>
          <w:p w14:paraId="510DBD85" w14:textId="39959EBD" w:rsidR="00694FA7" w:rsidRPr="006304A3" w:rsidRDefault="00694FA7">
            <w:pPr>
              <w:pStyle w:val="Akapitzlist"/>
              <w:numPr>
                <w:ilvl w:val="0"/>
                <w:numId w:val="10"/>
              </w:numPr>
              <w:rPr>
                <w:rFonts w:ascii="Calibri" w:hAnsi="Calibri" w:cs="Calibri"/>
                <w:color w:val="000000"/>
                <w:sz w:val="24"/>
                <w:szCs w:val="24"/>
              </w:rPr>
            </w:pPr>
            <w:r w:rsidRPr="006304A3">
              <w:rPr>
                <w:rFonts w:ascii="Calibri" w:hAnsi="Calibri" w:cs="Calibri"/>
                <w:color w:val="000000"/>
                <w:sz w:val="24"/>
                <w:szCs w:val="24"/>
              </w:rPr>
              <w:t>nie przekroczono pułapu maksymalnego poziomu finansowania dla danego typu Przedsięwzięcia</w:t>
            </w:r>
            <w:r w:rsidR="009C4358">
              <w:rPr>
                <w:rFonts w:ascii="Calibri" w:hAnsi="Calibri" w:cs="Calibri"/>
                <w:color w:val="000000"/>
                <w:sz w:val="24"/>
                <w:szCs w:val="24"/>
              </w:rPr>
              <w:t>;</w:t>
            </w:r>
          </w:p>
          <w:p w14:paraId="68552D70" w14:textId="31DF232F" w:rsidR="00694FA7" w:rsidRPr="006304A3" w:rsidRDefault="00694FA7">
            <w:pPr>
              <w:pStyle w:val="Akapitzlist"/>
              <w:numPr>
                <w:ilvl w:val="0"/>
                <w:numId w:val="10"/>
              </w:numPr>
              <w:rPr>
                <w:rFonts w:ascii="Calibri" w:hAnsi="Calibri" w:cs="Calibri"/>
                <w:color w:val="000000"/>
                <w:sz w:val="24"/>
                <w:szCs w:val="24"/>
              </w:rPr>
            </w:pPr>
            <w:r w:rsidRPr="006304A3">
              <w:rPr>
                <w:rFonts w:ascii="Calibri" w:hAnsi="Calibri" w:cs="Calibri"/>
                <w:color w:val="000000"/>
                <w:sz w:val="24"/>
                <w:szCs w:val="24"/>
              </w:rPr>
              <w:t>Ostateczny odbiorca</w:t>
            </w:r>
            <w:r w:rsidR="0070276F" w:rsidRPr="006304A3">
              <w:rPr>
                <w:rFonts w:ascii="Calibri" w:hAnsi="Calibri" w:cs="Calibri"/>
                <w:color w:val="000000"/>
                <w:sz w:val="24"/>
                <w:szCs w:val="24"/>
              </w:rPr>
              <w:t xml:space="preserve"> </w:t>
            </w:r>
            <w:r w:rsidRPr="006304A3">
              <w:rPr>
                <w:rFonts w:ascii="Calibri" w:hAnsi="Calibri" w:cs="Calibri"/>
                <w:color w:val="000000"/>
                <w:sz w:val="24"/>
                <w:szCs w:val="24"/>
              </w:rPr>
              <w:t>wsparci</w:t>
            </w:r>
            <w:r w:rsidR="0070276F" w:rsidRPr="006304A3">
              <w:rPr>
                <w:rFonts w:ascii="Calibri" w:hAnsi="Calibri" w:cs="Calibri"/>
                <w:color w:val="000000"/>
                <w:sz w:val="24"/>
                <w:szCs w:val="24"/>
              </w:rPr>
              <w:t>a</w:t>
            </w:r>
            <w:r w:rsidRPr="006304A3">
              <w:rPr>
                <w:rFonts w:ascii="Calibri" w:hAnsi="Calibri" w:cs="Calibri"/>
                <w:color w:val="000000"/>
                <w:sz w:val="24"/>
                <w:szCs w:val="24"/>
              </w:rPr>
              <w:t xml:space="preserve"> i </w:t>
            </w:r>
            <w:r w:rsidR="00392582" w:rsidRPr="006304A3">
              <w:rPr>
                <w:rFonts w:ascii="Calibri" w:hAnsi="Calibri" w:cs="Calibri"/>
                <w:color w:val="000000"/>
                <w:sz w:val="24"/>
                <w:szCs w:val="24"/>
              </w:rPr>
              <w:t>P</w:t>
            </w:r>
            <w:r w:rsidR="00412BAD" w:rsidRPr="006304A3">
              <w:rPr>
                <w:rFonts w:ascii="Calibri" w:hAnsi="Calibri" w:cs="Calibri"/>
                <w:color w:val="000000"/>
                <w:sz w:val="24"/>
                <w:szCs w:val="24"/>
              </w:rPr>
              <w:t>artner</w:t>
            </w:r>
            <w:r w:rsidR="009115F7" w:rsidRPr="006304A3">
              <w:rPr>
                <w:rFonts w:ascii="Calibri" w:hAnsi="Calibri" w:cs="Calibri"/>
                <w:color w:val="000000"/>
                <w:sz w:val="24"/>
                <w:szCs w:val="24"/>
              </w:rPr>
              <w:t>/</w:t>
            </w:r>
            <w:r w:rsidR="00392582" w:rsidRPr="006304A3">
              <w:rPr>
                <w:rFonts w:ascii="Calibri" w:hAnsi="Calibri" w:cs="Calibri"/>
                <w:color w:val="000000"/>
                <w:sz w:val="24"/>
                <w:szCs w:val="24"/>
              </w:rPr>
              <w:t>P</w:t>
            </w:r>
            <w:r w:rsidRPr="006304A3">
              <w:rPr>
                <w:rFonts w:ascii="Calibri" w:hAnsi="Calibri" w:cs="Calibri"/>
                <w:color w:val="000000"/>
                <w:sz w:val="24"/>
                <w:szCs w:val="24"/>
              </w:rPr>
              <w:t xml:space="preserve">artnerzy (jeśli dotyczy) są uprawnieni do ubiegania się o przyznanie dofinansowania i nie są wykluczeni z dofinansowania na podstawie art. 207 ustawy z dnia 27 sierpnia 2009 r. o finansach publicznych </w:t>
            </w:r>
            <w:r w:rsidRPr="006304A3">
              <w:rPr>
                <w:rFonts w:ascii="Calibri" w:hAnsi="Calibri" w:cs="Calibri"/>
                <w:color w:val="000000"/>
                <w:sz w:val="24"/>
                <w:szCs w:val="24"/>
              </w:rPr>
              <w:lastRenderedPageBreak/>
              <w:t xml:space="preserve">(Dz. U. z 2021 r. poz. 305, 1236 i 1535 wraz z późn. zm.). </w:t>
            </w:r>
            <w:r w:rsidR="00A77514" w:rsidRPr="006304A3">
              <w:rPr>
                <w:rFonts w:ascii="Calibri" w:hAnsi="Calibri" w:cs="Calibri"/>
                <w:color w:val="000000"/>
                <w:sz w:val="24"/>
                <w:szCs w:val="24"/>
              </w:rPr>
              <w:t>(Oświadczenie</w:t>
            </w:r>
            <w:r w:rsidR="0070276F" w:rsidRPr="006304A3">
              <w:rPr>
                <w:rFonts w:ascii="Calibri" w:hAnsi="Calibri" w:cs="Calibri"/>
                <w:color w:val="000000"/>
                <w:sz w:val="24"/>
                <w:szCs w:val="24"/>
              </w:rPr>
              <w:t xml:space="preserve"> O</w:t>
            </w:r>
            <w:r w:rsidR="00A77514" w:rsidRPr="006304A3">
              <w:rPr>
                <w:rFonts w:ascii="Calibri" w:hAnsi="Calibri" w:cs="Calibri"/>
                <w:color w:val="000000"/>
                <w:sz w:val="24"/>
                <w:szCs w:val="24"/>
              </w:rPr>
              <w:t>statecznego odbiorcy wsparci</w:t>
            </w:r>
            <w:r w:rsidR="0070276F" w:rsidRPr="006304A3">
              <w:rPr>
                <w:rFonts w:ascii="Calibri" w:hAnsi="Calibri" w:cs="Calibri"/>
                <w:color w:val="000000"/>
                <w:sz w:val="24"/>
                <w:szCs w:val="24"/>
              </w:rPr>
              <w:t>a</w:t>
            </w:r>
            <w:r w:rsidR="00A77514" w:rsidRPr="006304A3">
              <w:rPr>
                <w:rFonts w:ascii="Calibri" w:hAnsi="Calibri" w:cs="Calibri"/>
                <w:color w:val="000000"/>
                <w:sz w:val="24"/>
                <w:szCs w:val="24"/>
              </w:rPr>
              <w:t xml:space="preserve"> i </w:t>
            </w:r>
            <w:r w:rsidR="00392582" w:rsidRPr="006304A3">
              <w:rPr>
                <w:rFonts w:ascii="Calibri" w:hAnsi="Calibri" w:cs="Calibri"/>
                <w:color w:val="000000"/>
                <w:sz w:val="24"/>
                <w:szCs w:val="24"/>
              </w:rPr>
              <w:t>P</w:t>
            </w:r>
            <w:r w:rsidR="00A77514" w:rsidRPr="006304A3">
              <w:rPr>
                <w:rFonts w:ascii="Calibri" w:hAnsi="Calibri" w:cs="Calibri"/>
                <w:color w:val="000000"/>
                <w:sz w:val="24"/>
                <w:szCs w:val="24"/>
              </w:rPr>
              <w:t>artnera/</w:t>
            </w:r>
            <w:r w:rsidR="00392582" w:rsidRPr="006304A3">
              <w:rPr>
                <w:rFonts w:ascii="Calibri" w:hAnsi="Calibri" w:cs="Calibri"/>
                <w:color w:val="000000"/>
                <w:sz w:val="24"/>
                <w:szCs w:val="24"/>
              </w:rPr>
              <w:t>P</w:t>
            </w:r>
            <w:r w:rsidR="00A77514" w:rsidRPr="006304A3">
              <w:rPr>
                <w:rFonts w:ascii="Calibri" w:hAnsi="Calibri" w:cs="Calibri"/>
                <w:color w:val="000000"/>
                <w:sz w:val="24"/>
                <w:szCs w:val="24"/>
              </w:rPr>
              <w:t>artnerów – jeśli dotyczy).</w:t>
            </w:r>
          </w:p>
        </w:tc>
        <w:tc>
          <w:tcPr>
            <w:tcW w:w="1247" w:type="dxa"/>
            <w:tcBorders>
              <w:top w:val="single" w:sz="4" w:space="0" w:color="auto"/>
              <w:left w:val="single" w:sz="4" w:space="0" w:color="auto"/>
              <w:bottom w:val="single" w:sz="4" w:space="0" w:color="auto"/>
              <w:right w:val="single" w:sz="4" w:space="0" w:color="auto"/>
            </w:tcBorders>
            <w:vAlign w:val="center"/>
          </w:tcPr>
          <w:p w14:paraId="26BD2198" w14:textId="18101436" w:rsidR="00BE2478" w:rsidRPr="006304A3" w:rsidRDefault="00913099" w:rsidP="002C4C0F">
            <w:pPr>
              <w:jc w:val="center"/>
              <w:rPr>
                <w:rFonts w:ascii="Calibri" w:hAnsi="Calibri" w:cs="Calibri"/>
                <w:color w:val="000000"/>
                <w:sz w:val="24"/>
                <w:szCs w:val="24"/>
              </w:rPr>
            </w:pPr>
            <w:r w:rsidRPr="006304A3">
              <w:rPr>
                <w:rFonts w:ascii="Calibri" w:hAnsi="Calibri" w:cs="Calibri"/>
                <w:color w:val="000000"/>
                <w:sz w:val="24"/>
                <w:szCs w:val="24"/>
              </w:rPr>
              <w:lastRenderedPageBreak/>
              <w:t>0/1</w:t>
            </w:r>
          </w:p>
        </w:tc>
      </w:tr>
      <w:tr w:rsidR="001204D7" w:rsidRPr="00A640DA" w14:paraId="58126CA5" w14:textId="77777777" w:rsidTr="00800A89">
        <w:trPr>
          <w:trHeight w:val="982"/>
        </w:trPr>
        <w:tc>
          <w:tcPr>
            <w:tcW w:w="784" w:type="dxa"/>
            <w:tcBorders>
              <w:top w:val="single" w:sz="4" w:space="0" w:color="auto"/>
              <w:left w:val="single" w:sz="4" w:space="0" w:color="auto"/>
              <w:bottom w:val="single" w:sz="4" w:space="0" w:color="auto"/>
              <w:right w:val="single" w:sz="4" w:space="0" w:color="auto"/>
            </w:tcBorders>
          </w:tcPr>
          <w:p w14:paraId="04C766C8" w14:textId="3BE41862" w:rsidR="001204D7" w:rsidRPr="006304A3" w:rsidRDefault="00211085" w:rsidP="001204D7">
            <w:pPr>
              <w:jc w:val="center"/>
              <w:rPr>
                <w:rFonts w:ascii="Calibri" w:hAnsi="Calibri" w:cs="Calibri"/>
                <w:b/>
                <w:sz w:val="24"/>
                <w:szCs w:val="24"/>
              </w:rPr>
            </w:pPr>
            <w:r w:rsidRPr="006304A3">
              <w:rPr>
                <w:rFonts w:ascii="Calibri" w:hAnsi="Calibri" w:cs="Calibri"/>
                <w:b/>
                <w:sz w:val="24"/>
                <w:szCs w:val="24"/>
              </w:rPr>
              <w:t>6</w:t>
            </w:r>
          </w:p>
        </w:tc>
        <w:tc>
          <w:tcPr>
            <w:tcW w:w="2538" w:type="dxa"/>
            <w:tcBorders>
              <w:top w:val="single" w:sz="4" w:space="0" w:color="auto"/>
              <w:left w:val="single" w:sz="4" w:space="0" w:color="auto"/>
              <w:bottom w:val="single" w:sz="4" w:space="0" w:color="auto"/>
              <w:right w:val="single" w:sz="4" w:space="0" w:color="auto"/>
            </w:tcBorders>
          </w:tcPr>
          <w:p w14:paraId="70BEBFD3" w14:textId="4744E66C" w:rsidR="001204D7" w:rsidRPr="006304A3" w:rsidRDefault="001204D7" w:rsidP="001204D7">
            <w:pPr>
              <w:rPr>
                <w:rFonts w:ascii="Calibri" w:hAnsi="Calibri" w:cs="Calibri"/>
                <w:b/>
                <w:bCs/>
                <w:sz w:val="24"/>
                <w:szCs w:val="24"/>
              </w:rPr>
            </w:pPr>
            <w:r w:rsidRPr="006304A3">
              <w:rPr>
                <w:rFonts w:ascii="Calibri" w:hAnsi="Calibri" w:cs="Calibri"/>
                <w:b/>
                <w:bCs/>
                <w:sz w:val="24"/>
                <w:szCs w:val="24"/>
              </w:rPr>
              <w:t xml:space="preserve">Niepodleganie wykluczeniu z możliwości otrzymania dofinansowania </w:t>
            </w:r>
          </w:p>
        </w:tc>
        <w:tc>
          <w:tcPr>
            <w:tcW w:w="9026" w:type="dxa"/>
            <w:tcBorders>
              <w:top w:val="single" w:sz="4" w:space="0" w:color="auto"/>
              <w:left w:val="single" w:sz="4" w:space="0" w:color="auto"/>
              <w:bottom w:val="single" w:sz="4" w:space="0" w:color="auto"/>
              <w:right w:val="single" w:sz="4" w:space="0" w:color="auto"/>
            </w:tcBorders>
          </w:tcPr>
          <w:p w14:paraId="688CC63A" w14:textId="1C60C4A2" w:rsidR="00BB251F" w:rsidRPr="006304A3" w:rsidRDefault="00BB251F" w:rsidP="00AC1ADC">
            <w:pPr>
              <w:spacing w:after="360"/>
              <w:rPr>
                <w:rFonts w:ascii="Calibri" w:hAnsi="Calibri" w:cs="Calibri"/>
                <w:color w:val="000000"/>
                <w:sz w:val="24"/>
                <w:szCs w:val="24"/>
              </w:rPr>
            </w:pPr>
            <w:r w:rsidRPr="006304A3">
              <w:rPr>
                <w:rFonts w:ascii="Calibri" w:hAnsi="Calibri" w:cs="Calibri"/>
                <w:color w:val="000000"/>
                <w:sz w:val="24"/>
                <w:szCs w:val="24"/>
              </w:rPr>
              <w:t xml:space="preserve">Warunkiem spełnienia kryterium jest zapewnienie przez </w:t>
            </w:r>
            <w:r w:rsidR="008D49B1" w:rsidRPr="006304A3">
              <w:rPr>
                <w:rFonts w:ascii="Calibri" w:hAnsi="Calibri" w:cs="Calibri"/>
                <w:color w:val="000000"/>
                <w:sz w:val="24"/>
                <w:szCs w:val="24"/>
              </w:rPr>
              <w:t>O</w:t>
            </w:r>
            <w:r w:rsidRPr="006304A3">
              <w:rPr>
                <w:rFonts w:ascii="Calibri" w:hAnsi="Calibri" w:cs="Calibri"/>
                <w:color w:val="000000"/>
                <w:sz w:val="24"/>
                <w:szCs w:val="24"/>
              </w:rPr>
              <w:t xml:space="preserve">statecznego odbiorcę wsparcia i </w:t>
            </w:r>
            <w:r w:rsidR="00917D43" w:rsidRPr="006304A3">
              <w:rPr>
                <w:rFonts w:ascii="Calibri" w:hAnsi="Calibri" w:cs="Calibri"/>
                <w:color w:val="000000"/>
                <w:sz w:val="24"/>
                <w:szCs w:val="24"/>
              </w:rPr>
              <w:t>P</w:t>
            </w:r>
            <w:r w:rsidR="008D49B1" w:rsidRPr="006304A3">
              <w:rPr>
                <w:rFonts w:ascii="Calibri" w:hAnsi="Calibri" w:cs="Calibri"/>
                <w:color w:val="000000"/>
                <w:sz w:val="24"/>
                <w:szCs w:val="24"/>
              </w:rPr>
              <w:t>artnera/</w:t>
            </w:r>
            <w:r w:rsidR="00917D43" w:rsidRPr="006304A3">
              <w:rPr>
                <w:rFonts w:ascii="Calibri" w:hAnsi="Calibri" w:cs="Calibri"/>
                <w:color w:val="000000"/>
                <w:sz w:val="24"/>
                <w:szCs w:val="24"/>
              </w:rPr>
              <w:t>P</w:t>
            </w:r>
            <w:r w:rsidRPr="006304A3">
              <w:rPr>
                <w:rFonts w:ascii="Calibri" w:hAnsi="Calibri" w:cs="Calibri"/>
                <w:color w:val="000000"/>
                <w:sz w:val="24"/>
                <w:szCs w:val="24"/>
              </w:rPr>
              <w:t>artnerów (jeśli dotyczy), w formie oświadczenia</w:t>
            </w:r>
            <w:r w:rsidR="0070276F" w:rsidRPr="006304A3">
              <w:rPr>
                <w:rFonts w:ascii="Calibri" w:hAnsi="Calibri" w:cs="Calibri"/>
                <w:color w:val="000000"/>
                <w:sz w:val="24"/>
                <w:szCs w:val="24"/>
              </w:rPr>
              <w:t>:</w:t>
            </w:r>
          </w:p>
          <w:p w14:paraId="658C4B3C" w14:textId="64C57496" w:rsidR="00BB251F" w:rsidRPr="006304A3" w:rsidRDefault="00BB251F">
            <w:pPr>
              <w:pStyle w:val="Akapitzlist"/>
              <w:numPr>
                <w:ilvl w:val="0"/>
                <w:numId w:val="9"/>
              </w:numPr>
              <w:rPr>
                <w:rFonts w:ascii="Calibri" w:hAnsi="Calibri" w:cs="Calibri"/>
                <w:color w:val="000000"/>
                <w:sz w:val="24"/>
                <w:szCs w:val="24"/>
              </w:rPr>
            </w:pPr>
            <w:r w:rsidRPr="006304A3">
              <w:rPr>
                <w:rFonts w:ascii="Calibri" w:hAnsi="Calibri" w:cs="Calibri"/>
                <w:color w:val="000000"/>
                <w:sz w:val="24"/>
                <w:szCs w:val="24"/>
              </w:rPr>
              <w:t>że nie zastosowano wobec nich środków na podstawie art. 1 ustawy z dnia 13 kwietnia 2022 r. o szczególnych rozwiązaniach w zakresie przeciwdziałania wspieraniu agresji na Ukrainę oraz służących ochronie bezpieczeństwa narodowego (</w:t>
            </w:r>
            <w:r w:rsidR="00262398" w:rsidRPr="006304A3">
              <w:rPr>
                <w:rFonts w:ascii="Calibri" w:hAnsi="Calibri" w:cs="Calibri"/>
                <w:color w:val="000000"/>
                <w:sz w:val="24"/>
                <w:szCs w:val="24"/>
              </w:rPr>
              <w:t>Dz. U. z 2023 r. poz. 1497 z późn. zm.</w:t>
            </w:r>
            <w:r w:rsidRPr="006304A3">
              <w:rPr>
                <w:rFonts w:ascii="Calibri" w:hAnsi="Calibri" w:cs="Calibri"/>
                <w:color w:val="000000"/>
                <w:sz w:val="24"/>
                <w:szCs w:val="24"/>
              </w:rPr>
              <w:t>);</w:t>
            </w:r>
          </w:p>
          <w:p w14:paraId="78B57B84" w14:textId="5D7381D9" w:rsidR="001204D7" w:rsidRPr="00AC1ADC" w:rsidRDefault="00BB251F" w:rsidP="00B778AE">
            <w:pPr>
              <w:pStyle w:val="Akapitzlist"/>
              <w:numPr>
                <w:ilvl w:val="0"/>
                <w:numId w:val="3"/>
              </w:numPr>
              <w:ind w:left="753"/>
              <w:rPr>
                <w:rFonts w:ascii="Calibri" w:hAnsi="Calibri" w:cs="Calibri"/>
                <w:color w:val="000000"/>
                <w:sz w:val="24"/>
                <w:szCs w:val="24"/>
              </w:rPr>
            </w:pPr>
            <w:r w:rsidRPr="006304A3">
              <w:rPr>
                <w:rFonts w:ascii="Calibri" w:hAnsi="Calibri" w:cs="Calibri"/>
                <w:color w:val="000000"/>
                <w:sz w:val="24"/>
                <w:szCs w:val="24"/>
              </w:rPr>
              <w:t xml:space="preserve"> że nie podlegają wykluczeniu z ubiegania się o objęcie wsparciem na podstawie art. 9 ust. 1 pkt 2a ustawy z dnia 28 października 2002 r. o odpowiedzialności podmiotów zbiorowych za czyny zabronione pod groźbą kary (Dz.U. 2023 r. poz</w:t>
            </w:r>
            <w:r w:rsidR="00B72B96" w:rsidRPr="006304A3">
              <w:rPr>
                <w:rFonts w:ascii="Calibri" w:hAnsi="Calibri" w:cs="Calibri"/>
                <w:color w:val="000000"/>
                <w:sz w:val="24"/>
                <w:szCs w:val="24"/>
              </w:rPr>
              <w:t>.</w:t>
            </w:r>
            <w:r w:rsidRPr="006304A3">
              <w:rPr>
                <w:rFonts w:ascii="Calibri" w:hAnsi="Calibri" w:cs="Calibri"/>
                <w:color w:val="000000"/>
                <w:sz w:val="24"/>
                <w:szCs w:val="24"/>
              </w:rPr>
              <w:t xml:space="preserve"> 659.) – nie dotyczy jednostek organizacyjnych Skarbu Państwa.</w:t>
            </w:r>
          </w:p>
        </w:tc>
        <w:tc>
          <w:tcPr>
            <w:tcW w:w="1247" w:type="dxa"/>
            <w:tcBorders>
              <w:top w:val="single" w:sz="4" w:space="0" w:color="auto"/>
              <w:left w:val="single" w:sz="4" w:space="0" w:color="auto"/>
              <w:bottom w:val="single" w:sz="4" w:space="0" w:color="auto"/>
              <w:right w:val="single" w:sz="4" w:space="0" w:color="auto"/>
            </w:tcBorders>
            <w:vAlign w:val="center"/>
          </w:tcPr>
          <w:p w14:paraId="655063D2" w14:textId="600C6928" w:rsidR="00913099" w:rsidRPr="006304A3" w:rsidRDefault="00913099" w:rsidP="002C4C0F">
            <w:pPr>
              <w:jc w:val="center"/>
              <w:rPr>
                <w:rFonts w:ascii="Calibri" w:hAnsi="Calibri" w:cs="Calibri"/>
                <w:sz w:val="24"/>
                <w:szCs w:val="24"/>
              </w:rPr>
            </w:pPr>
            <w:r w:rsidRPr="006304A3">
              <w:rPr>
                <w:rFonts w:ascii="Calibri" w:hAnsi="Calibri" w:cs="Calibri"/>
                <w:color w:val="000000"/>
                <w:sz w:val="24"/>
                <w:szCs w:val="24"/>
              </w:rPr>
              <w:t>0/1</w:t>
            </w:r>
          </w:p>
        </w:tc>
      </w:tr>
      <w:tr w:rsidR="001204D7" w:rsidRPr="00A640DA" w14:paraId="13B44761" w14:textId="77777777" w:rsidTr="00800A89">
        <w:trPr>
          <w:trHeight w:val="146"/>
        </w:trPr>
        <w:tc>
          <w:tcPr>
            <w:tcW w:w="784" w:type="dxa"/>
            <w:tcBorders>
              <w:top w:val="single" w:sz="4" w:space="0" w:color="auto"/>
              <w:left w:val="single" w:sz="4" w:space="0" w:color="auto"/>
              <w:bottom w:val="single" w:sz="4" w:space="0" w:color="auto"/>
              <w:right w:val="single" w:sz="4" w:space="0" w:color="auto"/>
            </w:tcBorders>
          </w:tcPr>
          <w:p w14:paraId="0E38CD89" w14:textId="5E64A040" w:rsidR="001204D7" w:rsidRPr="006304A3" w:rsidRDefault="00211085" w:rsidP="001204D7">
            <w:pPr>
              <w:jc w:val="center"/>
              <w:rPr>
                <w:rFonts w:ascii="Calibri" w:hAnsi="Calibri" w:cs="Calibri"/>
                <w:b/>
                <w:sz w:val="24"/>
                <w:szCs w:val="24"/>
              </w:rPr>
            </w:pPr>
            <w:r w:rsidRPr="006304A3">
              <w:rPr>
                <w:rFonts w:ascii="Calibri" w:hAnsi="Calibri" w:cs="Calibri"/>
                <w:b/>
                <w:sz w:val="24"/>
                <w:szCs w:val="24"/>
              </w:rPr>
              <w:t>7</w:t>
            </w:r>
          </w:p>
        </w:tc>
        <w:tc>
          <w:tcPr>
            <w:tcW w:w="2538" w:type="dxa"/>
            <w:tcBorders>
              <w:bottom w:val="single" w:sz="4" w:space="0" w:color="auto"/>
            </w:tcBorders>
            <w:shd w:val="clear" w:color="auto" w:fill="FFFFFF" w:themeFill="background1"/>
          </w:tcPr>
          <w:p w14:paraId="3431A7E2" w14:textId="7B3FF49F" w:rsidR="001204D7" w:rsidRPr="006304A3" w:rsidRDefault="001204D7" w:rsidP="001204D7">
            <w:pPr>
              <w:rPr>
                <w:rFonts w:ascii="Calibri" w:hAnsi="Calibri" w:cs="Calibri"/>
                <w:b/>
                <w:bCs/>
                <w:sz w:val="24"/>
                <w:szCs w:val="24"/>
              </w:rPr>
            </w:pPr>
            <w:r w:rsidRPr="006304A3">
              <w:rPr>
                <w:rFonts w:ascii="Calibri" w:hAnsi="Calibri" w:cs="Calibri"/>
                <w:b/>
                <w:bCs/>
                <w:sz w:val="24"/>
                <w:szCs w:val="24"/>
              </w:rPr>
              <w:t>Brak podwójnego finansowania</w:t>
            </w:r>
          </w:p>
        </w:tc>
        <w:tc>
          <w:tcPr>
            <w:tcW w:w="9026" w:type="dxa"/>
            <w:tcBorders>
              <w:bottom w:val="single" w:sz="4" w:space="0" w:color="auto"/>
            </w:tcBorders>
            <w:shd w:val="clear" w:color="auto" w:fill="FFFFFF" w:themeFill="background1"/>
          </w:tcPr>
          <w:p w14:paraId="7B0E12EE" w14:textId="3FFC412F" w:rsidR="008D49B1" w:rsidRPr="006304A3" w:rsidRDefault="008D49B1" w:rsidP="00AC1ADC">
            <w:pPr>
              <w:spacing w:after="360"/>
              <w:rPr>
                <w:rFonts w:ascii="Calibri" w:hAnsi="Calibri" w:cs="Calibri"/>
                <w:color w:val="000000"/>
                <w:sz w:val="24"/>
                <w:szCs w:val="24"/>
              </w:rPr>
            </w:pPr>
            <w:r w:rsidRPr="006304A3">
              <w:rPr>
                <w:rFonts w:ascii="Calibri" w:hAnsi="Calibri" w:cs="Calibri"/>
                <w:color w:val="000000"/>
                <w:sz w:val="24"/>
                <w:szCs w:val="24"/>
              </w:rPr>
              <w:t xml:space="preserve">W ramach kryterium analizowane jest czy Ostateczny odbiorca </w:t>
            </w:r>
            <w:r w:rsidR="0070276F" w:rsidRPr="006304A3">
              <w:rPr>
                <w:rFonts w:ascii="Calibri" w:hAnsi="Calibri" w:cs="Calibri"/>
                <w:color w:val="000000"/>
                <w:sz w:val="24"/>
                <w:szCs w:val="24"/>
              </w:rPr>
              <w:t>wsparcia</w:t>
            </w:r>
            <w:r w:rsidRPr="006304A3">
              <w:rPr>
                <w:rFonts w:ascii="Calibri" w:hAnsi="Calibri" w:cs="Calibri"/>
                <w:color w:val="000000"/>
                <w:sz w:val="24"/>
                <w:szCs w:val="24"/>
              </w:rPr>
              <w:t xml:space="preserve"> </w:t>
            </w:r>
            <w:r w:rsidR="0070276F" w:rsidRPr="006304A3">
              <w:rPr>
                <w:rFonts w:ascii="Calibri" w:hAnsi="Calibri" w:cs="Calibri"/>
                <w:color w:val="000000"/>
                <w:sz w:val="24"/>
                <w:szCs w:val="24"/>
              </w:rPr>
              <w:t xml:space="preserve">i </w:t>
            </w:r>
            <w:r w:rsidR="00917D43" w:rsidRPr="006304A3">
              <w:rPr>
                <w:rFonts w:ascii="Calibri" w:hAnsi="Calibri" w:cs="Calibri"/>
                <w:color w:val="000000"/>
                <w:sz w:val="24"/>
                <w:szCs w:val="24"/>
              </w:rPr>
              <w:t>P</w:t>
            </w:r>
            <w:r w:rsidR="009D215F" w:rsidRPr="006304A3">
              <w:rPr>
                <w:rFonts w:ascii="Calibri" w:hAnsi="Calibri" w:cs="Calibri"/>
                <w:color w:val="000000"/>
                <w:sz w:val="24"/>
                <w:szCs w:val="24"/>
              </w:rPr>
              <w:t>artner/</w:t>
            </w:r>
            <w:r w:rsidR="00917D43" w:rsidRPr="006304A3">
              <w:rPr>
                <w:rFonts w:ascii="Calibri" w:hAnsi="Calibri" w:cs="Calibri"/>
                <w:color w:val="000000"/>
                <w:sz w:val="24"/>
                <w:szCs w:val="24"/>
              </w:rPr>
              <w:t>P</w:t>
            </w:r>
            <w:r w:rsidRPr="006304A3">
              <w:rPr>
                <w:rFonts w:ascii="Calibri" w:hAnsi="Calibri" w:cs="Calibri"/>
                <w:color w:val="000000"/>
                <w:sz w:val="24"/>
                <w:szCs w:val="24"/>
              </w:rPr>
              <w:t xml:space="preserve">artnerzy (jeśli dotyczy) nie otrzymali już finansowania na ten sam cel w ramach </w:t>
            </w:r>
            <w:r w:rsidR="00917D43" w:rsidRPr="00B3626E">
              <w:rPr>
                <w:rFonts w:ascii="Calibri" w:hAnsi="Calibri" w:cs="Calibri"/>
                <w:color w:val="000000"/>
                <w:sz w:val="24"/>
                <w:szCs w:val="24"/>
              </w:rPr>
              <w:t>P</w:t>
            </w:r>
            <w:r w:rsidRPr="00B3626E">
              <w:rPr>
                <w:rFonts w:ascii="Calibri" w:hAnsi="Calibri" w:cs="Calibri"/>
                <w:color w:val="000000"/>
                <w:sz w:val="24"/>
                <w:szCs w:val="24"/>
              </w:rPr>
              <w:t>lanu rozwojowego</w:t>
            </w:r>
            <w:r w:rsidRPr="006304A3">
              <w:rPr>
                <w:rFonts w:ascii="Calibri" w:hAnsi="Calibri" w:cs="Calibri"/>
                <w:color w:val="000000"/>
                <w:sz w:val="24"/>
                <w:szCs w:val="24"/>
              </w:rPr>
              <w:t xml:space="preserve"> lub innych unijnych programów, instrumentów, funduszy w ramach budżetu Unii Europejskiej na realizację zakresu prac zakładanego w ramach realizacji </w:t>
            </w:r>
            <w:r w:rsidR="0070276F" w:rsidRPr="006304A3">
              <w:rPr>
                <w:rFonts w:ascii="Calibri" w:hAnsi="Calibri" w:cs="Calibri"/>
                <w:color w:val="000000"/>
                <w:sz w:val="24"/>
                <w:szCs w:val="24"/>
              </w:rPr>
              <w:t>P</w:t>
            </w:r>
            <w:r w:rsidRPr="006304A3">
              <w:rPr>
                <w:rFonts w:ascii="Calibri" w:hAnsi="Calibri" w:cs="Calibri"/>
                <w:color w:val="000000"/>
                <w:sz w:val="24"/>
                <w:szCs w:val="24"/>
              </w:rPr>
              <w:t>rzedsięwzięcia.</w:t>
            </w:r>
          </w:p>
          <w:p w14:paraId="70025BE5" w14:textId="2ADA0904" w:rsidR="001204D7" w:rsidRPr="006304A3" w:rsidRDefault="008D49B1" w:rsidP="008D49B1">
            <w:pPr>
              <w:rPr>
                <w:rFonts w:ascii="Calibri" w:hAnsi="Calibri" w:cs="Calibri"/>
                <w:color w:val="000000"/>
                <w:sz w:val="24"/>
                <w:szCs w:val="24"/>
              </w:rPr>
            </w:pPr>
            <w:r w:rsidRPr="006304A3">
              <w:rPr>
                <w:rFonts w:ascii="Calibri" w:hAnsi="Calibri" w:cs="Calibri"/>
                <w:color w:val="000000"/>
                <w:sz w:val="24"/>
                <w:szCs w:val="24"/>
              </w:rPr>
              <w:t xml:space="preserve">Weryfikacja na etapie oceny </w:t>
            </w:r>
            <w:r w:rsidR="0070276F" w:rsidRPr="006304A3">
              <w:rPr>
                <w:rFonts w:ascii="Calibri" w:hAnsi="Calibri" w:cs="Calibri"/>
                <w:color w:val="000000"/>
                <w:sz w:val="24"/>
                <w:szCs w:val="24"/>
              </w:rPr>
              <w:t>W</w:t>
            </w:r>
            <w:r w:rsidRPr="006304A3">
              <w:rPr>
                <w:rFonts w:ascii="Calibri" w:hAnsi="Calibri" w:cs="Calibri"/>
                <w:color w:val="000000"/>
                <w:sz w:val="24"/>
                <w:szCs w:val="24"/>
              </w:rPr>
              <w:t xml:space="preserve">niosku o objęcie </w:t>
            </w:r>
            <w:r w:rsidR="0070276F" w:rsidRPr="006304A3">
              <w:rPr>
                <w:rFonts w:ascii="Calibri" w:hAnsi="Calibri" w:cs="Calibri"/>
                <w:color w:val="000000"/>
                <w:sz w:val="24"/>
                <w:szCs w:val="24"/>
              </w:rPr>
              <w:t xml:space="preserve">Przedsięwzięcia </w:t>
            </w:r>
            <w:r w:rsidRPr="006304A3">
              <w:rPr>
                <w:rFonts w:ascii="Calibri" w:hAnsi="Calibri" w:cs="Calibri"/>
                <w:color w:val="000000"/>
                <w:sz w:val="24"/>
                <w:szCs w:val="24"/>
              </w:rPr>
              <w:t>wsparciem będzie obejmowa</w:t>
            </w:r>
            <w:r w:rsidR="0070276F" w:rsidRPr="006304A3">
              <w:rPr>
                <w:rFonts w:ascii="Calibri" w:hAnsi="Calibri" w:cs="Calibri"/>
                <w:color w:val="000000"/>
                <w:sz w:val="24"/>
                <w:szCs w:val="24"/>
              </w:rPr>
              <w:t>ła</w:t>
            </w:r>
            <w:r w:rsidRPr="006304A3">
              <w:rPr>
                <w:rFonts w:ascii="Calibri" w:hAnsi="Calibri" w:cs="Calibri"/>
                <w:color w:val="000000"/>
                <w:sz w:val="24"/>
                <w:szCs w:val="24"/>
              </w:rPr>
              <w:t xml:space="preserve"> oświadczenie o braku podwójnego finansowania </w:t>
            </w:r>
            <w:r w:rsidR="0070276F" w:rsidRPr="006304A3">
              <w:rPr>
                <w:rFonts w:ascii="Calibri" w:hAnsi="Calibri" w:cs="Calibri"/>
                <w:color w:val="000000"/>
                <w:sz w:val="24"/>
                <w:szCs w:val="24"/>
              </w:rPr>
              <w:t>P</w:t>
            </w:r>
            <w:r w:rsidRPr="006304A3">
              <w:rPr>
                <w:rFonts w:ascii="Calibri" w:hAnsi="Calibri" w:cs="Calibri"/>
                <w:color w:val="000000"/>
                <w:sz w:val="24"/>
                <w:szCs w:val="24"/>
              </w:rPr>
              <w:t xml:space="preserve">rzedsięwzięcia złożone przez </w:t>
            </w:r>
            <w:r w:rsidR="0070276F" w:rsidRPr="006304A3">
              <w:rPr>
                <w:rFonts w:ascii="Calibri" w:hAnsi="Calibri" w:cs="Calibri"/>
                <w:color w:val="000000"/>
                <w:sz w:val="24"/>
                <w:szCs w:val="24"/>
              </w:rPr>
              <w:t>O</w:t>
            </w:r>
            <w:r w:rsidRPr="006304A3">
              <w:rPr>
                <w:rFonts w:ascii="Calibri" w:hAnsi="Calibri" w:cs="Calibri"/>
                <w:color w:val="000000"/>
                <w:sz w:val="24"/>
                <w:szCs w:val="24"/>
              </w:rPr>
              <w:t>statecznego odbiorcę</w:t>
            </w:r>
            <w:r w:rsidR="0070276F" w:rsidRPr="006304A3">
              <w:rPr>
                <w:rFonts w:ascii="Calibri" w:hAnsi="Calibri" w:cs="Calibri"/>
                <w:color w:val="000000"/>
                <w:sz w:val="24"/>
                <w:szCs w:val="24"/>
              </w:rPr>
              <w:t xml:space="preserve"> wsparcia</w:t>
            </w:r>
            <w:r w:rsidRPr="006304A3">
              <w:rPr>
                <w:rFonts w:ascii="Calibri" w:hAnsi="Calibri" w:cs="Calibri"/>
                <w:color w:val="000000"/>
                <w:sz w:val="24"/>
                <w:szCs w:val="24"/>
              </w:rPr>
              <w:t xml:space="preserve"> i </w:t>
            </w:r>
            <w:r w:rsidR="00917D43" w:rsidRPr="006304A3">
              <w:rPr>
                <w:rFonts w:ascii="Calibri" w:hAnsi="Calibri" w:cs="Calibri"/>
                <w:color w:val="000000"/>
                <w:sz w:val="24"/>
                <w:szCs w:val="24"/>
              </w:rPr>
              <w:t>P</w:t>
            </w:r>
            <w:r w:rsidR="0070276F" w:rsidRPr="006304A3">
              <w:rPr>
                <w:rFonts w:ascii="Calibri" w:hAnsi="Calibri" w:cs="Calibri"/>
                <w:color w:val="000000"/>
                <w:sz w:val="24"/>
                <w:szCs w:val="24"/>
              </w:rPr>
              <w:t>artnera/</w:t>
            </w:r>
            <w:r w:rsidR="00917D43" w:rsidRPr="006304A3">
              <w:rPr>
                <w:rFonts w:ascii="Calibri" w:hAnsi="Calibri" w:cs="Calibri"/>
                <w:color w:val="000000"/>
                <w:sz w:val="24"/>
                <w:szCs w:val="24"/>
              </w:rPr>
              <w:t>P</w:t>
            </w:r>
            <w:r w:rsidRPr="006304A3">
              <w:rPr>
                <w:rFonts w:ascii="Calibri" w:hAnsi="Calibri" w:cs="Calibri"/>
                <w:color w:val="000000"/>
                <w:sz w:val="24"/>
                <w:szCs w:val="24"/>
              </w:rPr>
              <w:t>artnerów</w:t>
            </w:r>
            <w:r w:rsidR="0070276F" w:rsidRPr="006304A3">
              <w:rPr>
                <w:rFonts w:ascii="Calibri" w:hAnsi="Calibri" w:cs="Calibri"/>
                <w:color w:val="000000"/>
                <w:sz w:val="24"/>
                <w:szCs w:val="24"/>
              </w:rPr>
              <w:t xml:space="preserve"> (jeśli dotyczy)</w:t>
            </w:r>
            <w:r w:rsidRPr="006304A3">
              <w:rPr>
                <w:rFonts w:ascii="Calibri" w:hAnsi="Calibri" w:cs="Calibri"/>
                <w:color w:val="000000"/>
                <w:sz w:val="24"/>
                <w:szCs w:val="24"/>
              </w:rPr>
              <w:t>, wynikające z zakazu podwójnego finansowania, o którym mowa w Rozporządzeniu RRF.</w:t>
            </w:r>
          </w:p>
        </w:tc>
        <w:tc>
          <w:tcPr>
            <w:tcW w:w="1247" w:type="dxa"/>
            <w:tcBorders>
              <w:top w:val="single" w:sz="4" w:space="0" w:color="auto"/>
              <w:left w:val="single" w:sz="4" w:space="0" w:color="auto"/>
              <w:bottom w:val="single" w:sz="4" w:space="0" w:color="auto"/>
              <w:right w:val="single" w:sz="4" w:space="0" w:color="auto"/>
            </w:tcBorders>
            <w:vAlign w:val="center"/>
          </w:tcPr>
          <w:p w14:paraId="258C5562" w14:textId="3F4633DE" w:rsidR="001204D7" w:rsidRPr="006304A3" w:rsidRDefault="00913099" w:rsidP="002C4C0F">
            <w:pPr>
              <w:jc w:val="center"/>
              <w:rPr>
                <w:rFonts w:ascii="Calibri" w:hAnsi="Calibri" w:cs="Calibri"/>
                <w:color w:val="000000"/>
                <w:sz w:val="24"/>
                <w:szCs w:val="24"/>
              </w:rPr>
            </w:pPr>
            <w:r w:rsidRPr="006304A3">
              <w:rPr>
                <w:rFonts w:ascii="Calibri" w:hAnsi="Calibri" w:cs="Calibri"/>
                <w:color w:val="000000"/>
                <w:sz w:val="24"/>
                <w:szCs w:val="24"/>
              </w:rPr>
              <w:t>0/1</w:t>
            </w:r>
          </w:p>
        </w:tc>
      </w:tr>
      <w:tr w:rsidR="000E356C" w:rsidRPr="00A640DA" w14:paraId="2AA037F0" w14:textId="77777777" w:rsidTr="00800A89">
        <w:trPr>
          <w:trHeight w:val="146"/>
        </w:trPr>
        <w:tc>
          <w:tcPr>
            <w:tcW w:w="784" w:type="dxa"/>
            <w:tcBorders>
              <w:top w:val="single" w:sz="4" w:space="0" w:color="auto"/>
              <w:left w:val="single" w:sz="4" w:space="0" w:color="auto"/>
              <w:bottom w:val="single" w:sz="4" w:space="0" w:color="auto"/>
              <w:right w:val="single" w:sz="4" w:space="0" w:color="auto"/>
            </w:tcBorders>
          </w:tcPr>
          <w:p w14:paraId="67989E74" w14:textId="44C5A36F" w:rsidR="000E356C" w:rsidRPr="006304A3" w:rsidRDefault="000E356C" w:rsidP="001204D7">
            <w:pPr>
              <w:jc w:val="center"/>
              <w:rPr>
                <w:rFonts w:ascii="Calibri" w:hAnsi="Calibri" w:cs="Calibri"/>
                <w:b/>
                <w:sz w:val="24"/>
                <w:szCs w:val="24"/>
              </w:rPr>
            </w:pPr>
            <w:r w:rsidRPr="006304A3">
              <w:rPr>
                <w:rFonts w:ascii="Calibri" w:hAnsi="Calibri" w:cs="Calibri"/>
                <w:b/>
                <w:sz w:val="24"/>
                <w:szCs w:val="24"/>
              </w:rPr>
              <w:t>8</w:t>
            </w:r>
          </w:p>
        </w:tc>
        <w:tc>
          <w:tcPr>
            <w:tcW w:w="2538" w:type="dxa"/>
            <w:tcBorders>
              <w:bottom w:val="single" w:sz="4" w:space="0" w:color="auto"/>
            </w:tcBorders>
            <w:shd w:val="clear" w:color="auto" w:fill="FFFFFF" w:themeFill="background1"/>
          </w:tcPr>
          <w:p w14:paraId="373BB0FF" w14:textId="77777777" w:rsidR="000E356C" w:rsidRPr="006304A3" w:rsidRDefault="000E356C" w:rsidP="000E356C">
            <w:pPr>
              <w:rPr>
                <w:rFonts w:ascii="Calibri" w:hAnsi="Calibri" w:cs="Calibri"/>
                <w:b/>
                <w:bCs/>
                <w:sz w:val="24"/>
                <w:szCs w:val="24"/>
              </w:rPr>
            </w:pPr>
            <w:r w:rsidRPr="006304A3">
              <w:rPr>
                <w:rFonts w:ascii="Calibri" w:hAnsi="Calibri" w:cs="Calibri"/>
                <w:b/>
                <w:bCs/>
                <w:sz w:val="24"/>
                <w:szCs w:val="24"/>
              </w:rPr>
              <w:t>Przedsięwzięcie jest zgodne z zasadą</w:t>
            </w:r>
          </w:p>
          <w:p w14:paraId="0801F457" w14:textId="77777777" w:rsidR="000E356C" w:rsidRPr="006304A3" w:rsidRDefault="000E356C" w:rsidP="000E356C">
            <w:pPr>
              <w:rPr>
                <w:rFonts w:ascii="Calibri" w:hAnsi="Calibri" w:cs="Calibri"/>
                <w:b/>
                <w:bCs/>
                <w:sz w:val="24"/>
                <w:szCs w:val="24"/>
              </w:rPr>
            </w:pPr>
            <w:r w:rsidRPr="006304A3">
              <w:rPr>
                <w:rFonts w:ascii="Calibri" w:hAnsi="Calibri" w:cs="Calibri"/>
                <w:b/>
                <w:bCs/>
                <w:sz w:val="24"/>
                <w:szCs w:val="24"/>
              </w:rPr>
              <w:t>„niewyrządzania znaczącej szkody</w:t>
            </w:r>
          </w:p>
          <w:p w14:paraId="6503C365" w14:textId="157EA1AC" w:rsidR="000E356C" w:rsidRPr="006304A3" w:rsidRDefault="000E356C" w:rsidP="000E356C">
            <w:pPr>
              <w:rPr>
                <w:rFonts w:ascii="Calibri" w:hAnsi="Calibri" w:cs="Calibri"/>
                <w:b/>
                <w:bCs/>
                <w:sz w:val="24"/>
                <w:szCs w:val="24"/>
              </w:rPr>
            </w:pPr>
            <w:r w:rsidRPr="006304A3">
              <w:rPr>
                <w:rFonts w:ascii="Calibri" w:hAnsi="Calibri" w:cs="Calibri"/>
                <w:b/>
                <w:bCs/>
                <w:sz w:val="24"/>
                <w:szCs w:val="24"/>
              </w:rPr>
              <w:t>Środowisku” (</w:t>
            </w:r>
            <w:r w:rsidR="001608BB" w:rsidRPr="006304A3">
              <w:rPr>
                <w:rFonts w:ascii="Calibri" w:hAnsi="Calibri" w:cs="Calibri"/>
                <w:b/>
                <w:bCs/>
                <w:sz w:val="24"/>
                <w:szCs w:val="24"/>
              </w:rPr>
              <w:t>DNSH –</w:t>
            </w:r>
            <w:r w:rsidRPr="006304A3">
              <w:rPr>
                <w:rFonts w:ascii="Calibri" w:hAnsi="Calibri" w:cs="Calibri"/>
                <w:b/>
                <w:bCs/>
                <w:sz w:val="24"/>
                <w:szCs w:val="24"/>
              </w:rPr>
              <w:t xml:space="preserve"> „do no </w:t>
            </w:r>
            <w:proofErr w:type="spellStart"/>
            <w:r w:rsidRPr="006304A3">
              <w:rPr>
                <w:rFonts w:ascii="Calibri" w:hAnsi="Calibri" w:cs="Calibri"/>
                <w:b/>
                <w:bCs/>
                <w:sz w:val="24"/>
                <w:szCs w:val="24"/>
              </w:rPr>
              <w:t>significant</w:t>
            </w:r>
            <w:proofErr w:type="spellEnd"/>
            <w:r w:rsidRPr="006304A3">
              <w:rPr>
                <w:rFonts w:ascii="Calibri" w:hAnsi="Calibri" w:cs="Calibri"/>
                <w:b/>
                <w:bCs/>
                <w:sz w:val="24"/>
                <w:szCs w:val="24"/>
              </w:rPr>
              <w:t xml:space="preserve"> </w:t>
            </w:r>
            <w:proofErr w:type="spellStart"/>
            <w:r w:rsidRPr="006304A3">
              <w:rPr>
                <w:rFonts w:ascii="Calibri" w:hAnsi="Calibri" w:cs="Calibri"/>
                <w:b/>
                <w:bCs/>
                <w:sz w:val="24"/>
                <w:szCs w:val="24"/>
              </w:rPr>
              <w:t>harm</w:t>
            </w:r>
            <w:proofErr w:type="spellEnd"/>
            <w:r w:rsidRPr="006304A3">
              <w:rPr>
                <w:rFonts w:ascii="Calibri" w:hAnsi="Calibri" w:cs="Calibri"/>
                <w:b/>
                <w:bCs/>
                <w:sz w:val="24"/>
                <w:szCs w:val="24"/>
              </w:rPr>
              <w:t>”)</w:t>
            </w:r>
          </w:p>
        </w:tc>
        <w:tc>
          <w:tcPr>
            <w:tcW w:w="9026" w:type="dxa"/>
            <w:tcBorders>
              <w:bottom w:val="single" w:sz="4" w:space="0" w:color="auto"/>
            </w:tcBorders>
            <w:shd w:val="clear" w:color="auto" w:fill="FFFFFF" w:themeFill="background1"/>
          </w:tcPr>
          <w:p w14:paraId="353EFE17" w14:textId="0156A6A7" w:rsidR="000E356C" w:rsidRPr="006304A3" w:rsidRDefault="000E356C" w:rsidP="00AC1ADC">
            <w:pPr>
              <w:spacing w:after="360"/>
              <w:rPr>
                <w:rFonts w:ascii="Calibri" w:hAnsi="Calibri" w:cs="Calibri"/>
                <w:color w:val="000000"/>
                <w:sz w:val="24"/>
                <w:szCs w:val="24"/>
              </w:rPr>
            </w:pPr>
            <w:r w:rsidRPr="006304A3">
              <w:rPr>
                <w:rFonts w:ascii="Calibri" w:hAnsi="Calibri" w:cs="Calibri"/>
                <w:color w:val="000000"/>
                <w:sz w:val="24"/>
                <w:szCs w:val="24"/>
              </w:rPr>
              <w:t>Przedsięwzięcie jest zgodne z zasadą „niewyrządzania znaczącej szkody środowisku” na podstawie Rozporządzenia RRF oraz Wytycznych technicznych dotyczących stosowania zasad</w:t>
            </w:r>
            <w:r w:rsidR="00DB72F2">
              <w:rPr>
                <w:rFonts w:ascii="Calibri" w:hAnsi="Calibri" w:cs="Calibri"/>
                <w:color w:val="000000"/>
                <w:sz w:val="24"/>
                <w:szCs w:val="24"/>
              </w:rPr>
              <w:t>y</w:t>
            </w:r>
            <w:r w:rsidRPr="006304A3">
              <w:rPr>
                <w:rFonts w:ascii="Calibri" w:hAnsi="Calibri" w:cs="Calibri"/>
                <w:color w:val="000000"/>
                <w:sz w:val="24"/>
                <w:szCs w:val="24"/>
              </w:rPr>
              <w:t xml:space="preserve"> „niewyrządzania znaczącej szkody środowisku” na podstawie Rozporządzenia RRF.</w:t>
            </w:r>
          </w:p>
          <w:p w14:paraId="5C6BF22D" w14:textId="4CA67E43" w:rsidR="000E356C" w:rsidRPr="006304A3" w:rsidRDefault="000E356C" w:rsidP="000E356C">
            <w:pPr>
              <w:rPr>
                <w:rFonts w:ascii="Calibri" w:hAnsi="Calibri" w:cs="Calibri"/>
                <w:color w:val="000000"/>
                <w:sz w:val="24"/>
                <w:szCs w:val="24"/>
              </w:rPr>
            </w:pPr>
            <w:r w:rsidRPr="006304A3">
              <w:rPr>
                <w:rFonts w:ascii="Calibri" w:hAnsi="Calibri" w:cs="Calibri"/>
                <w:color w:val="000000"/>
                <w:sz w:val="24"/>
                <w:szCs w:val="24"/>
              </w:rPr>
              <w:t>Weryfikacja na etapie oceny Wniosku o objęcie Przedsięwzięcia wsparciem dotyczy Inwestycji, dla których w decyzji implementacyjnej wskazano objęcie przedsięwzięć zasadą DNSH.</w:t>
            </w:r>
          </w:p>
        </w:tc>
        <w:tc>
          <w:tcPr>
            <w:tcW w:w="1247" w:type="dxa"/>
            <w:tcBorders>
              <w:top w:val="single" w:sz="4" w:space="0" w:color="auto"/>
              <w:left w:val="single" w:sz="4" w:space="0" w:color="auto"/>
              <w:bottom w:val="single" w:sz="4" w:space="0" w:color="auto"/>
              <w:right w:val="single" w:sz="4" w:space="0" w:color="auto"/>
            </w:tcBorders>
            <w:vAlign w:val="center"/>
          </w:tcPr>
          <w:p w14:paraId="3436852F" w14:textId="0164F645" w:rsidR="000E356C" w:rsidRPr="006304A3" w:rsidRDefault="000E356C" w:rsidP="002C4C0F">
            <w:pPr>
              <w:jc w:val="center"/>
              <w:rPr>
                <w:rFonts w:ascii="Calibri" w:hAnsi="Calibri" w:cs="Calibri"/>
                <w:color w:val="000000"/>
                <w:sz w:val="24"/>
                <w:szCs w:val="24"/>
              </w:rPr>
            </w:pPr>
            <w:r w:rsidRPr="006304A3">
              <w:rPr>
                <w:rFonts w:ascii="Calibri" w:hAnsi="Calibri" w:cs="Calibri"/>
                <w:color w:val="000000"/>
                <w:sz w:val="24"/>
                <w:szCs w:val="24"/>
              </w:rPr>
              <w:t>0/1</w:t>
            </w:r>
          </w:p>
        </w:tc>
      </w:tr>
      <w:tr w:rsidR="000E356C" w:rsidRPr="00A640DA" w14:paraId="015A1AA5" w14:textId="77777777" w:rsidTr="00800A89">
        <w:trPr>
          <w:trHeight w:val="604"/>
        </w:trPr>
        <w:tc>
          <w:tcPr>
            <w:tcW w:w="784" w:type="dxa"/>
            <w:tcBorders>
              <w:top w:val="single" w:sz="4" w:space="0" w:color="auto"/>
              <w:left w:val="single" w:sz="4" w:space="0" w:color="auto"/>
              <w:bottom w:val="single" w:sz="4" w:space="0" w:color="auto"/>
              <w:right w:val="single" w:sz="4" w:space="0" w:color="auto"/>
            </w:tcBorders>
          </w:tcPr>
          <w:p w14:paraId="544DC571" w14:textId="1660A618" w:rsidR="000E356C" w:rsidRPr="006304A3" w:rsidRDefault="000E356C" w:rsidP="001204D7">
            <w:pPr>
              <w:jc w:val="center"/>
              <w:rPr>
                <w:rFonts w:ascii="Calibri" w:hAnsi="Calibri" w:cs="Calibri"/>
                <w:b/>
                <w:sz w:val="24"/>
                <w:szCs w:val="24"/>
              </w:rPr>
            </w:pPr>
            <w:r w:rsidRPr="006304A3">
              <w:rPr>
                <w:rFonts w:ascii="Calibri" w:hAnsi="Calibri" w:cs="Calibri"/>
                <w:b/>
                <w:sz w:val="24"/>
                <w:szCs w:val="24"/>
              </w:rPr>
              <w:lastRenderedPageBreak/>
              <w:t>9</w:t>
            </w:r>
          </w:p>
        </w:tc>
        <w:tc>
          <w:tcPr>
            <w:tcW w:w="2538" w:type="dxa"/>
            <w:tcBorders>
              <w:bottom w:val="single" w:sz="4" w:space="0" w:color="auto"/>
            </w:tcBorders>
            <w:shd w:val="clear" w:color="auto" w:fill="FFFFFF" w:themeFill="background1"/>
          </w:tcPr>
          <w:p w14:paraId="60D39DD1" w14:textId="77777777" w:rsidR="000E356C" w:rsidRPr="006304A3" w:rsidRDefault="000E356C" w:rsidP="000E356C">
            <w:pPr>
              <w:rPr>
                <w:rFonts w:ascii="Calibri" w:hAnsi="Calibri" w:cs="Calibri"/>
                <w:b/>
                <w:bCs/>
                <w:sz w:val="24"/>
                <w:szCs w:val="24"/>
              </w:rPr>
            </w:pPr>
            <w:r w:rsidRPr="006304A3">
              <w:rPr>
                <w:rFonts w:ascii="Calibri" w:hAnsi="Calibri" w:cs="Calibri"/>
                <w:b/>
                <w:bCs/>
                <w:sz w:val="24"/>
                <w:szCs w:val="24"/>
              </w:rPr>
              <w:t>Przedsięwzięcie jest zgodne z zasadą</w:t>
            </w:r>
          </w:p>
          <w:p w14:paraId="315A5429" w14:textId="24C6A441" w:rsidR="000E356C" w:rsidRPr="006304A3" w:rsidRDefault="000E356C" w:rsidP="000E356C">
            <w:pPr>
              <w:rPr>
                <w:rFonts w:ascii="Calibri" w:hAnsi="Calibri" w:cs="Calibri"/>
                <w:b/>
                <w:bCs/>
                <w:sz w:val="24"/>
                <w:szCs w:val="24"/>
              </w:rPr>
            </w:pPr>
            <w:r w:rsidRPr="006304A3">
              <w:rPr>
                <w:rFonts w:ascii="Calibri" w:hAnsi="Calibri" w:cs="Calibri"/>
                <w:b/>
                <w:bCs/>
                <w:sz w:val="24"/>
                <w:szCs w:val="24"/>
              </w:rPr>
              <w:t xml:space="preserve">zrównoważonego </w:t>
            </w:r>
            <w:r w:rsidR="001608BB" w:rsidRPr="006304A3">
              <w:rPr>
                <w:rFonts w:ascii="Calibri" w:hAnsi="Calibri" w:cs="Calibri"/>
                <w:b/>
                <w:bCs/>
                <w:sz w:val="24"/>
                <w:szCs w:val="24"/>
              </w:rPr>
              <w:t>rozwoju –</w:t>
            </w:r>
            <w:r w:rsidRPr="006304A3">
              <w:rPr>
                <w:rFonts w:ascii="Calibri" w:hAnsi="Calibri" w:cs="Calibri"/>
                <w:b/>
                <w:bCs/>
                <w:sz w:val="24"/>
                <w:szCs w:val="24"/>
              </w:rPr>
              <w:t xml:space="preserve"> </w:t>
            </w:r>
            <w:r w:rsidR="001608BB" w:rsidRPr="006304A3">
              <w:rPr>
                <w:rFonts w:ascii="Calibri" w:hAnsi="Calibri" w:cs="Calibri"/>
                <w:b/>
                <w:bCs/>
                <w:sz w:val="24"/>
                <w:szCs w:val="24"/>
              </w:rPr>
              <w:t>racjonalne wykorzystywanie</w:t>
            </w:r>
          </w:p>
          <w:p w14:paraId="469C5EE9" w14:textId="715B7EAF" w:rsidR="000E356C" w:rsidRPr="006304A3" w:rsidRDefault="000E356C" w:rsidP="000E356C">
            <w:pPr>
              <w:rPr>
                <w:rFonts w:ascii="Calibri" w:hAnsi="Calibri" w:cs="Calibri"/>
                <w:b/>
                <w:bCs/>
                <w:sz w:val="24"/>
                <w:szCs w:val="24"/>
              </w:rPr>
            </w:pPr>
            <w:r w:rsidRPr="006304A3">
              <w:rPr>
                <w:rFonts w:ascii="Calibri" w:hAnsi="Calibri" w:cs="Calibri"/>
                <w:b/>
                <w:bCs/>
                <w:sz w:val="24"/>
                <w:szCs w:val="24"/>
              </w:rPr>
              <w:t>zasobów naturalnych</w:t>
            </w:r>
          </w:p>
        </w:tc>
        <w:tc>
          <w:tcPr>
            <w:tcW w:w="9026" w:type="dxa"/>
            <w:tcBorders>
              <w:bottom w:val="single" w:sz="4" w:space="0" w:color="auto"/>
            </w:tcBorders>
            <w:shd w:val="clear" w:color="auto" w:fill="FFFFFF" w:themeFill="background1"/>
          </w:tcPr>
          <w:p w14:paraId="30C957E5" w14:textId="428A5781" w:rsidR="002C4C0F" w:rsidRPr="006304A3" w:rsidRDefault="000E356C" w:rsidP="00281D95">
            <w:pPr>
              <w:spacing w:after="360"/>
              <w:rPr>
                <w:rFonts w:ascii="Calibri" w:hAnsi="Calibri" w:cs="Calibri"/>
                <w:color w:val="000000"/>
                <w:sz w:val="24"/>
                <w:szCs w:val="24"/>
              </w:rPr>
            </w:pPr>
            <w:r w:rsidRPr="006304A3">
              <w:rPr>
                <w:rFonts w:ascii="Calibri" w:hAnsi="Calibri" w:cs="Calibri"/>
                <w:color w:val="000000"/>
                <w:sz w:val="24"/>
                <w:szCs w:val="24"/>
              </w:rPr>
              <w:t>Przedsięwzięcie obejmuje finansowanie działań minimalizujących oddziaływanie działalności człowieka na środowisko. Zasada zrównoważonego rozwoju jest zachowana, jeżeli w ramach Przedsięwzięcia zakłada się podejmowanie działań ukierunkowanych na:</w:t>
            </w:r>
          </w:p>
          <w:p w14:paraId="58242057" w14:textId="57C0246F" w:rsidR="000E356C" w:rsidRPr="006304A3" w:rsidRDefault="000E356C" w:rsidP="000E356C">
            <w:pPr>
              <w:pStyle w:val="Akapitzlist"/>
              <w:numPr>
                <w:ilvl w:val="0"/>
                <w:numId w:val="3"/>
              </w:numPr>
              <w:rPr>
                <w:rFonts w:ascii="Calibri" w:hAnsi="Calibri" w:cs="Calibri"/>
                <w:color w:val="000000"/>
                <w:sz w:val="24"/>
                <w:szCs w:val="24"/>
              </w:rPr>
            </w:pPr>
            <w:r w:rsidRPr="006304A3">
              <w:rPr>
                <w:rFonts w:ascii="Calibri" w:hAnsi="Calibri" w:cs="Calibri"/>
                <w:color w:val="000000"/>
                <w:sz w:val="24"/>
                <w:szCs w:val="24"/>
              </w:rPr>
              <w:t>racjonalne gospodarowanie zasobami;</w:t>
            </w:r>
          </w:p>
          <w:p w14:paraId="7CF988B0" w14:textId="760A4E7F" w:rsidR="000E356C" w:rsidRPr="006304A3" w:rsidRDefault="000E356C" w:rsidP="000E356C">
            <w:pPr>
              <w:pStyle w:val="Akapitzlist"/>
              <w:numPr>
                <w:ilvl w:val="0"/>
                <w:numId w:val="3"/>
              </w:numPr>
              <w:rPr>
                <w:rFonts w:ascii="Calibri" w:hAnsi="Calibri" w:cs="Calibri"/>
                <w:color w:val="000000"/>
                <w:sz w:val="24"/>
                <w:szCs w:val="24"/>
              </w:rPr>
            </w:pPr>
            <w:r w:rsidRPr="006304A3">
              <w:rPr>
                <w:rFonts w:ascii="Calibri" w:hAnsi="Calibri" w:cs="Calibri"/>
                <w:color w:val="000000"/>
                <w:sz w:val="24"/>
                <w:szCs w:val="24"/>
              </w:rPr>
              <w:t>ograniczenie presji na środowisko;</w:t>
            </w:r>
          </w:p>
          <w:p w14:paraId="0BFDB509" w14:textId="40194D9F" w:rsidR="000E356C" w:rsidRPr="006304A3" w:rsidRDefault="000E356C" w:rsidP="000E356C">
            <w:pPr>
              <w:pStyle w:val="Akapitzlist"/>
              <w:numPr>
                <w:ilvl w:val="0"/>
                <w:numId w:val="3"/>
              </w:numPr>
              <w:rPr>
                <w:rFonts w:ascii="Calibri" w:hAnsi="Calibri" w:cs="Calibri"/>
                <w:color w:val="000000"/>
                <w:sz w:val="24"/>
                <w:szCs w:val="24"/>
              </w:rPr>
            </w:pPr>
            <w:r w:rsidRPr="006304A3">
              <w:rPr>
                <w:rFonts w:ascii="Calibri" w:hAnsi="Calibri" w:cs="Calibri"/>
                <w:color w:val="000000"/>
                <w:sz w:val="24"/>
                <w:szCs w:val="24"/>
              </w:rPr>
              <w:t>uwzględnianie efektów środowiskowych w zarządzaniu;</w:t>
            </w:r>
          </w:p>
          <w:p w14:paraId="49843207" w14:textId="15AFF06D" w:rsidR="00A368DB" w:rsidRPr="00281D95" w:rsidRDefault="000E356C" w:rsidP="00281D95">
            <w:pPr>
              <w:pStyle w:val="Akapitzlist"/>
              <w:numPr>
                <w:ilvl w:val="0"/>
                <w:numId w:val="3"/>
              </w:numPr>
              <w:spacing w:after="360"/>
              <w:ind w:left="1111" w:hanging="357"/>
              <w:rPr>
                <w:rFonts w:ascii="Calibri" w:hAnsi="Calibri" w:cs="Calibri"/>
                <w:color w:val="000000"/>
                <w:sz w:val="24"/>
                <w:szCs w:val="24"/>
              </w:rPr>
            </w:pPr>
            <w:r w:rsidRPr="006304A3">
              <w:rPr>
                <w:rFonts w:ascii="Calibri" w:hAnsi="Calibri" w:cs="Calibri"/>
                <w:color w:val="000000"/>
                <w:sz w:val="24"/>
                <w:szCs w:val="24"/>
              </w:rPr>
              <w:t>podnoszenie świadomości ekologicznej społeczeństwa.</w:t>
            </w:r>
          </w:p>
          <w:p w14:paraId="77F1E8D5" w14:textId="33542D92" w:rsidR="00A368DB" w:rsidRPr="006304A3" w:rsidRDefault="00A368DB" w:rsidP="00A368DB">
            <w:pPr>
              <w:rPr>
                <w:rFonts w:ascii="Calibri" w:hAnsi="Calibri" w:cs="Calibri"/>
                <w:color w:val="000000"/>
                <w:sz w:val="24"/>
                <w:szCs w:val="24"/>
              </w:rPr>
            </w:pPr>
            <w:r w:rsidRPr="006304A3">
              <w:rPr>
                <w:rFonts w:ascii="Calibri" w:hAnsi="Calibri" w:cs="Calibri"/>
                <w:color w:val="000000"/>
                <w:sz w:val="24"/>
                <w:szCs w:val="24"/>
              </w:rPr>
              <w:t xml:space="preserve">W </w:t>
            </w:r>
            <w:r w:rsidR="001608BB" w:rsidRPr="006304A3">
              <w:rPr>
                <w:rFonts w:ascii="Calibri" w:hAnsi="Calibri" w:cs="Calibri"/>
                <w:color w:val="000000"/>
                <w:sz w:val="24"/>
                <w:szCs w:val="24"/>
              </w:rPr>
              <w:t>przypadku,</w:t>
            </w:r>
            <w:r w:rsidRPr="006304A3">
              <w:rPr>
                <w:rFonts w:ascii="Calibri" w:hAnsi="Calibri" w:cs="Calibri"/>
                <w:color w:val="000000"/>
                <w:sz w:val="24"/>
                <w:szCs w:val="24"/>
              </w:rPr>
              <w:t xml:space="preserve"> kiedy Przedsięwzięcie nie jest objęte zasadą zrównoważonego rozwoju, należy wskazać ‘nie dotyczy’ wraz z uzasadnieniem.</w:t>
            </w:r>
          </w:p>
        </w:tc>
        <w:tc>
          <w:tcPr>
            <w:tcW w:w="1247" w:type="dxa"/>
            <w:tcBorders>
              <w:top w:val="single" w:sz="4" w:space="0" w:color="auto"/>
              <w:left w:val="single" w:sz="4" w:space="0" w:color="auto"/>
              <w:bottom w:val="single" w:sz="4" w:space="0" w:color="auto"/>
              <w:right w:val="single" w:sz="4" w:space="0" w:color="auto"/>
            </w:tcBorders>
            <w:vAlign w:val="center"/>
          </w:tcPr>
          <w:p w14:paraId="167E2B91" w14:textId="09D77BC1" w:rsidR="000E356C" w:rsidRPr="006304A3" w:rsidRDefault="000E356C" w:rsidP="002C4C0F">
            <w:pPr>
              <w:jc w:val="center"/>
              <w:rPr>
                <w:rFonts w:ascii="Calibri" w:hAnsi="Calibri" w:cs="Calibri"/>
                <w:color w:val="000000"/>
                <w:sz w:val="24"/>
                <w:szCs w:val="24"/>
              </w:rPr>
            </w:pPr>
            <w:r w:rsidRPr="006304A3">
              <w:rPr>
                <w:rFonts w:ascii="Calibri" w:hAnsi="Calibri" w:cs="Calibri"/>
                <w:color w:val="000000"/>
                <w:sz w:val="24"/>
                <w:szCs w:val="24"/>
              </w:rPr>
              <w:t>0/1</w:t>
            </w:r>
            <w:r w:rsidR="00A368DB" w:rsidRPr="006304A3">
              <w:rPr>
                <w:rFonts w:ascii="Calibri" w:hAnsi="Calibri" w:cs="Calibri"/>
                <w:color w:val="000000"/>
                <w:sz w:val="24"/>
                <w:szCs w:val="24"/>
              </w:rPr>
              <w:t>/Nie dotyczy</w:t>
            </w:r>
          </w:p>
        </w:tc>
      </w:tr>
      <w:tr w:rsidR="001204D7" w:rsidRPr="00A640DA" w14:paraId="0F83F886" w14:textId="77777777" w:rsidTr="00800A89">
        <w:trPr>
          <w:trHeight w:val="1209"/>
        </w:trPr>
        <w:tc>
          <w:tcPr>
            <w:tcW w:w="784" w:type="dxa"/>
            <w:tcBorders>
              <w:top w:val="single" w:sz="4" w:space="0" w:color="auto"/>
              <w:left w:val="single" w:sz="4" w:space="0" w:color="auto"/>
              <w:bottom w:val="single" w:sz="4" w:space="0" w:color="auto"/>
              <w:right w:val="single" w:sz="4" w:space="0" w:color="auto"/>
            </w:tcBorders>
          </w:tcPr>
          <w:p w14:paraId="46BBF638" w14:textId="572B2036" w:rsidR="001204D7" w:rsidRPr="006304A3" w:rsidRDefault="000E356C" w:rsidP="001204D7">
            <w:pPr>
              <w:jc w:val="center"/>
              <w:rPr>
                <w:rFonts w:ascii="Calibri" w:hAnsi="Calibri" w:cs="Calibri"/>
                <w:b/>
                <w:sz w:val="24"/>
                <w:szCs w:val="24"/>
              </w:rPr>
            </w:pPr>
            <w:r w:rsidRPr="006304A3">
              <w:rPr>
                <w:rFonts w:ascii="Calibri" w:hAnsi="Calibri" w:cs="Calibri"/>
                <w:b/>
                <w:sz w:val="24"/>
                <w:szCs w:val="24"/>
              </w:rPr>
              <w:t>10</w:t>
            </w:r>
          </w:p>
        </w:tc>
        <w:tc>
          <w:tcPr>
            <w:tcW w:w="2538" w:type="dxa"/>
            <w:tcBorders>
              <w:top w:val="single" w:sz="4" w:space="0" w:color="auto"/>
              <w:left w:val="single" w:sz="4" w:space="0" w:color="auto"/>
              <w:bottom w:val="single" w:sz="4" w:space="0" w:color="auto"/>
              <w:right w:val="single" w:sz="4" w:space="0" w:color="auto"/>
            </w:tcBorders>
          </w:tcPr>
          <w:p w14:paraId="33E1A506" w14:textId="2F26DA0E" w:rsidR="001204D7" w:rsidRPr="006304A3" w:rsidRDefault="001204D7" w:rsidP="001204D7">
            <w:pPr>
              <w:rPr>
                <w:rFonts w:ascii="Calibri" w:hAnsi="Calibri" w:cs="Calibri"/>
                <w:b/>
                <w:bCs/>
                <w:sz w:val="24"/>
                <w:szCs w:val="24"/>
              </w:rPr>
            </w:pPr>
            <w:r w:rsidRPr="006304A3">
              <w:rPr>
                <w:rFonts w:ascii="Calibri" w:hAnsi="Calibri" w:cs="Calibri"/>
                <w:b/>
                <w:bCs/>
                <w:sz w:val="24"/>
                <w:szCs w:val="24"/>
              </w:rPr>
              <w:t xml:space="preserve">Pozytywna </w:t>
            </w:r>
            <w:r w:rsidR="001608BB" w:rsidRPr="006304A3">
              <w:rPr>
                <w:rFonts w:ascii="Calibri" w:hAnsi="Calibri" w:cs="Calibri"/>
                <w:b/>
                <w:bCs/>
                <w:sz w:val="24"/>
                <w:szCs w:val="24"/>
              </w:rPr>
              <w:t>opinia KRMC</w:t>
            </w:r>
            <w:r w:rsidRPr="006304A3">
              <w:rPr>
                <w:rFonts w:ascii="Calibri" w:hAnsi="Calibri" w:cs="Calibri"/>
                <w:b/>
                <w:bCs/>
                <w:sz w:val="24"/>
                <w:szCs w:val="24"/>
              </w:rPr>
              <w:t xml:space="preserve"> dla Przedsięwzięcia  </w:t>
            </w:r>
          </w:p>
        </w:tc>
        <w:tc>
          <w:tcPr>
            <w:tcW w:w="9026" w:type="dxa"/>
            <w:tcBorders>
              <w:top w:val="single" w:sz="4" w:space="0" w:color="auto"/>
              <w:left w:val="single" w:sz="4" w:space="0" w:color="auto"/>
              <w:bottom w:val="single" w:sz="4" w:space="0" w:color="auto"/>
              <w:right w:val="single" w:sz="4" w:space="0" w:color="auto"/>
            </w:tcBorders>
          </w:tcPr>
          <w:p w14:paraId="7284B97C" w14:textId="3D3B8AFB" w:rsidR="001204D7" w:rsidRPr="006304A3" w:rsidRDefault="001204D7" w:rsidP="001204D7">
            <w:pPr>
              <w:jc w:val="both"/>
              <w:rPr>
                <w:rFonts w:ascii="Calibri" w:hAnsi="Calibri" w:cs="Calibri"/>
                <w:color w:val="000000"/>
                <w:sz w:val="24"/>
                <w:szCs w:val="24"/>
              </w:rPr>
            </w:pPr>
            <w:r w:rsidRPr="006304A3">
              <w:rPr>
                <w:rFonts w:ascii="Calibri" w:hAnsi="Calibri" w:cs="Calibri"/>
                <w:color w:val="000000"/>
                <w:sz w:val="24"/>
                <w:szCs w:val="24"/>
              </w:rPr>
              <w:t xml:space="preserve">Ostateczny </w:t>
            </w:r>
            <w:r w:rsidR="005B0B52" w:rsidRPr="006304A3">
              <w:rPr>
                <w:rFonts w:ascii="Calibri" w:hAnsi="Calibri" w:cs="Calibri"/>
                <w:color w:val="000000"/>
                <w:sz w:val="24"/>
                <w:szCs w:val="24"/>
              </w:rPr>
              <w:t>O</w:t>
            </w:r>
            <w:r w:rsidRPr="006304A3">
              <w:rPr>
                <w:rFonts w:ascii="Calibri" w:hAnsi="Calibri" w:cs="Calibri"/>
                <w:color w:val="000000"/>
                <w:sz w:val="24"/>
                <w:szCs w:val="24"/>
              </w:rPr>
              <w:t>dbiorca wsparcia</w:t>
            </w:r>
            <w:r w:rsidR="002C4C0F" w:rsidRPr="006304A3">
              <w:rPr>
                <w:rFonts w:ascii="Calibri" w:hAnsi="Calibri" w:cs="Calibri"/>
                <w:color w:val="000000"/>
                <w:sz w:val="24"/>
                <w:szCs w:val="24"/>
              </w:rPr>
              <w:t xml:space="preserve"> </w:t>
            </w:r>
            <w:r w:rsidRPr="006304A3">
              <w:rPr>
                <w:rFonts w:ascii="Calibri" w:hAnsi="Calibri" w:cs="Calibri"/>
                <w:color w:val="000000"/>
                <w:sz w:val="24"/>
                <w:szCs w:val="24"/>
              </w:rPr>
              <w:t>posiada pozytywną opinię Przedsięwzięcia wydaną przez KRMC. Ocena KRMC została wydana nie później niż w dniu złożenia Wniosku o objęcie Przedsięwzięcia wsparciem i nie wcześniej niż 9 miesięcy niż</w:t>
            </w:r>
            <w:r w:rsidRPr="006304A3">
              <w:rPr>
                <w:rFonts w:ascii="Calibri" w:hAnsi="Calibri" w:cs="Calibri"/>
                <w:sz w:val="24"/>
                <w:szCs w:val="24"/>
              </w:rPr>
              <w:t xml:space="preserve"> </w:t>
            </w:r>
            <w:r w:rsidRPr="006304A3">
              <w:rPr>
                <w:rFonts w:ascii="Calibri" w:hAnsi="Calibri" w:cs="Calibri"/>
                <w:color w:val="000000"/>
                <w:sz w:val="24"/>
                <w:szCs w:val="24"/>
              </w:rPr>
              <w:t xml:space="preserve">w dniu złożenia Wniosku o objęcie Przedsięwzięcia wsparciem. </w:t>
            </w:r>
          </w:p>
        </w:tc>
        <w:tc>
          <w:tcPr>
            <w:tcW w:w="1247" w:type="dxa"/>
            <w:tcBorders>
              <w:top w:val="single" w:sz="4" w:space="0" w:color="auto"/>
              <w:left w:val="single" w:sz="4" w:space="0" w:color="auto"/>
              <w:bottom w:val="single" w:sz="4" w:space="0" w:color="auto"/>
              <w:right w:val="single" w:sz="4" w:space="0" w:color="auto"/>
            </w:tcBorders>
            <w:vAlign w:val="center"/>
          </w:tcPr>
          <w:p w14:paraId="68CCAFDF" w14:textId="2C7F9B0C" w:rsidR="001204D7" w:rsidRPr="006304A3" w:rsidRDefault="00913099" w:rsidP="001204D7">
            <w:pPr>
              <w:jc w:val="center"/>
              <w:rPr>
                <w:rFonts w:ascii="Calibri" w:hAnsi="Calibri" w:cs="Calibri"/>
                <w:color w:val="000000"/>
                <w:sz w:val="24"/>
                <w:szCs w:val="24"/>
              </w:rPr>
            </w:pPr>
            <w:r w:rsidRPr="006304A3">
              <w:rPr>
                <w:rFonts w:ascii="Calibri" w:hAnsi="Calibri" w:cs="Calibri"/>
                <w:color w:val="000000"/>
                <w:sz w:val="24"/>
                <w:szCs w:val="24"/>
              </w:rPr>
              <w:t xml:space="preserve"> 0/1</w:t>
            </w:r>
          </w:p>
        </w:tc>
      </w:tr>
    </w:tbl>
    <w:p w14:paraId="5DEC2421" w14:textId="6AB7BAC4" w:rsidR="005C6ED6" w:rsidRPr="00A640DA" w:rsidRDefault="005C6ED6" w:rsidP="00407112">
      <w:pPr>
        <w:rPr>
          <w:rFonts w:ascii="Calibri" w:hAnsi="Calibri" w:cs="Calibri"/>
        </w:rPr>
      </w:pPr>
    </w:p>
    <w:p w14:paraId="2584E9D7" w14:textId="31853836" w:rsidR="00235003" w:rsidRDefault="00235003" w:rsidP="00407112">
      <w:pPr>
        <w:rPr>
          <w:rFonts w:ascii="Calibri" w:hAnsi="Calibri" w:cs="Calibri"/>
        </w:rPr>
      </w:pPr>
    </w:p>
    <w:p w14:paraId="5ECA4602" w14:textId="10ECA521" w:rsidR="006304A3" w:rsidRDefault="006304A3" w:rsidP="00407112">
      <w:pPr>
        <w:rPr>
          <w:rFonts w:ascii="Calibri" w:hAnsi="Calibri" w:cs="Calibri"/>
        </w:rPr>
      </w:pPr>
    </w:p>
    <w:p w14:paraId="3447D5A7" w14:textId="77777777" w:rsidR="007A0B15" w:rsidRDefault="007A0B15" w:rsidP="00407112">
      <w:pPr>
        <w:rPr>
          <w:rFonts w:ascii="Calibri" w:hAnsi="Calibri" w:cs="Calibri"/>
        </w:rPr>
      </w:pPr>
    </w:p>
    <w:p w14:paraId="15D874C4" w14:textId="77777777" w:rsidR="007A0B15" w:rsidRDefault="007A0B15" w:rsidP="00407112">
      <w:pPr>
        <w:rPr>
          <w:rFonts w:ascii="Calibri" w:hAnsi="Calibri" w:cs="Calibri"/>
        </w:rPr>
      </w:pPr>
    </w:p>
    <w:p w14:paraId="618793C4" w14:textId="4CB9DCA0" w:rsidR="006304A3" w:rsidRDefault="006304A3" w:rsidP="00407112">
      <w:pPr>
        <w:rPr>
          <w:rFonts w:ascii="Calibri" w:hAnsi="Calibri" w:cs="Calibri"/>
        </w:rPr>
      </w:pPr>
    </w:p>
    <w:p w14:paraId="1151BD92" w14:textId="6DC9ECEF" w:rsidR="006304A3" w:rsidRDefault="006304A3" w:rsidP="00407112">
      <w:pPr>
        <w:rPr>
          <w:rFonts w:ascii="Calibri" w:hAnsi="Calibri" w:cs="Calibri"/>
        </w:rPr>
      </w:pPr>
    </w:p>
    <w:p w14:paraId="76937C8A" w14:textId="16B5D1E4" w:rsidR="006304A3" w:rsidRDefault="006304A3" w:rsidP="00407112">
      <w:pPr>
        <w:rPr>
          <w:rFonts w:ascii="Calibri" w:hAnsi="Calibri" w:cs="Calibri"/>
        </w:rPr>
      </w:pPr>
    </w:p>
    <w:p w14:paraId="1B18B225" w14:textId="77777777" w:rsidR="00E55114" w:rsidRDefault="00E55114" w:rsidP="00407112">
      <w:pPr>
        <w:rPr>
          <w:rFonts w:ascii="Calibri" w:hAnsi="Calibri" w:cs="Calibri"/>
        </w:rPr>
      </w:pPr>
    </w:p>
    <w:p w14:paraId="5841E77A" w14:textId="77777777" w:rsidR="006304A3" w:rsidRPr="00A640DA" w:rsidRDefault="006304A3" w:rsidP="00407112">
      <w:pPr>
        <w:rPr>
          <w:rFonts w:ascii="Calibri" w:hAnsi="Calibri" w:cs="Calibri"/>
        </w:rPr>
      </w:pPr>
    </w:p>
    <w:p w14:paraId="44BD73D9" w14:textId="1AD91B8A" w:rsidR="005F26D2" w:rsidRDefault="005F26D2" w:rsidP="007A0B15">
      <w:pPr>
        <w:pStyle w:val="Nagwek2"/>
        <w:numPr>
          <w:ilvl w:val="0"/>
          <w:numId w:val="22"/>
        </w:numPr>
        <w:rPr>
          <w:b/>
          <w:bCs/>
        </w:rPr>
      </w:pPr>
      <w:bookmarkStart w:id="7" w:name="_Toc100251692"/>
      <w:bookmarkStart w:id="8" w:name="_Toc156997734"/>
      <w:r w:rsidRPr="007A0B15">
        <w:rPr>
          <w:b/>
          <w:bCs/>
        </w:rPr>
        <w:lastRenderedPageBreak/>
        <w:t>KRYTERIA</w:t>
      </w:r>
      <w:r w:rsidR="007A2608" w:rsidRPr="007A0B15">
        <w:rPr>
          <w:b/>
          <w:bCs/>
        </w:rPr>
        <w:t xml:space="preserve"> </w:t>
      </w:r>
      <w:r w:rsidR="00B25E18" w:rsidRPr="007A0B15">
        <w:rPr>
          <w:b/>
          <w:bCs/>
        </w:rPr>
        <w:t xml:space="preserve">MERYTORYCZNE </w:t>
      </w:r>
      <w:r w:rsidRPr="007A0B15">
        <w:rPr>
          <w:b/>
          <w:bCs/>
        </w:rPr>
        <w:t>OCENY PRZEDSIĘWZIĘĆ W INWESTYCJI C2.1.1</w:t>
      </w:r>
      <w:bookmarkEnd w:id="7"/>
      <w:bookmarkEnd w:id="8"/>
    </w:p>
    <w:p w14:paraId="139FFAEE" w14:textId="77777777" w:rsidR="007A0B15" w:rsidRPr="007A0B15" w:rsidRDefault="007A0B15" w:rsidP="007A0B15"/>
    <w:tbl>
      <w:tblPr>
        <w:tblStyle w:val="Tabela-Siatka1"/>
        <w:tblW w:w="13529" w:type="dxa"/>
        <w:tblLayout w:type="fixed"/>
        <w:tblLook w:val="04A0" w:firstRow="1" w:lastRow="0" w:firstColumn="1" w:lastColumn="0" w:noHBand="0" w:noVBand="1"/>
      </w:tblPr>
      <w:tblGrid>
        <w:gridCol w:w="779"/>
        <w:gridCol w:w="2528"/>
        <w:gridCol w:w="8980"/>
        <w:gridCol w:w="1242"/>
      </w:tblGrid>
      <w:tr w:rsidR="005F1D72" w:rsidRPr="00A640DA" w14:paraId="21A58B46" w14:textId="77777777" w:rsidTr="00800A89">
        <w:trPr>
          <w:trHeight w:val="983"/>
        </w:trPr>
        <w:tc>
          <w:tcPr>
            <w:tcW w:w="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C8181C" w14:textId="7187A63E" w:rsidR="005F1D72" w:rsidRPr="006304A3" w:rsidRDefault="005F1D72" w:rsidP="005F1D72">
            <w:pPr>
              <w:jc w:val="center"/>
              <w:rPr>
                <w:rFonts w:cstheme="minorHAnsi"/>
                <w:b/>
                <w:sz w:val="24"/>
                <w:szCs w:val="24"/>
              </w:rPr>
            </w:pPr>
            <w:r w:rsidRPr="006304A3">
              <w:rPr>
                <w:rFonts w:cstheme="minorHAnsi"/>
                <w:b/>
                <w:bCs/>
                <w:color w:val="000000"/>
                <w:sz w:val="24"/>
                <w:szCs w:val="24"/>
              </w:rPr>
              <w:t>Nr</w:t>
            </w:r>
          </w:p>
        </w:tc>
        <w:tc>
          <w:tcPr>
            <w:tcW w:w="2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1B986" w14:textId="7C019FB1" w:rsidR="005F1D72" w:rsidRPr="006304A3" w:rsidRDefault="005F1D72" w:rsidP="005F1D72">
            <w:pPr>
              <w:rPr>
                <w:rFonts w:cstheme="minorHAnsi"/>
                <w:b/>
                <w:bCs/>
                <w:sz w:val="24"/>
                <w:szCs w:val="24"/>
              </w:rPr>
            </w:pPr>
            <w:r w:rsidRPr="006304A3">
              <w:rPr>
                <w:rFonts w:cstheme="minorHAnsi"/>
                <w:b/>
                <w:bCs/>
                <w:color w:val="000000"/>
                <w:sz w:val="24"/>
                <w:szCs w:val="24"/>
              </w:rPr>
              <w:t>Nazwa kryterium</w:t>
            </w:r>
          </w:p>
        </w:tc>
        <w:tc>
          <w:tcPr>
            <w:tcW w:w="9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470ADE" w14:textId="00292E46" w:rsidR="005F1D72" w:rsidRPr="006304A3" w:rsidRDefault="005F1D72" w:rsidP="005F1D72">
            <w:pPr>
              <w:spacing w:line="30" w:lineRule="atLeast"/>
              <w:rPr>
                <w:rFonts w:cstheme="minorHAnsi"/>
                <w:bCs/>
                <w:sz w:val="24"/>
                <w:szCs w:val="24"/>
              </w:rPr>
            </w:pPr>
            <w:r w:rsidRPr="006304A3">
              <w:rPr>
                <w:rFonts w:cstheme="minorHAnsi"/>
                <w:b/>
                <w:bCs/>
                <w:color w:val="000000"/>
                <w:sz w:val="24"/>
                <w:szCs w:val="24"/>
              </w:rPr>
              <w:t>Opis kryterium</w:t>
            </w:r>
          </w:p>
        </w:tc>
        <w:tc>
          <w:tcPr>
            <w:tcW w:w="12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8C189" w14:textId="3EE7F666" w:rsidR="005F1D72" w:rsidRPr="006304A3" w:rsidRDefault="005F1D72" w:rsidP="005F1D72">
            <w:pPr>
              <w:jc w:val="center"/>
              <w:rPr>
                <w:rFonts w:cstheme="minorHAnsi"/>
                <w:color w:val="000000"/>
                <w:sz w:val="24"/>
                <w:szCs w:val="24"/>
              </w:rPr>
            </w:pPr>
            <w:r w:rsidRPr="006304A3">
              <w:rPr>
                <w:rFonts w:cstheme="minorHAnsi"/>
                <w:b/>
                <w:bCs/>
                <w:color w:val="000000"/>
                <w:sz w:val="24"/>
                <w:szCs w:val="24"/>
              </w:rPr>
              <w:t>Sposób oceny</w:t>
            </w:r>
          </w:p>
        </w:tc>
      </w:tr>
      <w:tr w:rsidR="005F1D72" w:rsidRPr="00A640DA" w14:paraId="535A5C59" w14:textId="77777777" w:rsidTr="00800A89">
        <w:trPr>
          <w:trHeight w:val="983"/>
        </w:trPr>
        <w:tc>
          <w:tcPr>
            <w:tcW w:w="782" w:type="dxa"/>
            <w:tcBorders>
              <w:bottom w:val="single" w:sz="4" w:space="0" w:color="auto"/>
            </w:tcBorders>
            <w:shd w:val="clear" w:color="auto" w:fill="FFFFFF" w:themeFill="background1"/>
          </w:tcPr>
          <w:p w14:paraId="28DDB9EA" w14:textId="43BE616D" w:rsidR="005F1D72" w:rsidRPr="006304A3" w:rsidRDefault="005F1D72" w:rsidP="005F1D72">
            <w:pPr>
              <w:jc w:val="center"/>
              <w:rPr>
                <w:rFonts w:cstheme="minorHAnsi"/>
                <w:b/>
                <w:sz w:val="24"/>
                <w:szCs w:val="24"/>
              </w:rPr>
            </w:pPr>
            <w:r w:rsidRPr="006304A3">
              <w:rPr>
                <w:rFonts w:cstheme="minorHAnsi"/>
                <w:b/>
                <w:sz w:val="24"/>
                <w:szCs w:val="24"/>
              </w:rPr>
              <w:t>1</w:t>
            </w:r>
          </w:p>
        </w:tc>
        <w:tc>
          <w:tcPr>
            <w:tcW w:w="2540" w:type="dxa"/>
            <w:tcBorders>
              <w:bottom w:val="single" w:sz="4" w:space="0" w:color="auto"/>
            </w:tcBorders>
            <w:shd w:val="clear" w:color="auto" w:fill="FFFFFF" w:themeFill="background1"/>
          </w:tcPr>
          <w:p w14:paraId="5D321D73" w14:textId="2A07DA8C" w:rsidR="005F1D72" w:rsidRPr="006304A3" w:rsidRDefault="005F1D72" w:rsidP="005F1D72">
            <w:pPr>
              <w:rPr>
                <w:rFonts w:cstheme="minorHAnsi"/>
                <w:b/>
                <w:bCs/>
                <w:sz w:val="24"/>
                <w:szCs w:val="24"/>
              </w:rPr>
            </w:pPr>
            <w:r w:rsidRPr="006304A3">
              <w:rPr>
                <w:rFonts w:cstheme="minorHAnsi"/>
                <w:b/>
                <w:bCs/>
                <w:sz w:val="24"/>
                <w:szCs w:val="24"/>
              </w:rPr>
              <w:t xml:space="preserve">Zgodność Przedsięwzięcia z Opisem Założeń Projektu Informatycznego pozytywnie zaopiniowanym przez KRMC </w:t>
            </w:r>
          </w:p>
        </w:tc>
        <w:tc>
          <w:tcPr>
            <w:tcW w:w="9027" w:type="dxa"/>
            <w:tcBorders>
              <w:bottom w:val="single" w:sz="4" w:space="0" w:color="auto"/>
            </w:tcBorders>
            <w:shd w:val="clear" w:color="auto" w:fill="FFFFFF" w:themeFill="background1"/>
          </w:tcPr>
          <w:p w14:paraId="4548E381" w14:textId="4AD94115" w:rsidR="005F1D72" w:rsidRPr="0048381B" w:rsidRDefault="005F1D72" w:rsidP="0048381B">
            <w:pPr>
              <w:spacing w:after="360" w:line="30" w:lineRule="atLeast"/>
              <w:rPr>
                <w:rFonts w:cstheme="minorHAnsi"/>
                <w:bCs/>
                <w:sz w:val="24"/>
                <w:szCs w:val="24"/>
              </w:rPr>
            </w:pPr>
            <w:r w:rsidRPr="006304A3">
              <w:rPr>
                <w:rFonts w:cstheme="minorHAnsi"/>
                <w:bCs/>
                <w:sz w:val="24"/>
                <w:szCs w:val="24"/>
              </w:rPr>
              <w:t xml:space="preserve">W ramach kryterium weryfikowane jest czy zakres Przedsięwzięcia jest zgodny z Opisem Założeń Projektu Informatycznego przedstawionym do oceny przez KRMC w następujących aspektach: </w:t>
            </w:r>
          </w:p>
          <w:p w14:paraId="19B4CEF9" w14:textId="401F56B0" w:rsidR="005F1D72" w:rsidRPr="006304A3" w:rsidRDefault="005F1D72">
            <w:pPr>
              <w:numPr>
                <w:ilvl w:val="1"/>
                <w:numId w:val="11"/>
              </w:numPr>
              <w:tabs>
                <w:tab w:val="left" w:pos="312"/>
              </w:tabs>
              <w:spacing w:after="200" w:line="30" w:lineRule="atLeast"/>
              <w:ind w:left="358" w:hanging="283"/>
              <w:rPr>
                <w:rFonts w:cstheme="minorHAnsi"/>
                <w:b/>
                <w:bCs/>
                <w:sz w:val="24"/>
                <w:szCs w:val="24"/>
              </w:rPr>
            </w:pPr>
            <w:r w:rsidRPr="006304A3">
              <w:rPr>
                <w:rFonts w:cstheme="minorHAnsi"/>
                <w:bCs/>
                <w:sz w:val="24"/>
                <w:szCs w:val="24"/>
              </w:rPr>
              <w:t xml:space="preserve">nie dokonano zmian w założeniach koncepcji realizacji Przedsięwzięcia zatwierdzonego przez KRMC to jest wszystkie istotne parametry Przedsięwzięcia zostały zachowane względem opisu Projektu Informatycznego przedstawionego i zaakceptowanego przez KRMC. W szczególności zachowane zostały główne założenia i </w:t>
            </w:r>
            <w:r w:rsidR="00A71C68" w:rsidRPr="006304A3">
              <w:rPr>
                <w:rFonts w:cstheme="minorHAnsi"/>
                <w:bCs/>
                <w:sz w:val="24"/>
                <w:szCs w:val="24"/>
              </w:rPr>
              <w:t>P</w:t>
            </w:r>
            <w:r w:rsidRPr="006304A3">
              <w:rPr>
                <w:rFonts w:cstheme="minorHAnsi"/>
                <w:bCs/>
                <w:sz w:val="24"/>
                <w:szCs w:val="24"/>
              </w:rPr>
              <w:t>rodukty Przedsięwzięcia;</w:t>
            </w:r>
          </w:p>
          <w:p w14:paraId="4874F488" w14:textId="2D741084" w:rsidR="005F1D72" w:rsidRPr="006304A3" w:rsidRDefault="005F1D72">
            <w:pPr>
              <w:numPr>
                <w:ilvl w:val="1"/>
                <w:numId w:val="11"/>
              </w:numPr>
              <w:tabs>
                <w:tab w:val="left" w:pos="217"/>
              </w:tabs>
              <w:spacing w:after="200" w:line="30" w:lineRule="atLeast"/>
              <w:ind w:left="359" w:hanging="283"/>
              <w:rPr>
                <w:rFonts w:cstheme="minorHAnsi"/>
                <w:b/>
                <w:bCs/>
                <w:sz w:val="24"/>
                <w:szCs w:val="24"/>
              </w:rPr>
            </w:pPr>
            <w:r w:rsidRPr="006304A3">
              <w:rPr>
                <w:rFonts w:cstheme="minorHAnsi"/>
                <w:bCs/>
                <w:sz w:val="24"/>
                <w:szCs w:val="24"/>
              </w:rPr>
              <w:t>wartość Przedsięwzięcia wskazana we Wniosku o objęcie Przedsięwzięcia wsparciem jest w przybliżeniu (rozbieżność może wynosić do 15%) zgodna z tą zaakceptowaną przez KRMC;</w:t>
            </w:r>
          </w:p>
          <w:p w14:paraId="2E6EF3B7" w14:textId="351C5A23" w:rsidR="005F1D72" w:rsidRPr="006304A3" w:rsidRDefault="005F1D72">
            <w:pPr>
              <w:numPr>
                <w:ilvl w:val="1"/>
                <w:numId w:val="11"/>
              </w:numPr>
              <w:tabs>
                <w:tab w:val="left" w:pos="217"/>
              </w:tabs>
              <w:spacing w:after="200" w:line="30" w:lineRule="atLeast"/>
              <w:ind w:left="359" w:hanging="283"/>
              <w:rPr>
                <w:rFonts w:cstheme="minorHAnsi"/>
                <w:b/>
                <w:bCs/>
                <w:sz w:val="24"/>
                <w:szCs w:val="24"/>
              </w:rPr>
            </w:pPr>
            <w:r w:rsidRPr="006304A3">
              <w:rPr>
                <w:rFonts w:cstheme="minorHAnsi"/>
                <w:bCs/>
                <w:sz w:val="24"/>
                <w:szCs w:val="24"/>
              </w:rPr>
              <w:t>zmiany dotyczące sposobu wdrażania Przedsięwzięcia w stosunku do określonych w Opisie Założeń Projektu Informatycznego są dopuszczalne pod warunkiem utrzymania zaplanowanych efektów</w:t>
            </w:r>
            <w:r w:rsidR="00834769" w:rsidRPr="006304A3">
              <w:rPr>
                <w:rFonts w:cstheme="minorHAnsi"/>
                <w:bCs/>
                <w:sz w:val="24"/>
                <w:szCs w:val="24"/>
              </w:rPr>
              <w:t xml:space="preserve"> Przedsięwzięcia </w:t>
            </w:r>
            <w:r w:rsidRPr="006304A3">
              <w:rPr>
                <w:rFonts w:cstheme="minorHAnsi"/>
                <w:bCs/>
                <w:sz w:val="24"/>
                <w:szCs w:val="24"/>
              </w:rPr>
              <w:t>w niezmienionej formie (dotyczy w szczególności celów i zakresu Przedsięwzięcia oraz jakości jego</w:t>
            </w:r>
            <w:r w:rsidR="00834769" w:rsidRPr="006304A3">
              <w:rPr>
                <w:rFonts w:cstheme="minorHAnsi"/>
                <w:bCs/>
                <w:sz w:val="24"/>
                <w:szCs w:val="24"/>
              </w:rPr>
              <w:t xml:space="preserve"> P</w:t>
            </w:r>
            <w:r w:rsidRPr="006304A3">
              <w:rPr>
                <w:rFonts w:cstheme="minorHAnsi"/>
                <w:bCs/>
                <w:sz w:val="24"/>
                <w:szCs w:val="24"/>
              </w:rPr>
              <w:t>roduktów). W zakresie poziomu osiągnięcia zaplanowanych wskaźników rozbieżność może wynosić do 15%.</w:t>
            </w:r>
            <w:r w:rsidRPr="006304A3">
              <w:rPr>
                <w:rFonts w:cstheme="minorHAnsi"/>
                <w:b/>
                <w:bCs/>
                <w:sz w:val="24"/>
                <w:szCs w:val="24"/>
              </w:rPr>
              <w:t xml:space="preserve"> </w:t>
            </w:r>
            <w:r w:rsidRPr="006304A3">
              <w:rPr>
                <w:rFonts w:cstheme="minorHAnsi"/>
                <w:bCs/>
                <w:sz w:val="24"/>
                <w:szCs w:val="24"/>
              </w:rPr>
              <w:t xml:space="preserve">Zmiany te mogą dotyczyć: </w:t>
            </w:r>
          </w:p>
          <w:p w14:paraId="71886D3F" w14:textId="3D3425F4" w:rsidR="005F1D72" w:rsidRPr="00B4320A" w:rsidRDefault="005F1D72" w:rsidP="00B4320A">
            <w:pPr>
              <w:pStyle w:val="Akapitzlist"/>
              <w:numPr>
                <w:ilvl w:val="0"/>
                <w:numId w:val="27"/>
              </w:numPr>
              <w:tabs>
                <w:tab w:val="left" w:pos="300"/>
              </w:tabs>
              <w:spacing w:after="200" w:line="30" w:lineRule="atLeast"/>
              <w:rPr>
                <w:rFonts w:ascii="Calibri" w:hAnsi="Calibri" w:cs="Calibri"/>
                <w:b/>
                <w:bCs/>
                <w:sz w:val="24"/>
                <w:szCs w:val="24"/>
              </w:rPr>
            </w:pPr>
            <w:r w:rsidRPr="00B4320A">
              <w:rPr>
                <w:rFonts w:ascii="Calibri" w:hAnsi="Calibri" w:cs="Calibri"/>
                <w:bCs/>
                <w:sz w:val="24"/>
                <w:szCs w:val="24"/>
              </w:rPr>
              <w:t xml:space="preserve">zmian w harmonogramie Przedsięwzięcia wynikających z przebiegu procedur wyboru </w:t>
            </w:r>
            <w:r w:rsidR="008E1206" w:rsidRPr="00B4320A">
              <w:rPr>
                <w:rFonts w:ascii="Calibri" w:hAnsi="Calibri" w:cs="Calibri"/>
                <w:bCs/>
                <w:sz w:val="24"/>
                <w:szCs w:val="24"/>
              </w:rPr>
              <w:t>P</w:t>
            </w:r>
            <w:r w:rsidRPr="00B4320A">
              <w:rPr>
                <w:rFonts w:ascii="Calibri" w:hAnsi="Calibri" w:cs="Calibri"/>
                <w:bCs/>
                <w:sz w:val="24"/>
                <w:szCs w:val="24"/>
              </w:rPr>
              <w:t>r</w:t>
            </w:r>
            <w:r w:rsidR="008E1206" w:rsidRPr="00B4320A">
              <w:rPr>
                <w:rFonts w:ascii="Calibri" w:hAnsi="Calibri" w:cs="Calibri"/>
                <w:bCs/>
                <w:sz w:val="24"/>
                <w:szCs w:val="24"/>
              </w:rPr>
              <w:t xml:space="preserve">zedsięwzięć </w:t>
            </w:r>
            <w:r w:rsidRPr="00B4320A">
              <w:rPr>
                <w:rFonts w:ascii="Calibri" w:hAnsi="Calibri" w:cs="Calibri"/>
                <w:bCs/>
                <w:sz w:val="24"/>
                <w:szCs w:val="24"/>
              </w:rPr>
              <w:t xml:space="preserve">do dofinansowania; </w:t>
            </w:r>
          </w:p>
          <w:p w14:paraId="19D40BD1" w14:textId="146D2BC2" w:rsidR="005F1D72" w:rsidRPr="00B4320A" w:rsidRDefault="005F1D72" w:rsidP="00B4320A">
            <w:pPr>
              <w:pStyle w:val="Akapitzlist"/>
              <w:numPr>
                <w:ilvl w:val="0"/>
                <w:numId w:val="27"/>
              </w:numPr>
              <w:tabs>
                <w:tab w:val="left" w:pos="300"/>
              </w:tabs>
              <w:spacing w:after="200" w:line="30" w:lineRule="atLeast"/>
              <w:rPr>
                <w:rFonts w:ascii="Calibri" w:hAnsi="Calibri" w:cs="Calibri"/>
                <w:b/>
                <w:bCs/>
                <w:sz w:val="24"/>
                <w:szCs w:val="24"/>
              </w:rPr>
            </w:pPr>
            <w:r w:rsidRPr="00B4320A">
              <w:rPr>
                <w:rFonts w:ascii="Calibri" w:hAnsi="Calibri" w:cs="Calibri"/>
                <w:bCs/>
                <w:sz w:val="24"/>
                <w:szCs w:val="24"/>
              </w:rPr>
              <w:t>zmian podmiotów uczestniczących w Przedsięwzięciu (</w:t>
            </w:r>
            <w:r w:rsidR="008E1206" w:rsidRPr="00B4320A">
              <w:rPr>
                <w:rFonts w:ascii="Calibri" w:hAnsi="Calibri" w:cs="Calibri"/>
                <w:bCs/>
                <w:sz w:val="24"/>
                <w:szCs w:val="24"/>
              </w:rPr>
              <w:t>P</w:t>
            </w:r>
            <w:r w:rsidRPr="00B4320A">
              <w:rPr>
                <w:rFonts w:ascii="Calibri" w:hAnsi="Calibri" w:cs="Calibri"/>
                <w:bCs/>
                <w:sz w:val="24"/>
                <w:szCs w:val="24"/>
              </w:rPr>
              <w:t>artnera/</w:t>
            </w:r>
            <w:r w:rsidR="008E1206" w:rsidRPr="00B4320A">
              <w:rPr>
                <w:rFonts w:ascii="Calibri" w:hAnsi="Calibri" w:cs="Calibri"/>
                <w:bCs/>
                <w:sz w:val="24"/>
                <w:szCs w:val="24"/>
              </w:rPr>
              <w:t>P</w:t>
            </w:r>
            <w:r w:rsidRPr="00B4320A">
              <w:rPr>
                <w:rFonts w:ascii="Calibri" w:hAnsi="Calibri" w:cs="Calibri"/>
                <w:bCs/>
                <w:sz w:val="24"/>
                <w:szCs w:val="24"/>
              </w:rPr>
              <w:t>artnerów)</w:t>
            </w:r>
            <w:r w:rsidR="008E1206" w:rsidRPr="00B4320A">
              <w:rPr>
                <w:rFonts w:ascii="Calibri" w:hAnsi="Calibri" w:cs="Calibri"/>
                <w:bCs/>
                <w:sz w:val="24"/>
                <w:szCs w:val="24"/>
              </w:rPr>
              <w:t>;</w:t>
            </w:r>
          </w:p>
          <w:p w14:paraId="76D60333" w14:textId="732950B0" w:rsidR="005F1D72" w:rsidRPr="00B4320A" w:rsidRDefault="005F1D72" w:rsidP="00B4320A">
            <w:pPr>
              <w:pStyle w:val="Akapitzlist"/>
              <w:numPr>
                <w:ilvl w:val="0"/>
                <w:numId w:val="27"/>
              </w:numPr>
              <w:tabs>
                <w:tab w:val="left" w:pos="300"/>
              </w:tabs>
              <w:spacing w:after="200" w:line="30" w:lineRule="atLeast"/>
              <w:rPr>
                <w:rFonts w:ascii="Calibri" w:hAnsi="Calibri" w:cs="Calibri"/>
                <w:b/>
                <w:bCs/>
                <w:sz w:val="24"/>
                <w:szCs w:val="24"/>
              </w:rPr>
            </w:pPr>
            <w:r w:rsidRPr="00B4320A">
              <w:rPr>
                <w:rFonts w:ascii="Calibri" w:hAnsi="Calibri" w:cs="Calibri"/>
                <w:bCs/>
                <w:sz w:val="24"/>
                <w:szCs w:val="24"/>
              </w:rPr>
              <w:lastRenderedPageBreak/>
              <w:t>zmian w budżecie polegających na doprecyzowaniu kategorii wydatków i ich uszczegółowieniu poprzez dekompozycję zagregowanych pozycji kosztowych oraz modyfikacji niewpływających na zaplanowane efekty</w:t>
            </w:r>
            <w:r w:rsidR="00276D1A" w:rsidRPr="00B4320A">
              <w:rPr>
                <w:rFonts w:ascii="Calibri" w:hAnsi="Calibri" w:cs="Calibri"/>
                <w:bCs/>
                <w:sz w:val="24"/>
                <w:szCs w:val="24"/>
              </w:rPr>
              <w:t xml:space="preserve"> Przedsięwzięcia </w:t>
            </w:r>
            <w:r w:rsidRPr="00B4320A">
              <w:rPr>
                <w:rFonts w:ascii="Calibri" w:hAnsi="Calibri" w:cs="Calibri"/>
                <w:bCs/>
                <w:sz w:val="24"/>
                <w:szCs w:val="24"/>
              </w:rPr>
              <w:t>np. wynikające ze zmian szacunków kosztów, racjonalizacji kosztów, itp.;</w:t>
            </w:r>
          </w:p>
          <w:p w14:paraId="0B45B72A" w14:textId="7C467F2E" w:rsidR="005F1D72" w:rsidRPr="00B4320A" w:rsidRDefault="005F1D72" w:rsidP="00B4320A">
            <w:pPr>
              <w:pStyle w:val="Akapitzlist"/>
              <w:numPr>
                <w:ilvl w:val="0"/>
                <w:numId w:val="27"/>
              </w:numPr>
              <w:tabs>
                <w:tab w:val="left" w:pos="300"/>
              </w:tabs>
              <w:spacing w:after="200" w:line="30" w:lineRule="atLeast"/>
              <w:rPr>
                <w:rFonts w:ascii="Calibri" w:hAnsi="Calibri" w:cs="Calibri"/>
                <w:b/>
                <w:bCs/>
                <w:sz w:val="24"/>
                <w:szCs w:val="24"/>
              </w:rPr>
            </w:pPr>
            <w:r w:rsidRPr="00B4320A">
              <w:rPr>
                <w:rFonts w:ascii="Calibri" w:hAnsi="Calibri" w:cs="Calibri"/>
                <w:bCs/>
                <w:sz w:val="24"/>
                <w:szCs w:val="24"/>
              </w:rPr>
              <w:t xml:space="preserve">modyfikacji wynikających z błędów formalnych, np. zmiana w procencie dofinansowania UE; </w:t>
            </w:r>
          </w:p>
          <w:p w14:paraId="0C906EA6" w14:textId="0208E942" w:rsidR="005F1D72" w:rsidRPr="00B4320A" w:rsidRDefault="005F1D72" w:rsidP="00B4320A">
            <w:pPr>
              <w:pStyle w:val="Akapitzlist"/>
              <w:numPr>
                <w:ilvl w:val="0"/>
                <w:numId w:val="27"/>
              </w:numPr>
              <w:tabs>
                <w:tab w:val="left" w:pos="300"/>
              </w:tabs>
              <w:spacing w:after="200" w:line="30" w:lineRule="atLeast"/>
              <w:rPr>
                <w:rFonts w:ascii="Calibri" w:hAnsi="Calibri" w:cs="Calibri"/>
                <w:b/>
                <w:bCs/>
                <w:sz w:val="24"/>
                <w:szCs w:val="24"/>
              </w:rPr>
            </w:pPr>
            <w:r w:rsidRPr="00B4320A">
              <w:rPr>
                <w:rFonts w:ascii="Calibri" w:hAnsi="Calibri" w:cs="Calibri"/>
                <w:bCs/>
                <w:sz w:val="24"/>
                <w:szCs w:val="24"/>
              </w:rPr>
              <w:t xml:space="preserve">zmian związanych z wprowadzeniem rekomendacji wskazanych przez Komisję Oceny Projektów zmierzających do zmiany struktury </w:t>
            </w:r>
            <w:r w:rsidR="001608BB" w:rsidRPr="00B4320A">
              <w:rPr>
                <w:rFonts w:ascii="Calibri" w:hAnsi="Calibri" w:cs="Calibri"/>
                <w:bCs/>
                <w:sz w:val="24"/>
                <w:szCs w:val="24"/>
              </w:rPr>
              <w:t>wydatków</w:t>
            </w:r>
            <w:r w:rsidRPr="00B4320A">
              <w:rPr>
                <w:rFonts w:ascii="Calibri" w:hAnsi="Calibri" w:cs="Calibri"/>
                <w:bCs/>
                <w:sz w:val="24"/>
                <w:szCs w:val="24"/>
              </w:rPr>
              <w:t xml:space="preserve"> bądź usunięcia kosztów niekwalifikowanych w zakresie tolerancji przypisanych do danego naboru;</w:t>
            </w:r>
          </w:p>
          <w:p w14:paraId="66A09DA4" w14:textId="4A53F474" w:rsidR="005F1D72" w:rsidRPr="006304A3" w:rsidRDefault="005F1D72" w:rsidP="00B4320A">
            <w:pPr>
              <w:pStyle w:val="Akapitzlist"/>
              <w:numPr>
                <w:ilvl w:val="0"/>
                <w:numId w:val="27"/>
              </w:numPr>
              <w:tabs>
                <w:tab w:val="left" w:pos="300"/>
              </w:tabs>
              <w:spacing w:after="200" w:line="30" w:lineRule="atLeast"/>
              <w:rPr>
                <w:rFonts w:cstheme="minorHAnsi"/>
                <w:b/>
                <w:bCs/>
                <w:sz w:val="24"/>
                <w:szCs w:val="24"/>
              </w:rPr>
            </w:pPr>
            <w:r w:rsidRPr="00B4320A">
              <w:rPr>
                <w:rFonts w:ascii="Calibri" w:hAnsi="Calibri" w:cs="Calibri"/>
                <w:bCs/>
                <w:sz w:val="24"/>
                <w:szCs w:val="24"/>
              </w:rPr>
              <w:t xml:space="preserve">zmian wynikających z zaleceń KRMC w </w:t>
            </w:r>
            <w:r w:rsidR="001608BB" w:rsidRPr="00B4320A">
              <w:rPr>
                <w:rFonts w:ascii="Calibri" w:hAnsi="Calibri" w:cs="Calibri"/>
                <w:bCs/>
                <w:sz w:val="24"/>
                <w:szCs w:val="24"/>
              </w:rPr>
              <w:t>przypadku,</w:t>
            </w:r>
            <w:r w:rsidRPr="00B4320A">
              <w:rPr>
                <w:rFonts w:ascii="Calibri" w:hAnsi="Calibri" w:cs="Calibri"/>
                <w:bCs/>
                <w:sz w:val="24"/>
                <w:szCs w:val="24"/>
              </w:rPr>
              <w:t xml:space="preserve"> gdy jego pozytywna opinia jest warunkowa.</w:t>
            </w:r>
          </w:p>
        </w:tc>
        <w:tc>
          <w:tcPr>
            <w:tcW w:w="1247" w:type="dxa"/>
            <w:tcBorders>
              <w:bottom w:val="single" w:sz="4" w:space="0" w:color="auto"/>
            </w:tcBorders>
            <w:shd w:val="clear" w:color="auto" w:fill="FFFFFF" w:themeFill="background1"/>
            <w:vAlign w:val="center"/>
          </w:tcPr>
          <w:p w14:paraId="3ACC86C1" w14:textId="63E594D6" w:rsidR="005F1D72" w:rsidRPr="006304A3" w:rsidRDefault="007D0A42" w:rsidP="005F1D72">
            <w:pPr>
              <w:jc w:val="center"/>
              <w:rPr>
                <w:rFonts w:cstheme="minorHAnsi"/>
                <w:color w:val="000000"/>
                <w:sz w:val="24"/>
                <w:szCs w:val="24"/>
              </w:rPr>
            </w:pPr>
            <w:r w:rsidRPr="006304A3">
              <w:rPr>
                <w:rFonts w:cstheme="minorHAnsi"/>
                <w:sz w:val="24"/>
                <w:szCs w:val="24"/>
              </w:rPr>
              <w:lastRenderedPageBreak/>
              <w:t xml:space="preserve"> </w:t>
            </w:r>
            <w:r w:rsidRPr="006304A3">
              <w:rPr>
                <w:rFonts w:cstheme="minorHAnsi"/>
                <w:color w:val="000000"/>
                <w:sz w:val="24"/>
                <w:szCs w:val="24"/>
              </w:rPr>
              <w:t>0/1</w:t>
            </w:r>
          </w:p>
        </w:tc>
      </w:tr>
      <w:tr w:rsidR="005F1D72" w:rsidRPr="00A640DA" w14:paraId="1D138457" w14:textId="77777777" w:rsidTr="00800A89">
        <w:trPr>
          <w:trHeight w:val="983"/>
        </w:trPr>
        <w:tc>
          <w:tcPr>
            <w:tcW w:w="782" w:type="dxa"/>
            <w:tcBorders>
              <w:bottom w:val="single" w:sz="4" w:space="0" w:color="auto"/>
            </w:tcBorders>
            <w:shd w:val="clear" w:color="auto" w:fill="FFFFFF" w:themeFill="background1"/>
          </w:tcPr>
          <w:p w14:paraId="4B94715E" w14:textId="37CACDB7" w:rsidR="005F1D72" w:rsidRPr="006304A3" w:rsidRDefault="005F1D72" w:rsidP="005F1D72">
            <w:pPr>
              <w:jc w:val="center"/>
              <w:rPr>
                <w:rFonts w:cstheme="minorHAnsi"/>
                <w:b/>
                <w:sz w:val="24"/>
                <w:szCs w:val="24"/>
              </w:rPr>
            </w:pPr>
            <w:r w:rsidRPr="006304A3">
              <w:rPr>
                <w:rFonts w:cstheme="minorHAnsi"/>
                <w:b/>
                <w:sz w:val="24"/>
                <w:szCs w:val="24"/>
              </w:rPr>
              <w:t xml:space="preserve">2 </w:t>
            </w:r>
          </w:p>
        </w:tc>
        <w:tc>
          <w:tcPr>
            <w:tcW w:w="2540" w:type="dxa"/>
            <w:tcBorders>
              <w:bottom w:val="single" w:sz="4" w:space="0" w:color="auto"/>
            </w:tcBorders>
            <w:shd w:val="clear" w:color="auto" w:fill="FFFFFF" w:themeFill="background1"/>
          </w:tcPr>
          <w:p w14:paraId="18CDFCEA" w14:textId="4A62DEC3" w:rsidR="005F1D72" w:rsidRPr="006304A3" w:rsidRDefault="005F1D72" w:rsidP="005F1D72">
            <w:pPr>
              <w:rPr>
                <w:rFonts w:cstheme="minorHAnsi"/>
                <w:b/>
                <w:bCs/>
                <w:sz w:val="24"/>
                <w:szCs w:val="24"/>
              </w:rPr>
            </w:pPr>
            <w:r w:rsidRPr="006304A3">
              <w:rPr>
                <w:rFonts w:cstheme="minorHAnsi"/>
                <w:b/>
                <w:bCs/>
                <w:sz w:val="24"/>
                <w:szCs w:val="24"/>
              </w:rPr>
              <w:t xml:space="preserve">Zgodność Przedsięwzięcia z informacjami podanymi na liście Przedsięwzięć indykatywnych w </w:t>
            </w:r>
            <w:r w:rsidR="001608BB" w:rsidRPr="006304A3">
              <w:rPr>
                <w:rFonts w:cstheme="minorHAnsi"/>
                <w:b/>
                <w:bCs/>
                <w:sz w:val="24"/>
                <w:szCs w:val="24"/>
              </w:rPr>
              <w:t>ramach Inwestycji</w:t>
            </w:r>
            <w:r w:rsidRPr="006304A3">
              <w:rPr>
                <w:rFonts w:cstheme="minorHAnsi"/>
                <w:b/>
                <w:bCs/>
                <w:sz w:val="24"/>
                <w:szCs w:val="24"/>
              </w:rPr>
              <w:t xml:space="preserve"> C2.1.1 Krajowego Planu Odbudowy i Zwiększania Odporności</w:t>
            </w:r>
          </w:p>
        </w:tc>
        <w:tc>
          <w:tcPr>
            <w:tcW w:w="9027" w:type="dxa"/>
            <w:tcBorders>
              <w:bottom w:val="single" w:sz="4" w:space="0" w:color="auto"/>
            </w:tcBorders>
            <w:shd w:val="clear" w:color="auto" w:fill="FFFFFF" w:themeFill="background1"/>
          </w:tcPr>
          <w:p w14:paraId="0B921045" w14:textId="591C0F06" w:rsidR="005F1D72" w:rsidRPr="006304A3" w:rsidRDefault="005F1D72" w:rsidP="00BB0552">
            <w:pPr>
              <w:spacing w:after="360"/>
              <w:rPr>
                <w:rFonts w:cstheme="minorHAnsi"/>
                <w:bCs/>
                <w:sz w:val="24"/>
                <w:szCs w:val="24"/>
              </w:rPr>
            </w:pPr>
            <w:r w:rsidRPr="006304A3">
              <w:rPr>
                <w:rFonts w:cstheme="minorHAnsi"/>
                <w:bCs/>
                <w:sz w:val="24"/>
                <w:szCs w:val="24"/>
              </w:rPr>
              <w:t xml:space="preserve">W ramach kryterium weryfikowane jest czy informacje podane na liście Przedsięwzięć indykatywnych w </w:t>
            </w:r>
            <w:r w:rsidR="001608BB" w:rsidRPr="006304A3">
              <w:rPr>
                <w:rFonts w:cstheme="minorHAnsi"/>
                <w:bCs/>
                <w:sz w:val="24"/>
                <w:szCs w:val="24"/>
              </w:rPr>
              <w:t>ramach Inwestycji</w:t>
            </w:r>
            <w:r w:rsidRPr="006304A3">
              <w:rPr>
                <w:rFonts w:cstheme="minorHAnsi"/>
                <w:bCs/>
                <w:sz w:val="24"/>
                <w:szCs w:val="24"/>
              </w:rPr>
              <w:t xml:space="preserve"> C2.1.1 Krajowego Planu Odbudowy i Zwiększania Odporności są zgodne z Wnioskiem o objęcie Przedsięwzięcia wsparciem.</w:t>
            </w:r>
          </w:p>
          <w:p w14:paraId="642DB535" w14:textId="274F9EF1" w:rsidR="005F1D72" w:rsidRPr="006304A3" w:rsidRDefault="005F1D72" w:rsidP="005F1D72">
            <w:pPr>
              <w:spacing w:line="30" w:lineRule="atLeast"/>
              <w:rPr>
                <w:rFonts w:cstheme="minorHAnsi"/>
                <w:bCs/>
                <w:sz w:val="24"/>
                <w:szCs w:val="24"/>
              </w:rPr>
            </w:pPr>
            <w:r w:rsidRPr="006304A3">
              <w:rPr>
                <w:rFonts w:cstheme="minorHAnsi"/>
                <w:bCs/>
                <w:sz w:val="24"/>
                <w:szCs w:val="24"/>
              </w:rPr>
              <w:t xml:space="preserve">W ramach kryterium weryfikowane jest czy: </w:t>
            </w:r>
          </w:p>
          <w:p w14:paraId="7E350D7C" w14:textId="5C299B06" w:rsidR="005F1D72" w:rsidRPr="002C7F7D" w:rsidRDefault="005F1D72" w:rsidP="002C7F7D">
            <w:pPr>
              <w:pStyle w:val="Akapitzlist"/>
              <w:numPr>
                <w:ilvl w:val="0"/>
                <w:numId w:val="25"/>
              </w:numPr>
              <w:spacing w:line="30" w:lineRule="atLeast"/>
              <w:rPr>
                <w:rFonts w:cstheme="minorHAnsi"/>
                <w:bCs/>
                <w:sz w:val="24"/>
                <w:szCs w:val="24"/>
              </w:rPr>
            </w:pPr>
            <w:r w:rsidRPr="002C7F7D">
              <w:rPr>
                <w:rFonts w:cstheme="minorHAnsi"/>
                <w:bCs/>
                <w:sz w:val="24"/>
                <w:szCs w:val="24"/>
              </w:rPr>
              <w:t>całkowita wartość wydatków kwalifikowalnych Przedsięwzięcia wskazana we Wniosku o objęcie Przedsięwzięcia wsparciem jest zgodna z tą wskazaną na liście. Za zgodną należy rozumieć równą bądź niższą względem wartości podanej na liście;</w:t>
            </w:r>
          </w:p>
          <w:p w14:paraId="5453439C" w14:textId="12808D83" w:rsidR="005F1D72" w:rsidRPr="002C7F7D" w:rsidRDefault="005F1D72" w:rsidP="002C7F7D">
            <w:pPr>
              <w:pStyle w:val="Akapitzlist"/>
              <w:numPr>
                <w:ilvl w:val="0"/>
                <w:numId w:val="25"/>
              </w:numPr>
              <w:spacing w:line="30" w:lineRule="atLeast"/>
              <w:rPr>
                <w:rFonts w:cstheme="minorHAnsi"/>
                <w:bCs/>
                <w:sz w:val="24"/>
                <w:szCs w:val="24"/>
              </w:rPr>
            </w:pPr>
            <w:r w:rsidRPr="002C7F7D">
              <w:rPr>
                <w:rFonts w:cstheme="minorHAnsi"/>
                <w:bCs/>
                <w:sz w:val="24"/>
                <w:szCs w:val="24"/>
              </w:rPr>
              <w:t>wskaźniki oraz ich wartości do osiągnięcia wskazane we Wniosku o objęcie Przedsięwzięcia są zgodne z tymi podanymi na liście. Za zgodne należy rozumieć co najmniej te same wskaźniki i ich wartości do osiągnięcia</w:t>
            </w:r>
            <w:r w:rsidR="009F6BBB">
              <w:rPr>
                <w:rFonts w:cstheme="minorHAnsi"/>
                <w:bCs/>
                <w:sz w:val="24"/>
                <w:szCs w:val="24"/>
              </w:rPr>
              <w:t>, z zastrzeżeniem</w:t>
            </w:r>
            <w:r w:rsidR="001D30BD">
              <w:rPr>
                <w:rFonts w:cstheme="minorHAnsi"/>
                <w:bCs/>
                <w:sz w:val="24"/>
                <w:szCs w:val="24"/>
              </w:rPr>
              <w:t>,</w:t>
            </w:r>
            <w:r w:rsidR="009F6BBB">
              <w:rPr>
                <w:rFonts w:cstheme="minorHAnsi"/>
                <w:bCs/>
                <w:sz w:val="24"/>
                <w:szCs w:val="24"/>
              </w:rPr>
              <w:t xml:space="preserve"> że w przypadku</w:t>
            </w:r>
            <w:r w:rsidR="009F6BBB">
              <w:t xml:space="preserve"> </w:t>
            </w:r>
            <w:r w:rsidR="009F6BBB" w:rsidRPr="009F6BBB">
              <w:rPr>
                <w:rFonts w:cstheme="minorHAnsi"/>
                <w:bCs/>
                <w:sz w:val="24"/>
                <w:szCs w:val="24"/>
              </w:rPr>
              <w:t>rekomendacji wskazanych przez Komisję Oceny Projektów</w:t>
            </w:r>
            <w:r w:rsidR="001D30BD">
              <w:rPr>
                <w:rFonts w:cstheme="minorHAnsi"/>
                <w:bCs/>
                <w:sz w:val="24"/>
                <w:szCs w:val="24"/>
              </w:rPr>
              <w:t>,</w:t>
            </w:r>
            <w:r w:rsidR="009F6BBB">
              <w:rPr>
                <w:rFonts w:cstheme="minorHAnsi"/>
                <w:bCs/>
                <w:sz w:val="24"/>
                <w:szCs w:val="24"/>
              </w:rPr>
              <w:t xml:space="preserve"> polegających na zmniejszeniu wartości wskaźników, ich wartość nie może </w:t>
            </w:r>
            <w:r w:rsidR="00347770">
              <w:rPr>
                <w:rFonts w:cstheme="minorHAnsi"/>
                <w:bCs/>
                <w:sz w:val="24"/>
                <w:szCs w:val="24"/>
              </w:rPr>
              <w:t>być niższa niż 85% wartości wskazanej na liście.</w:t>
            </w:r>
            <w:r w:rsidR="009F6BBB">
              <w:rPr>
                <w:rFonts w:cstheme="minorHAnsi"/>
                <w:bCs/>
                <w:sz w:val="24"/>
                <w:szCs w:val="24"/>
              </w:rPr>
              <w:t xml:space="preserve"> </w:t>
            </w:r>
            <w:r w:rsidRPr="002C7F7D">
              <w:rPr>
                <w:rFonts w:cstheme="minorHAnsi"/>
                <w:bCs/>
                <w:sz w:val="24"/>
                <w:szCs w:val="24"/>
              </w:rPr>
              <w:t>Oznacza to, iż za zgodne uważa się także dodanie we Wniosku o objęcie wsparciem nowych wskaźników bądź zwiększenie wartości do osiągnięcia wskaźnika/wskaźników podanego/podanych na liście;</w:t>
            </w:r>
          </w:p>
          <w:p w14:paraId="316C67B6" w14:textId="68C1A49E" w:rsidR="005F1D72" w:rsidRPr="002C7F7D" w:rsidRDefault="001608BB" w:rsidP="002C7F7D">
            <w:pPr>
              <w:pStyle w:val="Akapitzlist"/>
              <w:numPr>
                <w:ilvl w:val="0"/>
                <w:numId w:val="25"/>
              </w:numPr>
              <w:spacing w:line="30" w:lineRule="atLeast"/>
              <w:rPr>
                <w:rFonts w:cstheme="minorHAnsi"/>
                <w:bCs/>
                <w:sz w:val="24"/>
                <w:szCs w:val="24"/>
              </w:rPr>
            </w:pPr>
            <w:r w:rsidRPr="002C7F7D">
              <w:rPr>
                <w:rFonts w:cstheme="minorHAnsi"/>
                <w:bCs/>
                <w:sz w:val="24"/>
                <w:szCs w:val="24"/>
              </w:rPr>
              <w:lastRenderedPageBreak/>
              <w:t>nie dokonano</w:t>
            </w:r>
            <w:r w:rsidR="005F1D72" w:rsidRPr="002C7F7D">
              <w:rPr>
                <w:rFonts w:cstheme="minorHAnsi"/>
                <w:bCs/>
                <w:sz w:val="24"/>
                <w:szCs w:val="24"/>
              </w:rPr>
              <w:t xml:space="preserve"> zmian w okresie realizacji Przedsięwzięcia w tych Przedsięwzięciach dla których na liście wskazano okres realizacji do końca II kwartału 2025 roku.</w:t>
            </w:r>
          </w:p>
        </w:tc>
        <w:tc>
          <w:tcPr>
            <w:tcW w:w="1247" w:type="dxa"/>
            <w:tcBorders>
              <w:bottom w:val="single" w:sz="4" w:space="0" w:color="auto"/>
            </w:tcBorders>
            <w:shd w:val="clear" w:color="auto" w:fill="FFFFFF" w:themeFill="background1"/>
            <w:vAlign w:val="center"/>
          </w:tcPr>
          <w:p w14:paraId="26D38EA1" w14:textId="40742C90" w:rsidR="005F1D72" w:rsidRPr="006304A3" w:rsidRDefault="007D0A42" w:rsidP="005F1D72">
            <w:pPr>
              <w:jc w:val="center"/>
              <w:rPr>
                <w:rFonts w:cstheme="minorHAnsi"/>
                <w:color w:val="000000"/>
                <w:sz w:val="24"/>
                <w:szCs w:val="24"/>
              </w:rPr>
            </w:pPr>
            <w:r w:rsidRPr="006304A3">
              <w:rPr>
                <w:rFonts w:cstheme="minorHAnsi"/>
                <w:color w:val="000000"/>
                <w:sz w:val="24"/>
                <w:szCs w:val="24"/>
              </w:rPr>
              <w:lastRenderedPageBreak/>
              <w:t>0/1</w:t>
            </w:r>
          </w:p>
        </w:tc>
      </w:tr>
      <w:tr w:rsidR="005F1D72" w:rsidRPr="00A640DA" w14:paraId="7E2DE249" w14:textId="77777777" w:rsidTr="00800A89">
        <w:trPr>
          <w:trHeight w:val="983"/>
        </w:trPr>
        <w:tc>
          <w:tcPr>
            <w:tcW w:w="782" w:type="dxa"/>
            <w:tcBorders>
              <w:bottom w:val="single" w:sz="4" w:space="0" w:color="auto"/>
            </w:tcBorders>
            <w:shd w:val="clear" w:color="auto" w:fill="FFFFFF" w:themeFill="background1"/>
          </w:tcPr>
          <w:p w14:paraId="4EAFC445" w14:textId="076AD1C8" w:rsidR="005F1D72" w:rsidRPr="006304A3" w:rsidRDefault="002C4C0F" w:rsidP="005F1D72">
            <w:pPr>
              <w:rPr>
                <w:rFonts w:cstheme="minorHAnsi"/>
                <w:b/>
                <w:sz w:val="24"/>
                <w:szCs w:val="24"/>
              </w:rPr>
            </w:pPr>
            <w:r w:rsidRPr="006304A3">
              <w:rPr>
                <w:rFonts w:cstheme="minorHAnsi"/>
                <w:b/>
                <w:sz w:val="24"/>
                <w:szCs w:val="24"/>
              </w:rPr>
              <w:t>3</w:t>
            </w:r>
          </w:p>
        </w:tc>
        <w:tc>
          <w:tcPr>
            <w:tcW w:w="2540" w:type="dxa"/>
            <w:tcBorders>
              <w:bottom w:val="single" w:sz="4" w:space="0" w:color="auto"/>
            </w:tcBorders>
            <w:shd w:val="clear" w:color="auto" w:fill="FFFFFF" w:themeFill="background1"/>
          </w:tcPr>
          <w:p w14:paraId="48095E50" w14:textId="61D6F969" w:rsidR="005F1D72" w:rsidRPr="006304A3" w:rsidDel="00733FD1" w:rsidRDefault="005F1D72" w:rsidP="005F1D72">
            <w:pPr>
              <w:rPr>
                <w:rFonts w:cstheme="minorHAnsi"/>
                <w:b/>
                <w:bCs/>
                <w:sz w:val="24"/>
                <w:szCs w:val="24"/>
              </w:rPr>
            </w:pPr>
            <w:r w:rsidRPr="006304A3">
              <w:rPr>
                <w:rFonts w:cstheme="minorHAnsi"/>
                <w:b/>
                <w:bCs/>
                <w:sz w:val="24"/>
                <w:szCs w:val="24"/>
              </w:rPr>
              <w:t>Zakres Przedsięwzięcia jest zgodny z jego celem</w:t>
            </w:r>
          </w:p>
        </w:tc>
        <w:tc>
          <w:tcPr>
            <w:tcW w:w="9027" w:type="dxa"/>
            <w:tcBorders>
              <w:bottom w:val="single" w:sz="4" w:space="0" w:color="auto"/>
            </w:tcBorders>
            <w:shd w:val="clear" w:color="auto" w:fill="FFFFFF" w:themeFill="background1"/>
          </w:tcPr>
          <w:p w14:paraId="77B92769" w14:textId="2531A7FD" w:rsidR="005F1D72" w:rsidRPr="006304A3" w:rsidRDefault="005F1D72" w:rsidP="00BB0552">
            <w:pPr>
              <w:spacing w:after="360"/>
              <w:rPr>
                <w:rFonts w:cstheme="minorHAnsi"/>
                <w:color w:val="000000"/>
                <w:sz w:val="24"/>
                <w:szCs w:val="24"/>
              </w:rPr>
            </w:pPr>
            <w:r w:rsidRPr="006304A3">
              <w:rPr>
                <w:rFonts w:cstheme="minorHAnsi"/>
                <w:color w:val="000000"/>
                <w:sz w:val="24"/>
                <w:szCs w:val="24"/>
              </w:rPr>
              <w:t>Przedsięwzięcie realizuje jasno określone, społecznie istotne cele odnoszące się do poprawy warunków funkcjonowania gospodarki lub poprawy jakości życia obywateli lub poprawy warunków funkcjonowania przedsiębiorców (reprezentantów Grup docelowych) lub usprawnienia funkcjonowania państwa.</w:t>
            </w:r>
          </w:p>
          <w:p w14:paraId="01DCA742" w14:textId="549E69AE" w:rsidR="005F1D72" w:rsidRPr="006304A3" w:rsidRDefault="005F1D72" w:rsidP="00BB0552">
            <w:pPr>
              <w:spacing w:after="360"/>
              <w:rPr>
                <w:rFonts w:cstheme="minorHAnsi"/>
                <w:color w:val="000000"/>
                <w:sz w:val="24"/>
                <w:szCs w:val="24"/>
              </w:rPr>
            </w:pPr>
            <w:r w:rsidRPr="006304A3">
              <w:rPr>
                <w:rFonts w:cstheme="minorHAnsi"/>
                <w:color w:val="000000"/>
                <w:sz w:val="24"/>
                <w:szCs w:val="24"/>
              </w:rPr>
              <w:t>Produkty Przedsięwzięcia umożliwiają osiągnięcie jego celu.</w:t>
            </w:r>
          </w:p>
          <w:p w14:paraId="2A73F556" w14:textId="0459C5E8" w:rsidR="005F1D72" w:rsidRPr="006304A3" w:rsidDel="00733FD1" w:rsidRDefault="005F1D72" w:rsidP="005F1D72">
            <w:pPr>
              <w:rPr>
                <w:rFonts w:cstheme="minorHAnsi"/>
                <w:color w:val="000000"/>
                <w:sz w:val="24"/>
                <w:szCs w:val="24"/>
              </w:rPr>
            </w:pPr>
            <w:r w:rsidRPr="006304A3">
              <w:rPr>
                <w:rFonts w:cstheme="minorHAnsi"/>
                <w:color w:val="000000"/>
                <w:sz w:val="24"/>
                <w:szCs w:val="24"/>
              </w:rPr>
              <w:t>Ostateczny odbiorca wsparcia uzasadnił dobór Produktów Przedsięwzięcia.</w:t>
            </w:r>
          </w:p>
        </w:tc>
        <w:tc>
          <w:tcPr>
            <w:tcW w:w="1247" w:type="dxa"/>
            <w:tcBorders>
              <w:bottom w:val="single" w:sz="4" w:space="0" w:color="auto"/>
            </w:tcBorders>
            <w:shd w:val="clear" w:color="auto" w:fill="FFFFFF" w:themeFill="background1"/>
            <w:vAlign w:val="center"/>
          </w:tcPr>
          <w:p w14:paraId="3D97A8A7" w14:textId="54ACB0E9" w:rsidR="005F1D72" w:rsidRPr="006304A3" w:rsidRDefault="007D0A42" w:rsidP="005F1D72">
            <w:pPr>
              <w:jc w:val="center"/>
              <w:rPr>
                <w:rFonts w:cstheme="minorHAnsi"/>
                <w:color w:val="000000"/>
                <w:sz w:val="24"/>
                <w:szCs w:val="24"/>
              </w:rPr>
            </w:pPr>
            <w:r w:rsidRPr="006304A3">
              <w:rPr>
                <w:rFonts w:cstheme="minorHAnsi"/>
                <w:sz w:val="24"/>
                <w:szCs w:val="24"/>
              </w:rPr>
              <w:t xml:space="preserve"> </w:t>
            </w:r>
            <w:r w:rsidRPr="006304A3">
              <w:rPr>
                <w:rFonts w:cstheme="minorHAnsi"/>
                <w:color w:val="000000"/>
                <w:sz w:val="24"/>
                <w:szCs w:val="24"/>
              </w:rPr>
              <w:t>0/1</w:t>
            </w:r>
          </w:p>
        </w:tc>
      </w:tr>
      <w:tr w:rsidR="005F1D72" w:rsidRPr="00A640DA" w14:paraId="284192D5" w14:textId="77777777" w:rsidTr="00800A89">
        <w:trPr>
          <w:trHeight w:val="983"/>
        </w:trPr>
        <w:tc>
          <w:tcPr>
            <w:tcW w:w="782" w:type="dxa"/>
            <w:tcBorders>
              <w:bottom w:val="single" w:sz="4" w:space="0" w:color="auto"/>
            </w:tcBorders>
            <w:shd w:val="clear" w:color="auto" w:fill="FFFFFF" w:themeFill="background1"/>
          </w:tcPr>
          <w:p w14:paraId="6A56D55E" w14:textId="5D5412CC" w:rsidR="005F1D72" w:rsidRPr="006304A3" w:rsidRDefault="002C4C0F" w:rsidP="005F1D72">
            <w:pPr>
              <w:jc w:val="center"/>
              <w:rPr>
                <w:rFonts w:cstheme="minorHAnsi"/>
                <w:b/>
                <w:sz w:val="24"/>
                <w:szCs w:val="24"/>
              </w:rPr>
            </w:pPr>
            <w:r w:rsidRPr="006304A3">
              <w:rPr>
                <w:rFonts w:cstheme="minorHAnsi"/>
                <w:b/>
                <w:sz w:val="24"/>
                <w:szCs w:val="24"/>
              </w:rPr>
              <w:t>4</w:t>
            </w:r>
          </w:p>
        </w:tc>
        <w:tc>
          <w:tcPr>
            <w:tcW w:w="2540" w:type="dxa"/>
            <w:tcBorders>
              <w:bottom w:val="single" w:sz="4" w:space="0" w:color="auto"/>
            </w:tcBorders>
            <w:shd w:val="clear" w:color="auto" w:fill="FFFFFF" w:themeFill="background1"/>
          </w:tcPr>
          <w:p w14:paraId="204469F1" w14:textId="77777777" w:rsidR="005F1D72" w:rsidRPr="006304A3" w:rsidRDefault="005F1D72" w:rsidP="005F1D72">
            <w:pPr>
              <w:rPr>
                <w:rFonts w:cstheme="minorHAnsi"/>
                <w:b/>
                <w:bCs/>
                <w:sz w:val="24"/>
                <w:szCs w:val="24"/>
              </w:rPr>
            </w:pPr>
            <w:r w:rsidRPr="006304A3">
              <w:rPr>
                <w:rFonts w:cstheme="minorHAnsi"/>
                <w:b/>
                <w:bCs/>
                <w:sz w:val="24"/>
                <w:szCs w:val="24"/>
              </w:rPr>
              <w:t>Spójność informacji zawartych we</w:t>
            </w:r>
          </w:p>
          <w:p w14:paraId="7BA10083" w14:textId="77777777" w:rsidR="005F1D72" w:rsidRPr="006304A3" w:rsidRDefault="005F1D72" w:rsidP="005F1D72">
            <w:pPr>
              <w:rPr>
                <w:rFonts w:cstheme="minorHAnsi"/>
                <w:b/>
                <w:bCs/>
                <w:sz w:val="24"/>
                <w:szCs w:val="24"/>
              </w:rPr>
            </w:pPr>
            <w:r w:rsidRPr="006304A3">
              <w:rPr>
                <w:rFonts w:cstheme="minorHAnsi"/>
                <w:b/>
                <w:bCs/>
                <w:sz w:val="24"/>
                <w:szCs w:val="24"/>
              </w:rPr>
              <w:t xml:space="preserve">Wniosku o objęcie Przedsięwzięcia </w:t>
            </w:r>
          </w:p>
          <w:p w14:paraId="6A9DAA1B" w14:textId="50E70856" w:rsidR="005F1D72" w:rsidRPr="006304A3" w:rsidRDefault="005F1D72" w:rsidP="005F1D72">
            <w:pPr>
              <w:rPr>
                <w:rFonts w:cstheme="minorHAnsi"/>
                <w:b/>
                <w:bCs/>
                <w:sz w:val="24"/>
                <w:szCs w:val="24"/>
              </w:rPr>
            </w:pPr>
            <w:r w:rsidRPr="006304A3">
              <w:rPr>
                <w:rFonts w:cstheme="minorHAnsi"/>
                <w:b/>
                <w:bCs/>
                <w:sz w:val="24"/>
                <w:szCs w:val="24"/>
              </w:rPr>
              <w:t>Wsparciem oraz załącznikach do</w:t>
            </w:r>
          </w:p>
          <w:p w14:paraId="3D93CC37" w14:textId="77777777" w:rsidR="005F1D72" w:rsidRPr="006304A3" w:rsidRDefault="005F1D72" w:rsidP="005F1D72">
            <w:pPr>
              <w:rPr>
                <w:rFonts w:cstheme="minorHAnsi"/>
                <w:b/>
                <w:bCs/>
                <w:sz w:val="24"/>
                <w:szCs w:val="24"/>
              </w:rPr>
            </w:pPr>
            <w:r w:rsidRPr="006304A3">
              <w:rPr>
                <w:rFonts w:cstheme="minorHAnsi"/>
                <w:b/>
                <w:bCs/>
                <w:sz w:val="24"/>
                <w:szCs w:val="24"/>
              </w:rPr>
              <w:t>Wniosku o Przedsięwzięcia objęcie</w:t>
            </w:r>
          </w:p>
          <w:p w14:paraId="3A9C96DB" w14:textId="000BC712" w:rsidR="005F1D72" w:rsidRPr="006304A3" w:rsidRDefault="005F1D72" w:rsidP="005F1D72">
            <w:pPr>
              <w:rPr>
                <w:rFonts w:cstheme="minorHAnsi"/>
                <w:b/>
                <w:bCs/>
                <w:sz w:val="24"/>
                <w:szCs w:val="24"/>
              </w:rPr>
            </w:pPr>
            <w:r w:rsidRPr="006304A3">
              <w:rPr>
                <w:rFonts w:cstheme="minorHAnsi"/>
                <w:b/>
                <w:bCs/>
                <w:sz w:val="24"/>
                <w:szCs w:val="24"/>
              </w:rPr>
              <w:t>Wsparciem</w:t>
            </w:r>
          </w:p>
        </w:tc>
        <w:tc>
          <w:tcPr>
            <w:tcW w:w="9027" w:type="dxa"/>
            <w:tcBorders>
              <w:bottom w:val="single" w:sz="4" w:space="0" w:color="auto"/>
            </w:tcBorders>
            <w:shd w:val="clear" w:color="auto" w:fill="FFFFFF" w:themeFill="background1"/>
          </w:tcPr>
          <w:p w14:paraId="0A9A08A9" w14:textId="697252E9" w:rsidR="005F1D72" w:rsidRPr="006304A3" w:rsidRDefault="005F1D72" w:rsidP="00BB0552">
            <w:pPr>
              <w:spacing w:after="360"/>
              <w:rPr>
                <w:rFonts w:cstheme="minorHAnsi"/>
                <w:color w:val="000000"/>
                <w:sz w:val="24"/>
                <w:szCs w:val="24"/>
              </w:rPr>
            </w:pPr>
            <w:r w:rsidRPr="006304A3">
              <w:rPr>
                <w:rFonts w:cstheme="minorHAnsi"/>
                <w:color w:val="000000"/>
                <w:sz w:val="24"/>
                <w:szCs w:val="24"/>
              </w:rPr>
              <w:t>Informacje zawarte we Wniosku o objęcie Przedsięwzięcia wsparciem, oświadczeniach oraz załącznikach do Wniosku o objęcie Przedsięwzięcia wsparciem są ze sobą spójne.</w:t>
            </w:r>
          </w:p>
          <w:p w14:paraId="6BEE8990" w14:textId="77777777" w:rsidR="005F1D72" w:rsidRPr="006304A3" w:rsidRDefault="005F1D72" w:rsidP="005F1D72">
            <w:pPr>
              <w:rPr>
                <w:rFonts w:cstheme="minorHAnsi"/>
                <w:color w:val="000000"/>
                <w:sz w:val="24"/>
                <w:szCs w:val="24"/>
              </w:rPr>
            </w:pPr>
            <w:r w:rsidRPr="006304A3">
              <w:rPr>
                <w:rFonts w:cstheme="minorHAnsi"/>
                <w:color w:val="000000"/>
                <w:sz w:val="24"/>
                <w:szCs w:val="24"/>
              </w:rPr>
              <w:t>Ocena polega na weryfikacji spójności informacji zawartych we Wniosku o objęcie Przedsięwzięcia wsparciem, oświadczeniach oraz załącznikach do Wniosku o objęcie wsparciem, tj. na badaniu czy informacje te nie wykluczają się.</w:t>
            </w:r>
          </w:p>
          <w:p w14:paraId="48AE834A" w14:textId="162375FE" w:rsidR="005F1D72" w:rsidRPr="006304A3" w:rsidRDefault="005F1D72" w:rsidP="005F1D72">
            <w:pPr>
              <w:rPr>
                <w:rFonts w:cstheme="minorHAnsi"/>
                <w:color w:val="000000"/>
                <w:sz w:val="24"/>
                <w:szCs w:val="24"/>
              </w:rPr>
            </w:pPr>
            <w:r w:rsidRPr="006304A3">
              <w:rPr>
                <w:rFonts w:cstheme="minorHAnsi"/>
                <w:color w:val="000000"/>
                <w:sz w:val="24"/>
                <w:szCs w:val="24"/>
              </w:rPr>
              <w:t>Weryfikacja kryterium polega na badaniu spójności treści Wniosku o objęcie Przedsięwzięcia wsparciem z załącznikami w zakresie merytorycznym, który nie podlegał badaniu na etapie oceny formalnej.</w:t>
            </w:r>
          </w:p>
        </w:tc>
        <w:tc>
          <w:tcPr>
            <w:tcW w:w="1247" w:type="dxa"/>
            <w:tcBorders>
              <w:bottom w:val="single" w:sz="4" w:space="0" w:color="auto"/>
            </w:tcBorders>
            <w:shd w:val="clear" w:color="auto" w:fill="FFFFFF" w:themeFill="background1"/>
            <w:vAlign w:val="center"/>
          </w:tcPr>
          <w:p w14:paraId="69EF9C06" w14:textId="6BFF631E" w:rsidR="005F1D72" w:rsidRPr="006304A3" w:rsidRDefault="005F1D72" w:rsidP="005F1D72">
            <w:pPr>
              <w:jc w:val="center"/>
              <w:rPr>
                <w:rFonts w:cstheme="minorHAnsi"/>
                <w:color w:val="000000"/>
                <w:sz w:val="24"/>
                <w:szCs w:val="24"/>
              </w:rPr>
            </w:pPr>
            <w:r w:rsidRPr="006304A3">
              <w:rPr>
                <w:rFonts w:cstheme="minorHAnsi"/>
                <w:sz w:val="24"/>
                <w:szCs w:val="24"/>
              </w:rPr>
              <w:t xml:space="preserve"> </w:t>
            </w:r>
            <w:r w:rsidR="007D0A42" w:rsidRPr="006304A3">
              <w:rPr>
                <w:rFonts w:cstheme="minorHAnsi"/>
                <w:sz w:val="24"/>
                <w:szCs w:val="24"/>
              </w:rPr>
              <w:t>0/1</w:t>
            </w:r>
          </w:p>
        </w:tc>
      </w:tr>
      <w:tr w:rsidR="005F1D72" w:rsidRPr="00A640DA" w14:paraId="1CBBE8FB" w14:textId="77777777" w:rsidTr="00800A89">
        <w:trPr>
          <w:trHeight w:val="983"/>
        </w:trPr>
        <w:tc>
          <w:tcPr>
            <w:tcW w:w="782" w:type="dxa"/>
            <w:tcBorders>
              <w:bottom w:val="single" w:sz="4" w:space="0" w:color="auto"/>
            </w:tcBorders>
            <w:shd w:val="clear" w:color="auto" w:fill="FFFFFF" w:themeFill="background1"/>
          </w:tcPr>
          <w:p w14:paraId="76AACA7F" w14:textId="331A4D35" w:rsidR="005F1D72" w:rsidRPr="006304A3" w:rsidRDefault="002C4C0F" w:rsidP="005F1D72">
            <w:pPr>
              <w:jc w:val="center"/>
              <w:rPr>
                <w:rFonts w:cstheme="minorHAnsi"/>
                <w:b/>
                <w:sz w:val="24"/>
                <w:szCs w:val="24"/>
              </w:rPr>
            </w:pPr>
            <w:r w:rsidRPr="006304A3">
              <w:rPr>
                <w:rFonts w:cstheme="minorHAnsi"/>
                <w:b/>
                <w:sz w:val="24"/>
                <w:szCs w:val="24"/>
              </w:rPr>
              <w:t>5</w:t>
            </w:r>
          </w:p>
        </w:tc>
        <w:tc>
          <w:tcPr>
            <w:tcW w:w="2540" w:type="dxa"/>
            <w:tcBorders>
              <w:bottom w:val="single" w:sz="4" w:space="0" w:color="auto"/>
            </w:tcBorders>
            <w:shd w:val="clear" w:color="auto" w:fill="FFFFFF" w:themeFill="background1"/>
          </w:tcPr>
          <w:p w14:paraId="1127512B" w14:textId="77777777" w:rsidR="005F1D72" w:rsidRPr="006304A3" w:rsidRDefault="005F1D72" w:rsidP="005F1D72">
            <w:pPr>
              <w:rPr>
                <w:rFonts w:cstheme="minorHAnsi"/>
                <w:b/>
                <w:bCs/>
                <w:sz w:val="24"/>
                <w:szCs w:val="24"/>
              </w:rPr>
            </w:pPr>
            <w:r w:rsidRPr="006304A3">
              <w:rPr>
                <w:rFonts w:cstheme="minorHAnsi"/>
                <w:b/>
                <w:bCs/>
                <w:sz w:val="24"/>
                <w:szCs w:val="24"/>
              </w:rPr>
              <w:t>Przedsięwzięcie jest zgodne z zasadą</w:t>
            </w:r>
          </w:p>
          <w:p w14:paraId="2C6188CF" w14:textId="77777777" w:rsidR="005F1D72" w:rsidRPr="006304A3" w:rsidRDefault="005F1D72" w:rsidP="005F1D72">
            <w:pPr>
              <w:rPr>
                <w:rFonts w:cstheme="minorHAnsi"/>
                <w:b/>
                <w:bCs/>
                <w:sz w:val="24"/>
                <w:szCs w:val="24"/>
              </w:rPr>
            </w:pPr>
            <w:r w:rsidRPr="006304A3">
              <w:rPr>
                <w:rFonts w:cstheme="minorHAnsi"/>
                <w:b/>
                <w:bCs/>
                <w:sz w:val="24"/>
                <w:szCs w:val="24"/>
              </w:rPr>
              <w:t>równości szans i niedyskryminacji</w:t>
            </w:r>
          </w:p>
          <w:p w14:paraId="34CA2ACB" w14:textId="77777777" w:rsidR="005F1D72" w:rsidRPr="006304A3" w:rsidRDefault="005F1D72" w:rsidP="005F1D72">
            <w:pPr>
              <w:rPr>
                <w:rFonts w:cstheme="minorHAnsi"/>
                <w:b/>
                <w:bCs/>
                <w:sz w:val="24"/>
                <w:szCs w:val="24"/>
              </w:rPr>
            </w:pPr>
            <w:r w:rsidRPr="006304A3">
              <w:rPr>
                <w:rFonts w:cstheme="minorHAnsi"/>
                <w:b/>
                <w:bCs/>
                <w:sz w:val="24"/>
                <w:szCs w:val="24"/>
              </w:rPr>
              <w:t>oraz zasadą równości szans</w:t>
            </w:r>
          </w:p>
          <w:p w14:paraId="4AD86D0F" w14:textId="77777777" w:rsidR="005F1D72" w:rsidRPr="006304A3" w:rsidRDefault="005F1D72" w:rsidP="005F1D72">
            <w:pPr>
              <w:rPr>
                <w:rFonts w:cstheme="minorHAnsi"/>
                <w:b/>
                <w:bCs/>
                <w:sz w:val="24"/>
                <w:szCs w:val="24"/>
                <w:highlight w:val="green"/>
              </w:rPr>
            </w:pPr>
            <w:r w:rsidRPr="006304A3">
              <w:rPr>
                <w:rFonts w:cstheme="minorHAnsi"/>
                <w:b/>
                <w:bCs/>
                <w:sz w:val="24"/>
                <w:szCs w:val="24"/>
              </w:rPr>
              <w:t>kobiet i mężczyzn</w:t>
            </w:r>
          </w:p>
        </w:tc>
        <w:tc>
          <w:tcPr>
            <w:tcW w:w="9027" w:type="dxa"/>
            <w:tcBorders>
              <w:bottom w:val="single" w:sz="4" w:space="0" w:color="auto"/>
            </w:tcBorders>
            <w:shd w:val="clear" w:color="auto" w:fill="FFFFFF" w:themeFill="background1"/>
          </w:tcPr>
          <w:p w14:paraId="4CE29D06" w14:textId="44B5C9AC" w:rsidR="005F1D72" w:rsidRPr="006304A3" w:rsidRDefault="005F1D72" w:rsidP="00BB0552">
            <w:pPr>
              <w:spacing w:after="360"/>
              <w:rPr>
                <w:rFonts w:cstheme="minorHAnsi"/>
                <w:color w:val="000000"/>
                <w:sz w:val="24"/>
                <w:szCs w:val="24"/>
              </w:rPr>
            </w:pPr>
            <w:r w:rsidRPr="006304A3">
              <w:rPr>
                <w:rFonts w:cstheme="minorHAnsi"/>
                <w:color w:val="000000"/>
                <w:sz w:val="24"/>
                <w:szCs w:val="24"/>
              </w:rPr>
              <w:t xml:space="preserve">W ramach kryterium weryfikowane jest czy Przedsięwzięcie jest zgodne </w:t>
            </w:r>
            <w:r w:rsidR="001608BB" w:rsidRPr="006304A3">
              <w:rPr>
                <w:rFonts w:cstheme="minorHAnsi"/>
                <w:color w:val="000000"/>
                <w:sz w:val="24"/>
                <w:szCs w:val="24"/>
              </w:rPr>
              <w:t>z zasadami</w:t>
            </w:r>
            <w:r w:rsidRPr="006304A3">
              <w:rPr>
                <w:rFonts w:cstheme="minorHAnsi"/>
                <w:color w:val="000000"/>
                <w:sz w:val="24"/>
                <w:szCs w:val="24"/>
              </w:rPr>
              <w:t xml:space="preserve"> równości szans i niedyskryminacji oraz zasadami równości kobiet i mężczyzn. W szczególności weryfikowane jest czy Przedsięwzięcie nie ogranicza równego dostępu do zasobów (towarów, usług, infrastruktury oraz Produktów Przedsięwzięcia) ze względu, m.in. na płeć, pochodzenie rasowe, etniczne lub społeczne, religię lub </w:t>
            </w:r>
            <w:r w:rsidR="001608BB" w:rsidRPr="006304A3">
              <w:rPr>
                <w:rFonts w:cstheme="minorHAnsi"/>
                <w:color w:val="000000"/>
                <w:sz w:val="24"/>
                <w:szCs w:val="24"/>
              </w:rPr>
              <w:t>przekonania, przynależność</w:t>
            </w:r>
            <w:r w:rsidRPr="006304A3">
              <w:rPr>
                <w:rFonts w:cstheme="minorHAnsi"/>
                <w:color w:val="000000"/>
                <w:sz w:val="24"/>
                <w:szCs w:val="24"/>
              </w:rPr>
              <w:t xml:space="preserve"> narodową, majątek, niepełnosprawność, wiek lub orientację seksualną. Niedyskryminacyjny charakter Przedsięwzięcia oznacza konieczność stosowania zasady uniwersalnego projektowania i racjonalnych usprawnień zapewniających dostępność oraz </w:t>
            </w:r>
            <w:r w:rsidRPr="006304A3">
              <w:rPr>
                <w:rFonts w:cstheme="minorHAnsi"/>
                <w:color w:val="000000"/>
                <w:sz w:val="24"/>
                <w:szCs w:val="24"/>
              </w:rPr>
              <w:lastRenderedPageBreak/>
              <w:t>możliwości korzystania ze wspieranej infrastruktury w szczególności poprzez zastosowanie Standardów dostępności dla polityki spójności na lata 2021-2027 - załącznik nr 2 do  Wytycznych dotyczących realizacji zasad równościowych w ramach funduszy unijnych na lata 2021-2027.</w:t>
            </w:r>
          </w:p>
          <w:p w14:paraId="2840EA89" w14:textId="72F5A083" w:rsidR="005F1D72" w:rsidRPr="006304A3" w:rsidRDefault="005F1D72" w:rsidP="005F1D72">
            <w:pPr>
              <w:rPr>
                <w:rFonts w:cstheme="minorHAnsi"/>
                <w:color w:val="000000"/>
                <w:sz w:val="24"/>
                <w:szCs w:val="24"/>
              </w:rPr>
            </w:pPr>
            <w:r w:rsidRPr="006304A3">
              <w:rPr>
                <w:rFonts w:cstheme="minorHAnsi"/>
                <w:color w:val="000000"/>
                <w:sz w:val="24"/>
                <w:szCs w:val="24"/>
              </w:rPr>
              <w:t>Kryterium uznaje się za spełnione, jeżeli:</w:t>
            </w:r>
          </w:p>
          <w:p w14:paraId="66FBE813" w14:textId="5C8A3011" w:rsidR="006E770A" w:rsidRPr="00BB0552" w:rsidRDefault="005F1D72" w:rsidP="00BB0552">
            <w:pPr>
              <w:pStyle w:val="Akapitzlist"/>
              <w:numPr>
                <w:ilvl w:val="0"/>
                <w:numId w:val="17"/>
              </w:numPr>
              <w:spacing w:after="360"/>
              <w:ind w:left="714" w:hanging="357"/>
              <w:rPr>
                <w:rFonts w:cstheme="minorHAnsi"/>
                <w:color w:val="000000"/>
                <w:sz w:val="24"/>
                <w:szCs w:val="24"/>
              </w:rPr>
            </w:pPr>
            <w:r w:rsidRPr="006304A3">
              <w:rPr>
                <w:rFonts w:cstheme="minorHAnsi"/>
                <w:color w:val="000000"/>
                <w:sz w:val="24"/>
                <w:szCs w:val="24"/>
              </w:rPr>
              <w:t>Ostateczny odbiorca wsparcia wykazał, że Przedsięwzięcie będzie miało pozytywny wpływ na zasadę równości szans i niedyskryminacji, w tym dostępności dla osób z niepełnoprawnościami. Przez pozytywny wpływ należy rozumieć zapewnienie dostępności infrastruktury, środków transportu, towarów, usług, technologii i systemów informacyjno-komunikacyjnych oraz wszelkich Produktów Przedsięwzięcia (w tym także usług), które nie zostały uznane za neutralne, dla wszystkich ich użytkowników/użytkowniczek – zgodnie ze standardami dostępności dla polityki spójności 2021–2027 (załącznik nr 2 do</w:t>
            </w:r>
            <w:r w:rsidR="00E348AE" w:rsidRPr="006304A3">
              <w:rPr>
                <w:rFonts w:cstheme="minorHAnsi"/>
                <w:color w:val="000000"/>
                <w:sz w:val="24"/>
                <w:szCs w:val="24"/>
              </w:rPr>
              <w:t xml:space="preserve"> </w:t>
            </w:r>
            <w:r w:rsidRPr="006304A3">
              <w:rPr>
                <w:rFonts w:cstheme="minorHAnsi"/>
                <w:color w:val="000000"/>
                <w:sz w:val="24"/>
                <w:szCs w:val="24"/>
              </w:rPr>
              <w:t>Wytycznych w zakresie realizacji zasad równościowych w ramach funduszy unijnych na lata 2021-2027).</w:t>
            </w:r>
          </w:p>
          <w:p w14:paraId="4C4754D8" w14:textId="382E5779" w:rsidR="005F1D72" w:rsidRPr="00BB0552" w:rsidRDefault="005F1D72" w:rsidP="00BB0552">
            <w:pPr>
              <w:spacing w:after="360"/>
              <w:rPr>
                <w:rFonts w:cstheme="minorHAnsi"/>
                <w:color w:val="000000"/>
                <w:sz w:val="24"/>
                <w:szCs w:val="24"/>
              </w:rPr>
            </w:pPr>
            <w:r w:rsidRPr="006304A3">
              <w:rPr>
                <w:rFonts w:cstheme="minorHAnsi"/>
                <w:color w:val="000000"/>
                <w:sz w:val="24"/>
                <w:szCs w:val="24"/>
              </w:rPr>
              <w:t>https://www.funduszeeuropejskie.gov.pl/strony/o-funduszach/fundusze-na-lata-2021-2027/prawo-i-dokumenty/wytyczne/wytyczne-dotyczace-realizacji-zasad-rownosciowych-w-ramach-funduszy-unijnych-na-lata-2021-2027/</w:t>
            </w:r>
          </w:p>
          <w:p w14:paraId="28CC3D27" w14:textId="4EC4EE5C" w:rsidR="005F1D72" w:rsidRPr="006304A3" w:rsidRDefault="005F1D72" w:rsidP="005F1D72">
            <w:pPr>
              <w:rPr>
                <w:rFonts w:cstheme="minorHAnsi"/>
                <w:color w:val="000000"/>
                <w:sz w:val="24"/>
                <w:szCs w:val="24"/>
              </w:rPr>
            </w:pPr>
            <w:r w:rsidRPr="006304A3">
              <w:rPr>
                <w:rFonts w:cstheme="minorHAnsi"/>
                <w:color w:val="000000"/>
                <w:sz w:val="24"/>
                <w:szCs w:val="24"/>
              </w:rPr>
              <w:t>W przypadku gdy Produkty (usługi) Przedsięwzięcia nie mają swoich bezpośrednich użytkowników, dopuszczalne jest uznanie, że mają one charakter neutralny wobec zasady równości szans i niedyskryminacji. W przypadku uznania, że dany Produkt (lub usługa) jest neutralny, Przedsięwzięcie zawierający ten Produkt (lub usługę) może być uznany za zgodny z zasadą równości szans i niedyskryminacji. Uznanie neutralności określonych Produktów (usług) Przedsięwzięcie nie zwalnia jednak Ostatecznego odbiorcy wsparcia ze stosowania standardów dostępności dla realizacji pozostałej części Przedsięwzięci, dla której standardy dostępności mają zastosowanie</w:t>
            </w:r>
            <w:r w:rsidR="00573279">
              <w:rPr>
                <w:rFonts w:cstheme="minorHAnsi"/>
                <w:color w:val="000000"/>
                <w:sz w:val="24"/>
                <w:szCs w:val="24"/>
              </w:rPr>
              <w:t>:</w:t>
            </w:r>
          </w:p>
          <w:p w14:paraId="6F312AC6" w14:textId="4ABC504A" w:rsidR="005F1D72" w:rsidRPr="006304A3" w:rsidRDefault="005F1D72">
            <w:pPr>
              <w:pStyle w:val="Akapitzlist"/>
              <w:numPr>
                <w:ilvl w:val="0"/>
                <w:numId w:val="13"/>
              </w:numPr>
              <w:rPr>
                <w:rFonts w:cstheme="minorHAnsi"/>
                <w:color w:val="000000"/>
                <w:sz w:val="24"/>
                <w:szCs w:val="24"/>
              </w:rPr>
            </w:pPr>
            <w:r w:rsidRPr="006304A3">
              <w:rPr>
                <w:rFonts w:cstheme="minorHAnsi"/>
                <w:color w:val="000000"/>
                <w:sz w:val="24"/>
                <w:szCs w:val="24"/>
              </w:rPr>
              <w:lastRenderedPageBreak/>
              <w:t>Ostateczny odbiorca wsparcia wykazał, że wdrażanie Przedsięwzięcia będzie zgodne z przepisami krajowymi i europejskimi, w tym dyrektywami (UE) 2019/882 w sprawie wymogów dostępności produktów i usług i (UE) 2016/2102 w sprawie dostępności stron internetowych i mobilnych aplikacji organów sektora publicznego. Dostępność będzie realizowana przez stosowanie zasad uniwersalnego projektowania i standardów w zakresie m.in. dostępności cyfrowej produktów</w:t>
            </w:r>
            <w:r w:rsidR="0045267B" w:rsidRPr="006304A3">
              <w:rPr>
                <w:rFonts w:cstheme="minorHAnsi"/>
                <w:color w:val="000000"/>
                <w:sz w:val="24"/>
                <w:szCs w:val="24"/>
              </w:rPr>
              <w:t>;</w:t>
            </w:r>
          </w:p>
          <w:p w14:paraId="58887976" w14:textId="4BE2355F" w:rsidR="005F1D72" w:rsidRPr="006304A3" w:rsidRDefault="0045267B">
            <w:pPr>
              <w:pStyle w:val="Akapitzlist"/>
              <w:numPr>
                <w:ilvl w:val="0"/>
                <w:numId w:val="13"/>
              </w:numPr>
              <w:rPr>
                <w:rFonts w:cstheme="minorHAnsi"/>
                <w:color w:val="000000"/>
                <w:sz w:val="24"/>
                <w:szCs w:val="24"/>
              </w:rPr>
            </w:pPr>
            <w:r w:rsidRPr="006304A3">
              <w:rPr>
                <w:rFonts w:cstheme="minorHAnsi"/>
                <w:color w:val="000000"/>
                <w:sz w:val="24"/>
                <w:szCs w:val="24"/>
              </w:rPr>
              <w:t>w</w:t>
            </w:r>
            <w:r w:rsidR="005F1D72" w:rsidRPr="006304A3">
              <w:rPr>
                <w:rFonts w:cstheme="minorHAnsi"/>
                <w:color w:val="000000"/>
                <w:sz w:val="24"/>
                <w:szCs w:val="24"/>
              </w:rPr>
              <w:t xml:space="preserve"> przypadku systemów informatycznych objętych zakresem Przedsięwzięcia Ostateczny odbiorca wsparcia zaplanował skuteczny sposób sprawdzenia zadeklarowanego poziomu dostępności</w:t>
            </w:r>
            <w:r w:rsidRPr="006304A3">
              <w:rPr>
                <w:rFonts w:cstheme="minorHAnsi"/>
                <w:color w:val="000000"/>
                <w:sz w:val="24"/>
                <w:szCs w:val="24"/>
              </w:rPr>
              <w:t>;</w:t>
            </w:r>
          </w:p>
          <w:p w14:paraId="66AE5142" w14:textId="73F91DD4" w:rsidR="005F1D72" w:rsidRPr="006304A3" w:rsidRDefault="005F1D72" w:rsidP="00573279">
            <w:pPr>
              <w:pStyle w:val="Akapitzlist"/>
              <w:numPr>
                <w:ilvl w:val="0"/>
                <w:numId w:val="13"/>
              </w:numPr>
              <w:spacing w:after="360" w:line="259" w:lineRule="auto"/>
              <w:ind w:left="714" w:hanging="357"/>
              <w:rPr>
                <w:rFonts w:cstheme="minorHAnsi"/>
                <w:color w:val="000000"/>
                <w:sz w:val="24"/>
                <w:szCs w:val="24"/>
              </w:rPr>
            </w:pPr>
            <w:r w:rsidRPr="006304A3">
              <w:rPr>
                <w:rFonts w:cstheme="minorHAnsi"/>
                <w:color w:val="000000"/>
                <w:sz w:val="24"/>
                <w:szCs w:val="24"/>
              </w:rPr>
              <w:t>Przedsięwzięcie jest zgodne z zasadą równości kobiet i mężczyzn. Przez zgodność z tą zasadą należy rozumieć</w:t>
            </w:r>
            <w:r w:rsidR="0045267B" w:rsidRPr="006304A3">
              <w:rPr>
                <w:rFonts w:cstheme="minorHAnsi"/>
                <w:color w:val="000000"/>
                <w:sz w:val="24"/>
                <w:szCs w:val="24"/>
              </w:rPr>
              <w:t xml:space="preserve"> </w:t>
            </w:r>
            <w:r w:rsidRPr="006304A3">
              <w:rPr>
                <w:rFonts w:cstheme="minorHAnsi"/>
                <w:color w:val="000000"/>
                <w:sz w:val="24"/>
                <w:szCs w:val="24"/>
              </w:rPr>
              <w:t xml:space="preserve">z jednej strony zaplanowanie takich działań w Przedsięwzięciu, które wpłyną na wyrównywanie szans danej płci będącej w gorszym położeniu (o ile takie nierówności zostały zdiagnozowane w Przedsięwzięciu), </w:t>
            </w:r>
            <w:r w:rsidR="001608BB" w:rsidRPr="006304A3">
              <w:rPr>
                <w:rFonts w:cstheme="minorHAnsi"/>
                <w:color w:val="000000"/>
                <w:sz w:val="24"/>
                <w:szCs w:val="24"/>
              </w:rPr>
              <w:t>z drugiej</w:t>
            </w:r>
            <w:r w:rsidRPr="006304A3">
              <w:rPr>
                <w:rFonts w:cstheme="minorHAnsi"/>
                <w:color w:val="000000"/>
                <w:sz w:val="24"/>
                <w:szCs w:val="24"/>
              </w:rPr>
              <w:t xml:space="preserve"> strony zaś stworzenie takich mechanizmów, aby na żadnym etapie wdrażania Przedsięwzięcia nie dochodziło do dyskryminacji i wykluczenia ze względu na płeć.</w:t>
            </w:r>
          </w:p>
          <w:p w14:paraId="5B812F2C" w14:textId="3ADC580E" w:rsidR="005F1D72" w:rsidRPr="006304A3" w:rsidRDefault="005F1D72" w:rsidP="005F1D72">
            <w:pPr>
              <w:rPr>
                <w:rFonts w:cstheme="minorHAnsi"/>
                <w:color w:val="000000"/>
                <w:sz w:val="24"/>
                <w:szCs w:val="24"/>
              </w:rPr>
            </w:pPr>
            <w:r w:rsidRPr="006304A3">
              <w:rPr>
                <w:rFonts w:cstheme="minorHAnsi"/>
                <w:color w:val="000000"/>
                <w:sz w:val="24"/>
                <w:szCs w:val="24"/>
              </w:rPr>
              <w:t>W przypadku, gdy we Wniosku o objęcie Przedsięwzięcia wsparciem Ostateczny odbiorca wsparcia uzasadni szczegółowo, dlaczego dane Przedsięwzięcie nie jest w stanie zrealizować jakichkolwiek działań w zakresie spełnienia ww. zasady równości kobiet i mężczyzn, a uzasadnienie to zostanie uznane przez Instytucję Organizującą Nabór za adekwatne i wystarczające, Przedsięwzięcie  może zostać uznane za neutralne w stosunku do niniejszej zasady.</w:t>
            </w:r>
          </w:p>
        </w:tc>
        <w:tc>
          <w:tcPr>
            <w:tcW w:w="1247" w:type="dxa"/>
            <w:tcBorders>
              <w:bottom w:val="single" w:sz="4" w:space="0" w:color="auto"/>
            </w:tcBorders>
            <w:shd w:val="clear" w:color="auto" w:fill="FFFFFF" w:themeFill="background1"/>
            <w:vAlign w:val="center"/>
          </w:tcPr>
          <w:p w14:paraId="05FB8221" w14:textId="322AF471" w:rsidR="005F1D72" w:rsidRPr="006304A3" w:rsidRDefault="005F1D72" w:rsidP="005F1D72">
            <w:pPr>
              <w:jc w:val="center"/>
              <w:rPr>
                <w:rFonts w:cstheme="minorHAnsi"/>
                <w:color w:val="000000"/>
                <w:sz w:val="24"/>
                <w:szCs w:val="24"/>
              </w:rPr>
            </w:pPr>
            <w:r w:rsidRPr="006304A3">
              <w:rPr>
                <w:rFonts w:cstheme="minorHAnsi"/>
                <w:sz w:val="24"/>
                <w:szCs w:val="24"/>
              </w:rPr>
              <w:lastRenderedPageBreak/>
              <w:t xml:space="preserve"> </w:t>
            </w:r>
            <w:r w:rsidR="007D0A42" w:rsidRPr="006304A3">
              <w:rPr>
                <w:rFonts w:cstheme="minorHAnsi"/>
                <w:color w:val="000000"/>
                <w:sz w:val="24"/>
                <w:szCs w:val="24"/>
              </w:rPr>
              <w:t>0/1</w:t>
            </w:r>
          </w:p>
        </w:tc>
      </w:tr>
      <w:tr w:rsidR="005F1D72" w:rsidRPr="00A640DA" w14:paraId="3B0C7FBE" w14:textId="77777777" w:rsidTr="00800A89">
        <w:trPr>
          <w:trHeight w:val="983"/>
        </w:trPr>
        <w:tc>
          <w:tcPr>
            <w:tcW w:w="782" w:type="dxa"/>
            <w:tcBorders>
              <w:bottom w:val="single" w:sz="4" w:space="0" w:color="auto"/>
            </w:tcBorders>
            <w:shd w:val="clear" w:color="auto" w:fill="FFFFFF" w:themeFill="background1"/>
          </w:tcPr>
          <w:p w14:paraId="6FE5B97A" w14:textId="0B6A99B3" w:rsidR="005F1D72" w:rsidRPr="006304A3" w:rsidRDefault="002C4C0F" w:rsidP="005F1D72">
            <w:pPr>
              <w:jc w:val="center"/>
              <w:rPr>
                <w:rFonts w:cstheme="minorHAnsi"/>
                <w:b/>
                <w:sz w:val="24"/>
                <w:szCs w:val="24"/>
              </w:rPr>
            </w:pPr>
            <w:r w:rsidRPr="006304A3">
              <w:rPr>
                <w:rFonts w:cstheme="minorHAnsi"/>
                <w:b/>
                <w:sz w:val="24"/>
                <w:szCs w:val="24"/>
              </w:rPr>
              <w:lastRenderedPageBreak/>
              <w:t>6</w:t>
            </w:r>
          </w:p>
        </w:tc>
        <w:tc>
          <w:tcPr>
            <w:tcW w:w="2540" w:type="dxa"/>
            <w:tcBorders>
              <w:bottom w:val="single" w:sz="4" w:space="0" w:color="auto"/>
            </w:tcBorders>
            <w:shd w:val="clear" w:color="auto" w:fill="FFFFFF" w:themeFill="background1"/>
          </w:tcPr>
          <w:p w14:paraId="5B09646C" w14:textId="6A455BFC" w:rsidR="005F1D72" w:rsidRPr="006304A3" w:rsidRDefault="005F1D72" w:rsidP="005F1D72">
            <w:pPr>
              <w:rPr>
                <w:rFonts w:cstheme="minorHAnsi"/>
                <w:b/>
                <w:bCs/>
                <w:sz w:val="24"/>
                <w:szCs w:val="24"/>
              </w:rPr>
            </w:pPr>
            <w:r w:rsidRPr="006304A3">
              <w:rPr>
                <w:rFonts w:cstheme="minorHAnsi"/>
                <w:b/>
                <w:bCs/>
                <w:sz w:val="24"/>
                <w:szCs w:val="24"/>
              </w:rPr>
              <w:t>Właściwie określono wydatki</w:t>
            </w:r>
          </w:p>
          <w:p w14:paraId="125E5AAE" w14:textId="100FAEA5" w:rsidR="005F1D72" w:rsidRPr="006304A3" w:rsidRDefault="005F1D72" w:rsidP="005F1D72">
            <w:pPr>
              <w:rPr>
                <w:rFonts w:cstheme="minorHAnsi"/>
                <w:b/>
                <w:bCs/>
                <w:sz w:val="24"/>
                <w:szCs w:val="24"/>
              </w:rPr>
            </w:pPr>
            <w:r w:rsidRPr="006304A3">
              <w:rPr>
                <w:rFonts w:cstheme="minorHAnsi"/>
                <w:b/>
                <w:bCs/>
                <w:sz w:val="24"/>
                <w:szCs w:val="24"/>
              </w:rPr>
              <w:t>kwalifikowalne</w:t>
            </w:r>
          </w:p>
        </w:tc>
        <w:tc>
          <w:tcPr>
            <w:tcW w:w="9027" w:type="dxa"/>
            <w:tcBorders>
              <w:bottom w:val="single" w:sz="4" w:space="0" w:color="auto"/>
            </w:tcBorders>
            <w:shd w:val="clear" w:color="auto" w:fill="FFFFFF" w:themeFill="background1"/>
          </w:tcPr>
          <w:p w14:paraId="10C1C841" w14:textId="77777777" w:rsidR="00F666A7" w:rsidRDefault="005F1D72" w:rsidP="00F666A7">
            <w:pPr>
              <w:spacing w:after="360"/>
              <w:rPr>
                <w:rFonts w:cstheme="minorHAnsi"/>
                <w:color w:val="000000"/>
                <w:sz w:val="24"/>
                <w:szCs w:val="24"/>
              </w:rPr>
            </w:pPr>
            <w:r w:rsidRPr="006304A3">
              <w:rPr>
                <w:rFonts w:cstheme="minorHAnsi"/>
                <w:color w:val="000000"/>
                <w:sz w:val="24"/>
                <w:szCs w:val="24"/>
              </w:rPr>
              <w:t>Wydatki zaplanowano w sposób umożliwiający ich kwalifikowalność, są adekwatne i racjonalne względem zakresu i skali Przedsięwzięcia.</w:t>
            </w:r>
          </w:p>
          <w:p w14:paraId="48C977B6" w14:textId="1A2ECED7" w:rsidR="005F1D72" w:rsidRPr="006304A3" w:rsidRDefault="005F1D72" w:rsidP="00F666A7">
            <w:pPr>
              <w:spacing w:after="360"/>
              <w:rPr>
                <w:rFonts w:cstheme="minorHAnsi"/>
                <w:sz w:val="24"/>
                <w:szCs w:val="24"/>
              </w:rPr>
            </w:pPr>
            <w:r w:rsidRPr="006304A3">
              <w:rPr>
                <w:rFonts w:cstheme="minorHAnsi"/>
                <w:color w:val="000000"/>
                <w:sz w:val="24"/>
                <w:szCs w:val="24"/>
              </w:rPr>
              <w:t>Weryfikacja kwalifikowalności obejmuje następujące warunki:</w:t>
            </w:r>
          </w:p>
          <w:p w14:paraId="74026B4A" w14:textId="204F17EB" w:rsidR="005F1D72" w:rsidRPr="006304A3" w:rsidRDefault="005F1D72">
            <w:pPr>
              <w:pStyle w:val="Akapitzlist"/>
              <w:numPr>
                <w:ilvl w:val="0"/>
                <w:numId w:val="3"/>
              </w:numPr>
              <w:ind w:left="753"/>
              <w:rPr>
                <w:rFonts w:cstheme="minorHAnsi"/>
                <w:color w:val="000000"/>
                <w:sz w:val="24"/>
                <w:szCs w:val="24"/>
              </w:rPr>
            </w:pPr>
            <w:r w:rsidRPr="006304A3">
              <w:rPr>
                <w:rFonts w:cstheme="minorHAnsi"/>
                <w:sz w:val="24"/>
                <w:szCs w:val="24"/>
              </w:rPr>
              <w:lastRenderedPageBreak/>
              <w:t>VAT nie jest wydatkiem kwalifikowalnym i nie może być finansowany ze środków RRF w ramach Przedsięwzięcia;</w:t>
            </w:r>
          </w:p>
          <w:p w14:paraId="1BDADE7C" w14:textId="4E571F37" w:rsidR="005F1D72" w:rsidRPr="006F116D" w:rsidRDefault="005F1D72">
            <w:pPr>
              <w:pStyle w:val="Akapitzlist"/>
              <w:numPr>
                <w:ilvl w:val="0"/>
                <w:numId w:val="3"/>
              </w:numPr>
              <w:ind w:left="753"/>
              <w:rPr>
                <w:rFonts w:cstheme="minorHAnsi"/>
                <w:color w:val="000000"/>
                <w:sz w:val="24"/>
                <w:szCs w:val="24"/>
              </w:rPr>
            </w:pPr>
            <w:r w:rsidRPr="003202D5">
              <w:rPr>
                <w:rFonts w:cstheme="minorHAnsi"/>
                <w:sz w:val="24"/>
                <w:szCs w:val="24"/>
              </w:rPr>
              <w:t>bieżące wydatki publiczne nie są wydatkami kwalifikowalnymi, w tym koszty instytucji publicznych oraz administracji publicznej, związane z bieżącą obsługą przygotowania i realizacji Przedsięwzięcia</w:t>
            </w:r>
            <w:r w:rsidR="00FE0964" w:rsidRPr="006F116D">
              <w:rPr>
                <w:rFonts w:cstheme="minorHAnsi"/>
                <w:sz w:val="24"/>
                <w:szCs w:val="24"/>
              </w:rPr>
              <w:t xml:space="preserve"> </w:t>
            </w:r>
            <w:r w:rsidR="00FE0964" w:rsidRPr="003202D5">
              <w:rPr>
                <w:rFonts w:cstheme="minorHAnsi"/>
                <w:sz w:val="24"/>
                <w:szCs w:val="24"/>
              </w:rPr>
              <w:t>(w tym wynagrodzenia urzędników)</w:t>
            </w:r>
            <w:r w:rsidR="000D084D" w:rsidRPr="006F116D">
              <w:rPr>
                <w:rFonts w:cstheme="minorHAnsi"/>
                <w:sz w:val="24"/>
                <w:szCs w:val="24"/>
              </w:rPr>
              <w:t>;</w:t>
            </w:r>
          </w:p>
          <w:p w14:paraId="36960467" w14:textId="45B2FCAC" w:rsidR="005F1D72" w:rsidRPr="006304A3" w:rsidRDefault="005F1D72">
            <w:pPr>
              <w:pStyle w:val="Akapitzlist"/>
              <w:numPr>
                <w:ilvl w:val="0"/>
                <w:numId w:val="3"/>
              </w:numPr>
              <w:ind w:left="753"/>
              <w:rPr>
                <w:rFonts w:cstheme="minorHAnsi"/>
                <w:color w:val="000000"/>
                <w:sz w:val="24"/>
                <w:szCs w:val="24"/>
              </w:rPr>
            </w:pPr>
            <w:bookmarkStart w:id="9" w:name="_Hlk160016030"/>
            <w:r w:rsidRPr="006304A3">
              <w:rPr>
                <w:rFonts w:cstheme="minorHAnsi"/>
                <w:sz w:val="24"/>
                <w:szCs w:val="24"/>
              </w:rPr>
              <w:t xml:space="preserve">wydatki są powiązane z realizacją prac stanowiących integralną część Inwestycji C2.1.1. i służą zapewnieniu osiągnięcia </w:t>
            </w:r>
            <w:bookmarkStart w:id="10" w:name="_Hlk160016069"/>
            <w:r w:rsidRPr="006304A3">
              <w:rPr>
                <w:rFonts w:cstheme="minorHAnsi"/>
                <w:sz w:val="24"/>
                <w:szCs w:val="24"/>
              </w:rPr>
              <w:t xml:space="preserve">jej </w:t>
            </w:r>
            <w:bookmarkEnd w:id="10"/>
            <w:r w:rsidRPr="00AC6518">
              <w:rPr>
                <w:rFonts w:cstheme="minorHAnsi"/>
                <w:sz w:val="24"/>
                <w:szCs w:val="24"/>
              </w:rPr>
              <w:t>wskaźników</w:t>
            </w:r>
            <w:r w:rsidRPr="006304A3">
              <w:rPr>
                <w:rFonts w:cstheme="minorHAnsi"/>
                <w:sz w:val="24"/>
                <w:szCs w:val="24"/>
              </w:rPr>
              <w:t>;</w:t>
            </w:r>
          </w:p>
          <w:bookmarkEnd w:id="9"/>
          <w:p w14:paraId="0FEDC928" w14:textId="2B210923" w:rsidR="005F1D72" w:rsidRPr="006304A3" w:rsidRDefault="005F1D72">
            <w:pPr>
              <w:pStyle w:val="Akapitzlist"/>
              <w:numPr>
                <w:ilvl w:val="0"/>
                <w:numId w:val="3"/>
              </w:numPr>
              <w:ind w:left="753"/>
              <w:rPr>
                <w:rFonts w:cstheme="minorHAnsi"/>
                <w:color w:val="000000"/>
                <w:sz w:val="24"/>
                <w:szCs w:val="24"/>
              </w:rPr>
            </w:pPr>
            <w:r w:rsidRPr="006304A3">
              <w:rPr>
                <w:rFonts w:cstheme="minorHAnsi"/>
                <w:sz w:val="24"/>
                <w:szCs w:val="24"/>
              </w:rPr>
              <w:t xml:space="preserve">uwzględniono w harmonogramie realizacji Przedsięwzięcia właściwe przepisy o zamówieniach publicznych (dla podmiotów zobowiązanych do stosowania PZP) lub reguł </w:t>
            </w:r>
            <w:r w:rsidR="001608BB" w:rsidRPr="006304A3">
              <w:rPr>
                <w:rFonts w:cstheme="minorHAnsi"/>
                <w:sz w:val="24"/>
                <w:szCs w:val="24"/>
              </w:rPr>
              <w:t>konkurencyjności dla</w:t>
            </w:r>
            <w:r w:rsidRPr="006304A3">
              <w:rPr>
                <w:rFonts w:cstheme="minorHAnsi"/>
                <w:sz w:val="24"/>
                <w:szCs w:val="24"/>
              </w:rPr>
              <w:t xml:space="preserve"> podmiotów niezobowiązanych do stosowania PZP (jeżeli dotyczy);</w:t>
            </w:r>
          </w:p>
          <w:p w14:paraId="2CF10F6D" w14:textId="55C689E5" w:rsidR="005F1D72" w:rsidRPr="006304A3" w:rsidRDefault="005F1D72" w:rsidP="00072087">
            <w:pPr>
              <w:pStyle w:val="Akapitzlist"/>
              <w:numPr>
                <w:ilvl w:val="0"/>
                <w:numId w:val="3"/>
              </w:numPr>
              <w:ind w:left="753"/>
              <w:rPr>
                <w:rFonts w:cstheme="minorHAnsi"/>
                <w:color w:val="000000"/>
                <w:sz w:val="24"/>
                <w:szCs w:val="24"/>
              </w:rPr>
            </w:pPr>
            <w:r w:rsidRPr="006304A3">
              <w:rPr>
                <w:rFonts w:cstheme="minorHAnsi"/>
                <w:color w:val="000000"/>
                <w:sz w:val="24"/>
                <w:szCs w:val="24"/>
              </w:rPr>
              <w:t>wydatki są zgodne z katalogiem wydatków kwalifikowanych określonych przez Instytucję odpowiedzialną za realizację Inwestycji (IOI). Katalog wydatków kwalifikowalnych o którym mowa powyżej jest częścią Zasad kwalifikowania wydatków w Przedsięwzięciach realizowanych w ramach</w:t>
            </w:r>
            <w:r w:rsidR="003F2FE5" w:rsidRPr="006304A3">
              <w:rPr>
                <w:rFonts w:cstheme="minorHAnsi"/>
                <w:color w:val="000000"/>
                <w:sz w:val="24"/>
                <w:szCs w:val="24"/>
              </w:rPr>
              <w:t xml:space="preserve"> I</w:t>
            </w:r>
            <w:r w:rsidRPr="006304A3">
              <w:rPr>
                <w:rFonts w:cstheme="minorHAnsi"/>
                <w:color w:val="000000"/>
                <w:sz w:val="24"/>
                <w:szCs w:val="24"/>
              </w:rPr>
              <w:t>nwestycji C2.1.1</w:t>
            </w:r>
            <w:r w:rsidR="003F2FE5" w:rsidRPr="006304A3">
              <w:rPr>
                <w:rFonts w:cstheme="minorHAnsi"/>
                <w:color w:val="000000"/>
                <w:sz w:val="24"/>
                <w:szCs w:val="24"/>
              </w:rPr>
              <w:t xml:space="preserve"> </w:t>
            </w:r>
            <w:r w:rsidRPr="006304A3">
              <w:rPr>
                <w:rFonts w:cstheme="minorHAnsi"/>
                <w:color w:val="000000"/>
                <w:sz w:val="24"/>
                <w:szCs w:val="24"/>
              </w:rPr>
              <w:t>będących załącznikiem do Regulaminu oraz wykazane wydatki są uzasadnione, rynkowe i optymalne/racjonalne z punktu widzenia osiągnięcia celu Przedsięwzięcia (ich wysokość nie jest zawyżona).</w:t>
            </w:r>
          </w:p>
        </w:tc>
        <w:tc>
          <w:tcPr>
            <w:tcW w:w="1247" w:type="dxa"/>
            <w:tcBorders>
              <w:bottom w:val="single" w:sz="4" w:space="0" w:color="auto"/>
            </w:tcBorders>
            <w:shd w:val="clear" w:color="auto" w:fill="FFFFFF" w:themeFill="background1"/>
            <w:vAlign w:val="center"/>
          </w:tcPr>
          <w:p w14:paraId="36E99BD8" w14:textId="34F06759" w:rsidR="005F1D72" w:rsidRPr="006304A3" w:rsidRDefault="007D0A42" w:rsidP="005F1D72">
            <w:pPr>
              <w:jc w:val="center"/>
              <w:rPr>
                <w:rFonts w:cstheme="minorHAnsi"/>
                <w:color w:val="000000"/>
                <w:sz w:val="24"/>
                <w:szCs w:val="24"/>
              </w:rPr>
            </w:pPr>
            <w:r w:rsidRPr="006304A3">
              <w:rPr>
                <w:rFonts w:cstheme="minorHAnsi"/>
                <w:sz w:val="24"/>
                <w:szCs w:val="24"/>
              </w:rPr>
              <w:lastRenderedPageBreak/>
              <w:t xml:space="preserve"> </w:t>
            </w:r>
            <w:r w:rsidRPr="006304A3">
              <w:rPr>
                <w:rFonts w:cstheme="minorHAnsi"/>
                <w:color w:val="000000"/>
                <w:sz w:val="24"/>
                <w:szCs w:val="24"/>
              </w:rPr>
              <w:t>0/1</w:t>
            </w:r>
          </w:p>
        </w:tc>
      </w:tr>
      <w:tr w:rsidR="005F1D72" w:rsidRPr="00A640DA" w14:paraId="43CFE039" w14:textId="77777777" w:rsidTr="00800A89">
        <w:trPr>
          <w:trHeight w:val="983"/>
        </w:trPr>
        <w:tc>
          <w:tcPr>
            <w:tcW w:w="782" w:type="dxa"/>
            <w:tcBorders>
              <w:bottom w:val="single" w:sz="4" w:space="0" w:color="auto"/>
            </w:tcBorders>
            <w:shd w:val="clear" w:color="auto" w:fill="FFFFFF" w:themeFill="background1"/>
            <w:vAlign w:val="center"/>
          </w:tcPr>
          <w:p w14:paraId="698D606E" w14:textId="6B008D4F" w:rsidR="005F1D72" w:rsidRPr="006304A3" w:rsidRDefault="002C4C0F" w:rsidP="005F1D72">
            <w:pPr>
              <w:jc w:val="center"/>
              <w:rPr>
                <w:rFonts w:cstheme="minorHAnsi"/>
                <w:b/>
                <w:bCs/>
                <w:color w:val="000000"/>
                <w:sz w:val="24"/>
                <w:szCs w:val="24"/>
              </w:rPr>
            </w:pPr>
            <w:r w:rsidRPr="006304A3">
              <w:rPr>
                <w:rFonts w:cstheme="minorHAnsi"/>
                <w:b/>
                <w:bCs/>
                <w:color w:val="000000"/>
                <w:sz w:val="24"/>
                <w:szCs w:val="24"/>
              </w:rPr>
              <w:t>7</w:t>
            </w:r>
          </w:p>
        </w:tc>
        <w:tc>
          <w:tcPr>
            <w:tcW w:w="2540" w:type="dxa"/>
            <w:tcBorders>
              <w:bottom w:val="single" w:sz="4" w:space="0" w:color="auto"/>
            </w:tcBorders>
            <w:shd w:val="clear" w:color="auto" w:fill="FFFFFF" w:themeFill="background1"/>
          </w:tcPr>
          <w:p w14:paraId="6FB955F1" w14:textId="77777777" w:rsidR="005F1D72" w:rsidRPr="006304A3" w:rsidRDefault="005F1D72" w:rsidP="005F1D72">
            <w:pPr>
              <w:rPr>
                <w:rFonts w:cstheme="minorHAnsi"/>
                <w:b/>
                <w:bCs/>
                <w:sz w:val="24"/>
                <w:szCs w:val="24"/>
              </w:rPr>
            </w:pPr>
            <w:r w:rsidRPr="006304A3">
              <w:rPr>
                <w:rFonts w:cstheme="minorHAnsi"/>
                <w:b/>
                <w:bCs/>
                <w:sz w:val="24"/>
                <w:szCs w:val="24"/>
              </w:rPr>
              <w:t>Sytuacja finansowa Ostatecznego</w:t>
            </w:r>
          </w:p>
          <w:p w14:paraId="3422F3AA" w14:textId="77777777" w:rsidR="005F1D72" w:rsidRPr="006304A3" w:rsidRDefault="005F1D72" w:rsidP="005F1D72">
            <w:pPr>
              <w:rPr>
                <w:rFonts w:cstheme="minorHAnsi"/>
                <w:b/>
                <w:bCs/>
                <w:sz w:val="24"/>
                <w:szCs w:val="24"/>
              </w:rPr>
            </w:pPr>
            <w:r w:rsidRPr="006304A3">
              <w:rPr>
                <w:rFonts w:cstheme="minorHAnsi"/>
                <w:b/>
                <w:bCs/>
                <w:sz w:val="24"/>
                <w:szCs w:val="24"/>
              </w:rPr>
              <w:t>odbiorcy wsparcia i wykonalność</w:t>
            </w:r>
          </w:p>
          <w:p w14:paraId="31AFB776" w14:textId="3E499085" w:rsidR="005F1D72" w:rsidRPr="00881932" w:rsidRDefault="005F1D72" w:rsidP="00881932">
            <w:pPr>
              <w:rPr>
                <w:rFonts w:cstheme="minorHAnsi"/>
                <w:b/>
                <w:bCs/>
                <w:sz w:val="24"/>
                <w:szCs w:val="24"/>
              </w:rPr>
            </w:pPr>
            <w:r w:rsidRPr="006304A3">
              <w:rPr>
                <w:rFonts w:cstheme="minorHAnsi"/>
                <w:b/>
                <w:bCs/>
                <w:sz w:val="24"/>
                <w:szCs w:val="24"/>
              </w:rPr>
              <w:t xml:space="preserve">finansowa Przedsięwzięcia umożliwia </w:t>
            </w:r>
            <w:r w:rsidR="001608BB" w:rsidRPr="006304A3">
              <w:rPr>
                <w:rFonts w:cstheme="minorHAnsi"/>
                <w:b/>
                <w:bCs/>
                <w:sz w:val="24"/>
                <w:szCs w:val="24"/>
              </w:rPr>
              <w:t>jego realizację</w:t>
            </w:r>
          </w:p>
        </w:tc>
        <w:tc>
          <w:tcPr>
            <w:tcW w:w="9027" w:type="dxa"/>
            <w:tcBorders>
              <w:bottom w:val="single" w:sz="4" w:space="0" w:color="auto"/>
            </w:tcBorders>
            <w:shd w:val="clear" w:color="auto" w:fill="FFFFFF" w:themeFill="background1"/>
          </w:tcPr>
          <w:p w14:paraId="4455BEDB" w14:textId="77A42BE5" w:rsidR="005F1D72" w:rsidRPr="006304A3" w:rsidRDefault="005F1D72" w:rsidP="00881932">
            <w:pPr>
              <w:spacing w:after="360"/>
              <w:rPr>
                <w:rFonts w:cstheme="minorHAnsi"/>
                <w:color w:val="000000"/>
                <w:sz w:val="24"/>
                <w:szCs w:val="24"/>
              </w:rPr>
            </w:pPr>
            <w:r w:rsidRPr="006304A3">
              <w:rPr>
                <w:rFonts w:cstheme="minorHAnsi"/>
                <w:color w:val="000000"/>
                <w:sz w:val="24"/>
                <w:szCs w:val="24"/>
              </w:rPr>
              <w:t xml:space="preserve">Sytuacja finansowa Ostatecznego odbiorcy wsparcia nie zagraża </w:t>
            </w:r>
            <w:r w:rsidR="001608BB" w:rsidRPr="006304A3">
              <w:rPr>
                <w:rFonts w:cstheme="minorHAnsi"/>
                <w:color w:val="000000"/>
                <w:sz w:val="24"/>
                <w:szCs w:val="24"/>
              </w:rPr>
              <w:t>realizacji Przedsięwzięcia</w:t>
            </w:r>
            <w:r w:rsidRPr="006304A3">
              <w:rPr>
                <w:rFonts w:cstheme="minorHAnsi"/>
                <w:color w:val="000000"/>
                <w:sz w:val="24"/>
                <w:szCs w:val="24"/>
              </w:rPr>
              <w:t xml:space="preserve"> i umożliwia jego realizację, gwarantuje jego wykonalność oraz utrzymanie rezultatów Przedsięwzięcia.</w:t>
            </w:r>
          </w:p>
          <w:p w14:paraId="2887B2E6" w14:textId="273A037A" w:rsidR="005F1D72" w:rsidRPr="006304A3" w:rsidRDefault="005F1D72" w:rsidP="005F1D72">
            <w:pPr>
              <w:rPr>
                <w:rFonts w:cstheme="minorHAnsi"/>
                <w:color w:val="000000"/>
                <w:sz w:val="24"/>
                <w:szCs w:val="24"/>
              </w:rPr>
            </w:pPr>
            <w:r w:rsidRPr="006304A3">
              <w:rPr>
                <w:rFonts w:cstheme="minorHAnsi"/>
                <w:color w:val="000000"/>
                <w:sz w:val="24"/>
                <w:szCs w:val="24"/>
              </w:rPr>
              <w:t>We Wniosku o objecie Przedsięwzięcia wsparciem przedstawiono wiarygodne źródła współfinansowania Przedsięwzięcia (o ile takie jest wymagane dla jego realizacji).</w:t>
            </w:r>
          </w:p>
          <w:p w14:paraId="4CF169C6" w14:textId="49839E5B" w:rsidR="005F1D72" w:rsidRPr="00881932" w:rsidRDefault="005F1D72" w:rsidP="005F1D72">
            <w:pPr>
              <w:rPr>
                <w:rFonts w:cstheme="minorHAnsi"/>
                <w:color w:val="000000"/>
                <w:sz w:val="24"/>
                <w:szCs w:val="24"/>
              </w:rPr>
            </w:pPr>
            <w:r w:rsidRPr="006304A3">
              <w:rPr>
                <w:rFonts w:cstheme="minorHAnsi"/>
                <w:color w:val="000000"/>
                <w:sz w:val="24"/>
                <w:szCs w:val="24"/>
              </w:rPr>
              <w:t xml:space="preserve">Ostateczny odbiorca wsparcia przedłożył oświadczenie, iż sytuacja finansowa Ostatecznego odbiorcy wsparcia umożliwia realizację Przedsięwzięcia i gwarantuje jego </w:t>
            </w:r>
            <w:r w:rsidR="001608BB" w:rsidRPr="006304A3">
              <w:rPr>
                <w:rFonts w:cstheme="minorHAnsi"/>
                <w:color w:val="000000"/>
                <w:sz w:val="24"/>
                <w:szCs w:val="24"/>
              </w:rPr>
              <w:t>wykonalność (</w:t>
            </w:r>
            <w:r w:rsidRPr="006304A3">
              <w:rPr>
                <w:rFonts w:cstheme="minorHAnsi"/>
                <w:color w:val="000000"/>
                <w:sz w:val="24"/>
                <w:szCs w:val="24"/>
              </w:rPr>
              <w:t>nie dotyczy państwowych jednostek budżetowych).</w:t>
            </w:r>
          </w:p>
        </w:tc>
        <w:tc>
          <w:tcPr>
            <w:tcW w:w="1247" w:type="dxa"/>
            <w:tcBorders>
              <w:bottom w:val="single" w:sz="4" w:space="0" w:color="auto"/>
            </w:tcBorders>
            <w:shd w:val="clear" w:color="auto" w:fill="FFFFFF" w:themeFill="background1"/>
            <w:vAlign w:val="center"/>
          </w:tcPr>
          <w:p w14:paraId="28380818" w14:textId="186EAF89" w:rsidR="005F1D72" w:rsidRPr="006304A3" w:rsidRDefault="0078217A" w:rsidP="005F1D72">
            <w:pPr>
              <w:jc w:val="center"/>
              <w:rPr>
                <w:rFonts w:cstheme="minorHAnsi"/>
                <w:bCs/>
                <w:color w:val="000000"/>
                <w:sz w:val="24"/>
                <w:szCs w:val="24"/>
              </w:rPr>
            </w:pPr>
            <w:r w:rsidRPr="006304A3">
              <w:rPr>
                <w:rFonts w:cstheme="minorHAnsi"/>
                <w:sz w:val="24"/>
                <w:szCs w:val="24"/>
              </w:rPr>
              <w:t xml:space="preserve"> </w:t>
            </w:r>
            <w:r w:rsidRPr="006304A3">
              <w:rPr>
                <w:rFonts w:cstheme="minorHAnsi"/>
                <w:bCs/>
                <w:color w:val="000000"/>
                <w:sz w:val="24"/>
                <w:szCs w:val="24"/>
              </w:rPr>
              <w:t>0/1</w:t>
            </w:r>
            <w:r w:rsidR="005F1D72" w:rsidRPr="006304A3">
              <w:rPr>
                <w:rFonts w:cstheme="minorHAnsi"/>
                <w:sz w:val="24"/>
                <w:szCs w:val="24"/>
              </w:rPr>
              <w:t>/</w:t>
            </w:r>
            <w:r w:rsidR="005F1D72" w:rsidRPr="006304A3">
              <w:rPr>
                <w:rFonts w:cstheme="minorHAnsi"/>
                <w:bCs/>
                <w:color w:val="000000"/>
                <w:sz w:val="24"/>
                <w:szCs w:val="24"/>
              </w:rPr>
              <w:t>N</w:t>
            </w:r>
            <w:r w:rsidRPr="006304A3">
              <w:rPr>
                <w:rFonts w:cstheme="minorHAnsi"/>
                <w:bCs/>
                <w:color w:val="000000"/>
                <w:sz w:val="24"/>
                <w:szCs w:val="24"/>
              </w:rPr>
              <w:t>ie</w:t>
            </w:r>
          </w:p>
          <w:p w14:paraId="01DB7664" w14:textId="799B9811" w:rsidR="005F1D72" w:rsidRPr="006304A3" w:rsidRDefault="0078217A" w:rsidP="005F1D72">
            <w:pPr>
              <w:jc w:val="center"/>
              <w:rPr>
                <w:rFonts w:cstheme="minorHAnsi"/>
                <w:bCs/>
                <w:color w:val="000000"/>
                <w:sz w:val="24"/>
                <w:szCs w:val="24"/>
              </w:rPr>
            </w:pPr>
            <w:r w:rsidRPr="006304A3">
              <w:rPr>
                <w:rFonts w:cstheme="minorHAnsi"/>
                <w:bCs/>
                <w:color w:val="000000"/>
                <w:sz w:val="24"/>
                <w:szCs w:val="24"/>
              </w:rPr>
              <w:t>dotyczy</w:t>
            </w:r>
          </w:p>
          <w:p w14:paraId="1631A30C" w14:textId="77777777" w:rsidR="005F1D72" w:rsidRPr="006304A3" w:rsidRDefault="005F1D72" w:rsidP="005F1D72">
            <w:pPr>
              <w:jc w:val="center"/>
              <w:rPr>
                <w:rFonts w:cstheme="minorHAnsi"/>
                <w:bCs/>
                <w:color w:val="000000"/>
                <w:sz w:val="24"/>
                <w:szCs w:val="24"/>
              </w:rPr>
            </w:pPr>
          </w:p>
          <w:p w14:paraId="6473A6B8" w14:textId="400B346A" w:rsidR="005F1D72" w:rsidRPr="006304A3" w:rsidRDefault="005F1D72" w:rsidP="005F1D72">
            <w:pPr>
              <w:jc w:val="center"/>
              <w:rPr>
                <w:rFonts w:cstheme="minorHAnsi"/>
                <w:bCs/>
                <w:color w:val="000000"/>
                <w:sz w:val="24"/>
                <w:szCs w:val="24"/>
              </w:rPr>
            </w:pPr>
            <w:r w:rsidRPr="006304A3">
              <w:rPr>
                <w:rFonts w:cstheme="minorHAnsi"/>
                <w:color w:val="000000"/>
                <w:sz w:val="24"/>
                <w:szCs w:val="24"/>
              </w:rPr>
              <w:t>*N</w:t>
            </w:r>
            <w:r w:rsidR="0078217A" w:rsidRPr="006304A3">
              <w:rPr>
                <w:rFonts w:cstheme="minorHAnsi"/>
                <w:color w:val="000000"/>
                <w:sz w:val="24"/>
                <w:szCs w:val="24"/>
              </w:rPr>
              <w:t xml:space="preserve">ie dotyczy </w:t>
            </w:r>
            <w:r w:rsidRPr="006304A3">
              <w:rPr>
                <w:rFonts w:cstheme="minorHAnsi"/>
                <w:color w:val="000000"/>
                <w:sz w:val="24"/>
                <w:szCs w:val="24"/>
              </w:rPr>
              <w:t xml:space="preserve">w sytuacji, </w:t>
            </w:r>
            <w:r w:rsidR="001608BB" w:rsidRPr="006304A3">
              <w:rPr>
                <w:rFonts w:cstheme="minorHAnsi"/>
                <w:color w:val="000000"/>
                <w:sz w:val="24"/>
                <w:szCs w:val="24"/>
              </w:rPr>
              <w:t>kiedy Ostateczny</w:t>
            </w:r>
            <w:r w:rsidRPr="006304A3">
              <w:rPr>
                <w:rFonts w:cstheme="minorHAnsi"/>
                <w:color w:val="000000"/>
                <w:sz w:val="24"/>
                <w:szCs w:val="24"/>
              </w:rPr>
              <w:t xml:space="preserve"> odbiorca wsparcia jest państwow</w:t>
            </w:r>
            <w:r w:rsidRPr="006304A3">
              <w:rPr>
                <w:rFonts w:cstheme="minorHAnsi"/>
                <w:color w:val="000000"/>
                <w:sz w:val="24"/>
                <w:szCs w:val="24"/>
              </w:rPr>
              <w:lastRenderedPageBreak/>
              <w:t>ą jednostką budżetową</w:t>
            </w:r>
          </w:p>
        </w:tc>
      </w:tr>
      <w:tr w:rsidR="005F1D72" w:rsidRPr="00A640DA" w14:paraId="1D57A895" w14:textId="77777777" w:rsidTr="00800A89">
        <w:trPr>
          <w:trHeight w:val="983"/>
        </w:trPr>
        <w:tc>
          <w:tcPr>
            <w:tcW w:w="782" w:type="dxa"/>
            <w:tcBorders>
              <w:bottom w:val="single" w:sz="4" w:space="0" w:color="auto"/>
            </w:tcBorders>
            <w:shd w:val="clear" w:color="auto" w:fill="FFFFFF" w:themeFill="background1"/>
            <w:vAlign w:val="center"/>
          </w:tcPr>
          <w:p w14:paraId="18D9BC75" w14:textId="7D90A9C1" w:rsidR="005F1D72" w:rsidRPr="006304A3" w:rsidRDefault="002C4C0F" w:rsidP="005F1D72">
            <w:pPr>
              <w:rPr>
                <w:rFonts w:cstheme="minorHAnsi"/>
                <w:b/>
                <w:bCs/>
                <w:color w:val="000000"/>
                <w:sz w:val="24"/>
                <w:szCs w:val="24"/>
              </w:rPr>
            </w:pPr>
            <w:r w:rsidRPr="006304A3">
              <w:rPr>
                <w:rFonts w:cstheme="minorHAnsi"/>
                <w:b/>
                <w:bCs/>
                <w:color w:val="000000"/>
                <w:sz w:val="24"/>
                <w:szCs w:val="24"/>
              </w:rPr>
              <w:lastRenderedPageBreak/>
              <w:t>8</w:t>
            </w:r>
          </w:p>
        </w:tc>
        <w:tc>
          <w:tcPr>
            <w:tcW w:w="2540" w:type="dxa"/>
            <w:tcBorders>
              <w:bottom w:val="single" w:sz="4" w:space="0" w:color="auto"/>
            </w:tcBorders>
            <w:shd w:val="clear" w:color="auto" w:fill="FFFFFF" w:themeFill="background1"/>
          </w:tcPr>
          <w:p w14:paraId="741F8E7F" w14:textId="113DD80B" w:rsidR="005F1D72" w:rsidRPr="006304A3" w:rsidRDefault="005F1D72" w:rsidP="005F1D72">
            <w:pPr>
              <w:rPr>
                <w:rFonts w:cstheme="minorHAnsi"/>
                <w:b/>
                <w:bCs/>
                <w:color w:val="000000"/>
                <w:sz w:val="24"/>
                <w:szCs w:val="24"/>
              </w:rPr>
            </w:pPr>
            <w:r w:rsidRPr="006304A3">
              <w:rPr>
                <w:rFonts w:cstheme="minorHAnsi"/>
                <w:b/>
                <w:bCs/>
                <w:sz w:val="24"/>
                <w:szCs w:val="24"/>
              </w:rPr>
              <w:t xml:space="preserve">Zgodność z przepisami dotyczącymi pomocy publicznej </w:t>
            </w:r>
            <w:r w:rsidR="001608BB" w:rsidRPr="006304A3">
              <w:rPr>
                <w:rFonts w:cstheme="minorHAnsi"/>
                <w:b/>
                <w:bCs/>
                <w:sz w:val="24"/>
                <w:szCs w:val="24"/>
              </w:rPr>
              <w:t>oraz pomocy</w:t>
            </w:r>
            <w:r w:rsidRPr="006304A3">
              <w:rPr>
                <w:rFonts w:cstheme="minorHAnsi"/>
                <w:b/>
                <w:bCs/>
                <w:sz w:val="24"/>
                <w:szCs w:val="24"/>
              </w:rPr>
              <w:t xml:space="preserve"> de minimis</w:t>
            </w:r>
          </w:p>
        </w:tc>
        <w:tc>
          <w:tcPr>
            <w:tcW w:w="9027" w:type="dxa"/>
            <w:tcBorders>
              <w:bottom w:val="single" w:sz="4" w:space="0" w:color="auto"/>
            </w:tcBorders>
            <w:shd w:val="clear" w:color="auto" w:fill="FFFFFF" w:themeFill="background1"/>
          </w:tcPr>
          <w:p w14:paraId="1F2D9C83" w14:textId="3A14CD75" w:rsidR="005F1D72" w:rsidRPr="006304A3" w:rsidRDefault="005F1D72" w:rsidP="00881932">
            <w:pPr>
              <w:spacing w:after="360"/>
              <w:rPr>
                <w:rFonts w:cstheme="minorHAnsi"/>
                <w:color w:val="000000"/>
                <w:sz w:val="24"/>
                <w:szCs w:val="24"/>
              </w:rPr>
            </w:pPr>
            <w:r w:rsidRPr="006304A3">
              <w:rPr>
                <w:rFonts w:cstheme="minorHAnsi"/>
                <w:color w:val="000000"/>
                <w:sz w:val="24"/>
                <w:szCs w:val="24"/>
              </w:rPr>
              <w:t>Przedsięwzięcie jest zgodne z przepisami o pomocy publicznej tj. wsparcie będzie stanowiło pomoc publiczną w rozumieniu art. 107 ust. 1 Traktatu o funkcjonowaniu Unii Europejskiej (TFUE)</w:t>
            </w:r>
            <w:r w:rsidRPr="006304A3">
              <w:rPr>
                <w:rFonts w:cstheme="minorHAnsi"/>
                <w:sz w:val="24"/>
                <w:szCs w:val="24"/>
              </w:rPr>
              <w:t xml:space="preserve"> </w:t>
            </w:r>
            <w:r w:rsidRPr="006304A3">
              <w:rPr>
                <w:rFonts w:cstheme="minorHAnsi"/>
                <w:color w:val="000000"/>
                <w:sz w:val="24"/>
                <w:szCs w:val="24"/>
              </w:rPr>
              <w:t>oraz Przedsięwzięcie spełnia wymogi właściwego programu pomocowego, indywidualnej decyzji notyfikacyjnej lub innej podstawy udzielenia pomocy publicznej lub pomocy de minimis.</w:t>
            </w:r>
          </w:p>
          <w:p w14:paraId="52AFED77" w14:textId="77777777" w:rsidR="00AC6518" w:rsidRDefault="005F1D72" w:rsidP="00AC6518">
            <w:pPr>
              <w:autoSpaceDE w:val="0"/>
              <w:autoSpaceDN w:val="0"/>
              <w:adjustRightInd w:val="0"/>
              <w:rPr>
                <w:rFonts w:cstheme="minorHAnsi"/>
                <w:color w:val="000000"/>
                <w:sz w:val="24"/>
                <w:szCs w:val="24"/>
                <w:highlight w:val="yellow"/>
              </w:rPr>
            </w:pPr>
            <w:r w:rsidRPr="00AC6518">
              <w:rPr>
                <w:rFonts w:cstheme="minorHAnsi"/>
                <w:color w:val="000000"/>
                <w:sz w:val="24"/>
                <w:szCs w:val="24"/>
              </w:rPr>
              <w:t xml:space="preserve">Jeśli wsparcie nie stanowi pomocy publicznej lub pomocy de minimis weryfikowane jest, czy przedstawiono odpowiednie wyjaśnienia. </w:t>
            </w:r>
            <w:r w:rsidRPr="00AC6518">
              <w:rPr>
                <w:rFonts w:cstheme="minorHAnsi"/>
                <w:sz w:val="24"/>
                <w:szCs w:val="24"/>
              </w:rPr>
              <w:t xml:space="preserve"> </w:t>
            </w:r>
            <w:r w:rsidRPr="00AC6518">
              <w:rPr>
                <w:rFonts w:cstheme="minorHAnsi"/>
                <w:color w:val="000000"/>
                <w:sz w:val="24"/>
                <w:szCs w:val="24"/>
              </w:rPr>
              <w:t>Wyjaśnienia powinny zawierać odniesienia do właściwych dokumentów instytucji Unii Europejskiej, w tym m.in. d</w:t>
            </w:r>
            <w:r w:rsidRPr="009B1A95">
              <w:rPr>
                <w:rFonts w:cstheme="minorHAnsi"/>
                <w:color w:val="000000"/>
                <w:sz w:val="24"/>
                <w:szCs w:val="24"/>
              </w:rPr>
              <w:t>o:</w:t>
            </w:r>
          </w:p>
          <w:p w14:paraId="7B168BFA" w14:textId="0D0D4F82" w:rsidR="00AC6518" w:rsidRPr="009B1A95" w:rsidRDefault="005F1D72" w:rsidP="009B1A95">
            <w:pPr>
              <w:autoSpaceDE w:val="0"/>
              <w:autoSpaceDN w:val="0"/>
              <w:adjustRightInd w:val="0"/>
              <w:rPr>
                <w:rFonts w:cstheme="minorHAnsi"/>
                <w:color w:val="000000"/>
                <w:sz w:val="24"/>
                <w:szCs w:val="24"/>
                <w:highlight w:val="yellow"/>
              </w:rPr>
            </w:pPr>
            <w:r w:rsidRPr="00AC6518">
              <w:rPr>
                <w:rFonts w:cstheme="minorHAnsi"/>
                <w:color w:val="000000"/>
                <w:sz w:val="24"/>
                <w:szCs w:val="24"/>
                <w:highlight w:val="yellow"/>
              </w:rPr>
              <w:t xml:space="preserve"> </w:t>
            </w:r>
          </w:p>
          <w:p w14:paraId="571CD790" w14:textId="3CC20A6B" w:rsidR="005F1D72" w:rsidRPr="009B1A95" w:rsidRDefault="005F1D72">
            <w:pPr>
              <w:pStyle w:val="Akapitzlist"/>
              <w:numPr>
                <w:ilvl w:val="0"/>
                <w:numId w:val="8"/>
              </w:numPr>
              <w:autoSpaceDE w:val="0"/>
              <w:autoSpaceDN w:val="0"/>
              <w:adjustRightInd w:val="0"/>
              <w:rPr>
                <w:rFonts w:cstheme="minorHAnsi"/>
                <w:color w:val="000000"/>
                <w:sz w:val="24"/>
                <w:szCs w:val="24"/>
              </w:rPr>
            </w:pPr>
            <w:r w:rsidRPr="009B1A95">
              <w:rPr>
                <w:rFonts w:cstheme="minorHAnsi"/>
                <w:color w:val="000000"/>
                <w:sz w:val="24"/>
                <w:szCs w:val="24"/>
              </w:rPr>
              <w:t>Zawiadomienia Komisji w sprawie pojęcia pomocy państwa w rozumieniu art. 107 ust. 1 Traktatu o funkcjonowaniu Unii Europejskiej (2016/C 262/01), (. https://eur-lex.europa.eu/legal-content/PL/TXT/PDF/?uri=CELEX%3A52016XC0719(05)&amp;from=PL);</w:t>
            </w:r>
          </w:p>
          <w:p w14:paraId="22E689C1" w14:textId="3B33DF67" w:rsidR="005F1D72" w:rsidRPr="009B1A95" w:rsidRDefault="005F1D72" w:rsidP="007A15BA">
            <w:pPr>
              <w:pStyle w:val="Akapitzlist"/>
              <w:numPr>
                <w:ilvl w:val="0"/>
                <w:numId w:val="8"/>
              </w:numPr>
              <w:autoSpaceDE w:val="0"/>
              <w:autoSpaceDN w:val="0"/>
              <w:adjustRightInd w:val="0"/>
              <w:spacing w:after="360"/>
              <w:ind w:left="714" w:hanging="357"/>
              <w:rPr>
                <w:rFonts w:cstheme="minorHAnsi"/>
                <w:color w:val="000000"/>
                <w:sz w:val="24"/>
                <w:szCs w:val="24"/>
                <w:lang w:val="en-US"/>
              </w:rPr>
            </w:pPr>
            <w:r w:rsidRPr="009B1A95">
              <w:rPr>
                <w:rFonts w:cstheme="minorHAnsi"/>
                <w:color w:val="000000"/>
                <w:sz w:val="24"/>
                <w:szCs w:val="24"/>
                <w:lang w:val="en-GB"/>
              </w:rPr>
              <w:t>Recovery and resilience facility (RRF) guiding templates, (</w:t>
            </w:r>
            <w:r w:rsidR="00E1397A" w:rsidRPr="009B1A95">
              <w:rPr>
                <w:rFonts w:cstheme="minorHAnsi"/>
                <w:color w:val="000000"/>
                <w:sz w:val="24"/>
                <w:szCs w:val="24"/>
                <w:lang w:val="en-US"/>
              </w:rPr>
              <w:t>https://competition-policy.ec.europa.eu/state-aid/legislation/rrf-guiding-templates_en?prefLang=pl</w:t>
            </w:r>
            <w:r w:rsidRPr="009B1A95">
              <w:rPr>
                <w:rFonts w:cstheme="minorHAnsi"/>
                <w:color w:val="000000"/>
                <w:sz w:val="24"/>
                <w:szCs w:val="24"/>
                <w:lang w:val="en-US"/>
              </w:rPr>
              <w:t xml:space="preserve">) </w:t>
            </w:r>
            <w:proofErr w:type="spellStart"/>
            <w:r w:rsidRPr="009B1A95">
              <w:rPr>
                <w:rFonts w:cstheme="minorHAnsi"/>
                <w:color w:val="000000"/>
                <w:sz w:val="24"/>
                <w:szCs w:val="24"/>
                <w:lang w:val="en-US"/>
              </w:rPr>
              <w:t>dostępne</w:t>
            </w:r>
            <w:proofErr w:type="spellEnd"/>
            <w:r w:rsidRPr="009B1A95">
              <w:rPr>
                <w:rFonts w:cstheme="minorHAnsi"/>
                <w:color w:val="000000"/>
                <w:sz w:val="24"/>
                <w:szCs w:val="24"/>
                <w:lang w:val="en-US"/>
              </w:rPr>
              <w:t xml:space="preserve"> </w:t>
            </w:r>
            <w:proofErr w:type="spellStart"/>
            <w:r w:rsidRPr="009B1A95">
              <w:rPr>
                <w:rFonts w:cstheme="minorHAnsi"/>
                <w:color w:val="000000"/>
                <w:sz w:val="24"/>
                <w:szCs w:val="24"/>
                <w:lang w:val="en-US"/>
              </w:rPr>
              <w:t>na</w:t>
            </w:r>
            <w:proofErr w:type="spellEnd"/>
            <w:r w:rsidRPr="009B1A95">
              <w:rPr>
                <w:rFonts w:cstheme="minorHAnsi"/>
                <w:color w:val="000000"/>
                <w:sz w:val="24"/>
                <w:szCs w:val="24"/>
                <w:lang w:val="en-US"/>
              </w:rPr>
              <w:t xml:space="preserve"> </w:t>
            </w:r>
            <w:proofErr w:type="spellStart"/>
            <w:r w:rsidRPr="009B1A95">
              <w:rPr>
                <w:rFonts w:cstheme="minorHAnsi"/>
                <w:color w:val="000000"/>
                <w:sz w:val="24"/>
                <w:szCs w:val="24"/>
                <w:lang w:val="en-US"/>
              </w:rPr>
              <w:t>stronie</w:t>
            </w:r>
            <w:proofErr w:type="spellEnd"/>
            <w:r w:rsidRPr="009B1A95">
              <w:rPr>
                <w:rFonts w:cstheme="minorHAnsi"/>
                <w:color w:val="000000"/>
                <w:sz w:val="24"/>
                <w:szCs w:val="24"/>
                <w:lang w:val="en-US"/>
              </w:rPr>
              <w:t xml:space="preserve"> </w:t>
            </w:r>
            <w:proofErr w:type="spellStart"/>
            <w:r w:rsidRPr="009B1A95">
              <w:rPr>
                <w:rFonts w:cstheme="minorHAnsi"/>
                <w:color w:val="000000"/>
                <w:sz w:val="24"/>
                <w:szCs w:val="24"/>
                <w:lang w:val="en-US"/>
              </w:rPr>
              <w:t>internetowej</w:t>
            </w:r>
            <w:proofErr w:type="spellEnd"/>
            <w:r w:rsidRPr="009B1A95">
              <w:rPr>
                <w:rFonts w:cstheme="minorHAnsi"/>
                <w:color w:val="000000"/>
                <w:sz w:val="24"/>
                <w:szCs w:val="24"/>
                <w:lang w:val="en-US"/>
              </w:rPr>
              <w:t xml:space="preserve"> DG COMP. </w:t>
            </w:r>
          </w:p>
          <w:p w14:paraId="3A56A355" w14:textId="223CDB5A" w:rsidR="005F1D72" w:rsidRPr="006304A3" w:rsidRDefault="005F1D72" w:rsidP="005F1D72">
            <w:pPr>
              <w:autoSpaceDE w:val="0"/>
              <w:autoSpaceDN w:val="0"/>
              <w:adjustRightInd w:val="0"/>
              <w:rPr>
                <w:rFonts w:cstheme="minorHAnsi"/>
                <w:color w:val="000000"/>
                <w:sz w:val="24"/>
                <w:szCs w:val="24"/>
              </w:rPr>
            </w:pPr>
            <w:r w:rsidRPr="006304A3">
              <w:rPr>
                <w:rFonts w:cstheme="minorHAnsi"/>
                <w:color w:val="000000"/>
                <w:sz w:val="24"/>
                <w:szCs w:val="24"/>
              </w:rPr>
              <w:t>W przypadku, gdy Przedsięwzięcie nie jest objęte pomocą publiczną, należy wskazać ‘nie dotyczy’ wraz z uzasadnieniem. Jeśli wsparcie w ramach Przedsięwzięcia stanowi pomoc publiczną, sprawdzane jest czy pomoc jest zgodna z rynkiem wewnętrznym i czy wskazano podstawę zgodności tej pomocy z rynkiem wewnętrznym UE wraz z wyjaśnieniem czy pomoc podlega obowiązkowi notyfikacji Komisji Europejskiej, o którym mowa w art. 108 ust. 3 TFUE.</w:t>
            </w:r>
          </w:p>
        </w:tc>
        <w:tc>
          <w:tcPr>
            <w:tcW w:w="1247" w:type="dxa"/>
            <w:tcBorders>
              <w:bottom w:val="single" w:sz="4" w:space="0" w:color="auto"/>
            </w:tcBorders>
            <w:shd w:val="clear" w:color="auto" w:fill="FFFFFF" w:themeFill="background1"/>
            <w:vAlign w:val="center"/>
          </w:tcPr>
          <w:p w14:paraId="66E2720B" w14:textId="5E3B5F14" w:rsidR="005F1D72" w:rsidRPr="006304A3" w:rsidRDefault="0078217A" w:rsidP="005F1D72">
            <w:pPr>
              <w:jc w:val="center"/>
              <w:rPr>
                <w:rFonts w:cstheme="minorHAnsi"/>
                <w:bCs/>
                <w:color w:val="000000"/>
                <w:sz w:val="24"/>
                <w:szCs w:val="24"/>
              </w:rPr>
            </w:pPr>
            <w:r w:rsidRPr="006304A3">
              <w:rPr>
                <w:rFonts w:cstheme="minorHAnsi"/>
                <w:bCs/>
                <w:color w:val="000000"/>
                <w:sz w:val="24"/>
                <w:szCs w:val="24"/>
              </w:rPr>
              <w:t xml:space="preserve"> 0/1</w:t>
            </w:r>
            <w:r w:rsidR="005F1D72" w:rsidRPr="006304A3">
              <w:rPr>
                <w:rFonts w:cstheme="minorHAnsi"/>
                <w:bCs/>
                <w:color w:val="000000"/>
                <w:sz w:val="24"/>
                <w:szCs w:val="24"/>
              </w:rPr>
              <w:t>/N</w:t>
            </w:r>
            <w:r w:rsidRPr="006304A3">
              <w:rPr>
                <w:rFonts w:cstheme="minorHAnsi"/>
                <w:bCs/>
                <w:color w:val="000000"/>
                <w:sz w:val="24"/>
                <w:szCs w:val="24"/>
              </w:rPr>
              <w:t>ie dotyczy</w:t>
            </w:r>
          </w:p>
          <w:p w14:paraId="1F1770AD" w14:textId="77777777" w:rsidR="005F1D72" w:rsidRPr="006304A3" w:rsidRDefault="005F1D72" w:rsidP="005F1D72">
            <w:pPr>
              <w:jc w:val="center"/>
              <w:rPr>
                <w:rFonts w:cstheme="minorHAnsi"/>
                <w:bCs/>
                <w:color w:val="000000"/>
                <w:sz w:val="24"/>
                <w:szCs w:val="24"/>
              </w:rPr>
            </w:pPr>
          </w:p>
          <w:p w14:paraId="28C4B4C5" w14:textId="72391854" w:rsidR="005F1D72" w:rsidRPr="006304A3" w:rsidRDefault="005F1D72" w:rsidP="005F1D72">
            <w:pPr>
              <w:jc w:val="center"/>
              <w:rPr>
                <w:rFonts w:cstheme="minorHAnsi"/>
                <w:bCs/>
                <w:color w:val="000000"/>
                <w:sz w:val="24"/>
                <w:szCs w:val="24"/>
              </w:rPr>
            </w:pPr>
            <w:r w:rsidRPr="006304A3">
              <w:rPr>
                <w:rFonts w:cstheme="minorHAnsi"/>
                <w:bCs/>
                <w:color w:val="000000"/>
                <w:sz w:val="24"/>
                <w:szCs w:val="24"/>
              </w:rPr>
              <w:t>N</w:t>
            </w:r>
            <w:r w:rsidR="0078217A" w:rsidRPr="006304A3">
              <w:rPr>
                <w:rFonts w:cstheme="minorHAnsi"/>
                <w:bCs/>
                <w:color w:val="000000"/>
                <w:sz w:val="24"/>
                <w:szCs w:val="24"/>
              </w:rPr>
              <w:t xml:space="preserve">ie dotyczy </w:t>
            </w:r>
            <w:r w:rsidRPr="006304A3">
              <w:rPr>
                <w:rFonts w:cstheme="minorHAnsi"/>
                <w:bCs/>
                <w:color w:val="000000"/>
                <w:sz w:val="24"/>
                <w:szCs w:val="24"/>
              </w:rPr>
              <w:t xml:space="preserve">w sytuacji, </w:t>
            </w:r>
            <w:r w:rsidR="00D34084" w:rsidRPr="006304A3">
              <w:rPr>
                <w:rFonts w:cstheme="minorHAnsi"/>
                <w:bCs/>
                <w:color w:val="000000"/>
                <w:sz w:val="24"/>
                <w:szCs w:val="24"/>
              </w:rPr>
              <w:t>kiedy Przedsięwzięcie</w:t>
            </w:r>
            <w:r w:rsidRPr="006304A3">
              <w:rPr>
                <w:rFonts w:cstheme="minorHAnsi"/>
                <w:bCs/>
                <w:color w:val="000000"/>
                <w:sz w:val="24"/>
                <w:szCs w:val="24"/>
              </w:rPr>
              <w:t xml:space="preserve"> nie jest objęte pomocą publiczną</w:t>
            </w:r>
          </w:p>
        </w:tc>
      </w:tr>
      <w:tr w:rsidR="00867AC6" w:rsidRPr="00A640DA" w14:paraId="7319E223" w14:textId="77777777" w:rsidTr="00800A89">
        <w:trPr>
          <w:trHeight w:val="983"/>
        </w:trPr>
        <w:tc>
          <w:tcPr>
            <w:tcW w:w="782" w:type="dxa"/>
            <w:tcBorders>
              <w:bottom w:val="single" w:sz="4" w:space="0" w:color="auto"/>
            </w:tcBorders>
            <w:shd w:val="clear" w:color="auto" w:fill="FFFFFF" w:themeFill="background1"/>
            <w:vAlign w:val="center"/>
          </w:tcPr>
          <w:p w14:paraId="34F31D34" w14:textId="2D28A8DB" w:rsidR="00867AC6" w:rsidRPr="006304A3" w:rsidRDefault="002C4C0F" w:rsidP="00867AC6">
            <w:pPr>
              <w:jc w:val="center"/>
              <w:rPr>
                <w:rFonts w:cstheme="minorHAnsi"/>
                <w:b/>
                <w:bCs/>
                <w:color w:val="000000"/>
                <w:sz w:val="24"/>
                <w:szCs w:val="24"/>
              </w:rPr>
            </w:pPr>
            <w:r w:rsidRPr="006304A3">
              <w:rPr>
                <w:rFonts w:cstheme="minorHAnsi"/>
                <w:b/>
                <w:bCs/>
                <w:color w:val="000000"/>
                <w:sz w:val="24"/>
                <w:szCs w:val="24"/>
              </w:rPr>
              <w:lastRenderedPageBreak/>
              <w:t>9</w:t>
            </w:r>
          </w:p>
        </w:tc>
        <w:tc>
          <w:tcPr>
            <w:tcW w:w="2540" w:type="dxa"/>
            <w:tcBorders>
              <w:bottom w:val="single" w:sz="4" w:space="0" w:color="auto"/>
            </w:tcBorders>
            <w:shd w:val="clear" w:color="auto" w:fill="FFFFFF" w:themeFill="background1"/>
          </w:tcPr>
          <w:p w14:paraId="6DB4282F" w14:textId="77777777" w:rsidR="00867AC6" w:rsidRPr="006304A3" w:rsidRDefault="00867AC6" w:rsidP="00867AC6">
            <w:pPr>
              <w:rPr>
                <w:rFonts w:cstheme="minorHAnsi"/>
                <w:b/>
                <w:bCs/>
                <w:sz w:val="24"/>
                <w:szCs w:val="24"/>
              </w:rPr>
            </w:pPr>
            <w:r w:rsidRPr="006304A3">
              <w:rPr>
                <w:rFonts w:cstheme="minorHAnsi"/>
                <w:b/>
                <w:bCs/>
                <w:sz w:val="24"/>
                <w:szCs w:val="24"/>
              </w:rPr>
              <w:t>Przedsięwzięcie jest zgodne z zasadą</w:t>
            </w:r>
          </w:p>
          <w:p w14:paraId="33767A2D" w14:textId="77777777" w:rsidR="00867AC6" w:rsidRPr="006304A3" w:rsidRDefault="00867AC6" w:rsidP="00867AC6">
            <w:pPr>
              <w:rPr>
                <w:rFonts w:cstheme="minorHAnsi"/>
                <w:b/>
                <w:bCs/>
                <w:sz w:val="24"/>
                <w:szCs w:val="24"/>
              </w:rPr>
            </w:pPr>
            <w:r w:rsidRPr="006304A3">
              <w:rPr>
                <w:rFonts w:cstheme="minorHAnsi"/>
                <w:b/>
                <w:bCs/>
                <w:sz w:val="24"/>
                <w:szCs w:val="24"/>
              </w:rPr>
              <w:t>długotrwałego wpływu</w:t>
            </w:r>
          </w:p>
          <w:p w14:paraId="6339E7CA" w14:textId="77777777" w:rsidR="00867AC6" w:rsidRPr="006304A3" w:rsidRDefault="00867AC6" w:rsidP="00867AC6">
            <w:pPr>
              <w:rPr>
                <w:rFonts w:cstheme="minorHAnsi"/>
                <w:b/>
                <w:bCs/>
                <w:sz w:val="24"/>
                <w:szCs w:val="24"/>
              </w:rPr>
            </w:pPr>
            <w:r w:rsidRPr="006304A3">
              <w:rPr>
                <w:rFonts w:cstheme="minorHAnsi"/>
                <w:b/>
                <w:bCs/>
                <w:sz w:val="24"/>
                <w:szCs w:val="24"/>
              </w:rPr>
              <w:t>Przedsięwzięcia na wydajność</w:t>
            </w:r>
          </w:p>
          <w:p w14:paraId="6135A00F" w14:textId="61CE44DA" w:rsidR="00867AC6" w:rsidRPr="00133C64" w:rsidRDefault="00867AC6" w:rsidP="00133C64">
            <w:pPr>
              <w:rPr>
                <w:rFonts w:cstheme="minorHAnsi"/>
                <w:b/>
                <w:bCs/>
                <w:sz w:val="24"/>
                <w:szCs w:val="24"/>
              </w:rPr>
            </w:pPr>
            <w:r w:rsidRPr="006304A3">
              <w:rPr>
                <w:rFonts w:cstheme="minorHAnsi"/>
                <w:b/>
                <w:bCs/>
                <w:sz w:val="24"/>
                <w:szCs w:val="24"/>
              </w:rPr>
              <w:t>i odporność gospodarki polskiej</w:t>
            </w:r>
          </w:p>
        </w:tc>
        <w:tc>
          <w:tcPr>
            <w:tcW w:w="9027" w:type="dxa"/>
            <w:tcBorders>
              <w:bottom w:val="single" w:sz="4" w:space="0" w:color="auto"/>
            </w:tcBorders>
            <w:shd w:val="clear" w:color="auto" w:fill="FFFFFF" w:themeFill="background1"/>
          </w:tcPr>
          <w:p w14:paraId="4A060DC4" w14:textId="73562205" w:rsidR="00867AC6" w:rsidRPr="006304A3" w:rsidRDefault="00867AC6" w:rsidP="007A15BA">
            <w:pPr>
              <w:spacing w:after="360"/>
              <w:rPr>
                <w:rFonts w:cstheme="minorHAnsi"/>
                <w:color w:val="000000"/>
                <w:sz w:val="24"/>
                <w:szCs w:val="24"/>
              </w:rPr>
            </w:pPr>
            <w:r w:rsidRPr="006304A3">
              <w:rPr>
                <w:rFonts w:cstheme="minorHAnsi"/>
                <w:color w:val="000000"/>
                <w:sz w:val="24"/>
                <w:szCs w:val="24"/>
              </w:rPr>
              <w:t xml:space="preserve">Weryfikowane jest czy realizacja Przedsięwzięcia zapewnia efekty długoterminowe, tzn. przekraczające ramy czasowe obowiązywania RRF i nie ma charakteru powtarzających się krajowych wydatków budżetowych </w:t>
            </w:r>
          </w:p>
          <w:p w14:paraId="092E4AE9" w14:textId="7C93E804" w:rsidR="00867AC6" w:rsidRPr="006304A3" w:rsidRDefault="00867AC6" w:rsidP="00867AC6">
            <w:pPr>
              <w:rPr>
                <w:rFonts w:cstheme="minorHAnsi"/>
                <w:color w:val="000000"/>
                <w:sz w:val="24"/>
                <w:szCs w:val="24"/>
              </w:rPr>
            </w:pPr>
            <w:r w:rsidRPr="006304A3">
              <w:rPr>
                <w:rFonts w:cstheme="minorHAnsi"/>
                <w:color w:val="000000"/>
                <w:sz w:val="24"/>
                <w:szCs w:val="24"/>
              </w:rPr>
              <w:t xml:space="preserve">Ostateczny odbiorca wsparcia i </w:t>
            </w:r>
            <w:r w:rsidR="00181382" w:rsidRPr="006304A3">
              <w:rPr>
                <w:rFonts w:cstheme="minorHAnsi"/>
                <w:color w:val="000000"/>
                <w:sz w:val="24"/>
                <w:szCs w:val="24"/>
              </w:rPr>
              <w:t>P</w:t>
            </w:r>
            <w:r w:rsidRPr="006304A3">
              <w:rPr>
                <w:rFonts w:cstheme="minorHAnsi"/>
                <w:color w:val="000000"/>
                <w:sz w:val="24"/>
                <w:szCs w:val="24"/>
              </w:rPr>
              <w:t>artner/</w:t>
            </w:r>
            <w:r w:rsidR="00181382" w:rsidRPr="006304A3">
              <w:rPr>
                <w:rFonts w:cstheme="minorHAnsi"/>
                <w:color w:val="000000"/>
                <w:sz w:val="24"/>
                <w:szCs w:val="24"/>
              </w:rPr>
              <w:t>P</w:t>
            </w:r>
            <w:r w:rsidRPr="006304A3">
              <w:rPr>
                <w:rFonts w:cstheme="minorHAnsi"/>
                <w:color w:val="000000"/>
                <w:sz w:val="24"/>
                <w:szCs w:val="24"/>
              </w:rPr>
              <w:t>artnerzy (jeśli dotyczy) złożyli oświadczenie, w którym zobowiązują się, że w okresie 3 lat od daty zatwierdzenia wniosku o płatność końcową:</w:t>
            </w:r>
          </w:p>
          <w:p w14:paraId="2544B181" w14:textId="355D6B22" w:rsidR="00867AC6" w:rsidRPr="006304A3" w:rsidRDefault="00867AC6" w:rsidP="002465C3">
            <w:pPr>
              <w:pStyle w:val="Akapitzlist"/>
              <w:numPr>
                <w:ilvl w:val="0"/>
                <w:numId w:val="18"/>
              </w:numPr>
              <w:rPr>
                <w:rFonts w:cstheme="minorHAnsi"/>
                <w:color w:val="000000"/>
                <w:sz w:val="24"/>
                <w:szCs w:val="24"/>
              </w:rPr>
            </w:pPr>
            <w:r w:rsidRPr="006304A3">
              <w:rPr>
                <w:rFonts w:cstheme="minorHAnsi"/>
                <w:color w:val="000000"/>
                <w:sz w:val="24"/>
                <w:szCs w:val="24"/>
              </w:rPr>
              <w:t>nie dojdzie do zmiany własności elementu infrastruktury</w:t>
            </w:r>
            <w:r w:rsidR="007A15BA">
              <w:rPr>
                <w:rFonts w:cstheme="minorHAnsi"/>
                <w:color w:val="000000"/>
                <w:sz w:val="24"/>
                <w:szCs w:val="24"/>
              </w:rPr>
              <w:t>;</w:t>
            </w:r>
          </w:p>
          <w:p w14:paraId="42461CB9" w14:textId="4B7BB1E4" w:rsidR="00867AC6" w:rsidRPr="006304A3" w:rsidRDefault="00867AC6" w:rsidP="00867AC6">
            <w:pPr>
              <w:pStyle w:val="Akapitzlist"/>
              <w:numPr>
                <w:ilvl w:val="0"/>
                <w:numId w:val="18"/>
              </w:numPr>
              <w:rPr>
                <w:rFonts w:cstheme="minorHAnsi"/>
                <w:color w:val="000000"/>
                <w:sz w:val="24"/>
                <w:szCs w:val="24"/>
              </w:rPr>
            </w:pPr>
            <w:r w:rsidRPr="006304A3">
              <w:rPr>
                <w:rFonts w:cstheme="minorHAnsi"/>
                <w:color w:val="000000"/>
                <w:sz w:val="24"/>
                <w:szCs w:val="24"/>
              </w:rPr>
              <w:t xml:space="preserve">nie dojdzie do istotnej zmiany wpływającej na charakter </w:t>
            </w:r>
            <w:r w:rsidR="00181382" w:rsidRPr="006304A3">
              <w:rPr>
                <w:rFonts w:cstheme="minorHAnsi"/>
                <w:color w:val="000000"/>
                <w:sz w:val="24"/>
                <w:szCs w:val="24"/>
              </w:rPr>
              <w:t>P</w:t>
            </w:r>
            <w:r w:rsidRPr="006304A3">
              <w:rPr>
                <w:rFonts w:cstheme="minorHAnsi"/>
                <w:color w:val="000000"/>
                <w:sz w:val="24"/>
                <w:szCs w:val="24"/>
              </w:rPr>
              <w:t>rzedsięwzięcia, jej cele lub warunki wdrażania, która mogłaby doprowadzić do naruszenia jej pierwotnych celów</w:t>
            </w:r>
            <w:r w:rsidR="007A15BA">
              <w:rPr>
                <w:rFonts w:cstheme="minorHAnsi"/>
                <w:color w:val="000000"/>
                <w:sz w:val="24"/>
                <w:szCs w:val="24"/>
              </w:rPr>
              <w:t>;</w:t>
            </w:r>
          </w:p>
          <w:p w14:paraId="79BAE413" w14:textId="6C2173EC" w:rsidR="00867AC6" w:rsidRPr="006304A3" w:rsidRDefault="00867AC6" w:rsidP="00867AC6">
            <w:pPr>
              <w:pStyle w:val="Akapitzlist"/>
              <w:numPr>
                <w:ilvl w:val="0"/>
                <w:numId w:val="18"/>
              </w:numPr>
              <w:rPr>
                <w:rFonts w:cstheme="minorHAnsi"/>
                <w:color w:val="000000"/>
                <w:sz w:val="24"/>
                <w:szCs w:val="24"/>
              </w:rPr>
            </w:pPr>
            <w:r w:rsidRPr="006304A3">
              <w:rPr>
                <w:rFonts w:cstheme="minorHAnsi"/>
                <w:color w:val="000000"/>
                <w:sz w:val="24"/>
                <w:szCs w:val="24"/>
              </w:rPr>
              <w:t xml:space="preserve">zapewnią środki finansowe na utrzymanie efektów </w:t>
            </w:r>
            <w:r w:rsidR="00133C64">
              <w:rPr>
                <w:rFonts w:cstheme="minorHAnsi"/>
                <w:color w:val="000000"/>
                <w:sz w:val="24"/>
                <w:szCs w:val="24"/>
              </w:rPr>
              <w:t>P</w:t>
            </w:r>
            <w:r w:rsidRPr="006304A3">
              <w:rPr>
                <w:rFonts w:cstheme="minorHAnsi"/>
                <w:color w:val="000000"/>
                <w:sz w:val="24"/>
                <w:szCs w:val="24"/>
              </w:rPr>
              <w:t>rzedsięwzięcia.</w:t>
            </w:r>
          </w:p>
        </w:tc>
        <w:tc>
          <w:tcPr>
            <w:tcW w:w="1247" w:type="dxa"/>
            <w:tcBorders>
              <w:bottom w:val="single" w:sz="4" w:space="0" w:color="auto"/>
            </w:tcBorders>
            <w:shd w:val="clear" w:color="auto" w:fill="FFFFFF" w:themeFill="background1"/>
            <w:vAlign w:val="center"/>
          </w:tcPr>
          <w:p w14:paraId="11CCA670" w14:textId="076DC4D4" w:rsidR="00867AC6" w:rsidRPr="006304A3" w:rsidRDefault="00867AC6" w:rsidP="00867AC6">
            <w:pPr>
              <w:jc w:val="center"/>
              <w:rPr>
                <w:rFonts w:cstheme="minorHAnsi"/>
                <w:color w:val="000000"/>
                <w:sz w:val="24"/>
                <w:szCs w:val="24"/>
              </w:rPr>
            </w:pPr>
            <w:r w:rsidRPr="006304A3">
              <w:rPr>
                <w:rFonts w:cstheme="minorHAnsi"/>
                <w:color w:val="000000"/>
                <w:sz w:val="24"/>
                <w:szCs w:val="24"/>
              </w:rPr>
              <w:t>0/1</w:t>
            </w:r>
          </w:p>
        </w:tc>
      </w:tr>
      <w:tr w:rsidR="00867AC6" w:rsidRPr="00A640DA" w14:paraId="473A95C7" w14:textId="77777777" w:rsidTr="00800A89">
        <w:trPr>
          <w:trHeight w:val="983"/>
        </w:trPr>
        <w:tc>
          <w:tcPr>
            <w:tcW w:w="782" w:type="dxa"/>
            <w:tcBorders>
              <w:bottom w:val="single" w:sz="4" w:space="0" w:color="auto"/>
            </w:tcBorders>
            <w:shd w:val="clear" w:color="auto" w:fill="FFFFFF" w:themeFill="background1"/>
            <w:vAlign w:val="center"/>
          </w:tcPr>
          <w:p w14:paraId="4305558C" w14:textId="2603DE89" w:rsidR="00867AC6" w:rsidRPr="006304A3" w:rsidRDefault="00867AC6" w:rsidP="00867AC6">
            <w:pPr>
              <w:jc w:val="center"/>
              <w:rPr>
                <w:rFonts w:cstheme="minorHAnsi"/>
                <w:b/>
                <w:bCs/>
                <w:color w:val="000000"/>
                <w:sz w:val="24"/>
                <w:szCs w:val="24"/>
              </w:rPr>
            </w:pPr>
            <w:r w:rsidRPr="006304A3">
              <w:rPr>
                <w:rFonts w:cstheme="minorHAnsi"/>
                <w:b/>
                <w:bCs/>
                <w:color w:val="000000"/>
                <w:sz w:val="24"/>
                <w:szCs w:val="24"/>
              </w:rPr>
              <w:t>1</w:t>
            </w:r>
            <w:r w:rsidR="002C4C0F" w:rsidRPr="006304A3">
              <w:rPr>
                <w:rFonts w:cstheme="minorHAnsi"/>
                <w:b/>
                <w:bCs/>
                <w:color w:val="000000"/>
                <w:sz w:val="24"/>
                <w:szCs w:val="24"/>
              </w:rPr>
              <w:t>0</w:t>
            </w:r>
          </w:p>
        </w:tc>
        <w:tc>
          <w:tcPr>
            <w:tcW w:w="2540" w:type="dxa"/>
            <w:tcBorders>
              <w:bottom w:val="single" w:sz="4" w:space="0" w:color="auto"/>
            </w:tcBorders>
            <w:shd w:val="clear" w:color="auto" w:fill="FFFFFF" w:themeFill="background1"/>
          </w:tcPr>
          <w:p w14:paraId="5EF234B5" w14:textId="77777777" w:rsidR="00521218" w:rsidRPr="006304A3" w:rsidRDefault="00867AC6" w:rsidP="00867AC6">
            <w:pPr>
              <w:rPr>
                <w:rFonts w:cstheme="minorHAnsi"/>
                <w:b/>
                <w:bCs/>
                <w:sz w:val="24"/>
                <w:szCs w:val="24"/>
              </w:rPr>
            </w:pPr>
            <w:r w:rsidRPr="006304A3">
              <w:rPr>
                <w:rFonts w:cstheme="minorHAnsi"/>
                <w:b/>
                <w:bCs/>
                <w:sz w:val="24"/>
                <w:szCs w:val="24"/>
              </w:rPr>
              <w:t xml:space="preserve">Przedsięwzięcie wpływa na Wskaźniki Inwestycji C2.1.1 </w:t>
            </w:r>
          </w:p>
          <w:p w14:paraId="12C02447" w14:textId="735B5D8F" w:rsidR="00521218" w:rsidRPr="006304A3" w:rsidRDefault="00521218" w:rsidP="00867AC6">
            <w:pPr>
              <w:rPr>
                <w:rFonts w:cstheme="minorHAnsi"/>
                <w:b/>
                <w:bCs/>
                <w:sz w:val="24"/>
                <w:szCs w:val="24"/>
              </w:rPr>
            </w:pPr>
            <w:r w:rsidRPr="006304A3">
              <w:rPr>
                <w:rFonts w:cstheme="minorHAnsi"/>
                <w:b/>
                <w:bCs/>
                <w:sz w:val="24"/>
                <w:szCs w:val="24"/>
              </w:rPr>
              <w:t>określone w Załączniku do decyzji wykonawczej Rady zmieniającej decyzję wykonawczą z dnia 17 czerwca 2022 r. w sprawie zatwierdzenia oceny Planu Odbudowy i Zwiększania Odporności Polski</w:t>
            </w:r>
          </w:p>
          <w:p w14:paraId="73A6FF0B" w14:textId="29821148" w:rsidR="00867AC6" w:rsidRPr="006304A3" w:rsidRDefault="00867AC6" w:rsidP="00867AC6">
            <w:pPr>
              <w:rPr>
                <w:rFonts w:cstheme="minorHAnsi"/>
                <w:b/>
                <w:bCs/>
                <w:sz w:val="24"/>
                <w:szCs w:val="24"/>
              </w:rPr>
            </w:pPr>
            <w:r w:rsidRPr="006304A3">
              <w:rPr>
                <w:rFonts w:cstheme="minorHAnsi"/>
                <w:b/>
                <w:bCs/>
                <w:sz w:val="24"/>
                <w:szCs w:val="24"/>
              </w:rPr>
              <w:t>i Wskaźnik wspólny</w:t>
            </w:r>
          </w:p>
        </w:tc>
        <w:tc>
          <w:tcPr>
            <w:tcW w:w="9027" w:type="dxa"/>
            <w:tcBorders>
              <w:bottom w:val="single" w:sz="4" w:space="0" w:color="auto"/>
            </w:tcBorders>
            <w:shd w:val="clear" w:color="auto" w:fill="FFFFFF" w:themeFill="background1"/>
          </w:tcPr>
          <w:p w14:paraId="1EBB7713" w14:textId="77777777" w:rsidR="00133C64" w:rsidRDefault="00C139B1" w:rsidP="00133C64">
            <w:pPr>
              <w:spacing w:after="360"/>
              <w:rPr>
                <w:rFonts w:cstheme="minorHAnsi"/>
                <w:color w:val="000000"/>
                <w:sz w:val="24"/>
                <w:szCs w:val="24"/>
              </w:rPr>
            </w:pPr>
            <w:r w:rsidRPr="006304A3">
              <w:rPr>
                <w:rFonts w:cstheme="minorHAnsi"/>
                <w:color w:val="000000"/>
                <w:sz w:val="24"/>
                <w:szCs w:val="24"/>
              </w:rPr>
              <w:t xml:space="preserve">Analizowane jest czy </w:t>
            </w:r>
            <w:r w:rsidR="00867AC6" w:rsidRPr="006304A3">
              <w:rPr>
                <w:rFonts w:cstheme="minorHAnsi"/>
                <w:color w:val="000000"/>
                <w:sz w:val="24"/>
                <w:szCs w:val="24"/>
              </w:rPr>
              <w:t xml:space="preserve">Przedsięwzięcie ma pozytywny i bezpośredni wpływ na Wskaźniki określone w </w:t>
            </w:r>
            <w:r w:rsidR="00521218" w:rsidRPr="006304A3">
              <w:rPr>
                <w:rFonts w:cstheme="minorHAnsi"/>
                <w:color w:val="000000"/>
                <w:sz w:val="24"/>
                <w:szCs w:val="24"/>
              </w:rPr>
              <w:t>Załączniku do decyzji wykonawczej Rady zmieniającej decyzję wykonawczą z dnia 17 czerwca 2022 r. w sprawie zatwierdzenia oceny Planu Odbudowy i Zwiększania Odporności Polski</w:t>
            </w:r>
            <w:r w:rsidR="00867AC6" w:rsidRPr="006304A3">
              <w:rPr>
                <w:rFonts w:cstheme="minorHAnsi"/>
                <w:color w:val="000000"/>
                <w:sz w:val="24"/>
                <w:szCs w:val="24"/>
              </w:rPr>
              <w:t>, jak również Wskaźnik wspólny, a metodyka ich wyliczania jest wiarygodna.</w:t>
            </w:r>
          </w:p>
          <w:p w14:paraId="14E922F4" w14:textId="3564E4BC" w:rsidR="00325D1D" w:rsidRPr="006304A3" w:rsidRDefault="00867AC6" w:rsidP="00133C64">
            <w:pPr>
              <w:spacing w:after="360"/>
              <w:rPr>
                <w:rFonts w:cstheme="minorHAnsi"/>
                <w:color w:val="000000"/>
                <w:sz w:val="24"/>
                <w:szCs w:val="24"/>
              </w:rPr>
            </w:pPr>
            <w:r w:rsidRPr="006304A3">
              <w:rPr>
                <w:rFonts w:cstheme="minorHAnsi"/>
                <w:color w:val="000000"/>
                <w:sz w:val="24"/>
                <w:szCs w:val="24"/>
              </w:rPr>
              <w:t>Realizacja Przedsięwzięcia przyczynia się do osiągnięcia Wskaźników dla Inwestycji C2.1.1 (co najmniej jednego wskaźnika zgodnego z zakresem merytorycznym Przedsięwzięcia)</w:t>
            </w:r>
            <w:r w:rsidR="00521218" w:rsidRPr="006304A3">
              <w:rPr>
                <w:rFonts w:cstheme="minorHAnsi"/>
                <w:color w:val="000000"/>
                <w:sz w:val="24"/>
                <w:szCs w:val="24"/>
              </w:rPr>
              <w:t xml:space="preserve"> określonych w Załączniku do decyzji wykonawczej Rady zmieniającej decyzję wykonawczą z dnia 17 czerwca 2022 r. w sprawie zatwierdzenia oceny Planu Odbudowy i Zwiększania Odporności Polski </w:t>
            </w:r>
            <w:r w:rsidR="00D34084" w:rsidRPr="006304A3">
              <w:rPr>
                <w:rFonts w:cstheme="minorHAnsi"/>
                <w:color w:val="000000"/>
                <w:sz w:val="24"/>
                <w:szCs w:val="24"/>
              </w:rPr>
              <w:t>i realizuje</w:t>
            </w:r>
            <w:r w:rsidRPr="006304A3">
              <w:rPr>
                <w:rFonts w:cstheme="minorHAnsi"/>
                <w:color w:val="000000"/>
                <w:sz w:val="24"/>
                <w:szCs w:val="24"/>
              </w:rPr>
              <w:t xml:space="preserve"> Wskaźnik wspólny</w:t>
            </w:r>
            <w:r w:rsidR="00603141" w:rsidRPr="006304A3">
              <w:rPr>
                <w:rFonts w:cstheme="minorHAnsi"/>
                <w:color w:val="000000"/>
                <w:sz w:val="24"/>
                <w:szCs w:val="24"/>
              </w:rPr>
              <w:t xml:space="preserve"> (</w:t>
            </w:r>
            <w:r w:rsidR="006811A2" w:rsidRPr="006304A3">
              <w:rPr>
                <w:rFonts w:cstheme="minorHAnsi"/>
                <w:color w:val="000000"/>
                <w:sz w:val="24"/>
                <w:szCs w:val="24"/>
              </w:rPr>
              <w:t>jeśli dotyczy</w:t>
            </w:r>
            <w:r w:rsidR="00603141" w:rsidRPr="006304A3">
              <w:rPr>
                <w:rFonts w:cstheme="minorHAnsi"/>
                <w:color w:val="000000"/>
                <w:sz w:val="24"/>
                <w:szCs w:val="24"/>
              </w:rPr>
              <w:t>)</w:t>
            </w:r>
            <w:r w:rsidRPr="006304A3">
              <w:rPr>
                <w:rFonts w:cstheme="minorHAnsi"/>
                <w:color w:val="000000"/>
                <w:sz w:val="24"/>
                <w:szCs w:val="24"/>
              </w:rPr>
              <w:t>.</w:t>
            </w:r>
          </w:p>
          <w:p w14:paraId="44A0A662" w14:textId="77777777" w:rsidR="00867AC6" w:rsidRPr="006304A3" w:rsidRDefault="00867AC6" w:rsidP="00867AC6">
            <w:pPr>
              <w:rPr>
                <w:rFonts w:cstheme="minorHAnsi"/>
                <w:color w:val="000000"/>
                <w:sz w:val="24"/>
                <w:szCs w:val="24"/>
              </w:rPr>
            </w:pPr>
            <w:r w:rsidRPr="006304A3">
              <w:rPr>
                <w:rFonts w:cstheme="minorHAnsi"/>
                <w:color w:val="000000"/>
                <w:sz w:val="24"/>
                <w:szCs w:val="24"/>
              </w:rPr>
              <w:t>Wskaźniki, które należy wykazać dla każdego Przedsięwzięcia:</w:t>
            </w:r>
          </w:p>
          <w:p w14:paraId="621BCFF2" w14:textId="70E88CA2" w:rsidR="00867AC6" w:rsidRPr="006304A3" w:rsidRDefault="00867AC6" w:rsidP="00867AC6">
            <w:pPr>
              <w:rPr>
                <w:rFonts w:cstheme="minorHAnsi"/>
                <w:color w:val="000000"/>
                <w:sz w:val="24"/>
                <w:szCs w:val="24"/>
              </w:rPr>
            </w:pPr>
            <w:r w:rsidRPr="006304A3">
              <w:rPr>
                <w:rFonts w:cstheme="minorHAnsi"/>
                <w:color w:val="000000"/>
                <w:sz w:val="24"/>
                <w:szCs w:val="24"/>
              </w:rPr>
              <w:t>należy wskazać co najmniej jeden z poniższych Wskaźników Inwestycji C2.1.1:</w:t>
            </w:r>
          </w:p>
          <w:p w14:paraId="113A80D5" w14:textId="731055F1" w:rsidR="00867AC6" w:rsidRPr="006304A3" w:rsidRDefault="00D34084" w:rsidP="00867AC6">
            <w:pPr>
              <w:pStyle w:val="Akapitzlist"/>
              <w:numPr>
                <w:ilvl w:val="0"/>
                <w:numId w:val="14"/>
              </w:numPr>
              <w:rPr>
                <w:rFonts w:cstheme="minorHAnsi"/>
                <w:color w:val="000000"/>
                <w:sz w:val="24"/>
                <w:szCs w:val="24"/>
              </w:rPr>
            </w:pPr>
            <w:r w:rsidRPr="006304A3">
              <w:rPr>
                <w:rFonts w:cstheme="minorHAnsi"/>
                <w:color w:val="000000"/>
                <w:sz w:val="24"/>
                <w:szCs w:val="24"/>
              </w:rPr>
              <w:t>zakończenie procesu</w:t>
            </w:r>
            <w:r w:rsidR="00867AC6" w:rsidRPr="006304A3">
              <w:rPr>
                <w:rFonts w:cstheme="minorHAnsi"/>
                <w:color w:val="000000"/>
                <w:sz w:val="24"/>
                <w:szCs w:val="24"/>
              </w:rPr>
              <w:t xml:space="preserve"> opracowywania nowych lub udoskonalania istniejących e-usług</w:t>
            </w:r>
            <w:r w:rsidR="00A574FE">
              <w:rPr>
                <w:rFonts w:cstheme="minorHAnsi"/>
                <w:color w:val="000000"/>
                <w:sz w:val="24"/>
                <w:szCs w:val="24"/>
              </w:rPr>
              <w:t xml:space="preserve"> (e</w:t>
            </w:r>
            <w:r w:rsidR="00867AC6" w:rsidRPr="006304A3">
              <w:rPr>
                <w:rFonts w:cstheme="minorHAnsi"/>
                <w:color w:val="000000"/>
                <w:sz w:val="24"/>
                <w:szCs w:val="24"/>
              </w:rPr>
              <w:t>-usługa publiczna musi być na 4 poziomie dojrzałości</w:t>
            </w:r>
            <w:r w:rsidR="00A574FE">
              <w:t xml:space="preserve"> </w:t>
            </w:r>
            <w:r w:rsidR="00A574FE" w:rsidRPr="00A574FE">
              <w:rPr>
                <w:rFonts w:cstheme="minorHAnsi"/>
                <w:color w:val="000000"/>
                <w:sz w:val="24"/>
                <w:szCs w:val="24"/>
              </w:rPr>
              <w:t>poza usługami udostępnianymi w aplikacji mobilnej mObywatel</w:t>
            </w:r>
            <w:r w:rsidR="00A574FE">
              <w:rPr>
                <w:rFonts w:cstheme="minorHAnsi"/>
                <w:color w:val="000000"/>
                <w:sz w:val="24"/>
                <w:szCs w:val="24"/>
              </w:rPr>
              <w:t>)</w:t>
            </w:r>
            <w:r w:rsidR="00133C64">
              <w:rPr>
                <w:rFonts w:cstheme="minorHAnsi"/>
                <w:color w:val="000000"/>
                <w:sz w:val="24"/>
                <w:szCs w:val="24"/>
              </w:rPr>
              <w:t>;</w:t>
            </w:r>
          </w:p>
          <w:p w14:paraId="6E5E6EFF" w14:textId="29EB9568" w:rsidR="006E6DF0" w:rsidRPr="00CF7991" w:rsidRDefault="00867AC6" w:rsidP="00CF7991">
            <w:pPr>
              <w:pStyle w:val="Akapitzlist"/>
              <w:numPr>
                <w:ilvl w:val="0"/>
                <w:numId w:val="14"/>
              </w:numPr>
              <w:spacing w:after="360"/>
              <w:ind w:left="714" w:hanging="357"/>
              <w:rPr>
                <w:rFonts w:cstheme="minorHAnsi"/>
                <w:color w:val="000000"/>
                <w:sz w:val="24"/>
                <w:szCs w:val="24"/>
              </w:rPr>
            </w:pPr>
            <w:r w:rsidRPr="006304A3">
              <w:rPr>
                <w:rFonts w:cstheme="minorHAnsi"/>
                <w:color w:val="000000"/>
                <w:sz w:val="24"/>
                <w:szCs w:val="24"/>
              </w:rPr>
              <w:lastRenderedPageBreak/>
              <w:t>zakończenie procesu opracowywania nowych lub rozwijania istniejących publicznych systemów informatycznych.</w:t>
            </w:r>
          </w:p>
          <w:p w14:paraId="08F6A0D4" w14:textId="15857214" w:rsidR="00867AC6" w:rsidRPr="006304A3" w:rsidRDefault="00867AC6" w:rsidP="00133C64">
            <w:pPr>
              <w:spacing w:after="360"/>
              <w:rPr>
                <w:rFonts w:cstheme="minorHAnsi"/>
                <w:color w:val="000000"/>
                <w:sz w:val="24"/>
                <w:szCs w:val="24"/>
              </w:rPr>
            </w:pPr>
            <w:r w:rsidRPr="006304A3">
              <w:rPr>
                <w:rFonts w:cstheme="minorHAnsi"/>
                <w:color w:val="000000"/>
                <w:sz w:val="24"/>
                <w:szCs w:val="24"/>
              </w:rPr>
              <w:t>Wskaźnik wspólny</w:t>
            </w:r>
            <w:r w:rsidR="00603141" w:rsidRPr="006304A3">
              <w:rPr>
                <w:rFonts w:cstheme="minorHAnsi"/>
                <w:color w:val="000000"/>
                <w:sz w:val="24"/>
                <w:szCs w:val="24"/>
              </w:rPr>
              <w:t xml:space="preserve"> (</w:t>
            </w:r>
            <w:r w:rsidR="00FC6F8B" w:rsidRPr="006304A3">
              <w:rPr>
                <w:rFonts w:cstheme="minorHAnsi"/>
                <w:color w:val="000000"/>
                <w:sz w:val="24"/>
                <w:szCs w:val="24"/>
              </w:rPr>
              <w:t>jeśli dotyczy</w:t>
            </w:r>
            <w:r w:rsidR="00603141" w:rsidRPr="006304A3">
              <w:rPr>
                <w:rFonts w:cstheme="minorHAnsi"/>
                <w:color w:val="000000"/>
                <w:sz w:val="24"/>
                <w:szCs w:val="24"/>
              </w:rPr>
              <w:t>)</w:t>
            </w:r>
            <w:r w:rsidRPr="006304A3">
              <w:rPr>
                <w:rFonts w:cstheme="minorHAnsi"/>
                <w:color w:val="000000"/>
                <w:sz w:val="24"/>
                <w:szCs w:val="24"/>
              </w:rPr>
              <w:t>:</w:t>
            </w:r>
          </w:p>
          <w:p w14:paraId="27D7D86D" w14:textId="4006CDB5" w:rsidR="005E0951" w:rsidRDefault="007A3DD2" w:rsidP="00CF7991">
            <w:pPr>
              <w:pStyle w:val="Akapitzlist"/>
              <w:numPr>
                <w:ilvl w:val="0"/>
                <w:numId w:val="4"/>
              </w:numPr>
              <w:rPr>
                <w:rFonts w:cstheme="minorHAnsi"/>
                <w:color w:val="000000"/>
                <w:sz w:val="24"/>
                <w:szCs w:val="24"/>
              </w:rPr>
            </w:pPr>
            <w:r w:rsidRPr="006304A3">
              <w:rPr>
                <w:rFonts w:cstheme="minorHAnsi"/>
                <w:color w:val="000000"/>
                <w:sz w:val="24"/>
                <w:szCs w:val="24"/>
              </w:rPr>
              <w:t>użytkowni</w:t>
            </w:r>
            <w:r>
              <w:rPr>
                <w:rFonts w:cstheme="minorHAnsi"/>
                <w:color w:val="000000"/>
                <w:sz w:val="24"/>
                <w:szCs w:val="24"/>
              </w:rPr>
              <w:t>cy</w:t>
            </w:r>
            <w:r w:rsidRPr="006304A3">
              <w:rPr>
                <w:rFonts w:cstheme="minorHAnsi"/>
                <w:color w:val="000000"/>
                <w:sz w:val="24"/>
                <w:szCs w:val="24"/>
              </w:rPr>
              <w:t xml:space="preserve"> </w:t>
            </w:r>
            <w:r w:rsidR="00867AC6" w:rsidRPr="006304A3">
              <w:rPr>
                <w:rFonts w:cstheme="minorHAnsi"/>
                <w:color w:val="000000"/>
                <w:sz w:val="24"/>
                <w:szCs w:val="24"/>
              </w:rPr>
              <w:t xml:space="preserve">nowych i zmodernizowanych </w:t>
            </w:r>
            <w:r w:rsidR="00A97C33" w:rsidRPr="00A97C33">
              <w:rPr>
                <w:rFonts w:cstheme="minorHAnsi"/>
                <w:color w:val="000000"/>
                <w:sz w:val="24"/>
                <w:szCs w:val="24"/>
              </w:rPr>
              <w:t>publicznych usług</w:t>
            </w:r>
            <w:r w:rsidR="00867AC6" w:rsidRPr="006304A3">
              <w:rPr>
                <w:rFonts w:cstheme="minorHAnsi"/>
                <w:b/>
                <w:color w:val="000000"/>
                <w:sz w:val="24"/>
                <w:szCs w:val="24"/>
              </w:rPr>
              <w:t>,</w:t>
            </w:r>
            <w:r w:rsidR="00867AC6" w:rsidRPr="006304A3">
              <w:rPr>
                <w:rFonts w:cstheme="minorHAnsi"/>
                <w:color w:val="000000"/>
                <w:sz w:val="24"/>
                <w:szCs w:val="24"/>
              </w:rPr>
              <w:t xml:space="preserve"> produktów i procesów cyfrowych</w:t>
            </w:r>
            <w:r w:rsidR="005E0951">
              <w:rPr>
                <w:rFonts w:cstheme="minorHAnsi"/>
                <w:color w:val="000000"/>
                <w:sz w:val="24"/>
                <w:szCs w:val="24"/>
              </w:rPr>
              <w:t>.</w:t>
            </w:r>
            <w:r w:rsidR="00867AC6" w:rsidRPr="006304A3">
              <w:rPr>
                <w:rFonts w:cstheme="minorHAnsi"/>
                <w:color w:val="000000"/>
                <w:sz w:val="24"/>
                <w:szCs w:val="24"/>
              </w:rPr>
              <w:t xml:space="preserve"> </w:t>
            </w:r>
          </w:p>
          <w:p w14:paraId="34CF398A" w14:textId="77777777" w:rsidR="005E0951" w:rsidRDefault="005E0951" w:rsidP="005E0951">
            <w:pPr>
              <w:pStyle w:val="Akapitzlist"/>
              <w:rPr>
                <w:rFonts w:cstheme="minorHAnsi"/>
                <w:color w:val="000000"/>
                <w:sz w:val="24"/>
                <w:szCs w:val="24"/>
              </w:rPr>
            </w:pPr>
          </w:p>
          <w:p w14:paraId="399E4BD9" w14:textId="0C946ABB" w:rsidR="00867AC6" w:rsidRPr="00CF7991" w:rsidRDefault="00867AC6" w:rsidP="005E0951">
            <w:pPr>
              <w:pStyle w:val="Akapitzlist"/>
              <w:rPr>
                <w:rFonts w:cstheme="minorHAnsi"/>
                <w:color w:val="000000"/>
                <w:sz w:val="24"/>
                <w:szCs w:val="24"/>
              </w:rPr>
            </w:pPr>
            <w:r w:rsidRPr="006304A3">
              <w:rPr>
                <w:rFonts w:cstheme="minorHAnsi"/>
                <w:color w:val="000000"/>
                <w:sz w:val="24"/>
                <w:szCs w:val="24"/>
              </w:rPr>
              <w:t>Należy wskazać liczbę dla okresu 12 miesięcy liczonego od początku miesiąca, następującego po miesiącu, w którym zakończono Przedsięwzięcie).</w:t>
            </w:r>
          </w:p>
        </w:tc>
        <w:tc>
          <w:tcPr>
            <w:tcW w:w="1247" w:type="dxa"/>
            <w:tcBorders>
              <w:bottom w:val="single" w:sz="4" w:space="0" w:color="auto"/>
            </w:tcBorders>
            <w:shd w:val="clear" w:color="auto" w:fill="FFFFFF" w:themeFill="background1"/>
            <w:vAlign w:val="center"/>
          </w:tcPr>
          <w:p w14:paraId="08D0A445" w14:textId="55101C3A" w:rsidR="00867AC6" w:rsidRPr="006304A3" w:rsidRDefault="00867AC6" w:rsidP="00867AC6">
            <w:pPr>
              <w:jc w:val="center"/>
              <w:rPr>
                <w:rFonts w:cstheme="minorHAnsi"/>
                <w:color w:val="000000"/>
                <w:sz w:val="24"/>
                <w:szCs w:val="24"/>
              </w:rPr>
            </w:pPr>
            <w:r w:rsidRPr="006304A3">
              <w:rPr>
                <w:rFonts w:cstheme="minorHAnsi"/>
                <w:color w:val="000000"/>
                <w:sz w:val="24"/>
                <w:szCs w:val="24"/>
              </w:rPr>
              <w:lastRenderedPageBreak/>
              <w:t>0/1</w:t>
            </w:r>
          </w:p>
        </w:tc>
      </w:tr>
      <w:tr w:rsidR="00867AC6" w:rsidRPr="00A640DA" w14:paraId="603BECF9" w14:textId="77777777" w:rsidTr="00800A89">
        <w:trPr>
          <w:trHeight w:val="983"/>
        </w:trPr>
        <w:tc>
          <w:tcPr>
            <w:tcW w:w="782" w:type="dxa"/>
            <w:tcBorders>
              <w:bottom w:val="single" w:sz="4" w:space="0" w:color="auto"/>
            </w:tcBorders>
            <w:shd w:val="clear" w:color="auto" w:fill="FFFFFF" w:themeFill="background1"/>
            <w:vAlign w:val="center"/>
          </w:tcPr>
          <w:p w14:paraId="6C3DA97C" w14:textId="163C9D19" w:rsidR="00867AC6" w:rsidRPr="006304A3" w:rsidRDefault="00867AC6" w:rsidP="00867AC6">
            <w:pPr>
              <w:jc w:val="center"/>
              <w:rPr>
                <w:rFonts w:cstheme="minorHAnsi"/>
                <w:b/>
                <w:bCs/>
                <w:color w:val="000000"/>
                <w:sz w:val="24"/>
                <w:szCs w:val="24"/>
              </w:rPr>
            </w:pPr>
            <w:r w:rsidRPr="006304A3">
              <w:rPr>
                <w:rFonts w:cstheme="minorHAnsi"/>
                <w:b/>
                <w:bCs/>
                <w:color w:val="000000"/>
                <w:sz w:val="24"/>
                <w:szCs w:val="24"/>
              </w:rPr>
              <w:t>1</w:t>
            </w:r>
            <w:r w:rsidR="002C4C0F" w:rsidRPr="006304A3">
              <w:rPr>
                <w:rFonts w:cstheme="minorHAnsi"/>
                <w:b/>
                <w:bCs/>
                <w:color w:val="000000"/>
                <w:sz w:val="24"/>
                <w:szCs w:val="24"/>
              </w:rPr>
              <w:t>1</w:t>
            </w:r>
          </w:p>
        </w:tc>
        <w:tc>
          <w:tcPr>
            <w:tcW w:w="2540" w:type="dxa"/>
            <w:tcBorders>
              <w:bottom w:val="single" w:sz="4" w:space="0" w:color="auto"/>
            </w:tcBorders>
            <w:shd w:val="clear" w:color="auto" w:fill="FFFFFF" w:themeFill="background1"/>
          </w:tcPr>
          <w:p w14:paraId="6CEAF739" w14:textId="77777777" w:rsidR="00867AC6" w:rsidRPr="006304A3" w:rsidRDefault="00867AC6" w:rsidP="00867AC6">
            <w:pPr>
              <w:rPr>
                <w:rFonts w:cstheme="minorHAnsi"/>
                <w:b/>
                <w:bCs/>
                <w:sz w:val="24"/>
                <w:szCs w:val="24"/>
              </w:rPr>
            </w:pPr>
            <w:bookmarkStart w:id="11" w:name="_Hlk161675128"/>
            <w:r w:rsidRPr="006304A3">
              <w:rPr>
                <w:rFonts w:cstheme="minorHAnsi"/>
                <w:b/>
                <w:bCs/>
                <w:sz w:val="24"/>
                <w:szCs w:val="24"/>
              </w:rPr>
              <w:t>Wskaźniki własne Przedsięwzięcia są adekwatne do celu i zakresu danego Przedsięwzięcia</w:t>
            </w:r>
          </w:p>
          <w:bookmarkEnd w:id="11"/>
          <w:p w14:paraId="4D982E6F" w14:textId="77777777" w:rsidR="00867AC6" w:rsidRPr="006304A3" w:rsidRDefault="00867AC6" w:rsidP="00867AC6">
            <w:pPr>
              <w:rPr>
                <w:rFonts w:cstheme="minorHAnsi"/>
                <w:b/>
                <w:bCs/>
                <w:sz w:val="24"/>
                <w:szCs w:val="24"/>
              </w:rPr>
            </w:pPr>
          </w:p>
          <w:p w14:paraId="149BFE13" w14:textId="16539546" w:rsidR="00867AC6" w:rsidRPr="006304A3" w:rsidRDefault="00867AC6" w:rsidP="00867AC6">
            <w:pPr>
              <w:rPr>
                <w:rFonts w:cstheme="minorHAnsi"/>
                <w:b/>
                <w:bCs/>
                <w:sz w:val="24"/>
                <w:szCs w:val="24"/>
              </w:rPr>
            </w:pPr>
            <w:r w:rsidRPr="006304A3">
              <w:rPr>
                <w:rFonts w:cstheme="minorHAnsi"/>
                <w:b/>
                <w:bCs/>
                <w:sz w:val="24"/>
                <w:szCs w:val="24"/>
              </w:rPr>
              <w:t>(Jeśli dotyczy)</w:t>
            </w:r>
          </w:p>
        </w:tc>
        <w:tc>
          <w:tcPr>
            <w:tcW w:w="9027" w:type="dxa"/>
            <w:tcBorders>
              <w:bottom w:val="single" w:sz="4" w:space="0" w:color="auto"/>
            </w:tcBorders>
            <w:shd w:val="clear" w:color="auto" w:fill="FFFFFF" w:themeFill="background1"/>
          </w:tcPr>
          <w:p w14:paraId="34BC61E1" w14:textId="1D0CD223" w:rsidR="00D6766B" w:rsidRPr="006304A3" w:rsidRDefault="007C39AC" w:rsidP="00CF7991">
            <w:pPr>
              <w:spacing w:after="360"/>
              <w:rPr>
                <w:rFonts w:cstheme="minorHAnsi"/>
                <w:color w:val="000000"/>
                <w:sz w:val="24"/>
                <w:szCs w:val="24"/>
              </w:rPr>
            </w:pPr>
            <w:r w:rsidRPr="006304A3">
              <w:rPr>
                <w:rFonts w:cstheme="minorHAnsi"/>
                <w:color w:val="000000"/>
                <w:sz w:val="24"/>
                <w:szCs w:val="24"/>
              </w:rPr>
              <w:t xml:space="preserve">Analizowane jest czy wskaźniki własne </w:t>
            </w:r>
            <w:r w:rsidR="00D248EF" w:rsidRPr="006304A3">
              <w:rPr>
                <w:rFonts w:cstheme="minorHAnsi"/>
                <w:color w:val="000000"/>
                <w:sz w:val="24"/>
                <w:szCs w:val="24"/>
              </w:rPr>
              <w:t>P</w:t>
            </w:r>
            <w:r w:rsidRPr="006304A3">
              <w:rPr>
                <w:rFonts w:cstheme="minorHAnsi"/>
                <w:color w:val="000000"/>
                <w:sz w:val="24"/>
                <w:szCs w:val="24"/>
              </w:rPr>
              <w:t xml:space="preserve">rzedsięwzięcia (inne niż wskaźniki dla </w:t>
            </w:r>
            <w:r w:rsidR="00D248EF" w:rsidRPr="006304A3">
              <w:rPr>
                <w:rFonts w:cstheme="minorHAnsi"/>
                <w:color w:val="000000"/>
                <w:sz w:val="24"/>
                <w:szCs w:val="24"/>
              </w:rPr>
              <w:t>I</w:t>
            </w:r>
            <w:r w:rsidRPr="006304A3">
              <w:rPr>
                <w:rFonts w:cstheme="minorHAnsi"/>
                <w:color w:val="000000"/>
                <w:sz w:val="24"/>
                <w:szCs w:val="24"/>
              </w:rPr>
              <w:t xml:space="preserve">nwestycji w </w:t>
            </w:r>
            <w:r w:rsidR="008820B0" w:rsidRPr="006304A3">
              <w:rPr>
                <w:rFonts w:cstheme="minorHAnsi"/>
                <w:color w:val="000000"/>
                <w:sz w:val="24"/>
                <w:szCs w:val="24"/>
              </w:rPr>
              <w:t xml:space="preserve">Załączniku do decyzji wykonawczej Rady zmieniającej decyzję wykonawczą z dnia 17 czerwca 2022 r. w sprawie zatwierdzenia oceny Planu Odbudowy i Zwiększania Odporności Polski </w:t>
            </w:r>
            <w:r w:rsidRPr="006304A3">
              <w:rPr>
                <w:rFonts w:cstheme="minorHAnsi"/>
                <w:color w:val="000000"/>
                <w:sz w:val="24"/>
                <w:szCs w:val="24"/>
              </w:rPr>
              <w:t xml:space="preserve">i wspólne wskaźniki na poziomie RRF) są adekwatne do celu i zakresu danego </w:t>
            </w:r>
            <w:r w:rsidR="00D248EF" w:rsidRPr="006304A3">
              <w:rPr>
                <w:rFonts w:cstheme="minorHAnsi"/>
                <w:color w:val="000000"/>
                <w:sz w:val="24"/>
                <w:szCs w:val="24"/>
              </w:rPr>
              <w:t>P</w:t>
            </w:r>
            <w:r w:rsidRPr="006304A3">
              <w:rPr>
                <w:rFonts w:cstheme="minorHAnsi"/>
                <w:color w:val="000000"/>
                <w:sz w:val="24"/>
                <w:szCs w:val="24"/>
              </w:rPr>
              <w:t>rzedsięwzięcia oraz mierzalne i realne.</w:t>
            </w:r>
          </w:p>
          <w:p w14:paraId="3F6ED47A" w14:textId="34BDC533" w:rsidR="00D6766B" w:rsidRPr="006304A3" w:rsidRDefault="00D6766B" w:rsidP="00D6766B">
            <w:pPr>
              <w:rPr>
                <w:rFonts w:cstheme="minorHAnsi"/>
                <w:color w:val="000000"/>
                <w:sz w:val="24"/>
                <w:szCs w:val="24"/>
              </w:rPr>
            </w:pPr>
            <w:r w:rsidRPr="006304A3">
              <w:rPr>
                <w:rFonts w:cstheme="minorHAnsi"/>
                <w:color w:val="000000"/>
                <w:sz w:val="24"/>
                <w:szCs w:val="24"/>
              </w:rPr>
              <w:t>W przypadku gdy Przedsięwzięcie nie ma wskaźników własnych, należy wskazać ‘nie dotyczy’.</w:t>
            </w:r>
          </w:p>
        </w:tc>
        <w:tc>
          <w:tcPr>
            <w:tcW w:w="1247" w:type="dxa"/>
            <w:tcBorders>
              <w:bottom w:val="single" w:sz="4" w:space="0" w:color="auto"/>
            </w:tcBorders>
            <w:shd w:val="clear" w:color="auto" w:fill="FFFFFF" w:themeFill="background1"/>
            <w:vAlign w:val="center"/>
          </w:tcPr>
          <w:p w14:paraId="29B399F7" w14:textId="7437EAAC" w:rsidR="00867AC6" w:rsidRPr="006304A3" w:rsidRDefault="00867AC6" w:rsidP="00867AC6">
            <w:pPr>
              <w:jc w:val="center"/>
              <w:rPr>
                <w:rFonts w:cstheme="minorHAnsi"/>
                <w:color w:val="000000"/>
                <w:sz w:val="24"/>
                <w:szCs w:val="24"/>
              </w:rPr>
            </w:pPr>
            <w:r w:rsidRPr="006304A3">
              <w:rPr>
                <w:rFonts w:cstheme="minorHAnsi"/>
                <w:color w:val="000000"/>
                <w:sz w:val="24"/>
                <w:szCs w:val="24"/>
              </w:rPr>
              <w:t>0/1/Nie dotyczy</w:t>
            </w:r>
          </w:p>
          <w:p w14:paraId="10004F5B" w14:textId="77777777" w:rsidR="00867AC6" w:rsidRPr="006304A3" w:rsidRDefault="00867AC6" w:rsidP="00867AC6">
            <w:pPr>
              <w:jc w:val="center"/>
              <w:rPr>
                <w:rFonts w:cstheme="minorHAnsi"/>
                <w:color w:val="000000"/>
                <w:sz w:val="24"/>
                <w:szCs w:val="24"/>
              </w:rPr>
            </w:pPr>
          </w:p>
          <w:p w14:paraId="19DA214B" w14:textId="3D91B2EB" w:rsidR="00867AC6" w:rsidRPr="006304A3" w:rsidRDefault="00867AC6" w:rsidP="00867AC6">
            <w:pPr>
              <w:jc w:val="center"/>
              <w:rPr>
                <w:rFonts w:cstheme="minorHAnsi"/>
                <w:color w:val="000000"/>
                <w:sz w:val="24"/>
                <w:szCs w:val="24"/>
              </w:rPr>
            </w:pPr>
          </w:p>
        </w:tc>
      </w:tr>
      <w:tr w:rsidR="00867AC6" w:rsidRPr="00A640DA" w14:paraId="3A68E2F9" w14:textId="77777777" w:rsidTr="00800A89">
        <w:trPr>
          <w:trHeight w:val="983"/>
        </w:trPr>
        <w:tc>
          <w:tcPr>
            <w:tcW w:w="782" w:type="dxa"/>
            <w:tcBorders>
              <w:bottom w:val="single" w:sz="4" w:space="0" w:color="auto"/>
            </w:tcBorders>
            <w:shd w:val="clear" w:color="auto" w:fill="FFFFFF" w:themeFill="background1"/>
            <w:vAlign w:val="center"/>
          </w:tcPr>
          <w:p w14:paraId="623C5E6F" w14:textId="18EA50B0" w:rsidR="00867AC6" w:rsidRPr="006304A3" w:rsidRDefault="00867AC6" w:rsidP="00867AC6">
            <w:pPr>
              <w:jc w:val="center"/>
              <w:rPr>
                <w:rFonts w:cstheme="minorHAnsi"/>
                <w:b/>
                <w:bCs/>
                <w:color w:val="000000"/>
                <w:sz w:val="24"/>
                <w:szCs w:val="24"/>
              </w:rPr>
            </w:pPr>
            <w:r w:rsidRPr="006304A3">
              <w:rPr>
                <w:rFonts w:cstheme="minorHAnsi"/>
                <w:b/>
                <w:bCs/>
                <w:color w:val="000000"/>
                <w:sz w:val="24"/>
                <w:szCs w:val="24"/>
              </w:rPr>
              <w:t>1</w:t>
            </w:r>
            <w:r w:rsidR="002C4C0F" w:rsidRPr="006304A3">
              <w:rPr>
                <w:rFonts w:cstheme="minorHAnsi"/>
                <w:b/>
                <w:bCs/>
                <w:color w:val="000000"/>
                <w:sz w:val="24"/>
                <w:szCs w:val="24"/>
              </w:rPr>
              <w:t>2</w:t>
            </w:r>
          </w:p>
        </w:tc>
        <w:tc>
          <w:tcPr>
            <w:tcW w:w="2540" w:type="dxa"/>
            <w:tcBorders>
              <w:bottom w:val="single" w:sz="4" w:space="0" w:color="auto"/>
            </w:tcBorders>
            <w:shd w:val="clear" w:color="auto" w:fill="FFFFFF" w:themeFill="background1"/>
          </w:tcPr>
          <w:p w14:paraId="40FFA0E4" w14:textId="7B015D6A" w:rsidR="00867AC6" w:rsidRPr="006304A3" w:rsidRDefault="00867AC6" w:rsidP="00867AC6">
            <w:pPr>
              <w:rPr>
                <w:rFonts w:cstheme="minorHAnsi"/>
                <w:b/>
                <w:bCs/>
                <w:sz w:val="24"/>
                <w:szCs w:val="24"/>
              </w:rPr>
            </w:pPr>
            <w:r w:rsidRPr="006304A3">
              <w:rPr>
                <w:rFonts w:cstheme="minorHAnsi"/>
                <w:b/>
                <w:bCs/>
                <w:sz w:val="24"/>
                <w:szCs w:val="24"/>
              </w:rPr>
              <w:t xml:space="preserve">Przygotowanie do realizacji </w:t>
            </w:r>
            <w:r w:rsidR="00D34084" w:rsidRPr="006304A3">
              <w:rPr>
                <w:rFonts w:cstheme="minorHAnsi"/>
                <w:b/>
                <w:bCs/>
                <w:sz w:val="24"/>
                <w:szCs w:val="24"/>
              </w:rPr>
              <w:t>Przedsięwzięcia pod</w:t>
            </w:r>
            <w:r w:rsidRPr="006304A3">
              <w:rPr>
                <w:rFonts w:cstheme="minorHAnsi"/>
                <w:b/>
                <w:bCs/>
                <w:sz w:val="24"/>
                <w:szCs w:val="24"/>
              </w:rPr>
              <w:t xml:space="preserve"> względem zgodności z otoczeniem prawnym</w:t>
            </w:r>
          </w:p>
        </w:tc>
        <w:tc>
          <w:tcPr>
            <w:tcW w:w="9027" w:type="dxa"/>
            <w:tcBorders>
              <w:bottom w:val="single" w:sz="4" w:space="0" w:color="auto"/>
            </w:tcBorders>
            <w:shd w:val="clear" w:color="auto" w:fill="FFFFFF" w:themeFill="background1"/>
          </w:tcPr>
          <w:p w14:paraId="604DAF61" w14:textId="4A1D5E4B" w:rsidR="00AE3154" w:rsidRPr="006304A3" w:rsidRDefault="00867AC6" w:rsidP="00CF7991">
            <w:pPr>
              <w:spacing w:after="360"/>
              <w:rPr>
                <w:rFonts w:cstheme="minorHAnsi"/>
                <w:color w:val="000000"/>
                <w:sz w:val="24"/>
                <w:szCs w:val="24"/>
              </w:rPr>
            </w:pPr>
            <w:r w:rsidRPr="006304A3">
              <w:rPr>
                <w:rFonts w:cstheme="minorHAnsi"/>
                <w:color w:val="000000"/>
                <w:sz w:val="24"/>
                <w:szCs w:val="24"/>
              </w:rPr>
              <w:t>Ostateczny odbiorca wsparcia złożył oświadczenie, że:</w:t>
            </w:r>
          </w:p>
          <w:p w14:paraId="45DBC165" w14:textId="34BCB002" w:rsidR="00867AC6" w:rsidRPr="006304A3" w:rsidRDefault="00867AC6" w:rsidP="00867AC6">
            <w:pPr>
              <w:pStyle w:val="Akapitzlist"/>
              <w:numPr>
                <w:ilvl w:val="0"/>
                <w:numId w:val="4"/>
              </w:numPr>
              <w:rPr>
                <w:rFonts w:cstheme="minorHAnsi"/>
                <w:color w:val="000000"/>
                <w:sz w:val="24"/>
                <w:szCs w:val="24"/>
              </w:rPr>
            </w:pPr>
            <w:r w:rsidRPr="006304A3">
              <w:rPr>
                <w:rFonts w:cstheme="minorHAnsi"/>
                <w:color w:val="000000"/>
                <w:sz w:val="24"/>
                <w:szCs w:val="24"/>
              </w:rPr>
              <w:t xml:space="preserve">Przedsięwzięcie jest zgodne z otoczeniem prawnym na dzień złożenia Wniosku o objęcie Przedsięwzięcia </w:t>
            </w:r>
            <w:r w:rsidR="00D34084" w:rsidRPr="006304A3">
              <w:rPr>
                <w:rFonts w:cstheme="minorHAnsi"/>
                <w:color w:val="000000"/>
                <w:sz w:val="24"/>
                <w:szCs w:val="24"/>
              </w:rPr>
              <w:t>wsparciem (</w:t>
            </w:r>
            <w:r w:rsidRPr="006304A3">
              <w:rPr>
                <w:rFonts w:cstheme="minorHAnsi"/>
                <w:color w:val="000000"/>
                <w:sz w:val="24"/>
                <w:szCs w:val="24"/>
              </w:rPr>
              <w:t>prawem krajowym oraz prawem UE) lub</w:t>
            </w:r>
          </w:p>
          <w:p w14:paraId="4416E99A" w14:textId="06ECA2D7" w:rsidR="00AE3154" w:rsidRPr="00CF7991" w:rsidRDefault="00867AC6" w:rsidP="00CF7991">
            <w:pPr>
              <w:pStyle w:val="Akapitzlist"/>
              <w:numPr>
                <w:ilvl w:val="0"/>
                <w:numId w:val="4"/>
              </w:numPr>
              <w:spacing w:after="360"/>
              <w:ind w:left="714" w:hanging="357"/>
              <w:rPr>
                <w:rFonts w:cstheme="minorHAnsi"/>
                <w:color w:val="000000"/>
                <w:sz w:val="24"/>
                <w:szCs w:val="24"/>
              </w:rPr>
            </w:pPr>
            <w:r w:rsidRPr="006304A3">
              <w:rPr>
                <w:rFonts w:cstheme="minorHAnsi"/>
                <w:color w:val="000000"/>
                <w:sz w:val="24"/>
                <w:szCs w:val="24"/>
              </w:rPr>
              <w:t>we wskazanym przez siebie okresie, jednak nie dłuższym niż dzień zakończenia realizacji Przedsięwzięcia wskazanym we Wniosku o objęcie Przedsięwzięcia wsparciem doprowadzi do zgodności Przedsięwzięcia z otoczeniem prawnym wykazując jednocześnie wszystkie akty prawne niezbędne do zmiany.</w:t>
            </w:r>
          </w:p>
          <w:p w14:paraId="29CC1921" w14:textId="01121598" w:rsidR="00867AC6" w:rsidRPr="006304A3" w:rsidRDefault="00867AC6" w:rsidP="00867AC6">
            <w:pPr>
              <w:rPr>
                <w:rFonts w:cstheme="minorHAnsi"/>
                <w:color w:val="000000"/>
                <w:sz w:val="24"/>
                <w:szCs w:val="24"/>
              </w:rPr>
            </w:pPr>
            <w:r w:rsidRPr="006304A3">
              <w:rPr>
                <w:rFonts w:cstheme="minorHAnsi"/>
                <w:color w:val="000000"/>
                <w:sz w:val="24"/>
                <w:szCs w:val="24"/>
              </w:rPr>
              <w:lastRenderedPageBreak/>
              <w:t>Gotowość do realizacji Przedsięwzięcia w istniejącym otoczeniu prawnym należy rozumieć jako możliwość realizacji Przedsięwzięcia zgodnie z obowiązującymi przepisami prawa.</w:t>
            </w:r>
          </w:p>
        </w:tc>
        <w:tc>
          <w:tcPr>
            <w:tcW w:w="1247" w:type="dxa"/>
            <w:tcBorders>
              <w:bottom w:val="single" w:sz="4" w:space="0" w:color="auto"/>
            </w:tcBorders>
            <w:shd w:val="clear" w:color="auto" w:fill="FFFFFF" w:themeFill="background1"/>
            <w:vAlign w:val="center"/>
          </w:tcPr>
          <w:p w14:paraId="15ECD9B6" w14:textId="60150469" w:rsidR="00867AC6" w:rsidRPr="006304A3" w:rsidRDefault="00867AC6" w:rsidP="00867AC6">
            <w:pPr>
              <w:jc w:val="center"/>
              <w:rPr>
                <w:rFonts w:cstheme="minorHAnsi"/>
                <w:color w:val="000000"/>
                <w:sz w:val="24"/>
                <w:szCs w:val="24"/>
              </w:rPr>
            </w:pPr>
            <w:r w:rsidRPr="006304A3">
              <w:rPr>
                <w:rFonts w:cstheme="minorHAnsi"/>
                <w:color w:val="000000"/>
                <w:sz w:val="24"/>
                <w:szCs w:val="24"/>
              </w:rPr>
              <w:lastRenderedPageBreak/>
              <w:t>0/1</w:t>
            </w:r>
          </w:p>
        </w:tc>
      </w:tr>
      <w:tr w:rsidR="00867AC6" w:rsidRPr="00A640DA" w14:paraId="7598D40B" w14:textId="77777777" w:rsidTr="00800A89">
        <w:trPr>
          <w:trHeight w:val="983"/>
        </w:trPr>
        <w:tc>
          <w:tcPr>
            <w:tcW w:w="782" w:type="dxa"/>
            <w:tcBorders>
              <w:bottom w:val="single" w:sz="4" w:space="0" w:color="auto"/>
            </w:tcBorders>
            <w:shd w:val="clear" w:color="auto" w:fill="FFFFFF" w:themeFill="background1"/>
            <w:vAlign w:val="center"/>
          </w:tcPr>
          <w:p w14:paraId="133BE2D7" w14:textId="02ECE264" w:rsidR="00867AC6" w:rsidRPr="006304A3" w:rsidRDefault="00867AC6" w:rsidP="00867AC6">
            <w:pPr>
              <w:jc w:val="center"/>
              <w:rPr>
                <w:rFonts w:cstheme="minorHAnsi"/>
                <w:b/>
                <w:bCs/>
                <w:color w:val="000000"/>
                <w:sz w:val="24"/>
                <w:szCs w:val="24"/>
              </w:rPr>
            </w:pPr>
            <w:r w:rsidRPr="006304A3">
              <w:rPr>
                <w:rFonts w:cstheme="minorHAnsi"/>
                <w:b/>
                <w:bCs/>
                <w:color w:val="000000"/>
                <w:sz w:val="24"/>
                <w:szCs w:val="24"/>
              </w:rPr>
              <w:t>1</w:t>
            </w:r>
            <w:r w:rsidR="002C4C0F" w:rsidRPr="006304A3">
              <w:rPr>
                <w:rFonts w:cstheme="minorHAnsi"/>
                <w:b/>
                <w:bCs/>
                <w:color w:val="000000"/>
                <w:sz w:val="24"/>
                <w:szCs w:val="24"/>
              </w:rPr>
              <w:t>3</w:t>
            </w:r>
          </w:p>
        </w:tc>
        <w:tc>
          <w:tcPr>
            <w:tcW w:w="2540" w:type="dxa"/>
            <w:tcBorders>
              <w:bottom w:val="single" w:sz="4" w:space="0" w:color="auto"/>
            </w:tcBorders>
            <w:shd w:val="clear" w:color="auto" w:fill="FFFFFF" w:themeFill="background1"/>
          </w:tcPr>
          <w:p w14:paraId="02CDFCC5" w14:textId="4A5226D5" w:rsidR="00867AC6" w:rsidRPr="006304A3" w:rsidRDefault="00867AC6" w:rsidP="00867AC6">
            <w:pPr>
              <w:rPr>
                <w:rFonts w:cstheme="minorHAnsi"/>
                <w:b/>
                <w:bCs/>
                <w:sz w:val="24"/>
                <w:szCs w:val="24"/>
              </w:rPr>
            </w:pPr>
            <w:r w:rsidRPr="006304A3">
              <w:rPr>
                <w:rFonts w:cstheme="minorHAnsi"/>
                <w:b/>
                <w:bCs/>
                <w:sz w:val="24"/>
                <w:szCs w:val="24"/>
              </w:rPr>
              <w:t xml:space="preserve">Wybór </w:t>
            </w:r>
            <w:r w:rsidR="004328BA" w:rsidRPr="006304A3">
              <w:rPr>
                <w:rFonts w:cstheme="minorHAnsi"/>
                <w:b/>
                <w:bCs/>
                <w:sz w:val="24"/>
                <w:szCs w:val="24"/>
              </w:rPr>
              <w:t>P</w:t>
            </w:r>
            <w:r w:rsidRPr="006304A3">
              <w:rPr>
                <w:rFonts w:cstheme="minorHAnsi"/>
                <w:b/>
                <w:bCs/>
                <w:sz w:val="24"/>
                <w:szCs w:val="24"/>
              </w:rPr>
              <w:t>artnera/</w:t>
            </w:r>
            <w:r w:rsidR="004328BA" w:rsidRPr="006304A3">
              <w:rPr>
                <w:rFonts w:cstheme="minorHAnsi"/>
                <w:b/>
                <w:bCs/>
                <w:sz w:val="24"/>
                <w:szCs w:val="24"/>
              </w:rPr>
              <w:t>P</w:t>
            </w:r>
            <w:r w:rsidRPr="006304A3">
              <w:rPr>
                <w:rFonts w:cstheme="minorHAnsi"/>
                <w:b/>
                <w:bCs/>
                <w:sz w:val="24"/>
                <w:szCs w:val="24"/>
              </w:rPr>
              <w:t>artnerów został dokonany w sposób prawidłowy</w:t>
            </w:r>
          </w:p>
          <w:p w14:paraId="06E19CD9" w14:textId="77777777" w:rsidR="00867AC6" w:rsidRPr="006304A3" w:rsidRDefault="00867AC6" w:rsidP="00867AC6">
            <w:pPr>
              <w:rPr>
                <w:rFonts w:cstheme="minorHAnsi"/>
                <w:b/>
                <w:bCs/>
                <w:sz w:val="24"/>
                <w:szCs w:val="24"/>
              </w:rPr>
            </w:pPr>
          </w:p>
          <w:p w14:paraId="7B7A074D" w14:textId="3EF17A7E" w:rsidR="00867AC6" w:rsidRPr="006304A3" w:rsidRDefault="00867AC6" w:rsidP="00867AC6">
            <w:pPr>
              <w:rPr>
                <w:rFonts w:cstheme="minorHAnsi"/>
                <w:b/>
                <w:bCs/>
                <w:sz w:val="24"/>
                <w:szCs w:val="24"/>
              </w:rPr>
            </w:pPr>
            <w:r w:rsidRPr="006304A3">
              <w:rPr>
                <w:rFonts w:cstheme="minorHAnsi"/>
                <w:b/>
                <w:bCs/>
                <w:sz w:val="24"/>
                <w:szCs w:val="24"/>
              </w:rPr>
              <w:t>(Jeśli dotyczy)</w:t>
            </w:r>
          </w:p>
        </w:tc>
        <w:tc>
          <w:tcPr>
            <w:tcW w:w="9027" w:type="dxa"/>
            <w:tcBorders>
              <w:bottom w:val="single" w:sz="4" w:space="0" w:color="auto"/>
            </w:tcBorders>
            <w:shd w:val="clear" w:color="auto" w:fill="FFFFFF" w:themeFill="background1"/>
          </w:tcPr>
          <w:p w14:paraId="3655090C" w14:textId="4BA8E991" w:rsidR="00867AC6" w:rsidRPr="006304A3" w:rsidRDefault="00867AC6" w:rsidP="00867AC6">
            <w:pPr>
              <w:rPr>
                <w:rFonts w:cstheme="minorHAnsi"/>
                <w:color w:val="000000"/>
                <w:sz w:val="24"/>
                <w:szCs w:val="24"/>
              </w:rPr>
            </w:pPr>
            <w:r w:rsidRPr="006304A3">
              <w:rPr>
                <w:rFonts w:cstheme="minorHAnsi"/>
                <w:color w:val="000000"/>
                <w:sz w:val="24"/>
                <w:szCs w:val="24"/>
              </w:rPr>
              <w:t xml:space="preserve">Ostateczny odbiorca wsparcia wykazał, że </w:t>
            </w:r>
            <w:r w:rsidR="004328BA" w:rsidRPr="006304A3">
              <w:rPr>
                <w:rFonts w:cstheme="minorHAnsi"/>
                <w:color w:val="000000"/>
                <w:sz w:val="24"/>
                <w:szCs w:val="24"/>
              </w:rPr>
              <w:t>P</w:t>
            </w:r>
            <w:r w:rsidRPr="006304A3">
              <w:rPr>
                <w:rFonts w:cstheme="minorHAnsi"/>
                <w:color w:val="000000"/>
                <w:sz w:val="24"/>
                <w:szCs w:val="24"/>
              </w:rPr>
              <w:t>artner/</w:t>
            </w:r>
            <w:r w:rsidR="004328BA" w:rsidRPr="006304A3">
              <w:rPr>
                <w:rFonts w:cstheme="minorHAnsi"/>
                <w:color w:val="000000"/>
                <w:sz w:val="24"/>
                <w:szCs w:val="24"/>
              </w:rPr>
              <w:t>P</w:t>
            </w:r>
            <w:r w:rsidRPr="006304A3">
              <w:rPr>
                <w:rFonts w:cstheme="minorHAnsi"/>
                <w:color w:val="000000"/>
                <w:sz w:val="24"/>
                <w:szCs w:val="24"/>
              </w:rPr>
              <w:t xml:space="preserve">artnerzy w Przedsięwzięciu wnoszą do Przedsięwzięcia m.in. zasoby ludzkie, organizacyjne, techniczne lub finansowe na warunkach określonych w porozumieniu albo umowie o partnerstwie zawartej pomiędzy Ostatecznym odbiorcą wsparcia a </w:t>
            </w:r>
            <w:r w:rsidR="004328BA" w:rsidRPr="006304A3">
              <w:rPr>
                <w:rFonts w:cstheme="minorHAnsi"/>
                <w:color w:val="000000"/>
                <w:sz w:val="24"/>
                <w:szCs w:val="24"/>
              </w:rPr>
              <w:t>P</w:t>
            </w:r>
            <w:r w:rsidRPr="006304A3">
              <w:rPr>
                <w:rFonts w:cstheme="minorHAnsi"/>
                <w:color w:val="000000"/>
                <w:sz w:val="24"/>
                <w:szCs w:val="24"/>
              </w:rPr>
              <w:t>artnerem/</w:t>
            </w:r>
            <w:r w:rsidR="004328BA" w:rsidRPr="006304A3">
              <w:rPr>
                <w:rFonts w:cstheme="minorHAnsi"/>
                <w:color w:val="000000"/>
                <w:sz w:val="24"/>
                <w:szCs w:val="24"/>
              </w:rPr>
              <w:t>P</w:t>
            </w:r>
            <w:r w:rsidRPr="006304A3">
              <w:rPr>
                <w:rFonts w:cstheme="minorHAnsi"/>
                <w:color w:val="000000"/>
                <w:sz w:val="24"/>
                <w:szCs w:val="24"/>
              </w:rPr>
              <w:t xml:space="preserve">artnerami. </w:t>
            </w:r>
          </w:p>
          <w:p w14:paraId="41F2A687" w14:textId="40961984" w:rsidR="00867AC6" w:rsidRPr="00BC74CD" w:rsidRDefault="00867AC6" w:rsidP="00BC74CD">
            <w:pPr>
              <w:spacing w:after="360"/>
              <w:rPr>
                <w:rFonts w:cstheme="minorHAnsi"/>
                <w:color w:val="000000"/>
                <w:sz w:val="24"/>
                <w:szCs w:val="24"/>
              </w:rPr>
            </w:pPr>
            <w:r w:rsidRPr="006304A3">
              <w:rPr>
                <w:rFonts w:cstheme="minorHAnsi"/>
                <w:color w:val="000000"/>
                <w:sz w:val="24"/>
                <w:szCs w:val="24"/>
              </w:rPr>
              <w:t>Ostateczny odbiorca wsparcia wykazał, że partner/partnerzy posiadają znamiona Ostatecznego odbiorcy wsparcia, tj. będą w okresie trwałości Przedsięwzięcia korzystać z jego efektów w celu realizacji zadań publicznych określonych aktem prawnym/statutem/regulaminem.</w:t>
            </w:r>
          </w:p>
          <w:p w14:paraId="2770B06D" w14:textId="31DDE489" w:rsidR="00867AC6" w:rsidRPr="00BC74CD" w:rsidRDefault="00867AC6" w:rsidP="00BC74CD">
            <w:pPr>
              <w:spacing w:after="360"/>
              <w:rPr>
                <w:rFonts w:cstheme="minorHAnsi"/>
                <w:color w:val="000000"/>
                <w:sz w:val="24"/>
                <w:szCs w:val="24"/>
              </w:rPr>
            </w:pPr>
            <w:r w:rsidRPr="006304A3">
              <w:rPr>
                <w:rFonts w:cstheme="minorHAnsi"/>
                <w:color w:val="000000"/>
                <w:sz w:val="24"/>
                <w:szCs w:val="24"/>
              </w:rPr>
              <w:t xml:space="preserve">Ostateczny odbiorca wsparcia wykazał, że partner/partnerzy realizują zadania, których z równie dobrym skutkiem dla osiągnięcia celów Przedsięwzięcia nie mógłby zrealizować wykonawca wyłoniony zgodnie z prawem zamówień publicznych. </w:t>
            </w:r>
          </w:p>
          <w:p w14:paraId="42BA21C2" w14:textId="6BABA1C3" w:rsidR="00867AC6" w:rsidRPr="006304A3" w:rsidRDefault="00867AC6" w:rsidP="00BC74CD">
            <w:pPr>
              <w:spacing w:after="360"/>
              <w:rPr>
                <w:rFonts w:cstheme="minorHAnsi"/>
                <w:color w:val="000000"/>
                <w:sz w:val="24"/>
                <w:szCs w:val="24"/>
              </w:rPr>
            </w:pPr>
            <w:r w:rsidRPr="006304A3">
              <w:rPr>
                <w:rFonts w:cstheme="minorHAnsi"/>
                <w:color w:val="000000"/>
                <w:sz w:val="24"/>
                <w:szCs w:val="24"/>
              </w:rPr>
              <w:t>Ostateczny odbiorca wsparcia wykazał, że wybór partnera/partnerów został dokonany zgodnie z następującymi zasadami:</w:t>
            </w:r>
          </w:p>
          <w:p w14:paraId="1DCBB1E5" w14:textId="2E84B67C" w:rsidR="00867AC6" w:rsidRPr="00BC74CD" w:rsidRDefault="00867AC6" w:rsidP="00BC74CD">
            <w:pPr>
              <w:numPr>
                <w:ilvl w:val="0"/>
                <w:numId w:val="23"/>
              </w:numPr>
              <w:spacing w:after="360"/>
              <w:ind w:left="748" w:hanging="357"/>
              <w:rPr>
                <w:rFonts w:cstheme="minorHAnsi"/>
                <w:color w:val="000000"/>
                <w:sz w:val="24"/>
                <w:szCs w:val="24"/>
              </w:rPr>
            </w:pPr>
            <w:r w:rsidRPr="006304A3">
              <w:rPr>
                <w:rFonts w:cstheme="minorHAnsi"/>
                <w:color w:val="000000"/>
                <w:sz w:val="24"/>
                <w:szCs w:val="24"/>
              </w:rPr>
              <w:t>jeśli partnerstwo zawarto z innymi podmiotami niż:</w:t>
            </w:r>
          </w:p>
          <w:p w14:paraId="2A746EBE" w14:textId="77777777" w:rsidR="00867AC6" w:rsidRPr="006304A3" w:rsidRDefault="00867AC6" w:rsidP="00867AC6">
            <w:pPr>
              <w:numPr>
                <w:ilvl w:val="1"/>
                <w:numId w:val="5"/>
              </w:numPr>
              <w:rPr>
                <w:rFonts w:cstheme="minorHAnsi"/>
                <w:color w:val="000000"/>
                <w:sz w:val="24"/>
                <w:szCs w:val="24"/>
              </w:rPr>
            </w:pPr>
            <w:r w:rsidRPr="006304A3">
              <w:rPr>
                <w:rFonts w:cstheme="minorHAnsi"/>
                <w:color w:val="000000"/>
                <w:sz w:val="24"/>
                <w:szCs w:val="24"/>
              </w:rPr>
              <w:t>jednostką sektora finansów publicznych w rozumieniu przepisów ustawy z dnia 27 sierpnia 2009 r. o finansach publicznych;</w:t>
            </w:r>
          </w:p>
          <w:p w14:paraId="4FC92C9D" w14:textId="77777777" w:rsidR="00867AC6" w:rsidRPr="006304A3" w:rsidRDefault="00867AC6" w:rsidP="00867AC6">
            <w:pPr>
              <w:numPr>
                <w:ilvl w:val="1"/>
                <w:numId w:val="5"/>
              </w:numPr>
              <w:rPr>
                <w:rFonts w:cstheme="minorHAnsi"/>
                <w:color w:val="000000"/>
                <w:sz w:val="24"/>
                <w:szCs w:val="24"/>
              </w:rPr>
            </w:pPr>
            <w:r w:rsidRPr="006304A3">
              <w:rPr>
                <w:rFonts w:cstheme="minorHAnsi"/>
                <w:color w:val="000000"/>
                <w:sz w:val="24"/>
                <w:szCs w:val="24"/>
              </w:rPr>
              <w:t xml:space="preserve">państwową jednostką organizacyjną nieposiadającą osobowości prawnej; </w:t>
            </w:r>
          </w:p>
          <w:p w14:paraId="5DDAFA9D" w14:textId="31D56C7F" w:rsidR="00867AC6" w:rsidRPr="00BC74CD" w:rsidRDefault="00867AC6" w:rsidP="00BC74CD">
            <w:pPr>
              <w:numPr>
                <w:ilvl w:val="1"/>
                <w:numId w:val="5"/>
              </w:numPr>
              <w:spacing w:after="360"/>
              <w:ind w:left="1468" w:hanging="357"/>
              <w:rPr>
                <w:rFonts w:cstheme="minorHAnsi"/>
                <w:color w:val="000000"/>
                <w:sz w:val="24"/>
                <w:szCs w:val="24"/>
              </w:rPr>
            </w:pPr>
            <w:r w:rsidRPr="006304A3">
              <w:rPr>
                <w:rFonts w:cstheme="minorHAnsi"/>
                <w:color w:val="000000"/>
                <w:sz w:val="24"/>
                <w:szCs w:val="24"/>
              </w:rPr>
              <w:t xml:space="preserve">innymi osobami prawnymi, utworzonymi w szczególnym celu zaspokajania potrzeb o charakterze powszechnym, niemających charakteru przemysłowego ani handlowego, jeżeli jednostki sektora finansów publicznych lub państwowe jednostki organizacyjne nieposiadające </w:t>
            </w:r>
            <w:r w:rsidRPr="006304A3">
              <w:rPr>
                <w:rFonts w:cstheme="minorHAnsi"/>
                <w:color w:val="000000"/>
                <w:sz w:val="24"/>
                <w:szCs w:val="24"/>
              </w:rPr>
              <w:lastRenderedPageBreak/>
              <w:t>osobowości prawnej, pojedynczo lub wspólnie, bezpośrednio lub pośrednio przez inny podmiot, finansują je w ponad 50%</w:t>
            </w:r>
          </w:p>
          <w:p w14:paraId="3F3C8C03" w14:textId="50BF7782" w:rsidR="00867AC6" w:rsidRPr="006304A3" w:rsidRDefault="00867AC6" w:rsidP="00BC74CD">
            <w:pPr>
              <w:spacing w:after="360"/>
              <w:ind w:left="754"/>
              <w:rPr>
                <w:rFonts w:cstheme="minorHAnsi"/>
                <w:color w:val="000000"/>
                <w:sz w:val="24"/>
                <w:szCs w:val="24"/>
              </w:rPr>
            </w:pPr>
            <w:r w:rsidRPr="006304A3">
              <w:rPr>
                <w:rFonts w:cstheme="minorHAnsi"/>
                <w:color w:val="000000"/>
                <w:sz w:val="24"/>
                <w:szCs w:val="24"/>
              </w:rPr>
              <w:t>to Ostateczny odbiorca wsparcia dokonał wyboru każdego z partnerów z zachowaniem zasady przejrzystości i równego traktowania. W tym celu Ostateczny odbiorca wsparcia:</w:t>
            </w:r>
          </w:p>
          <w:p w14:paraId="10D42DE1" w14:textId="77777777" w:rsidR="00867AC6" w:rsidRPr="006304A3" w:rsidRDefault="00867AC6" w:rsidP="00867AC6">
            <w:pPr>
              <w:numPr>
                <w:ilvl w:val="1"/>
                <w:numId w:val="5"/>
              </w:numPr>
              <w:rPr>
                <w:rFonts w:cstheme="minorHAnsi"/>
                <w:color w:val="000000"/>
                <w:sz w:val="24"/>
                <w:szCs w:val="24"/>
              </w:rPr>
            </w:pPr>
            <w:r w:rsidRPr="006304A3">
              <w:rPr>
                <w:rFonts w:cstheme="minorHAnsi"/>
                <w:color w:val="000000"/>
                <w:sz w:val="24"/>
                <w:szCs w:val="24"/>
              </w:rPr>
              <w:t>ogłosił otwarty nabór partnerów na swojej stronie internetowej wraz ze wskazaniem co najmniej 21-dniowego terminu na zgłaszanie się partnerów;</w:t>
            </w:r>
          </w:p>
          <w:p w14:paraId="36F0BB99" w14:textId="77777777" w:rsidR="00867AC6" w:rsidRPr="006304A3" w:rsidRDefault="00867AC6" w:rsidP="00867AC6">
            <w:pPr>
              <w:numPr>
                <w:ilvl w:val="1"/>
                <w:numId w:val="5"/>
              </w:numPr>
              <w:rPr>
                <w:rFonts w:cstheme="minorHAnsi"/>
                <w:color w:val="000000"/>
                <w:sz w:val="24"/>
                <w:szCs w:val="24"/>
              </w:rPr>
            </w:pPr>
            <w:r w:rsidRPr="006304A3">
              <w:rPr>
                <w:rFonts w:cstheme="minorHAnsi"/>
                <w:color w:val="000000"/>
                <w:sz w:val="24"/>
                <w:szCs w:val="24"/>
              </w:rPr>
              <w:t>uwzględnił przy wyborze partnerów: zgodność działania potencjalnego partnera z celami Przedsięwzięcia, deklarowanego wkładu potencjalnego partnera w realizację Przedsięwzięcia, doświadczenie w realizacji projektów, przedsięwzięć, inicjatyw i zadań o podobnym charakterze;</w:t>
            </w:r>
          </w:p>
          <w:p w14:paraId="4C59B286" w14:textId="77777777" w:rsidR="00867AC6" w:rsidRPr="006304A3" w:rsidRDefault="00867AC6" w:rsidP="00867AC6">
            <w:pPr>
              <w:numPr>
                <w:ilvl w:val="1"/>
                <w:numId w:val="5"/>
              </w:numPr>
              <w:rPr>
                <w:rFonts w:cstheme="minorHAnsi"/>
                <w:color w:val="000000"/>
                <w:sz w:val="24"/>
                <w:szCs w:val="24"/>
              </w:rPr>
            </w:pPr>
            <w:r w:rsidRPr="006304A3">
              <w:rPr>
                <w:rFonts w:cstheme="minorHAnsi"/>
                <w:color w:val="000000"/>
                <w:sz w:val="24"/>
                <w:szCs w:val="24"/>
              </w:rPr>
              <w:t>podał do publicznej wiadomości na swojej stronie internetowej informację o podmiotach wybranych do pełnienia funkcji partnera;</w:t>
            </w:r>
          </w:p>
          <w:p w14:paraId="2822A5A2" w14:textId="540109DA" w:rsidR="00867AC6" w:rsidRPr="006304A3" w:rsidRDefault="00867AC6" w:rsidP="00BC74CD">
            <w:pPr>
              <w:numPr>
                <w:ilvl w:val="1"/>
                <w:numId w:val="5"/>
              </w:numPr>
              <w:spacing w:after="360"/>
              <w:ind w:left="1468" w:hanging="357"/>
              <w:rPr>
                <w:rFonts w:cstheme="minorHAnsi"/>
                <w:color w:val="000000"/>
                <w:sz w:val="24"/>
                <w:szCs w:val="24"/>
              </w:rPr>
            </w:pPr>
            <w:r w:rsidRPr="006304A3">
              <w:rPr>
                <w:rFonts w:cstheme="minorHAnsi"/>
                <w:color w:val="000000"/>
                <w:sz w:val="24"/>
                <w:szCs w:val="24"/>
              </w:rPr>
              <w:t>dokonał wyboru partnera / partnerów przed złożeniem Wniosku o objęcie Przedsięwzięcia wsparciem</w:t>
            </w:r>
            <w:r w:rsidR="00BC74CD">
              <w:rPr>
                <w:rFonts w:cstheme="minorHAnsi"/>
                <w:color w:val="000000"/>
                <w:sz w:val="24"/>
                <w:szCs w:val="24"/>
              </w:rPr>
              <w:t>.</w:t>
            </w:r>
          </w:p>
          <w:p w14:paraId="29F5E12B" w14:textId="36E72B60" w:rsidR="00867AC6" w:rsidRPr="006304A3" w:rsidRDefault="00867AC6" w:rsidP="00BC74CD">
            <w:pPr>
              <w:spacing w:after="360"/>
              <w:rPr>
                <w:rFonts w:cstheme="minorHAnsi"/>
                <w:color w:val="000000"/>
                <w:sz w:val="24"/>
                <w:szCs w:val="24"/>
              </w:rPr>
            </w:pPr>
            <w:r w:rsidRPr="006304A3">
              <w:rPr>
                <w:rFonts w:cstheme="minorHAnsi"/>
                <w:color w:val="000000"/>
                <w:sz w:val="24"/>
                <w:szCs w:val="24"/>
              </w:rPr>
              <w:t>Ostateczny odbiorca wsparcia dołączył do Wniosku o objęcie Przedsięwzięcia wsparciem podpisane porozumienie/a lub umowę/wy o partnerstwie, które określają co najmniej:</w:t>
            </w:r>
          </w:p>
          <w:p w14:paraId="4A862618" w14:textId="0B11696D" w:rsidR="00867AC6" w:rsidRPr="006304A3" w:rsidRDefault="00867AC6" w:rsidP="00867AC6">
            <w:pPr>
              <w:numPr>
                <w:ilvl w:val="1"/>
                <w:numId w:val="5"/>
              </w:numPr>
              <w:rPr>
                <w:rFonts w:cstheme="minorHAnsi"/>
                <w:color w:val="000000"/>
                <w:sz w:val="24"/>
                <w:szCs w:val="24"/>
              </w:rPr>
            </w:pPr>
            <w:r w:rsidRPr="006304A3">
              <w:rPr>
                <w:rFonts w:cstheme="minorHAnsi"/>
                <w:color w:val="000000"/>
                <w:sz w:val="24"/>
                <w:szCs w:val="24"/>
              </w:rPr>
              <w:t>strony (podmioty) porozumienia/umowy o partnerstwie;</w:t>
            </w:r>
          </w:p>
          <w:p w14:paraId="58CBF1AE" w14:textId="1BF614BC" w:rsidR="00867AC6" w:rsidRPr="006304A3" w:rsidRDefault="00867AC6" w:rsidP="00867AC6">
            <w:pPr>
              <w:numPr>
                <w:ilvl w:val="1"/>
                <w:numId w:val="5"/>
              </w:numPr>
              <w:rPr>
                <w:rFonts w:cstheme="minorHAnsi"/>
                <w:color w:val="000000"/>
                <w:sz w:val="24"/>
                <w:szCs w:val="24"/>
              </w:rPr>
            </w:pPr>
            <w:r w:rsidRPr="006304A3">
              <w:rPr>
                <w:rFonts w:cstheme="minorHAnsi"/>
                <w:color w:val="000000"/>
                <w:sz w:val="24"/>
                <w:szCs w:val="24"/>
              </w:rPr>
              <w:t>przedmiot porozumienia/umowy o partnerstwie;</w:t>
            </w:r>
          </w:p>
          <w:p w14:paraId="23038FDB" w14:textId="77777777" w:rsidR="00867AC6" w:rsidRPr="006304A3" w:rsidRDefault="00867AC6" w:rsidP="00867AC6">
            <w:pPr>
              <w:numPr>
                <w:ilvl w:val="1"/>
                <w:numId w:val="5"/>
              </w:numPr>
              <w:rPr>
                <w:rFonts w:cstheme="minorHAnsi"/>
                <w:color w:val="000000"/>
                <w:sz w:val="24"/>
                <w:szCs w:val="24"/>
              </w:rPr>
            </w:pPr>
            <w:r w:rsidRPr="006304A3">
              <w:rPr>
                <w:rFonts w:cstheme="minorHAnsi"/>
                <w:color w:val="000000"/>
                <w:sz w:val="24"/>
                <w:szCs w:val="24"/>
              </w:rPr>
              <w:t>prawa i obowiązki stron;</w:t>
            </w:r>
          </w:p>
          <w:p w14:paraId="5AB290C2" w14:textId="1E17E75B" w:rsidR="00867AC6" w:rsidRPr="006304A3" w:rsidRDefault="00867AC6" w:rsidP="00867AC6">
            <w:pPr>
              <w:numPr>
                <w:ilvl w:val="1"/>
                <w:numId w:val="5"/>
              </w:numPr>
              <w:rPr>
                <w:rFonts w:cstheme="minorHAnsi"/>
                <w:color w:val="000000"/>
                <w:sz w:val="24"/>
                <w:szCs w:val="24"/>
              </w:rPr>
            </w:pPr>
            <w:r w:rsidRPr="006304A3">
              <w:rPr>
                <w:rFonts w:cstheme="minorHAnsi"/>
                <w:color w:val="000000"/>
                <w:sz w:val="24"/>
                <w:szCs w:val="24"/>
              </w:rPr>
              <w:t>zakres i formę udziału poszczególnych partnerów w Przedsięwzięciu, w tym Ostatecznego odbiorcy wsparcia;</w:t>
            </w:r>
          </w:p>
          <w:p w14:paraId="08CEEE3B" w14:textId="0AA2B642" w:rsidR="00867AC6" w:rsidRPr="006304A3" w:rsidRDefault="00867AC6" w:rsidP="00867AC6">
            <w:pPr>
              <w:numPr>
                <w:ilvl w:val="1"/>
                <w:numId w:val="5"/>
              </w:numPr>
              <w:rPr>
                <w:rFonts w:cstheme="minorHAnsi"/>
                <w:color w:val="000000"/>
                <w:sz w:val="24"/>
                <w:szCs w:val="24"/>
              </w:rPr>
            </w:pPr>
            <w:r w:rsidRPr="006304A3">
              <w:rPr>
                <w:rFonts w:cstheme="minorHAnsi"/>
                <w:color w:val="000000"/>
                <w:sz w:val="24"/>
                <w:szCs w:val="24"/>
              </w:rPr>
              <w:t xml:space="preserve">informację, iż Ostateczny odbiorca wsparcia jest uprawniony do reprezentowania wszystkich </w:t>
            </w:r>
            <w:r w:rsidR="004328BA" w:rsidRPr="006304A3">
              <w:rPr>
                <w:rFonts w:cstheme="minorHAnsi"/>
                <w:color w:val="000000"/>
                <w:sz w:val="24"/>
                <w:szCs w:val="24"/>
              </w:rPr>
              <w:t>P</w:t>
            </w:r>
            <w:r w:rsidRPr="006304A3">
              <w:rPr>
                <w:rFonts w:cstheme="minorHAnsi"/>
                <w:color w:val="000000"/>
                <w:sz w:val="24"/>
                <w:szCs w:val="24"/>
              </w:rPr>
              <w:t>artnerów;</w:t>
            </w:r>
          </w:p>
          <w:p w14:paraId="310EF0DC" w14:textId="12BBFF38" w:rsidR="00867AC6" w:rsidRPr="006304A3" w:rsidRDefault="00867AC6" w:rsidP="00867AC6">
            <w:pPr>
              <w:numPr>
                <w:ilvl w:val="1"/>
                <w:numId w:val="5"/>
              </w:numPr>
              <w:rPr>
                <w:rFonts w:cstheme="minorHAnsi"/>
                <w:color w:val="000000"/>
                <w:sz w:val="24"/>
                <w:szCs w:val="24"/>
              </w:rPr>
            </w:pPr>
            <w:r w:rsidRPr="006304A3">
              <w:rPr>
                <w:rFonts w:cstheme="minorHAnsi"/>
                <w:color w:val="000000"/>
                <w:sz w:val="24"/>
                <w:szCs w:val="24"/>
              </w:rPr>
              <w:lastRenderedPageBreak/>
              <w:t xml:space="preserve">sposób przekazywania dofinansowania na pokrycie kosztów ponoszonych przez poszczególnych partnerów, umożliwiający określenie kwoty wsparcia finansowego udzielonego każdemu z </w:t>
            </w:r>
            <w:r w:rsidR="004328BA" w:rsidRPr="006304A3">
              <w:rPr>
                <w:rFonts w:cstheme="minorHAnsi"/>
                <w:color w:val="000000"/>
                <w:sz w:val="24"/>
                <w:szCs w:val="24"/>
              </w:rPr>
              <w:t>P</w:t>
            </w:r>
            <w:r w:rsidRPr="006304A3">
              <w:rPr>
                <w:rFonts w:cstheme="minorHAnsi"/>
                <w:color w:val="000000"/>
                <w:sz w:val="24"/>
                <w:szCs w:val="24"/>
              </w:rPr>
              <w:t>artnerów;</w:t>
            </w:r>
          </w:p>
          <w:p w14:paraId="253AFEB1" w14:textId="77777777" w:rsidR="00867AC6" w:rsidRPr="006304A3" w:rsidRDefault="00867AC6" w:rsidP="00867AC6">
            <w:pPr>
              <w:numPr>
                <w:ilvl w:val="1"/>
                <w:numId w:val="5"/>
              </w:numPr>
              <w:rPr>
                <w:rFonts w:cstheme="minorHAnsi"/>
                <w:color w:val="000000"/>
                <w:sz w:val="24"/>
                <w:szCs w:val="24"/>
              </w:rPr>
            </w:pPr>
            <w:r w:rsidRPr="006304A3">
              <w:rPr>
                <w:rFonts w:cstheme="minorHAnsi"/>
                <w:color w:val="000000"/>
                <w:sz w:val="24"/>
                <w:szCs w:val="24"/>
              </w:rPr>
              <w:t>sposób postępowania w przypadku naruszenia lub niewywiązywania się stron z porozumienia lub umowy o partnerstwie;</w:t>
            </w:r>
          </w:p>
          <w:p w14:paraId="17ABF077" w14:textId="06188145" w:rsidR="00867AC6" w:rsidRPr="00BC74CD" w:rsidRDefault="00867AC6" w:rsidP="00BC74CD">
            <w:pPr>
              <w:numPr>
                <w:ilvl w:val="1"/>
                <w:numId w:val="5"/>
              </w:numPr>
              <w:spacing w:after="360"/>
              <w:ind w:left="1468" w:hanging="357"/>
              <w:rPr>
                <w:rFonts w:cstheme="minorHAnsi"/>
                <w:color w:val="000000"/>
                <w:sz w:val="24"/>
                <w:szCs w:val="24"/>
              </w:rPr>
            </w:pPr>
            <w:r w:rsidRPr="006304A3">
              <w:rPr>
                <w:rFonts w:cstheme="minorHAnsi"/>
                <w:color w:val="000000"/>
                <w:sz w:val="24"/>
                <w:szCs w:val="24"/>
              </w:rPr>
              <w:t xml:space="preserve">wymagane oświadczenia </w:t>
            </w:r>
            <w:r w:rsidR="004328BA" w:rsidRPr="006304A3">
              <w:rPr>
                <w:rFonts w:cstheme="minorHAnsi"/>
                <w:color w:val="000000"/>
                <w:sz w:val="24"/>
                <w:szCs w:val="24"/>
              </w:rPr>
              <w:t>P</w:t>
            </w:r>
            <w:r w:rsidRPr="006304A3">
              <w:rPr>
                <w:rFonts w:cstheme="minorHAnsi"/>
                <w:color w:val="000000"/>
                <w:sz w:val="24"/>
                <w:szCs w:val="24"/>
              </w:rPr>
              <w:t>artnera/</w:t>
            </w:r>
            <w:r w:rsidR="004328BA" w:rsidRPr="006304A3">
              <w:rPr>
                <w:rFonts w:cstheme="minorHAnsi"/>
                <w:color w:val="000000"/>
                <w:sz w:val="24"/>
                <w:szCs w:val="24"/>
              </w:rPr>
              <w:t>P</w:t>
            </w:r>
            <w:r w:rsidRPr="006304A3">
              <w:rPr>
                <w:rFonts w:cstheme="minorHAnsi"/>
                <w:color w:val="000000"/>
                <w:sz w:val="24"/>
                <w:szCs w:val="24"/>
              </w:rPr>
              <w:t xml:space="preserve">artnerów. </w:t>
            </w:r>
          </w:p>
          <w:p w14:paraId="137713D4" w14:textId="10A5AA15" w:rsidR="00867AC6" w:rsidRPr="006304A3" w:rsidRDefault="00867AC6" w:rsidP="00867AC6">
            <w:pPr>
              <w:rPr>
                <w:rFonts w:cstheme="minorHAnsi"/>
                <w:color w:val="000000"/>
                <w:sz w:val="24"/>
                <w:szCs w:val="24"/>
              </w:rPr>
            </w:pPr>
            <w:r w:rsidRPr="006304A3">
              <w:rPr>
                <w:rFonts w:cstheme="minorHAnsi"/>
                <w:color w:val="000000"/>
                <w:sz w:val="24"/>
                <w:szCs w:val="24"/>
              </w:rPr>
              <w:t>Stroną porozumienia/umowy o partnerstwie nie może być podmiot wykluczony z możliwości otrzymania dofinansowania.</w:t>
            </w:r>
            <w:r w:rsidR="00605574" w:rsidRPr="006304A3">
              <w:rPr>
                <w:rFonts w:cstheme="minorHAnsi"/>
                <w:color w:val="000000"/>
                <w:sz w:val="24"/>
                <w:szCs w:val="24"/>
              </w:rPr>
              <w:t xml:space="preserve"> </w:t>
            </w:r>
            <w:r w:rsidRPr="006304A3">
              <w:rPr>
                <w:rFonts w:cstheme="minorHAnsi"/>
                <w:color w:val="000000"/>
                <w:sz w:val="24"/>
                <w:szCs w:val="24"/>
              </w:rPr>
              <w:t>Zadania realizowane przez</w:t>
            </w:r>
            <w:r w:rsidRPr="006304A3">
              <w:rPr>
                <w:rFonts w:cstheme="minorHAnsi"/>
                <w:sz w:val="24"/>
                <w:szCs w:val="24"/>
              </w:rPr>
              <w:t xml:space="preserve"> </w:t>
            </w:r>
            <w:r w:rsidRPr="006304A3">
              <w:rPr>
                <w:rFonts w:cstheme="minorHAnsi"/>
                <w:color w:val="000000"/>
                <w:sz w:val="24"/>
                <w:szCs w:val="24"/>
              </w:rPr>
              <w:t xml:space="preserve">Ostatecznego odbiorcę wsparcia oraz poszczególnych partnerów w ramach Przedsięwzięcia partnerskiego nie mogą polegać na oferowaniu towarów, świadczeniu usług, prac budowlanych na rzecz Ostatecznego odbiorcy wsparcia oraz pozostałych </w:t>
            </w:r>
            <w:r w:rsidR="004328BA" w:rsidRPr="006304A3">
              <w:rPr>
                <w:rFonts w:cstheme="minorHAnsi"/>
                <w:color w:val="000000"/>
                <w:sz w:val="24"/>
                <w:szCs w:val="24"/>
              </w:rPr>
              <w:t>P</w:t>
            </w:r>
            <w:r w:rsidRPr="006304A3">
              <w:rPr>
                <w:rFonts w:cstheme="minorHAnsi"/>
                <w:color w:val="000000"/>
                <w:sz w:val="24"/>
                <w:szCs w:val="24"/>
              </w:rPr>
              <w:t>artnerów.</w:t>
            </w:r>
          </w:p>
        </w:tc>
        <w:tc>
          <w:tcPr>
            <w:tcW w:w="1247" w:type="dxa"/>
            <w:tcBorders>
              <w:bottom w:val="single" w:sz="4" w:space="0" w:color="auto"/>
            </w:tcBorders>
            <w:shd w:val="clear" w:color="auto" w:fill="FFFFFF" w:themeFill="background1"/>
            <w:vAlign w:val="center"/>
          </w:tcPr>
          <w:p w14:paraId="4E75D1C0" w14:textId="3834ACF1" w:rsidR="00867AC6" w:rsidRPr="006304A3" w:rsidRDefault="00867AC6" w:rsidP="00867AC6">
            <w:pPr>
              <w:jc w:val="center"/>
              <w:rPr>
                <w:rFonts w:cstheme="minorHAnsi"/>
                <w:color w:val="000000"/>
                <w:sz w:val="24"/>
                <w:szCs w:val="24"/>
              </w:rPr>
            </w:pPr>
            <w:r w:rsidRPr="006304A3">
              <w:rPr>
                <w:rFonts w:cstheme="minorHAnsi"/>
                <w:color w:val="000000"/>
                <w:sz w:val="24"/>
                <w:szCs w:val="24"/>
              </w:rPr>
              <w:lastRenderedPageBreak/>
              <w:t>0/1/Nie dotyczy</w:t>
            </w:r>
          </w:p>
          <w:p w14:paraId="2E92CD09" w14:textId="77777777" w:rsidR="00867AC6" w:rsidRPr="006304A3" w:rsidRDefault="00867AC6" w:rsidP="00867AC6">
            <w:pPr>
              <w:jc w:val="center"/>
              <w:rPr>
                <w:rFonts w:cstheme="minorHAnsi"/>
                <w:b/>
                <w:bCs/>
                <w:color w:val="000000"/>
                <w:sz w:val="24"/>
                <w:szCs w:val="24"/>
              </w:rPr>
            </w:pPr>
          </w:p>
          <w:p w14:paraId="5A40736C" w14:textId="0326AB15" w:rsidR="00867AC6" w:rsidRPr="006304A3" w:rsidRDefault="00867AC6" w:rsidP="00867AC6">
            <w:pPr>
              <w:rPr>
                <w:rFonts w:cstheme="minorHAnsi"/>
                <w:b/>
                <w:bCs/>
                <w:color w:val="000000"/>
                <w:sz w:val="24"/>
                <w:szCs w:val="24"/>
              </w:rPr>
            </w:pPr>
          </w:p>
        </w:tc>
      </w:tr>
      <w:tr w:rsidR="00867AC6" w:rsidRPr="00A640DA" w14:paraId="18A9E945" w14:textId="77777777" w:rsidTr="00800A89">
        <w:trPr>
          <w:trHeight w:val="983"/>
        </w:trPr>
        <w:tc>
          <w:tcPr>
            <w:tcW w:w="782" w:type="dxa"/>
            <w:tcBorders>
              <w:bottom w:val="single" w:sz="4" w:space="0" w:color="auto"/>
            </w:tcBorders>
            <w:shd w:val="clear" w:color="auto" w:fill="FFFFFF" w:themeFill="background1"/>
            <w:vAlign w:val="center"/>
          </w:tcPr>
          <w:p w14:paraId="30574163" w14:textId="5B3FCA33" w:rsidR="00867AC6" w:rsidRPr="006304A3" w:rsidRDefault="00867AC6" w:rsidP="00867AC6">
            <w:pPr>
              <w:jc w:val="center"/>
              <w:rPr>
                <w:rFonts w:cstheme="minorHAnsi"/>
                <w:b/>
                <w:bCs/>
                <w:color w:val="000000"/>
                <w:sz w:val="24"/>
                <w:szCs w:val="24"/>
              </w:rPr>
            </w:pPr>
            <w:r w:rsidRPr="006304A3">
              <w:rPr>
                <w:rFonts w:cstheme="minorHAnsi"/>
                <w:b/>
                <w:bCs/>
                <w:color w:val="000000"/>
                <w:sz w:val="24"/>
                <w:szCs w:val="24"/>
              </w:rPr>
              <w:lastRenderedPageBreak/>
              <w:t>1</w:t>
            </w:r>
            <w:r w:rsidR="002C4C0F" w:rsidRPr="006304A3">
              <w:rPr>
                <w:rFonts w:cstheme="minorHAnsi"/>
                <w:b/>
                <w:bCs/>
                <w:color w:val="000000"/>
                <w:sz w:val="24"/>
                <w:szCs w:val="24"/>
              </w:rPr>
              <w:t>4</w:t>
            </w:r>
          </w:p>
        </w:tc>
        <w:tc>
          <w:tcPr>
            <w:tcW w:w="2540" w:type="dxa"/>
            <w:tcBorders>
              <w:bottom w:val="single" w:sz="4" w:space="0" w:color="auto"/>
            </w:tcBorders>
            <w:shd w:val="clear" w:color="auto" w:fill="FFFFFF" w:themeFill="background1"/>
          </w:tcPr>
          <w:p w14:paraId="16916745" w14:textId="68478E7C" w:rsidR="00867AC6" w:rsidRPr="006304A3" w:rsidRDefault="00867AC6" w:rsidP="00867AC6">
            <w:pPr>
              <w:rPr>
                <w:rFonts w:cstheme="minorHAnsi"/>
                <w:b/>
                <w:bCs/>
                <w:sz w:val="24"/>
                <w:szCs w:val="24"/>
              </w:rPr>
            </w:pPr>
            <w:r w:rsidRPr="006304A3">
              <w:rPr>
                <w:rFonts w:cstheme="minorHAnsi"/>
                <w:b/>
                <w:bCs/>
                <w:sz w:val="24"/>
                <w:szCs w:val="24"/>
              </w:rPr>
              <w:t xml:space="preserve">Zagwarantowano interoperacyjność planowanych rozwiązań z wcześniej </w:t>
            </w:r>
            <w:r w:rsidR="00D34084" w:rsidRPr="006304A3">
              <w:rPr>
                <w:rFonts w:cstheme="minorHAnsi"/>
                <w:b/>
                <w:bCs/>
                <w:sz w:val="24"/>
                <w:szCs w:val="24"/>
              </w:rPr>
              <w:t>wdrażanymi Przedsięwzięciami</w:t>
            </w:r>
            <w:r w:rsidRPr="006304A3">
              <w:rPr>
                <w:rFonts w:cstheme="minorHAnsi"/>
                <w:b/>
                <w:bCs/>
                <w:sz w:val="24"/>
                <w:szCs w:val="24"/>
              </w:rPr>
              <w:t>, w tym P1, P2 i P4.</w:t>
            </w:r>
          </w:p>
          <w:p w14:paraId="6AF60C31" w14:textId="77777777" w:rsidR="00867AC6" w:rsidRPr="006304A3" w:rsidRDefault="00867AC6" w:rsidP="00867AC6">
            <w:pPr>
              <w:rPr>
                <w:rFonts w:cstheme="minorHAnsi"/>
                <w:b/>
                <w:bCs/>
                <w:sz w:val="24"/>
                <w:szCs w:val="24"/>
              </w:rPr>
            </w:pPr>
          </w:p>
          <w:p w14:paraId="1E744BE8" w14:textId="607638BE" w:rsidR="00867AC6" w:rsidRPr="006304A3" w:rsidRDefault="00867AC6" w:rsidP="00867AC6">
            <w:pPr>
              <w:rPr>
                <w:rFonts w:cstheme="minorHAnsi"/>
                <w:b/>
                <w:bCs/>
                <w:sz w:val="24"/>
                <w:szCs w:val="24"/>
              </w:rPr>
            </w:pPr>
            <w:r w:rsidRPr="006304A3">
              <w:rPr>
                <w:rFonts w:cstheme="minorHAnsi"/>
                <w:b/>
                <w:bCs/>
                <w:sz w:val="24"/>
                <w:szCs w:val="24"/>
              </w:rPr>
              <w:t>(Jeśli dotyczy)</w:t>
            </w:r>
          </w:p>
        </w:tc>
        <w:tc>
          <w:tcPr>
            <w:tcW w:w="9027" w:type="dxa"/>
            <w:tcBorders>
              <w:bottom w:val="single" w:sz="4" w:space="0" w:color="auto"/>
            </w:tcBorders>
            <w:shd w:val="clear" w:color="auto" w:fill="FFFFFF" w:themeFill="background1"/>
          </w:tcPr>
          <w:p w14:paraId="6E90CE0F" w14:textId="3B3F9BF2" w:rsidR="00867AC6" w:rsidRPr="006304A3" w:rsidRDefault="00867AC6" w:rsidP="00BC74CD">
            <w:pPr>
              <w:rPr>
                <w:rFonts w:cstheme="minorHAnsi"/>
                <w:color w:val="000000"/>
                <w:sz w:val="24"/>
                <w:szCs w:val="24"/>
              </w:rPr>
            </w:pPr>
            <w:r w:rsidRPr="006304A3">
              <w:rPr>
                <w:rFonts w:cstheme="minorHAnsi"/>
                <w:color w:val="000000"/>
                <w:sz w:val="24"/>
                <w:szCs w:val="24"/>
              </w:rPr>
              <w:t xml:space="preserve">Ostateczny odbiorca wsparcia opisał w jaki sposób zagwarantowano interoperacyjność planowanych rozwiązań z wcześniej </w:t>
            </w:r>
            <w:r w:rsidR="00D34084" w:rsidRPr="006304A3">
              <w:rPr>
                <w:rFonts w:cstheme="minorHAnsi"/>
                <w:color w:val="000000"/>
                <w:sz w:val="24"/>
                <w:szCs w:val="24"/>
              </w:rPr>
              <w:t>wdrażanymi Przedsięwzięciami</w:t>
            </w:r>
            <w:r w:rsidRPr="006304A3">
              <w:rPr>
                <w:rFonts w:cstheme="minorHAnsi"/>
                <w:color w:val="000000"/>
                <w:sz w:val="24"/>
                <w:szCs w:val="24"/>
              </w:rPr>
              <w:t>, w tym P1, P2 i P4.</w:t>
            </w:r>
          </w:p>
        </w:tc>
        <w:tc>
          <w:tcPr>
            <w:tcW w:w="1247" w:type="dxa"/>
            <w:tcBorders>
              <w:bottom w:val="single" w:sz="4" w:space="0" w:color="auto"/>
            </w:tcBorders>
            <w:shd w:val="clear" w:color="auto" w:fill="FFFFFF" w:themeFill="background1"/>
            <w:vAlign w:val="center"/>
          </w:tcPr>
          <w:p w14:paraId="443DF9EE" w14:textId="6A068AD7" w:rsidR="00867AC6" w:rsidRPr="00BC74CD" w:rsidRDefault="00867AC6" w:rsidP="00BC74CD">
            <w:pPr>
              <w:jc w:val="center"/>
              <w:rPr>
                <w:rFonts w:cstheme="minorHAnsi"/>
                <w:color w:val="000000"/>
                <w:sz w:val="24"/>
                <w:szCs w:val="24"/>
              </w:rPr>
            </w:pPr>
            <w:r w:rsidRPr="006304A3">
              <w:rPr>
                <w:rFonts w:cstheme="minorHAnsi"/>
                <w:color w:val="000000"/>
                <w:sz w:val="24"/>
                <w:szCs w:val="24"/>
              </w:rPr>
              <w:t>0/1/Nie dotyczy</w:t>
            </w:r>
          </w:p>
        </w:tc>
      </w:tr>
      <w:tr w:rsidR="00867AC6" w:rsidRPr="00A640DA" w14:paraId="21A8A409" w14:textId="77777777" w:rsidTr="00800A89">
        <w:trPr>
          <w:trHeight w:val="983"/>
        </w:trPr>
        <w:tc>
          <w:tcPr>
            <w:tcW w:w="782" w:type="dxa"/>
            <w:tcBorders>
              <w:bottom w:val="single" w:sz="4" w:space="0" w:color="auto"/>
            </w:tcBorders>
            <w:shd w:val="clear" w:color="auto" w:fill="FFFFFF" w:themeFill="background1"/>
            <w:vAlign w:val="center"/>
          </w:tcPr>
          <w:p w14:paraId="6BED68C4" w14:textId="73ED747A" w:rsidR="00867AC6" w:rsidRPr="006304A3" w:rsidRDefault="00867AC6" w:rsidP="00867AC6">
            <w:pPr>
              <w:jc w:val="center"/>
              <w:rPr>
                <w:rFonts w:cstheme="minorHAnsi"/>
                <w:b/>
                <w:bCs/>
                <w:color w:val="000000"/>
                <w:sz w:val="24"/>
                <w:szCs w:val="24"/>
              </w:rPr>
            </w:pPr>
            <w:r w:rsidRPr="006304A3">
              <w:rPr>
                <w:rFonts w:cstheme="minorHAnsi"/>
                <w:b/>
                <w:bCs/>
                <w:color w:val="000000"/>
                <w:sz w:val="24"/>
                <w:szCs w:val="24"/>
              </w:rPr>
              <w:t>1</w:t>
            </w:r>
            <w:r w:rsidR="002C4C0F" w:rsidRPr="006304A3">
              <w:rPr>
                <w:rFonts w:cstheme="minorHAnsi"/>
                <w:b/>
                <w:bCs/>
                <w:color w:val="000000"/>
                <w:sz w:val="24"/>
                <w:szCs w:val="24"/>
              </w:rPr>
              <w:t>5</w:t>
            </w:r>
          </w:p>
        </w:tc>
        <w:tc>
          <w:tcPr>
            <w:tcW w:w="2540" w:type="dxa"/>
            <w:tcBorders>
              <w:bottom w:val="single" w:sz="4" w:space="0" w:color="auto"/>
            </w:tcBorders>
            <w:shd w:val="clear" w:color="auto" w:fill="FFFFFF" w:themeFill="background1"/>
          </w:tcPr>
          <w:p w14:paraId="0DD92503" w14:textId="240F0A4A" w:rsidR="00867AC6" w:rsidRPr="006304A3" w:rsidRDefault="00867AC6" w:rsidP="00867AC6">
            <w:pPr>
              <w:rPr>
                <w:rFonts w:cstheme="minorHAnsi"/>
                <w:b/>
                <w:bCs/>
                <w:sz w:val="24"/>
                <w:szCs w:val="24"/>
              </w:rPr>
            </w:pPr>
            <w:r w:rsidRPr="006304A3">
              <w:rPr>
                <w:rFonts w:cstheme="minorHAnsi"/>
                <w:b/>
                <w:bCs/>
                <w:sz w:val="24"/>
                <w:szCs w:val="24"/>
              </w:rPr>
              <w:t>Przedsięwzięcie jest wykonalne w zakładanym czasie</w:t>
            </w:r>
          </w:p>
        </w:tc>
        <w:tc>
          <w:tcPr>
            <w:tcW w:w="9027" w:type="dxa"/>
            <w:tcBorders>
              <w:bottom w:val="single" w:sz="4" w:space="0" w:color="auto"/>
            </w:tcBorders>
            <w:shd w:val="clear" w:color="auto" w:fill="FFFFFF" w:themeFill="background1"/>
          </w:tcPr>
          <w:p w14:paraId="18C2F75B" w14:textId="4D37F7F4" w:rsidR="00AE3154" w:rsidRPr="006304A3" w:rsidRDefault="00867AC6" w:rsidP="00BC74CD">
            <w:pPr>
              <w:spacing w:after="360"/>
              <w:rPr>
                <w:rFonts w:cstheme="minorHAnsi"/>
                <w:color w:val="000000"/>
                <w:sz w:val="24"/>
                <w:szCs w:val="24"/>
              </w:rPr>
            </w:pPr>
            <w:r w:rsidRPr="006304A3">
              <w:rPr>
                <w:rFonts w:cstheme="minorHAnsi"/>
                <w:color w:val="000000"/>
                <w:sz w:val="24"/>
                <w:szCs w:val="24"/>
              </w:rPr>
              <w:t>Ostateczny odbiorca wsparcia wykazał, że Przedsięwzięcie jest wykonalne w zakładanym czasie. Zdolność Ostatecznego odbiorcy wsparcia do realizacji Przedsięwzięcia w zakładanym czasie obejmuje:</w:t>
            </w:r>
          </w:p>
          <w:p w14:paraId="4D188EED" w14:textId="12929A4A" w:rsidR="00867AC6" w:rsidRPr="006304A3" w:rsidRDefault="00867AC6" w:rsidP="00867AC6">
            <w:pPr>
              <w:pStyle w:val="Akapitzlist"/>
              <w:numPr>
                <w:ilvl w:val="0"/>
                <w:numId w:val="19"/>
              </w:numPr>
              <w:rPr>
                <w:rFonts w:cstheme="minorHAnsi"/>
                <w:color w:val="000000"/>
                <w:sz w:val="24"/>
                <w:szCs w:val="24"/>
              </w:rPr>
            </w:pPr>
            <w:r w:rsidRPr="006304A3">
              <w:rPr>
                <w:rFonts w:cstheme="minorHAnsi"/>
                <w:color w:val="000000"/>
                <w:sz w:val="24"/>
                <w:szCs w:val="24"/>
              </w:rPr>
              <w:t>kapitał ludzki – rozumiany jako cechy i umiejętności osób, którzy będą realizowali Przedsięwzięcie;</w:t>
            </w:r>
          </w:p>
          <w:p w14:paraId="422FF1EA" w14:textId="2D48B3B7" w:rsidR="00867AC6" w:rsidRPr="006304A3" w:rsidRDefault="00867AC6" w:rsidP="00867AC6">
            <w:pPr>
              <w:pStyle w:val="Akapitzlist"/>
              <w:numPr>
                <w:ilvl w:val="0"/>
                <w:numId w:val="19"/>
              </w:numPr>
              <w:rPr>
                <w:rFonts w:cstheme="minorHAnsi"/>
                <w:color w:val="000000"/>
                <w:sz w:val="24"/>
                <w:szCs w:val="24"/>
              </w:rPr>
            </w:pPr>
            <w:r w:rsidRPr="006304A3">
              <w:rPr>
                <w:rFonts w:cstheme="minorHAnsi"/>
                <w:color w:val="000000"/>
                <w:sz w:val="24"/>
                <w:szCs w:val="24"/>
              </w:rPr>
              <w:t xml:space="preserve">modele działań – rozumiane jako system uregulowań oraz zależności Ostatecznego odbiorcy wsparcia, które wpłyną na efektywną realizację </w:t>
            </w:r>
            <w:r w:rsidRPr="006304A3">
              <w:rPr>
                <w:rFonts w:cstheme="minorHAnsi"/>
                <w:color w:val="000000"/>
                <w:sz w:val="24"/>
                <w:szCs w:val="24"/>
              </w:rPr>
              <w:lastRenderedPageBreak/>
              <w:t>Przedsięwzięcia w obszarach: zarządzanie projektami, zadania legislacyjne, zadania IT, przygotowanie zamówień publicznych;</w:t>
            </w:r>
          </w:p>
          <w:p w14:paraId="43361943" w14:textId="264B92DF" w:rsidR="00867AC6" w:rsidRPr="00BC74CD" w:rsidRDefault="00867AC6" w:rsidP="00BC74CD">
            <w:pPr>
              <w:pStyle w:val="Akapitzlist"/>
              <w:numPr>
                <w:ilvl w:val="0"/>
                <w:numId w:val="19"/>
              </w:numPr>
              <w:spacing w:after="360"/>
              <w:ind w:left="714" w:hanging="357"/>
              <w:rPr>
                <w:rFonts w:cstheme="minorHAnsi"/>
                <w:color w:val="000000"/>
                <w:sz w:val="24"/>
                <w:szCs w:val="24"/>
              </w:rPr>
            </w:pPr>
            <w:r w:rsidRPr="006304A3">
              <w:rPr>
                <w:rFonts w:cstheme="minorHAnsi"/>
                <w:color w:val="000000"/>
                <w:sz w:val="24"/>
                <w:szCs w:val="24"/>
              </w:rPr>
              <w:t>narzędzia wsparcia IT – rozumiane jako systemy, aplikacje informatyczne itd., które wspomagają realizację i zarządzanie Przedsięwzięciem.</w:t>
            </w:r>
          </w:p>
          <w:p w14:paraId="5E6D96AA" w14:textId="2DF563AC" w:rsidR="00867AC6" w:rsidRPr="006304A3" w:rsidRDefault="00867AC6" w:rsidP="00867AC6">
            <w:pPr>
              <w:rPr>
                <w:rFonts w:cstheme="minorHAnsi"/>
                <w:color w:val="000000"/>
                <w:sz w:val="24"/>
                <w:szCs w:val="24"/>
              </w:rPr>
            </w:pPr>
            <w:r w:rsidRPr="006304A3">
              <w:rPr>
                <w:rFonts w:cstheme="minorHAnsi"/>
                <w:color w:val="000000"/>
                <w:sz w:val="24"/>
                <w:szCs w:val="24"/>
              </w:rPr>
              <w:t>Ostateczny odbiorca wsparcia wykazał, że Rozwiązanie IT będzie możliwe do produkcyjnego uruchomienia w czasie realizacji Przedsięwzięcia i będzie dostępne (działające) dla użytkowników. W przypadku, kiedy uruchomienie Rozwiązania IT wymaga wypełnienia przez użytkowników (podmiotu realizującego zadania publiczne) szeregu warunków, Przedsięwzięcie obejmuje zadania, które te warunki zrealizują.</w:t>
            </w:r>
          </w:p>
        </w:tc>
        <w:tc>
          <w:tcPr>
            <w:tcW w:w="1247" w:type="dxa"/>
            <w:tcBorders>
              <w:bottom w:val="single" w:sz="4" w:space="0" w:color="auto"/>
            </w:tcBorders>
            <w:shd w:val="clear" w:color="auto" w:fill="FFFFFF" w:themeFill="background1"/>
            <w:vAlign w:val="center"/>
          </w:tcPr>
          <w:p w14:paraId="2D39E8E7" w14:textId="2E299F63" w:rsidR="00867AC6" w:rsidRPr="006304A3" w:rsidRDefault="00867AC6" w:rsidP="00867AC6">
            <w:pPr>
              <w:jc w:val="center"/>
              <w:rPr>
                <w:rFonts w:cstheme="minorHAnsi"/>
                <w:color w:val="000000"/>
                <w:sz w:val="24"/>
                <w:szCs w:val="24"/>
              </w:rPr>
            </w:pPr>
            <w:r w:rsidRPr="006304A3">
              <w:rPr>
                <w:rFonts w:cstheme="minorHAnsi"/>
                <w:color w:val="000000"/>
                <w:sz w:val="24"/>
                <w:szCs w:val="24"/>
              </w:rPr>
              <w:lastRenderedPageBreak/>
              <w:t>0/1</w:t>
            </w:r>
          </w:p>
        </w:tc>
      </w:tr>
      <w:tr w:rsidR="00867AC6" w:rsidRPr="00A640DA" w14:paraId="3224F885" w14:textId="77777777" w:rsidTr="00800A89">
        <w:trPr>
          <w:trHeight w:val="983"/>
        </w:trPr>
        <w:tc>
          <w:tcPr>
            <w:tcW w:w="782" w:type="dxa"/>
            <w:tcBorders>
              <w:bottom w:val="single" w:sz="4" w:space="0" w:color="auto"/>
            </w:tcBorders>
            <w:shd w:val="clear" w:color="auto" w:fill="FFFFFF" w:themeFill="background1"/>
            <w:vAlign w:val="center"/>
          </w:tcPr>
          <w:p w14:paraId="27E859BD" w14:textId="76796E15" w:rsidR="00867AC6" w:rsidRPr="006304A3" w:rsidRDefault="00867AC6" w:rsidP="00867AC6">
            <w:pPr>
              <w:jc w:val="center"/>
              <w:rPr>
                <w:rFonts w:cstheme="minorHAnsi"/>
                <w:b/>
                <w:bCs/>
                <w:color w:val="000000"/>
                <w:sz w:val="24"/>
                <w:szCs w:val="24"/>
              </w:rPr>
            </w:pPr>
            <w:r w:rsidRPr="006304A3">
              <w:rPr>
                <w:rFonts w:cstheme="minorHAnsi"/>
                <w:b/>
                <w:bCs/>
                <w:color w:val="000000"/>
                <w:sz w:val="24"/>
                <w:szCs w:val="24"/>
              </w:rPr>
              <w:t>1</w:t>
            </w:r>
            <w:r w:rsidR="002C4C0F" w:rsidRPr="006304A3">
              <w:rPr>
                <w:rFonts w:cstheme="minorHAnsi"/>
                <w:b/>
                <w:bCs/>
                <w:color w:val="000000"/>
                <w:sz w:val="24"/>
                <w:szCs w:val="24"/>
              </w:rPr>
              <w:t>6</w:t>
            </w:r>
            <w:r w:rsidRPr="006304A3">
              <w:rPr>
                <w:rFonts w:cstheme="minorHAnsi"/>
                <w:b/>
                <w:bCs/>
                <w:color w:val="000000"/>
                <w:sz w:val="24"/>
                <w:szCs w:val="24"/>
              </w:rPr>
              <w:t xml:space="preserve"> </w:t>
            </w:r>
          </w:p>
        </w:tc>
        <w:tc>
          <w:tcPr>
            <w:tcW w:w="2540" w:type="dxa"/>
            <w:tcBorders>
              <w:bottom w:val="single" w:sz="4" w:space="0" w:color="auto"/>
            </w:tcBorders>
            <w:shd w:val="clear" w:color="auto" w:fill="FFFFFF" w:themeFill="background1"/>
          </w:tcPr>
          <w:p w14:paraId="17C771C4" w14:textId="6ED28965" w:rsidR="00867AC6" w:rsidRPr="006304A3" w:rsidRDefault="00867AC6" w:rsidP="00867AC6">
            <w:pPr>
              <w:rPr>
                <w:rFonts w:cstheme="minorHAnsi"/>
                <w:b/>
                <w:bCs/>
                <w:sz w:val="24"/>
                <w:szCs w:val="24"/>
              </w:rPr>
            </w:pPr>
            <w:r w:rsidRPr="006304A3">
              <w:rPr>
                <w:rFonts w:cstheme="minorHAnsi"/>
                <w:b/>
                <w:bCs/>
                <w:sz w:val="24"/>
                <w:szCs w:val="24"/>
              </w:rPr>
              <w:t>Właściwie zaplanowano kamienie milowe Przedsięwzięcia</w:t>
            </w:r>
          </w:p>
        </w:tc>
        <w:tc>
          <w:tcPr>
            <w:tcW w:w="9027" w:type="dxa"/>
            <w:tcBorders>
              <w:bottom w:val="single" w:sz="4" w:space="0" w:color="auto"/>
            </w:tcBorders>
            <w:shd w:val="clear" w:color="auto" w:fill="FFFFFF" w:themeFill="background1"/>
          </w:tcPr>
          <w:p w14:paraId="2A8C7D9C" w14:textId="1987104E" w:rsidR="00867AC6" w:rsidRPr="006304A3" w:rsidRDefault="00867AC6" w:rsidP="00FA1F6E">
            <w:pPr>
              <w:spacing w:after="360"/>
              <w:rPr>
                <w:rFonts w:cstheme="minorHAnsi"/>
                <w:color w:val="000000"/>
                <w:sz w:val="24"/>
                <w:szCs w:val="24"/>
              </w:rPr>
            </w:pPr>
            <w:r w:rsidRPr="006304A3">
              <w:rPr>
                <w:rFonts w:cstheme="minorHAnsi"/>
                <w:color w:val="000000"/>
                <w:sz w:val="24"/>
                <w:szCs w:val="24"/>
              </w:rPr>
              <w:t>Kamienie milowe zaplanowano odpowiednio do zakresu Przedsięwzięcia i są one powiązane z wytwarzaniem i wdrażaniem kluczowych Produktów Przedsięwzięcia.</w:t>
            </w:r>
          </w:p>
          <w:p w14:paraId="0DCEDFFE" w14:textId="7334D497" w:rsidR="00867AC6" w:rsidRPr="006304A3" w:rsidRDefault="00867AC6" w:rsidP="00FA1F6E">
            <w:pPr>
              <w:spacing w:after="360"/>
              <w:rPr>
                <w:rFonts w:cstheme="minorHAnsi"/>
                <w:color w:val="000000"/>
                <w:sz w:val="24"/>
                <w:szCs w:val="24"/>
              </w:rPr>
            </w:pPr>
            <w:r w:rsidRPr="006304A3">
              <w:rPr>
                <w:rFonts w:cstheme="minorHAnsi"/>
                <w:color w:val="000000"/>
                <w:sz w:val="24"/>
                <w:szCs w:val="24"/>
              </w:rPr>
              <w:t>Kamienie milowe umożliwiają skuteczną kontrolę postępów realizacji Przedsięwzięcia.</w:t>
            </w:r>
          </w:p>
          <w:p w14:paraId="29D01E33" w14:textId="7E1F94B2" w:rsidR="00867AC6" w:rsidRPr="006304A3" w:rsidRDefault="00867AC6" w:rsidP="00FA1F6E">
            <w:pPr>
              <w:spacing w:after="360"/>
              <w:rPr>
                <w:rFonts w:cstheme="minorHAnsi"/>
                <w:color w:val="000000"/>
                <w:sz w:val="24"/>
                <w:szCs w:val="24"/>
              </w:rPr>
            </w:pPr>
            <w:r w:rsidRPr="006304A3">
              <w:rPr>
                <w:rFonts w:cstheme="minorHAnsi"/>
                <w:color w:val="000000"/>
                <w:sz w:val="24"/>
                <w:szCs w:val="24"/>
              </w:rPr>
              <w:t>W przypadku, kiedy Przedsięwzięcie nie jest zgodne z otoczeniem prawnym na dzień złożenia Wniosku o objęcie Przedsięwzięcia wsparciem</w:t>
            </w:r>
            <w:r w:rsidR="00AF1DB4" w:rsidRPr="006304A3">
              <w:rPr>
                <w:rFonts w:cstheme="minorHAnsi"/>
                <w:color w:val="000000"/>
                <w:sz w:val="24"/>
                <w:szCs w:val="24"/>
              </w:rPr>
              <w:t xml:space="preserve"> </w:t>
            </w:r>
            <w:r w:rsidRPr="006304A3">
              <w:rPr>
                <w:rFonts w:cstheme="minorHAnsi"/>
                <w:color w:val="000000"/>
                <w:sz w:val="24"/>
                <w:szCs w:val="24"/>
              </w:rPr>
              <w:t>Ostateczny odbiorca wsparcia, obligatoryjnie, ujmuje kamień milowy dotyczący osiągnięcia gotowości legislacyjnej Przedsięwzięcia rozumianej jako możliwość realizacji Przedsięwzięcia zgodnie z obowiązującymi przepisami prawa (patrz kryterium 1</w:t>
            </w:r>
            <w:r w:rsidR="00966CBD" w:rsidRPr="006304A3">
              <w:rPr>
                <w:rFonts w:cstheme="minorHAnsi"/>
                <w:color w:val="000000"/>
                <w:sz w:val="24"/>
                <w:szCs w:val="24"/>
              </w:rPr>
              <w:t>2</w:t>
            </w:r>
            <w:r w:rsidRPr="006304A3">
              <w:rPr>
                <w:rFonts w:cstheme="minorHAnsi"/>
                <w:color w:val="000000"/>
                <w:sz w:val="24"/>
                <w:szCs w:val="24"/>
              </w:rPr>
              <w:t xml:space="preserve"> </w:t>
            </w:r>
            <w:r w:rsidR="00D34084" w:rsidRPr="006304A3">
              <w:rPr>
                <w:rFonts w:cstheme="minorHAnsi"/>
                <w:color w:val="000000"/>
                <w:sz w:val="24"/>
                <w:szCs w:val="24"/>
              </w:rPr>
              <w:t>Przygotowanie do</w:t>
            </w:r>
            <w:r w:rsidRPr="006304A3">
              <w:rPr>
                <w:rFonts w:cstheme="minorHAnsi"/>
                <w:color w:val="000000"/>
                <w:sz w:val="24"/>
                <w:szCs w:val="24"/>
              </w:rPr>
              <w:t xml:space="preserve"> realizacji </w:t>
            </w:r>
            <w:r w:rsidR="00D34084" w:rsidRPr="006304A3">
              <w:rPr>
                <w:rFonts w:cstheme="minorHAnsi"/>
                <w:color w:val="000000"/>
                <w:sz w:val="24"/>
                <w:szCs w:val="24"/>
              </w:rPr>
              <w:t>Przedsięwzięcia pod</w:t>
            </w:r>
            <w:r w:rsidRPr="006304A3">
              <w:rPr>
                <w:rFonts w:cstheme="minorHAnsi"/>
                <w:color w:val="000000"/>
                <w:sz w:val="24"/>
                <w:szCs w:val="24"/>
              </w:rPr>
              <w:t xml:space="preserve"> względem zgodności z otoczeniem prawnym)</w:t>
            </w:r>
            <w:r w:rsidR="00962CBF" w:rsidRPr="006304A3">
              <w:rPr>
                <w:rFonts w:cstheme="minorHAnsi"/>
                <w:color w:val="000000"/>
                <w:sz w:val="24"/>
                <w:szCs w:val="24"/>
              </w:rPr>
              <w:t>,</w:t>
            </w:r>
            <w:r w:rsidRPr="006304A3">
              <w:rPr>
                <w:rFonts w:cstheme="minorHAnsi"/>
                <w:color w:val="000000"/>
                <w:sz w:val="24"/>
                <w:szCs w:val="24"/>
              </w:rPr>
              <w:t xml:space="preserve"> (</w:t>
            </w:r>
            <w:r w:rsidR="00962CBF" w:rsidRPr="006304A3">
              <w:rPr>
                <w:rFonts w:cstheme="minorHAnsi"/>
                <w:color w:val="000000"/>
                <w:sz w:val="24"/>
                <w:szCs w:val="24"/>
              </w:rPr>
              <w:t>w</w:t>
            </w:r>
            <w:r w:rsidRPr="006304A3">
              <w:rPr>
                <w:rFonts w:cstheme="minorHAnsi"/>
                <w:color w:val="000000"/>
                <w:sz w:val="24"/>
                <w:szCs w:val="24"/>
              </w:rPr>
              <w:t>ejście przepisów w życie) przed produkcyjnym uruchomieniem Rozwiązania IT (jeśli dotyczy).</w:t>
            </w:r>
          </w:p>
          <w:p w14:paraId="7A7375EB" w14:textId="3928827B" w:rsidR="00567CB9" w:rsidRPr="006304A3" w:rsidRDefault="00867AC6" w:rsidP="00FA1F6E">
            <w:pPr>
              <w:spacing w:after="360"/>
              <w:rPr>
                <w:rFonts w:cstheme="minorHAnsi"/>
                <w:color w:val="000000"/>
                <w:sz w:val="24"/>
                <w:szCs w:val="24"/>
              </w:rPr>
            </w:pPr>
            <w:r w:rsidRPr="006304A3">
              <w:rPr>
                <w:rFonts w:cstheme="minorHAnsi"/>
                <w:color w:val="000000"/>
                <w:sz w:val="24"/>
                <w:szCs w:val="24"/>
              </w:rPr>
              <w:t>Ostateczny odbiorca wsparcia wykazał, poza obligatoryjnymi kamieniami, inne, istotne w punktu widzenia harmonogramu realizacji Przedsięwzięcia – kamienie milowe. Przykładowe kamienie milowe:</w:t>
            </w:r>
          </w:p>
          <w:p w14:paraId="2EF9A98E" w14:textId="72707760" w:rsidR="00867AC6" w:rsidRPr="006304A3" w:rsidRDefault="00567CB9" w:rsidP="00867AC6">
            <w:pPr>
              <w:pStyle w:val="Akapitzlist"/>
              <w:numPr>
                <w:ilvl w:val="0"/>
                <w:numId w:val="21"/>
              </w:numPr>
              <w:rPr>
                <w:rFonts w:cstheme="minorHAnsi"/>
                <w:color w:val="000000"/>
                <w:sz w:val="24"/>
                <w:szCs w:val="24"/>
              </w:rPr>
            </w:pPr>
            <w:r w:rsidRPr="006304A3">
              <w:rPr>
                <w:rFonts w:cstheme="minorHAnsi"/>
                <w:color w:val="000000"/>
                <w:sz w:val="24"/>
                <w:szCs w:val="24"/>
              </w:rPr>
              <w:t>o</w:t>
            </w:r>
            <w:r w:rsidR="00867AC6" w:rsidRPr="006304A3">
              <w:rPr>
                <w:rFonts w:cstheme="minorHAnsi"/>
                <w:color w:val="000000"/>
                <w:sz w:val="24"/>
                <w:szCs w:val="24"/>
              </w:rPr>
              <w:t>głoszone postępowanie zakupowe/przetargowe na kluczowe Produkty/usługi lub wsparcie eksperckie dla budowy kluczowych Produktów/usług</w:t>
            </w:r>
            <w:r w:rsidRPr="006304A3">
              <w:rPr>
                <w:rFonts w:cstheme="minorHAnsi"/>
                <w:color w:val="000000"/>
                <w:sz w:val="24"/>
                <w:szCs w:val="24"/>
              </w:rPr>
              <w:t>;</w:t>
            </w:r>
          </w:p>
          <w:p w14:paraId="3AEA81EE" w14:textId="5751EC11" w:rsidR="00867AC6" w:rsidRPr="006304A3" w:rsidRDefault="00567CB9" w:rsidP="00867AC6">
            <w:pPr>
              <w:pStyle w:val="Akapitzlist"/>
              <w:numPr>
                <w:ilvl w:val="0"/>
                <w:numId w:val="21"/>
              </w:numPr>
              <w:rPr>
                <w:rFonts w:cstheme="minorHAnsi"/>
                <w:color w:val="000000"/>
                <w:sz w:val="24"/>
                <w:szCs w:val="24"/>
              </w:rPr>
            </w:pPr>
            <w:r w:rsidRPr="006304A3">
              <w:rPr>
                <w:rFonts w:cstheme="minorHAnsi"/>
                <w:color w:val="000000"/>
                <w:sz w:val="24"/>
                <w:szCs w:val="24"/>
              </w:rPr>
              <w:lastRenderedPageBreak/>
              <w:t>o</w:t>
            </w:r>
            <w:r w:rsidR="00867AC6" w:rsidRPr="006304A3">
              <w:rPr>
                <w:rFonts w:cstheme="minorHAnsi"/>
                <w:color w:val="000000"/>
                <w:sz w:val="24"/>
                <w:szCs w:val="24"/>
              </w:rPr>
              <w:t>pracowany projekt funkcjonalny/opracowana koncepcja biznesowo-techniczna/opracowana architektura systemu/wykonana analiza przedwdrożeniowa Rozwiązania IT</w:t>
            </w:r>
            <w:r w:rsidRPr="006304A3">
              <w:rPr>
                <w:rFonts w:cstheme="minorHAnsi"/>
                <w:color w:val="000000"/>
                <w:sz w:val="24"/>
                <w:szCs w:val="24"/>
              </w:rPr>
              <w:t>;</w:t>
            </w:r>
          </w:p>
          <w:p w14:paraId="51875D07" w14:textId="620269F7" w:rsidR="00867AC6" w:rsidRPr="006304A3" w:rsidRDefault="00567CB9" w:rsidP="00867AC6">
            <w:pPr>
              <w:pStyle w:val="Akapitzlist"/>
              <w:numPr>
                <w:ilvl w:val="0"/>
                <w:numId w:val="21"/>
              </w:numPr>
              <w:rPr>
                <w:rFonts w:cstheme="minorHAnsi"/>
                <w:color w:val="000000"/>
                <w:sz w:val="24"/>
                <w:szCs w:val="24"/>
              </w:rPr>
            </w:pPr>
            <w:r w:rsidRPr="006304A3">
              <w:rPr>
                <w:rFonts w:cstheme="minorHAnsi"/>
                <w:color w:val="000000"/>
                <w:sz w:val="24"/>
                <w:szCs w:val="24"/>
              </w:rPr>
              <w:t>p</w:t>
            </w:r>
            <w:r w:rsidR="00867AC6" w:rsidRPr="006304A3">
              <w:rPr>
                <w:rFonts w:cstheme="minorHAnsi"/>
                <w:color w:val="000000"/>
                <w:sz w:val="24"/>
                <w:szCs w:val="24"/>
              </w:rPr>
              <w:t>rzetestowany prototyp Rozwiązania IT</w:t>
            </w:r>
            <w:r w:rsidRPr="006304A3">
              <w:rPr>
                <w:rFonts w:cstheme="minorHAnsi"/>
                <w:color w:val="000000"/>
                <w:sz w:val="24"/>
                <w:szCs w:val="24"/>
              </w:rPr>
              <w:t>;</w:t>
            </w:r>
          </w:p>
          <w:p w14:paraId="5108C004" w14:textId="10002F24" w:rsidR="00867AC6" w:rsidRPr="006304A3" w:rsidRDefault="00567CB9" w:rsidP="00867AC6">
            <w:pPr>
              <w:pStyle w:val="Akapitzlist"/>
              <w:numPr>
                <w:ilvl w:val="0"/>
                <w:numId w:val="21"/>
              </w:numPr>
              <w:rPr>
                <w:rFonts w:cstheme="minorHAnsi"/>
                <w:color w:val="000000"/>
                <w:sz w:val="24"/>
                <w:szCs w:val="24"/>
              </w:rPr>
            </w:pPr>
            <w:r w:rsidRPr="006304A3">
              <w:rPr>
                <w:rFonts w:cstheme="minorHAnsi"/>
                <w:color w:val="000000"/>
                <w:sz w:val="24"/>
                <w:szCs w:val="24"/>
              </w:rPr>
              <w:t>a</w:t>
            </w:r>
            <w:r w:rsidR="00867AC6" w:rsidRPr="006304A3">
              <w:rPr>
                <w:rFonts w:cstheme="minorHAnsi"/>
                <w:color w:val="000000"/>
                <w:sz w:val="24"/>
                <w:szCs w:val="24"/>
              </w:rPr>
              <w:t xml:space="preserve">udyt Rozwiązania IT w celu sprawdzenia wypełnienia co najmniej ustawowych wymagań dostępności cyfrowej dla podmiotów realizujących zadania publiczne oraz wymagania aktualnego standardu WCAG (Web Content Accessibility </w:t>
            </w:r>
            <w:proofErr w:type="spellStart"/>
            <w:r w:rsidR="00867AC6" w:rsidRPr="006304A3">
              <w:rPr>
                <w:rFonts w:cstheme="minorHAnsi"/>
                <w:color w:val="000000"/>
                <w:sz w:val="24"/>
                <w:szCs w:val="24"/>
              </w:rPr>
              <w:t>Guidelines</w:t>
            </w:r>
            <w:proofErr w:type="spellEnd"/>
            <w:r w:rsidR="00867AC6" w:rsidRPr="006304A3">
              <w:rPr>
                <w:rFonts w:cstheme="minorHAnsi"/>
                <w:color w:val="000000"/>
                <w:sz w:val="24"/>
                <w:szCs w:val="24"/>
              </w:rPr>
              <w:t>)</w:t>
            </w:r>
            <w:r w:rsidRPr="006304A3">
              <w:rPr>
                <w:rFonts w:cstheme="minorHAnsi"/>
                <w:color w:val="000000"/>
                <w:sz w:val="24"/>
                <w:szCs w:val="24"/>
              </w:rPr>
              <w:t>;</w:t>
            </w:r>
          </w:p>
          <w:p w14:paraId="57BB3790" w14:textId="0A69637D" w:rsidR="00867AC6" w:rsidRPr="006304A3" w:rsidRDefault="00567CB9" w:rsidP="00867AC6">
            <w:pPr>
              <w:pStyle w:val="Akapitzlist"/>
              <w:numPr>
                <w:ilvl w:val="0"/>
                <w:numId w:val="21"/>
              </w:numPr>
              <w:rPr>
                <w:rFonts w:cstheme="minorHAnsi"/>
                <w:color w:val="000000"/>
                <w:sz w:val="24"/>
                <w:szCs w:val="24"/>
              </w:rPr>
            </w:pPr>
            <w:r w:rsidRPr="006304A3">
              <w:rPr>
                <w:rFonts w:cstheme="minorHAnsi"/>
                <w:color w:val="000000"/>
                <w:sz w:val="24"/>
                <w:szCs w:val="24"/>
              </w:rPr>
              <w:t>p</w:t>
            </w:r>
            <w:r w:rsidR="00867AC6" w:rsidRPr="006304A3">
              <w:rPr>
                <w:rFonts w:cstheme="minorHAnsi"/>
                <w:color w:val="000000"/>
                <w:sz w:val="24"/>
                <w:szCs w:val="24"/>
              </w:rPr>
              <w:t>rzygotowana infrastruktura techniczna dla potrzeb realizacji Przedsięwzięcia</w:t>
            </w:r>
            <w:r w:rsidRPr="006304A3">
              <w:rPr>
                <w:rFonts w:cstheme="minorHAnsi"/>
                <w:color w:val="000000"/>
                <w:sz w:val="24"/>
                <w:szCs w:val="24"/>
              </w:rPr>
              <w:t>;</w:t>
            </w:r>
          </w:p>
          <w:p w14:paraId="444F6E8C" w14:textId="37815B9C" w:rsidR="00867AC6" w:rsidRPr="006304A3" w:rsidRDefault="00567CB9" w:rsidP="00867AC6">
            <w:pPr>
              <w:pStyle w:val="Akapitzlist"/>
              <w:numPr>
                <w:ilvl w:val="0"/>
                <w:numId w:val="21"/>
              </w:numPr>
              <w:rPr>
                <w:rFonts w:cstheme="minorHAnsi"/>
                <w:color w:val="000000"/>
                <w:sz w:val="24"/>
                <w:szCs w:val="24"/>
              </w:rPr>
            </w:pPr>
            <w:r w:rsidRPr="006304A3">
              <w:rPr>
                <w:rFonts w:cstheme="minorHAnsi"/>
                <w:color w:val="000000"/>
                <w:sz w:val="24"/>
                <w:szCs w:val="24"/>
              </w:rPr>
              <w:t>z</w:t>
            </w:r>
            <w:r w:rsidR="00867AC6" w:rsidRPr="006304A3">
              <w:rPr>
                <w:rFonts w:cstheme="minorHAnsi"/>
                <w:color w:val="000000"/>
                <w:sz w:val="24"/>
                <w:szCs w:val="24"/>
              </w:rPr>
              <w:t>aakceptowane testy akceptacyjne etapu/Rozwiązania IT</w:t>
            </w:r>
            <w:r w:rsidRPr="006304A3">
              <w:rPr>
                <w:rFonts w:cstheme="minorHAnsi"/>
                <w:color w:val="000000"/>
                <w:sz w:val="24"/>
                <w:szCs w:val="24"/>
              </w:rPr>
              <w:t>;</w:t>
            </w:r>
          </w:p>
          <w:p w14:paraId="53B6AF9F" w14:textId="56357230" w:rsidR="00867AC6" w:rsidRPr="006304A3" w:rsidRDefault="00567CB9" w:rsidP="00867AC6">
            <w:pPr>
              <w:pStyle w:val="Akapitzlist"/>
              <w:numPr>
                <w:ilvl w:val="0"/>
                <w:numId w:val="21"/>
              </w:numPr>
              <w:rPr>
                <w:rFonts w:cstheme="minorHAnsi"/>
                <w:color w:val="000000"/>
                <w:sz w:val="24"/>
                <w:szCs w:val="24"/>
              </w:rPr>
            </w:pPr>
            <w:r w:rsidRPr="006304A3">
              <w:rPr>
                <w:rFonts w:cstheme="minorHAnsi"/>
                <w:color w:val="000000"/>
                <w:sz w:val="24"/>
                <w:szCs w:val="24"/>
              </w:rPr>
              <w:t>u</w:t>
            </w:r>
            <w:r w:rsidR="00867AC6" w:rsidRPr="006304A3">
              <w:rPr>
                <w:rFonts w:cstheme="minorHAnsi"/>
                <w:color w:val="000000"/>
                <w:sz w:val="24"/>
                <w:szCs w:val="24"/>
              </w:rPr>
              <w:t>dostępniona e-usługa publiczna/określona funkcjonalność/Rozwiązanie IT</w:t>
            </w:r>
            <w:r w:rsidRPr="006304A3">
              <w:rPr>
                <w:rFonts w:cstheme="minorHAnsi"/>
                <w:color w:val="000000"/>
                <w:sz w:val="24"/>
                <w:szCs w:val="24"/>
              </w:rPr>
              <w:t>;</w:t>
            </w:r>
          </w:p>
          <w:p w14:paraId="227C4FF7" w14:textId="58AB7694" w:rsidR="00867AC6" w:rsidRPr="006304A3" w:rsidRDefault="00567CB9" w:rsidP="00867AC6">
            <w:pPr>
              <w:pStyle w:val="Akapitzlist"/>
              <w:numPr>
                <w:ilvl w:val="0"/>
                <w:numId w:val="21"/>
              </w:numPr>
              <w:rPr>
                <w:rFonts w:cstheme="minorHAnsi"/>
                <w:color w:val="000000"/>
                <w:sz w:val="24"/>
                <w:szCs w:val="24"/>
              </w:rPr>
            </w:pPr>
            <w:r w:rsidRPr="006304A3">
              <w:rPr>
                <w:rFonts w:cstheme="minorHAnsi"/>
                <w:color w:val="000000"/>
                <w:sz w:val="24"/>
                <w:szCs w:val="24"/>
              </w:rPr>
              <w:t>w</w:t>
            </w:r>
            <w:r w:rsidR="00867AC6" w:rsidRPr="006304A3">
              <w:rPr>
                <w:rFonts w:cstheme="minorHAnsi"/>
                <w:color w:val="000000"/>
                <w:sz w:val="24"/>
                <w:szCs w:val="24"/>
              </w:rPr>
              <w:t>drożona integracja Rozwiązania IT z systemami zewnętrznymi</w:t>
            </w:r>
            <w:r w:rsidRPr="006304A3">
              <w:rPr>
                <w:rFonts w:cstheme="minorHAnsi"/>
                <w:color w:val="000000"/>
                <w:sz w:val="24"/>
                <w:szCs w:val="24"/>
              </w:rPr>
              <w:t>;</w:t>
            </w:r>
          </w:p>
          <w:p w14:paraId="16146B1C" w14:textId="5EFF4D1B" w:rsidR="00867AC6" w:rsidRPr="006304A3" w:rsidRDefault="00567CB9" w:rsidP="00867AC6">
            <w:pPr>
              <w:pStyle w:val="Akapitzlist"/>
              <w:numPr>
                <w:ilvl w:val="0"/>
                <w:numId w:val="21"/>
              </w:numPr>
              <w:rPr>
                <w:rFonts w:cstheme="minorHAnsi"/>
                <w:color w:val="000000"/>
                <w:sz w:val="24"/>
                <w:szCs w:val="24"/>
              </w:rPr>
            </w:pPr>
            <w:r w:rsidRPr="006304A3">
              <w:rPr>
                <w:rFonts w:cstheme="minorHAnsi"/>
                <w:color w:val="000000"/>
                <w:sz w:val="24"/>
                <w:szCs w:val="24"/>
              </w:rPr>
              <w:t>o</w:t>
            </w:r>
            <w:r w:rsidR="00867AC6" w:rsidRPr="006304A3">
              <w:rPr>
                <w:rFonts w:cstheme="minorHAnsi"/>
                <w:color w:val="000000"/>
                <w:sz w:val="24"/>
                <w:szCs w:val="24"/>
              </w:rPr>
              <w:t>debrana dokumentacja wdrożeniowa Rozwiązania IT</w:t>
            </w:r>
            <w:r w:rsidRPr="006304A3">
              <w:rPr>
                <w:rFonts w:cstheme="minorHAnsi"/>
                <w:color w:val="000000"/>
                <w:sz w:val="24"/>
                <w:szCs w:val="24"/>
              </w:rPr>
              <w:t>;</w:t>
            </w:r>
          </w:p>
          <w:p w14:paraId="52BB3D8A" w14:textId="440F929F" w:rsidR="00867AC6" w:rsidRPr="00FA1F6E" w:rsidRDefault="00567CB9" w:rsidP="00FA1F6E">
            <w:pPr>
              <w:pStyle w:val="Akapitzlist"/>
              <w:numPr>
                <w:ilvl w:val="0"/>
                <w:numId w:val="21"/>
              </w:numPr>
              <w:spacing w:after="360"/>
              <w:ind w:left="714" w:hanging="357"/>
              <w:rPr>
                <w:rFonts w:cstheme="minorHAnsi"/>
                <w:color w:val="000000"/>
                <w:sz w:val="24"/>
                <w:szCs w:val="24"/>
              </w:rPr>
            </w:pPr>
            <w:r w:rsidRPr="006304A3">
              <w:rPr>
                <w:rFonts w:cstheme="minorHAnsi"/>
                <w:color w:val="000000"/>
                <w:sz w:val="24"/>
                <w:szCs w:val="24"/>
              </w:rPr>
              <w:t>z</w:t>
            </w:r>
            <w:r w:rsidR="00867AC6" w:rsidRPr="006304A3">
              <w:rPr>
                <w:rFonts w:cstheme="minorHAnsi"/>
                <w:color w:val="000000"/>
                <w:sz w:val="24"/>
                <w:szCs w:val="24"/>
              </w:rPr>
              <w:t>akończone działania promocyjne Przedsięwzięcia.</w:t>
            </w:r>
          </w:p>
          <w:p w14:paraId="2B3C9700" w14:textId="77777777" w:rsidR="00867AC6" w:rsidRPr="006304A3" w:rsidRDefault="00867AC6" w:rsidP="00867AC6">
            <w:pPr>
              <w:rPr>
                <w:rFonts w:cstheme="minorHAnsi"/>
                <w:color w:val="000000"/>
                <w:sz w:val="24"/>
                <w:szCs w:val="24"/>
              </w:rPr>
            </w:pPr>
            <w:r w:rsidRPr="006304A3">
              <w:rPr>
                <w:rFonts w:cstheme="minorHAnsi"/>
                <w:color w:val="000000"/>
                <w:sz w:val="24"/>
                <w:szCs w:val="24"/>
              </w:rPr>
              <w:t xml:space="preserve">Wskazówki: </w:t>
            </w:r>
          </w:p>
          <w:p w14:paraId="59643854" w14:textId="4E79AF98" w:rsidR="00867AC6" w:rsidRPr="006304A3" w:rsidRDefault="00867AC6" w:rsidP="00867AC6">
            <w:pPr>
              <w:rPr>
                <w:rFonts w:cstheme="minorHAnsi"/>
                <w:color w:val="000000"/>
                <w:sz w:val="24"/>
                <w:szCs w:val="24"/>
              </w:rPr>
            </w:pPr>
            <w:r w:rsidRPr="006304A3">
              <w:rPr>
                <w:rFonts w:cstheme="minorHAnsi"/>
                <w:color w:val="000000"/>
                <w:sz w:val="24"/>
                <w:szCs w:val="24"/>
              </w:rPr>
              <w:t>Rekomendowane jest, aby na każdy kwartał realizacji Przedsięwzięcia przypadał co najmniej jeden kamień milowy.</w:t>
            </w:r>
          </w:p>
        </w:tc>
        <w:tc>
          <w:tcPr>
            <w:tcW w:w="1247" w:type="dxa"/>
            <w:tcBorders>
              <w:bottom w:val="single" w:sz="4" w:space="0" w:color="auto"/>
            </w:tcBorders>
            <w:shd w:val="clear" w:color="auto" w:fill="FFFFFF" w:themeFill="background1"/>
            <w:vAlign w:val="center"/>
          </w:tcPr>
          <w:p w14:paraId="74D1DD55" w14:textId="4140D072" w:rsidR="00867AC6" w:rsidRPr="006304A3" w:rsidRDefault="00867AC6" w:rsidP="00867AC6">
            <w:pPr>
              <w:jc w:val="center"/>
              <w:rPr>
                <w:rFonts w:cstheme="minorHAnsi"/>
                <w:color w:val="000000"/>
                <w:sz w:val="24"/>
                <w:szCs w:val="24"/>
              </w:rPr>
            </w:pPr>
            <w:r w:rsidRPr="006304A3">
              <w:rPr>
                <w:rFonts w:cstheme="minorHAnsi"/>
                <w:color w:val="000000"/>
                <w:sz w:val="24"/>
                <w:szCs w:val="24"/>
              </w:rPr>
              <w:lastRenderedPageBreak/>
              <w:t>0/1</w:t>
            </w:r>
          </w:p>
        </w:tc>
      </w:tr>
      <w:tr w:rsidR="00867AC6" w:rsidRPr="00A640DA" w14:paraId="704C066C" w14:textId="77777777" w:rsidTr="00800A89">
        <w:trPr>
          <w:trHeight w:val="983"/>
        </w:trPr>
        <w:tc>
          <w:tcPr>
            <w:tcW w:w="782" w:type="dxa"/>
            <w:tcBorders>
              <w:bottom w:val="single" w:sz="4" w:space="0" w:color="auto"/>
            </w:tcBorders>
            <w:shd w:val="clear" w:color="auto" w:fill="FFFFFF" w:themeFill="background1"/>
            <w:vAlign w:val="center"/>
          </w:tcPr>
          <w:p w14:paraId="2B99BE13" w14:textId="784F2A6B" w:rsidR="00867AC6" w:rsidRPr="006304A3" w:rsidRDefault="002C4C0F" w:rsidP="00867AC6">
            <w:pPr>
              <w:jc w:val="center"/>
              <w:rPr>
                <w:rFonts w:cstheme="minorHAnsi"/>
                <w:b/>
                <w:bCs/>
                <w:color w:val="000000"/>
                <w:sz w:val="24"/>
                <w:szCs w:val="24"/>
              </w:rPr>
            </w:pPr>
            <w:r w:rsidRPr="006304A3">
              <w:rPr>
                <w:rFonts w:cstheme="minorHAnsi"/>
                <w:b/>
                <w:bCs/>
                <w:color w:val="000000"/>
                <w:sz w:val="24"/>
                <w:szCs w:val="24"/>
              </w:rPr>
              <w:t>17</w:t>
            </w:r>
          </w:p>
        </w:tc>
        <w:tc>
          <w:tcPr>
            <w:tcW w:w="2540" w:type="dxa"/>
            <w:tcBorders>
              <w:bottom w:val="single" w:sz="4" w:space="0" w:color="auto"/>
            </w:tcBorders>
            <w:shd w:val="clear" w:color="auto" w:fill="FFFFFF" w:themeFill="background1"/>
          </w:tcPr>
          <w:p w14:paraId="441DA0C4" w14:textId="44A48F62" w:rsidR="00867AC6" w:rsidRPr="006304A3" w:rsidRDefault="00867AC6" w:rsidP="00867AC6">
            <w:pPr>
              <w:rPr>
                <w:rFonts w:cstheme="minorHAnsi"/>
                <w:b/>
                <w:bCs/>
                <w:sz w:val="24"/>
                <w:szCs w:val="24"/>
              </w:rPr>
            </w:pPr>
            <w:r w:rsidRPr="006304A3">
              <w:rPr>
                <w:rFonts w:cstheme="minorHAnsi"/>
                <w:b/>
                <w:bCs/>
                <w:sz w:val="24"/>
                <w:szCs w:val="24"/>
              </w:rPr>
              <w:t>Właściwie zidentyfikowano Grupy docelowe, dla których realizowane jest Przedsięwzięcie, ich liczebność i problemy</w:t>
            </w:r>
          </w:p>
        </w:tc>
        <w:tc>
          <w:tcPr>
            <w:tcW w:w="9027" w:type="dxa"/>
            <w:tcBorders>
              <w:bottom w:val="single" w:sz="4" w:space="0" w:color="auto"/>
            </w:tcBorders>
            <w:shd w:val="clear" w:color="auto" w:fill="FFFFFF" w:themeFill="background1"/>
          </w:tcPr>
          <w:p w14:paraId="52868420" w14:textId="60AD1454" w:rsidR="00867AC6" w:rsidRPr="006304A3" w:rsidRDefault="00867AC6" w:rsidP="00FA1F6E">
            <w:pPr>
              <w:spacing w:after="360"/>
              <w:rPr>
                <w:rFonts w:cstheme="minorHAnsi"/>
                <w:color w:val="000000"/>
                <w:sz w:val="24"/>
                <w:szCs w:val="24"/>
              </w:rPr>
            </w:pPr>
            <w:r w:rsidRPr="006304A3">
              <w:rPr>
                <w:rFonts w:cstheme="minorHAnsi"/>
                <w:color w:val="000000"/>
                <w:sz w:val="24"/>
                <w:szCs w:val="24"/>
              </w:rPr>
              <w:t>Przedsięwzięcie stanowi odpowiedź na zidentyfikowane potrzeby lub problemy Grup docelowych, w szczególności wynikających z negatywnych skutków wystąpienia epidemii Covid-19.</w:t>
            </w:r>
          </w:p>
          <w:p w14:paraId="27EBC6D3" w14:textId="63E12041" w:rsidR="00867AC6" w:rsidRPr="006304A3" w:rsidRDefault="00867AC6" w:rsidP="00FA1F6E">
            <w:pPr>
              <w:spacing w:after="360"/>
              <w:rPr>
                <w:rFonts w:cstheme="minorHAnsi"/>
                <w:color w:val="000000"/>
                <w:sz w:val="24"/>
                <w:szCs w:val="24"/>
              </w:rPr>
            </w:pPr>
            <w:r w:rsidRPr="006304A3">
              <w:rPr>
                <w:rFonts w:cstheme="minorHAnsi"/>
                <w:color w:val="000000"/>
                <w:sz w:val="24"/>
                <w:szCs w:val="24"/>
              </w:rPr>
              <w:t xml:space="preserve">Poprawnie zidentyfikowano Grupy docelowe. </w:t>
            </w:r>
          </w:p>
          <w:p w14:paraId="346443FA" w14:textId="6E206DD2" w:rsidR="00867AC6" w:rsidRPr="006304A3" w:rsidRDefault="00867AC6" w:rsidP="00FA1F6E">
            <w:pPr>
              <w:spacing w:after="360"/>
              <w:rPr>
                <w:rFonts w:cstheme="minorHAnsi"/>
                <w:color w:val="000000"/>
                <w:sz w:val="24"/>
                <w:szCs w:val="24"/>
              </w:rPr>
            </w:pPr>
            <w:r w:rsidRPr="006304A3">
              <w:rPr>
                <w:rFonts w:cstheme="minorHAnsi"/>
                <w:color w:val="000000"/>
                <w:sz w:val="24"/>
                <w:szCs w:val="24"/>
              </w:rPr>
              <w:t>Poprawnie oszacowano liczebność Grup docelowych.</w:t>
            </w:r>
          </w:p>
          <w:p w14:paraId="421D11E6" w14:textId="77777777" w:rsidR="00FA1F6E" w:rsidRDefault="00867AC6" w:rsidP="00FA1F6E">
            <w:pPr>
              <w:spacing w:after="360"/>
              <w:rPr>
                <w:rFonts w:cstheme="minorHAnsi"/>
                <w:color w:val="000000"/>
                <w:sz w:val="24"/>
                <w:szCs w:val="24"/>
              </w:rPr>
            </w:pPr>
            <w:r w:rsidRPr="006304A3">
              <w:rPr>
                <w:rFonts w:cstheme="minorHAnsi"/>
                <w:color w:val="000000"/>
                <w:sz w:val="24"/>
                <w:szCs w:val="24"/>
              </w:rPr>
              <w:lastRenderedPageBreak/>
              <w:t>Wykonano analizę problemów i potrzeb Grup docelowych, w szczególności w sytuacji epidemii Covid-19 oraz wykazano, że Przedsięwzięcie odpowiada na te problemy i potrzeby.</w:t>
            </w:r>
          </w:p>
          <w:p w14:paraId="3FAD4C14" w14:textId="5D813D64" w:rsidR="00867AC6" w:rsidRPr="006304A3" w:rsidRDefault="00867AC6" w:rsidP="00867AC6">
            <w:pPr>
              <w:rPr>
                <w:rFonts w:cstheme="minorHAnsi"/>
                <w:color w:val="000000"/>
                <w:sz w:val="24"/>
                <w:szCs w:val="24"/>
              </w:rPr>
            </w:pPr>
            <w:r w:rsidRPr="006304A3">
              <w:rPr>
                <w:rFonts w:cstheme="minorHAnsi"/>
                <w:color w:val="000000"/>
                <w:sz w:val="24"/>
                <w:szCs w:val="24"/>
              </w:rPr>
              <w:t>Zastosowano powszechnie znane metody badawcze do identyfikacji potrzeb i liczebności Grup docelowych.</w:t>
            </w:r>
          </w:p>
        </w:tc>
        <w:tc>
          <w:tcPr>
            <w:tcW w:w="1247" w:type="dxa"/>
            <w:tcBorders>
              <w:bottom w:val="single" w:sz="4" w:space="0" w:color="auto"/>
            </w:tcBorders>
            <w:shd w:val="clear" w:color="auto" w:fill="FFFFFF" w:themeFill="background1"/>
            <w:vAlign w:val="center"/>
          </w:tcPr>
          <w:p w14:paraId="764C830A" w14:textId="7411A930" w:rsidR="00867AC6" w:rsidRPr="006304A3" w:rsidRDefault="00867AC6" w:rsidP="00867AC6">
            <w:pPr>
              <w:jc w:val="center"/>
              <w:rPr>
                <w:rFonts w:cstheme="minorHAnsi"/>
                <w:color w:val="000000"/>
                <w:sz w:val="24"/>
                <w:szCs w:val="24"/>
              </w:rPr>
            </w:pPr>
            <w:r w:rsidRPr="006304A3">
              <w:rPr>
                <w:rFonts w:cstheme="minorHAnsi"/>
                <w:color w:val="000000"/>
                <w:sz w:val="24"/>
                <w:szCs w:val="24"/>
              </w:rPr>
              <w:lastRenderedPageBreak/>
              <w:t>0/1</w:t>
            </w:r>
          </w:p>
        </w:tc>
      </w:tr>
      <w:tr w:rsidR="00867AC6" w:rsidRPr="00A640DA" w14:paraId="33C183E5" w14:textId="77777777" w:rsidTr="00800A89">
        <w:trPr>
          <w:trHeight w:val="983"/>
        </w:trPr>
        <w:tc>
          <w:tcPr>
            <w:tcW w:w="782" w:type="dxa"/>
            <w:tcBorders>
              <w:bottom w:val="single" w:sz="4" w:space="0" w:color="auto"/>
            </w:tcBorders>
            <w:shd w:val="clear" w:color="auto" w:fill="FFFFFF" w:themeFill="background1"/>
            <w:vAlign w:val="center"/>
          </w:tcPr>
          <w:p w14:paraId="084931A8" w14:textId="7FA665E5" w:rsidR="00867AC6" w:rsidRPr="006304A3" w:rsidRDefault="00867AC6" w:rsidP="00867AC6">
            <w:pPr>
              <w:jc w:val="center"/>
              <w:rPr>
                <w:rFonts w:cstheme="minorHAnsi"/>
                <w:b/>
                <w:bCs/>
                <w:color w:val="000000"/>
                <w:sz w:val="24"/>
                <w:szCs w:val="24"/>
              </w:rPr>
            </w:pPr>
            <w:r w:rsidRPr="006304A3">
              <w:rPr>
                <w:rFonts w:cstheme="minorHAnsi"/>
                <w:b/>
                <w:bCs/>
                <w:color w:val="000000"/>
                <w:sz w:val="24"/>
                <w:szCs w:val="24"/>
              </w:rPr>
              <w:t>1</w:t>
            </w:r>
            <w:r w:rsidR="002C4C0F" w:rsidRPr="006304A3">
              <w:rPr>
                <w:rFonts w:cstheme="minorHAnsi"/>
                <w:b/>
                <w:bCs/>
                <w:color w:val="000000"/>
                <w:sz w:val="24"/>
                <w:szCs w:val="24"/>
              </w:rPr>
              <w:t>8</w:t>
            </w:r>
          </w:p>
        </w:tc>
        <w:tc>
          <w:tcPr>
            <w:tcW w:w="2540" w:type="dxa"/>
            <w:tcBorders>
              <w:bottom w:val="single" w:sz="4" w:space="0" w:color="auto"/>
            </w:tcBorders>
            <w:shd w:val="clear" w:color="auto" w:fill="FFFFFF" w:themeFill="background1"/>
          </w:tcPr>
          <w:p w14:paraId="7B029D9E" w14:textId="5C3FDDCB" w:rsidR="00867AC6" w:rsidRPr="006304A3" w:rsidRDefault="00867AC6" w:rsidP="00867AC6">
            <w:pPr>
              <w:rPr>
                <w:rFonts w:cstheme="minorHAnsi"/>
                <w:b/>
                <w:bCs/>
                <w:sz w:val="24"/>
                <w:szCs w:val="24"/>
              </w:rPr>
            </w:pPr>
            <w:r w:rsidRPr="006304A3">
              <w:rPr>
                <w:rFonts w:cstheme="minorHAnsi"/>
                <w:b/>
                <w:bCs/>
                <w:sz w:val="24"/>
                <w:szCs w:val="24"/>
              </w:rPr>
              <w:t>Przedsięwzięcie i jego Produkty są zorientowane na użytkownika</w:t>
            </w:r>
          </w:p>
        </w:tc>
        <w:tc>
          <w:tcPr>
            <w:tcW w:w="9027" w:type="dxa"/>
            <w:tcBorders>
              <w:bottom w:val="single" w:sz="4" w:space="0" w:color="auto"/>
            </w:tcBorders>
            <w:shd w:val="clear" w:color="auto" w:fill="FFFFFF" w:themeFill="background1"/>
          </w:tcPr>
          <w:p w14:paraId="001E19D2" w14:textId="1E1CDA23" w:rsidR="00867AC6" w:rsidRPr="006304A3" w:rsidRDefault="00867AC6" w:rsidP="00FA1F6E">
            <w:pPr>
              <w:spacing w:after="360"/>
              <w:rPr>
                <w:rFonts w:cstheme="minorHAnsi"/>
                <w:color w:val="000000"/>
                <w:sz w:val="24"/>
                <w:szCs w:val="24"/>
              </w:rPr>
            </w:pPr>
            <w:r w:rsidRPr="006304A3">
              <w:rPr>
                <w:rFonts w:cstheme="minorHAnsi"/>
                <w:color w:val="000000"/>
                <w:sz w:val="24"/>
                <w:szCs w:val="24"/>
              </w:rPr>
              <w:t>Ostateczny odbiorca wsparcia przedstawił koncepcję pracy z użytkownikiem (w ramach zidentyfikowanych Grup docelowych) podczas realizacji Rozwiązania IT (dla wszystkich faz/etapów realizacji Rozwiązania IT).</w:t>
            </w:r>
          </w:p>
          <w:p w14:paraId="7DD14657" w14:textId="0CB85ED0" w:rsidR="00867AC6" w:rsidRPr="006304A3" w:rsidRDefault="00867AC6" w:rsidP="00FA1F6E">
            <w:pPr>
              <w:spacing w:after="360"/>
              <w:rPr>
                <w:rFonts w:cstheme="minorHAnsi"/>
                <w:color w:val="000000"/>
                <w:sz w:val="24"/>
                <w:szCs w:val="24"/>
              </w:rPr>
            </w:pPr>
            <w:r w:rsidRPr="006304A3">
              <w:rPr>
                <w:rFonts w:cstheme="minorHAnsi"/>
                <w:color w:val="000000"/>
                <w:sz w:val="24"/>
                <w:szCs w:val="24"/>
              </w:rPr>
              <w:t xml:space="preserve">Ostateczny odbiorca wsparcia zapewnił, że Rozwiązanie IT będzie przechodzić iteracyjny proces projektowania, badania użyteczności i optymalizacji, ze szczególnym uwzględnieniem zasad Service design, co najmniej od pierwszego wydania Rozwiązania IT, po objęciu Przedsięwzięcia wsparciem finansowym w ramach </w:t>
            </w:r>
            <w:r w:rsidRPr="00EC6F10">
              <w:rPr>
                <w:rFonts w:cstheme="minorHAnsi"/>
                <w:color w:val="000000"/>
                <w:sz w:val="24"/>
                <w:szCs w:val="24"/>
              </w:rPr>
              <w:t xml:space="preserve">Planu </w:t>
            </w:r>
            <w:r w:rsidR="00D34084" w:rsidRPr="00EC6F10">
              <w:rPr>
                <w:rFonts w:cstheme="minorHAnsi"/>
                <w:color w:val="000000"/>
                <w:sz w:val="24"/>
                <w:szCs w:val="24"/>
              </w:rPr>
              <w:t>rozwojowego</w:t>
            </w:r>
            <w:r w:rsidR="00D34084" w:rsidRPr="006304A3">
              <w:rPr>
                <w:rFonts w:cstheme="minorHAnsi"/>
                <w:color w:val="000000"/>
                <w:sz w:val="24"/>
                <w:szCs w:val="24"/>
              </w:rPr>
              <w:t xml:space="preserve"> (</w:t>
            </w:r>
            <w:r w:rsidRPr="006304A3">
              <w:rPr>
                <w:rFonts w:cstheme="minorHAnsi"/>
                <w:color w:val="000000"/>
                <w:sz w:val="24"/>
                <w:szCs w:val="24"/>
              </w:rPr>
              <w:t>jeśli pozwalają na to ramy czasowe Przedsięwzięcia oraz jeżeli ma to zastosowanie w danym Przedsięwzięciu)</w:t>
            </w:r>
            <w:r w:rsidR="00FA1F6E">
              <w:rPr>
                <w:rFonts w:cstheme="minorHAnsi"/>
                <w:color w:val="000000"/>
                <w:sz w:val="24"/>
                <w:szCs w:val="24"/>
              </w:rPr>
              <w:t>.</w:t>
            </w:r>
          </w:p>
          <w:p w14:paraId="56148503" w14:textId="2E438EE3" w:rsidR="00867AC6" w:rsidRPr="006304A3" w:rsidRDefault="00867AC6" w:rsidP="00FA1F6E">
            <w:pPr>
              <w:spacing w:after="360"/>
              <w:rPr>
                <w:rFonts w:cstheme="minorHAnsi"/>
                <w:color w:val="000000"/>
                <w:sz w:val="24"/>
                <w:szCs w:val="24"/>
              </w:rPr>
            </w:pPr>
            <w:r w:rsidRPr="006304A3">
              <w:rPr>
                <w:rFonts w:cstheme="minorHAnsi"/>
                <w:color w:val="000000"/>
                <w:sz w:val="24"/>
                <w:szCs w:val="24"/>
              </w:rPr>
              <w:t>W przypadkach, w których Ostateczny odbiorca wsparcia wskazuje na brak konieczności współpracy z użytkownikiem w procesie realizacji Rozwiązania IT, wymaga to gruntownego uzasadnienia.</w:t>
            </w:r>
          </w:p>
          <w:p w14:paraId="2E65C151" w14:textId="6C3FAE56" w:rsidR="00867AC6" w:rsidRPr="006304A3" w:rsidRDefault="00867AC6" w:rsidP="00867AC6">
            <w:pPr>
              <w:rPr>
                <w:rFonts w:cstheme="minorHAnsi"/>
                <w:color w:val="000000"/>
                <w:sz w:val="24"/>
                <w:szCs w:val="24"/>
              </w:rPr>
            </w:pPr>
            <w:r w:rsidRPr="006304A3">
              <w:rPr>
                <w:rFonts w:cstheme="minorHAnsi"/>
                <w:color w:val="000000"/>
                <w:sz w:val="24"/>
                <w:szCs w:val="24"/>
              </w:rPr>
              <w:t>Ostateczny odbiorca wsparcia zapewnił, że dobór przedstawicieli do Grup docelowych odbędzie się z poszanowaniem zasady równości szans i niedyskryminacji oraz zasad równości szans kobiet i mężczyzn.</w:t>
            </w:r>
          </w:p>
        </w:tc>
        <w:tc>
          <w:tcPr>
            <w:tcW w:w="1247" w:type="dxa"/>
            <w:tcBorders>
              <w:bottom w:val="single" w:sz="4" w:space="0" w:color="auto"/>
            </w:tcBorders>
            <w:shd w:val="clear" w:color="auto" w:fill="FFFFFF" w:themeFill="background1"/>
            <w:vAlign w:val="center"/>
          </w:tcPr>
          <w:p w14:paraId="10B61147" w14:textId="6E898C4A" w:rsidR="00867AC6" w:rsidRPr="006304A3" w:rsidRDefault="00867AC6" w:rsidP="00867AC6">
            <w:pPr>
              <w:jc w:val="center"/>
              <w:rPr>
                <w:rFonts w:cstheme="minorHAnsi"/>
                <w:color w:val="000000"/>
                <w:sz w:val="24"/>
                <w:szCs w:val="24"/>
              </w:rPr>
            </w:pPr>
            <w:r w:rsidRPr="006304A3">
              <w:rPr>
                <w:rFonts w:cstheme="minorHAnsi"/>
                <w:color w:val="000000"/>
                <w:sz w:val="24"/>
                <w:szCs w:val="24"/>
              </w:rPr>
              <w:t>0/1</w:t>
            </w:r>
          </w:p>
        </w:tc>
      </w:tr>
      <w:tr w:rsidR="00867AC6" w:rsidRPr="00A640DA" w14:paraId="4643EA83" w14:textId="77777777" w:rsidTr="00800A89">
        <w:trPr>
          <w:trHeight w:val="983"/>
        </w:trPr>
        <w:tc>
          <w:tcPr>
            <w:tcW w:w="782" w:type="dxa"/>
            <w:tcBorders>
              <w:bottom w:val="single" w:sz="4" w:space="0" w:color="auto"/>
            </w:tcBorders>
            <w:shd w:val="clear" w:color="auto" w:fill="FFFFFF" w:themeFill="background1"/>
            <w:vAlign w:val="center"/>
          </w:tcPr>
          <w:p w14:paraId="551C2B1B" w14:textId="18BE0105" w:rsidR="00867AC6" w:rsidRPr="006304A3" w:rsidRDefault="002C4C0F" w:rsidP="00867AC6">
            <w:pPr>
              <w:jc w:val="center"/>
              <w:rPr>
                <w:rFonts w:cstheme="minorHAnsi"/>
                <w:b/>
                <w:bCs/>
                <w:color w:val="000000"/>
                <w:sz w:val="24"/>
                <w:szCs w:val="24"/>
              </w:rPr>
            </w:pPr>
            <w:r w:rsidRPr="006304A3">
              <w:rPr>
                <w:rFonts w:cstheme="minorHAnsi"/>
                <w:b/>
                <w:bCs/>
                <w:color w:val="000000"/>
                <w:sz w:val="24"/>
                <w:szCs w:val="24"/>
              </w:rPr>
              <w:t>19</w:t>
            </w:r>
          </w:p>
        </w:tc>
        <w:tc>
          <w:tcPr>
            <w:tcW w:w="2540" w:type="dxa"/>
            <w:tcBorders>
              <w:bottom w:val="single" w:sz="4" w:space="0" w:color="auto"/>
            </w:tcBorders>
            <w:shd w:val="clear" w:color="auto" w:fill="FFFFFF" w:themeFill="background1"/>
          </w:tcPr>
          <w:p w14:paraId="34AE7BA8" w14:textId="63B1041B" w:rsidR="00867AC6" w:rsidRPr="006304A3" w:rsidRDefault="00867AC6" w:rsidP="00867AC6">
            <w:pPr>
              <w:rPr>
                <w:rFonts w:cstheme="minorHAnsi"/>
                <w:b/>
                <w:bCs/>
                <w:sz w:val="24"/>
                <w:szCs w:val="24"/>
              </w:rPr>
            </w:pPr>
            <w:r w:rsidRPr="006304A3">
              <w:rPr>
                <w:rFonts w:cstheme="minorHAnsi"/>
                <w:b/>
                <w:bCs/>
                <w:sz w:val="24"/>
                <w:szCs w:val="24"/>
              </w:rPr>
              <w:t xml:space="preserve">Rozwiązanie IT umożliwi załatwienie konkretnej sprawy on-line przy wykorzystaniu e-usługi </w:t>
            </w:r>
            <w:r w:rsidRPr="006304A3">
              <w:rPr>
                <w:rFonts w:cstheme="minorHAnsi"/>
                <w:b/>
                <w:bCs/>
                <w:sz w:val="24"/>
                <w:szCs w:val="24"/>
              </w:rPr>
              <w:lastRenderedPageBreak/>
              <w:t xml:space="preserve">publicznej. E-usługa publiczna jest na co najmniej 4 poziomie dojrzałości (poza e-usługami udostępnianymi w aplikacji mobilnej </w:t>
            </w:r>
            <w:r w:rsidR="00510452" w:rsidRPr="006304A3">
              <w:rPr>
                <w:rFonts w:cstheme="minorHAnsi"/>
                <w:b/>
                <w:bCs/>
                <w:sz w:val="24"/>
                <w:szCs w:val="24"/>
              </w:rPr>
              <w:t>mO</w:t>
            </w:r>
            <w:r w:rsidR="00D34084" w:rsidRPr="006304A3">
              <w:rPr>
                <w:rFonts w:cstheme="minorHAnsi"/>
                <w:b/>
                <w:bCs/>
                <w:sz w:val="24"/>
                <w:szCs w:val="24"/>
              </w:rPr>
              <w:t>bywatel</w:t>
            </w:r>
            <w:r w:rsidRPr="006304A3">
              <w:rPr>
                <w:rFonts w:cstheme="minorHAnsi"/>
                <w:b/>
                <w:bCs/>
                <w:sz w:val="24"/>
                <w:szCs w:val="24"/>
              </w:rPr>
              <w:t>)</w:t>
            </w:r>
          </w:p>
        </w:tc>
        <w:tc>
          <w:tcPr>
            <w:tcW w:w="9027" w:type="dxa"/>
            <w:tcBorders>
              <w:bottom w:val="single" w:sz="4" w:space="0" w:color="auto"/>
            </w:tcBorders>
            <w:shd w:val="clear" w:color="auto" w:fill="FFFFFF" w:themeFill="background1"/>
          </w:tcPr>
          <w:p w14:paraId="79A1147C" w14:textId="2C341D14" w:rsidR="00867AC6" w:rsidRPr="006304A3" w:rsidRDefault="00867AC6" w:rsidP="00FA1F6E">
            <w:pPr>
              <w:spacing w:after="360"/>
              <w:rPr>
                <w:rFonts w:cstheme="minorHAnsi"/>
                <w:color w:val="000000"/>
                <w:sz w:val="24"/>
                <w:szCs w:val="24"/>
              </w:rPr>
            </w:pPr>
            <w:r w:rsidRPr="006304A3">
              <w:rPr>
                <w:rFonts w:cstheme="minorHAnsi"/>
                <w:color w:val="000000"/>
                <w:sz w:val="24"/>
                <w:szCs w:val="24"/>
              </w:rPr>
              <w:lastRenderedPageBreak/>
              <w:t>Ostateczny odbiorca wsparcia wykazał, że opracuje nową lub poprawi jakość (wygodę użytkowania) istniejącej e-usługi/istniejących e-usług.</w:t>
            </w:r>
          </w:p>
          <w:p w14:paraId="478F5B2C" w14:textId="6E7D267F" w:rsidR="00867AC6" w:rsidRPr="006304A3" w:rsidRDefault="00867AC6" w:rsidP="00FA1F6E">
            <w:pPr>
              <w:spacing w:before="360"/>
              <w:rPr>
                <w:rFonts w:cstheme="minorHAnsi"/>
                <w:color w:val="000000"/>
                <w:sz w:val="24"/>
                <w:szCs w:val="24"/>
              </w:rPr>
            </w:pPr>
            <w:r w:rsidRPr="006304A3">
              <w:rPr>
                <w:rFonts w:cstheme="minorHAnsi"/>
                <w:color w:val="000000"/>
                <w:sz w:val="24"/>
                <w:szCs w:val="24"/>
              </w:rPr>
              <w:lastRenderedPageBreak/>
              <w:t xml:space="preserve">Przedsięwzięcie przygotowano w taki </w:t>
            </w:r>
            <w:r w:rsidR="00D34084" w:rsidRPr="006304A3">
              <w:rPr>
                <w:rFonts w:cstheme="minorHAnsi"/>
                <w:color w:val="000000"/>
                <w:sz w:val="24"/>
                <w:szCs w:val="24"/>
              </w:rPr>
              <w:t>sposób,</w:t>
            </w:r>
            <w:r w:rsidRPr="006304A3">
              <w:rPr>
                <w:rFonts w:cstheme="minorHAnsi"/>
                <w:color w:val="000000"/>
                <w:sz w:val="24"/>
                <w:szCs w:val="24"/>
              </w:rPr>
              <w:t xml:space="preserve"> aby przyczynił się w jak największym stopniu do realizacji on-line spraw obywateli/przedsiębiorców (reprezentantów Grup docelowych).</w:t>
            </w:r>
          </w:p>
          <w:p w14:paraId="40D8082B" w14:textId="7A079B38" w:rsidR="00867AC6" w:rsidRPr="006304A3" w:rsidRDefault="00867AC6" w:rsidP="00FA1F6E">
            <w:pPr>
              <w:spacing w:after="360"/>
              <w:rPr>
                <w:rFonts w:cstheme="minorHAnsi"/>
                <w:color w:val="000000"/>
                <w:sz w:val="24"/>
                <w:szCs w:val="24"/>
              </w:rPr>
            </w:pPr>
            <w:r w:rsidRPr="006304A3">
              <w:rPr>
                <w:rFonts w:cstheme="minorHAnsi"/>
                <w:color w:val="000000"/>
                <w:sz w:val="24"/>
                <w:szCs w:val="24"/>
              </w:rPr>
              <w:t>„Sprawę” należy rozumieć jako obowiązek lub przywilej obywatela bądź przedsiębiorcy, wynikający z przepisów prawa, do którego realizacji zobowiązany jest podmiot realizujący zadania publiczne, z urzędu lub na wniosek obywatela lub przedsiębiorcy.</w:t>
            </w:r>
          </w:p>
          <w:p w14:paraId="2CFFD098" w14:textId="1FBF0AC2" w:rsidR="00867AC6" w:rsidRPr="006304A3" w:rsidRDefault="00867AC6" w:rsidP="00FA1F6E">
            <w:pPr>
              <w:spacing w:after="360"/>
              <w:rPr>
                <w:rFonts w:cstheme="minorHAnsi"/>
                <w:color w:val="000000"/>
                <w:sz w:val="24"/>
                <w:szCs w:val="24"/>
              </w:rPr>
            </w:pPr>
            <w:r w:rsidRPr="006304A3">
              <w:rPr>
                <w:rFonts w:cstheme="minorHAnsi"/>
                <w:color w:val="000000"/>
                <w:sz w:val="24"/>
                <w:szCs w:val="24"/>
              </w:rPr>
              <w:t>E-usługa publiczna jest przynajmniej na 4 poziomie dojrzałości, zgodnie z opisem w Słowniku pojęć.</w:t>
            </w:r>
          </w:p>
          <w:p w14:paraId="0615E85C" w14:textId="62E6AA64" w:rsidR="00867AC6" w:rsidRPr="00FA1F6E" w:rsidRDefault="00867AC6" w:rsidP="00FA1F6E">
            <w:pPr>
              <w:spacing w:after="360"/>
              <w:rPr>
                <w:rFonts w:cstheme="minorHAnsi"/>
                <w:color w:val="000000" w:themeColor="text1"/>
                <w:sz w:val="24"/>
                <w:szCs w:val="24"/>
              </w:rPr>
            </w:pPr>
            <w:r w:rsidRPr="006304A3">
              <w:rPr>
                <w:rFonts w:cstheme="minorHAnsi"/>
                <w:color w:val="000000" w:themeColor="text1"/>
                <w:sz w:val="24"/>
                <w:szCs w:val="24"/>
              </w:rPr>
              <w:t>Ostateczny odbiorca wsparcia złożył oświadczenie, iż e-usługa jest unikatowa tj. nie funkcjonuje już taka sama usługa dostępna dla wszystkich uprawnionych obywateli/przedsiębiorców niezależnie od miejsca zamieszkania lub prowadzenia działalności gospodarczej.</w:t>
            </w:r>
          </w:p>
          <w:p w14:paraId="7EBB27DF" w14:textId="2D39B277" w:rsidR="00867AC6" w:rsidRPr="006304A3" w:rsidRDefault="00867AC6" w:rsidP="00FA1F6E">
            <w:pPr>
              <w:spacing w:after="360"/>
              <w:rPr>
                <w:rFonts w:cstheme="minorHAnsi"/>
                <w:color w:val="000000"/>
                <w:sz w:val="24"/>
                <w:szCs w:val="24"/>
              </w:rPr>
            </w:pPr>
            <w:r w:rsidRPr="006304A3">
              <w:rPr>
                <w:rFonts w:cstheme="minorHAnsi"/>
                <w:color w:val="000000"/>
                <w:sz w:val="24"/>
                <w:szCs w:val="24"/>
              </w:rPr>
              <w:t>Ostateczny odbiorca wsparcia wykazał, że realizacja e-usługi odbywa się od zainicjalizowania sprawy (przez obywatela/przedsiębiorcę lub podmiot realizujący zadania publiczne) do jej zakończenia. Każda interakcja z obywatelem/przedsiębiorcą lub podmiotem realizującym zadania publiczne, w tym wezwanie do uzupełnienia danych lub dokumentów w sprawie i samo uzupełnienie danych lub dokumentów sprawy, jest możliwe do zrealizowania za pomocą środków komunikacji elektronicznej.</w:t>
            </w:r>
          </w:p>
          <w:p w14:paraId="25B17210" w14:textId="50C57019" w:rsidR="00867AC6" w:rsidRPr="006304A3" w:rsidRDefault="00867AC6" w:rsidP="00FA1F6E">
            <w:pPr>
              <w:spacing w:after="360"/>
              <w:rPr>
                <w:rFonts w:cstheme="minorHAnsi"/>
                <w:color w:val="000000"/>
                <w:sz w:val="24"/>
                <w:szCs w:val="24"/>
              </w:rPr>
            </w:pPr>
            <w:r w:rsidRPr="006304A3">
              <w:rPr>
                <w:rFonts w:cstheme="minorHAnsi"/>
                <w:color w:val="000000"/>
                <w:sz w:val="24"/>
                <w:szCs w:val="24"/>
              </w:rPr>
              <w:t>E-usługa publiczna nie powinna na żadnym kroku jej realizacji, wymagać od obywatela/przedsiębiorcy wprowadzania danych, którymi dysponują podmioty publiczne. Ostateczny odbiorca wsparcia wykazał, że pomimo starań nie uzyskał zgody innych podmiotów na dostęp do danych w trybie teletransmisji umożliwiającej pełną elektronizację procesu e-usługi.</w:t>
            </w:r>
          </w:p>
          <w:p w14:paraId="0BA30F9A" w14:textId="41F03D58" w:rsidR="006A39F3" w:rsidRPr="006304A3" w:rsidRDefault="00867AC6" w:rsidP="00FA1F6E">
            <w:pPr>
              <w:spacing w:after="360"/>
              <w:rPr>
                <w:rFonts w:cstheme="minorHAnsi"/>
                <w:color w:val="000000"/>
                <w:sz w:val="24"/>
                <w:szCs w:val="24"/>
              </w:rPr>
            </w:pPr>
            <w:r w:rsidRPr="006304A3">
              <w:rPr>
                <w:rFonts w:cstheme="minorHAnsi"/>
                <w:color w:val="000000"/>
                <w:sz w:val="24"/>
                <w:szCs w:val="24"/>
              </w:rPr>
              <w:lastRenderedPageBreak/>
              <w:t>E-usługa publiczna jest dostępna dla wszystkich obywateli/przedsiębiorców w kraju niezależnie od miejsca zamieszkania lub miejsca prowadzenia działalności gospodarczej.</w:t>
            </w:r>
          </w:p>
          <w:p w14:paraId="5319668B" w14:textId="07381E6E" w:rsidR="00867AC6" w:rsidRPr="00FA1F6E" w:rsidRDefault="00867AC6" w:rsidP="00FA1F6E">
            <w:pPr>
              <w:spacing w:after="360"/>
              <w:rPr>
                <w:rFonts w:cstheme="minorHAnsi"/>
                <w:color w:val="000000"/>
                <w:sz w:val="24"/>
                <w:szCs w:val="24"/>
              </w:rPr>
            </w:pPr>
            <w:r w:rsidRPr="006304A3">
              <w:rPr>
                <w:rFonts w:cstheme="minorHAnsi"/>
                <w:color w:val="000000"/>
                <w:sz w:val="24"/>
                <w:szCs w:val="24"/>
              </w:rPr>
              <w:t xml:space="preserve">W przypadku, kiedy e-usługa publiczna będzie udostępniana w aplikacji </w:t>
            </w:r>
            <w:r w:rsidR="00D34084" w:rsidRPr="006304A3">
              <w:rPr>
                <w:rFonts w:cstheme="minorHAnsi"/>
                <w:color w:val="000000"/>
                <w:sz w:val="24"/>
                <w:szCs w:val="24"/>
              </w:rPr>
              <w:t>mobilnej mObywatel</w:t>
            </w:r>
            <w:r w:rsidRPr="006304A3">
              <w:rPr>
                <w:rFonts w:cstheme="minorHAnsi"/>
                <w:color w:val="000000"/>
                <w:sz w:val="24"/>
                <w:szCs w:val="24"/>
              </w:rPr>
              <w:t xml:space="preserve"> musi być przynajmniej na 3 poziomie dojrzałości (zgodnie ze słownikiem pojęć). Udostępnienie e-usług w aplikacji </w:t>
            </w:r>
            <w:r w:rsidR="00510452" w:rsidRPr="006304A3">
              <w:rPr>
                <w:rFonts w:cstheme="minorHAnsi"/>
                <w:color w:val="000000"/>
                <w:sz w:val="24"/>
                <w:szCs w:val="24"/>
              </w:rPr>
              <w:t>mO</w:t>
            </w:r>
            <w:r w:rsidR="00D34084" w:rsidRPr="006304A3">
              <w:rPr>
                <w:rFonts w:cstheme="minorHAnsi"/>
                <w:color w:val="000000"/>
                <w:sz w:val="24"/>
                <w:szCs w:val="24"/>
              </w:rPr>
              <w:t>bywatel</w:t>
            </w:r>
            <w:r w:rsidRPr="006304A3">
              <w:rPr>
                <w:rFonts w:cstheme="minorHAnsi"/>
                <w:color w:val="000000"/>
                <w:sz w:val="24"/>
                <w:szCs w:val="24"/>
              </w:rPr>
              <w:t xml:space="preserve"> zapewni zwiększenie ich dostępności dla użytkowników jednocześnie zapewniając poprawę jakości (wygodę użytkowania) istniejącej e-usługi/istniejących e-usług.</w:t>
            </w:r>
          </w:p>
          <w:p w14:paraId="12FDD61D" w14:textId="3EAB1D79" w:rsidR="00867AC6" w:rsidRPr="006304A3" w:rsidRDefault="00867AC6" w:rsidP="00867AC6">
            <w:pPr>
              <w:rPr>
                <w:rFonts w:cstheme="minorHAnsi"/>
                <w:color w:val="000000"/>
                <w:sz w:val="24"/>
                <w:szCs w:val="24"/>
              </w:rPr>
            </w:pPr>
            <w:r w:rsidRPr="006304A3">
              <w:rPr>
                <w:rFonts w:cstheme="minorHAnsi"/>
                <w:color w:val="000000"/>
                <w:sz w:val="24"/>
                <w:szCs w:val="24"/>
              </w:rPr>
              <w:t xml:space="preserve">Poprawę jakości (wygodę użytkowania) e-usługi poprzez jej udostępnienie w aplikacji </w:t>
            </w:r>
            <w:r w:rsidR="00D34084" w:rsidRPr="006304A3">
              <w:rPr>
                <w:rFonts w:cstheme="minorHAnsi"/>
                <w:color w:val="000000"/>
                <w:sz w:val="24"/>
                <w:szCs w:val="24"/>
              </w:rPr>
              <w:t>mobilnej mObywatel</w:t>
            </w:r>
            <w:r w:rsidRPr="006304A3">
              <w:rPr>
                <w:rFonts w:cstheme="minorHAnsi"/>
                <w:color w:val="000000"/>
                <w:sz w:val="24"/>
                <w:szCs w:val="24"/>
              </w:rPr>
              <w:t xml:space="preserve"> należy rozumieć jako:</w:t>
            </w:r>
          </w:p>
          <w:p w14:paraId="2F0BE450" w14:textId="22FBF8CB" w:rsidR="00867AC6" w:rsidRPr="006304A3" w:rsidRDefault="00867AC6" w:rsidP="00867AC6">
            <w:pPr>
              <w:pStyle w:val="Akapitzlist"/>
              <w:numPr>
                <w:ilvl w:val="0"/>
                <w:numId w:val="20"/>
              </w:numPr>
              <w:rPr>
                <w:rFonts w:cstheme="minorHAnsi"/>
                <w:color w:val="000000"/>
                <w:sz w:val="24"/>
                <w:szCs w:val="24"/>
              </w:rPr>
            </w:pPr>
            <w:r w:rsidRPr="006304A3">
              <w:rPr>
                <w:rFonts w:cstheme="minorHAnsi"/>
                <w:color w:val="000000"/>
                <w:sz w:val="24"/>
                <w:szCs w:val="24"/>
              </w:rPr>
              <w:t>podniesienie użyteczności i umożliwienie dostępu do e-usługi w ramach aplikacji mobilnej</w:t>
            </w:r>
            <w:r w:rsidR="00AE3154" w:rsidRPr="006304A3">
              <w:rPr>
                <w:rFonts w:cstheme="minorHAnsi"/>
                <w:color w:val="000000"/>
                <w:sz w:val="24"/>
                <w:szCs w:val="24"/>
              </w:rPr>
              <w:t>;</w:t>
            </w:r>
          </w:p>
          <w:p w14:paraId="7642995E" w14:textId="1E038D6C" w:rsidR="00867AC6" w:rsidRPr="006304A3" w:rsidRDefault="00867AC6" w:rsidP="00867AC6">
            <w:pPr>
              <w:pStyle w:val="Akapitzlist"/>
              <w:numPr>
                <w:ilvl w:val="0"/>
                <w:numId w:val="20"/>
              </w:numPr>
              <w:rPr>
                <w:rFonts w:cstheme="minorHAnsi"/>
                <w:color w:val="000000"/>
                <w:sz w:val="24"/>
                <w:szCs w:val="24"/>
              </w:rPr>
            </w:pPr>
            <w:r w:rsidRPr="006304A3">
              <w:rPr>
                <w:rFonts w:cstheme="minorHAnsi"/>
                <w:color w:val="000000"/>
                <w:sz w:val="24"/>
                <w:szCs w:val="24"/>
              </w:rPr>
              <w:t>zapewnienie sposobu prezentacji danych odpowiedniego dla aplikacji mobilnej</w:t>
            </w:r>
            <w:r w:rsidR="00AE3154" w:rsidRPr="006304A3">
              <w:rPr>
                <w:rFonts w:cstheme="minorHAnsi"/>
                <w:color w:val="000000"/>
                <w:sz w:val="24"/>
                <w:szCs w:val="24"/>
              </w:rPr>
              <w:t>;</w:t>
            </w:r>
          </w:p>
          <w:p w14:paraId="24CAB57F" w14:textId="0758BF2D" w:rsidR="00867AC6" w:rsidRPr="006304A3" w:rsidRDefault="00867AC6" w:rsidP="00867AC6">
            <w:pPr>
              <w:pStyle w:val="Akapitzlist"/>
              <w:numPr>
                <w:ilvl w:val="0"/>
                <w:numId w:val="20"/>
              </w:numPr>
              <w:rPr>
                <w:rFonts w:cstheme="minorHAnsi"/>
                <w:color w:val="000000"/>
                <w:sz w:val="24"/>
                <w:szCs w:val="24"/>
              </w:rPr>
            </w:pPr>
            <w:r w:rsidRPr="006304A3">
              <w:rPr>
                <w:rFonts w:cstheme="minorHAnsi"/>
                <w:color w:val="000000"/>
                <w:sz w:val="24"/>
                <w:szCs w:val="24"/>
              </w:rPr>
              <w:t xml:space="preserve">zapewnienie wzrostu bezpieczeństwa danych. </w:t>
            </w:r>
          </w:p>
        </w:tc>
        <w:tc>
          <w:tcPr>
            <w:tcW w:w="1247" w:type="dxa"/>
            <w:tcBorders>
              <w:bottom w:val="single" w:sz="4" w:space="0" w:color="auto"/>
            </w:tcBorders>
            <w:shd w:val="clear" w:color="auto" w:fill="FFFFFF" w:themeFill="background1"/>
            <w:vAlign w:val="center"/>
          </w:tcPr>
          <w:p w14:paraId="0FA19E55" w14:textId="7D9FEAF9" w:rsidR="00867AC6" w:rsidRPr="006304A3" w:rsidRDefault="00867AC6" w:rsidP="00867AC6">
            <w:pPr>
              <w:jc w:val="center"/>
              <w:rPr>
                <w:rFonts w:cstheme="minorHAnsi"/>
                <w:color w:val="000000"/>
                <w:sz w:val="24"/>
                <w:szCs w:val="24"/>
              </w:rPr>
            </w:pPr>
            <w:r w:rsidRPr="006304A3">
              <w:rPr>
                <w:rFonts w:cstheme="minorHAnsi"/>
                <w:color w:val="000000"/>
                <w:sz w:val="24"/>
                <w:szCs w:val="24"/>
              </w:rPr>
              <w:lastRenderedPageBreak/>
              <w:t>0/1</w:t>
            </w:r>
          </w:p>
        </w:tc>
      </w:tr>
      <w:tr w:rsidR="00867AC6" w:rsidRPr="00A640DA" w14:paraId="40DA9E14" w14:textId="77777777" w:rsidTr="00800A89">
        <w:trPr>
          <w:trHeight w:val="983"/>
        </w:trPr>
        <w:tc>
          <w:tcPr>
            <w:tcW w:w="782" w:type="dxa"/>
            <w:tcBorders>
              <w:bottom w:val="single" w:sz="4" w:space="0" w:color="auto"/>
            </w:tcBorders>
            <w:shd w:val="clear" w:color="auto" w:fill="FFFFFF" w:themeFill="background1"/>
            <w:vAlign w:val="center"/>
          </w:tcPr>
          <w:p w14:paraId="05F0F59B" w14:textId="603DC753" w:rsidR="00867AC6" w:rsidRPr="006304A3" w:rsidRDefault="00867AC6" w:rsidP="00867AC6">
            <w:pPr>
              <w:jc w:val="center"/>
              <w:rPr>
                <w:rFonts w:cstheme="minorHAnsi"/>
                <w:b/>
                <w:bCs/>
                <w:color w:val="000000"/>
                <w:sz w:val="24"/>
                <w:szCs w:val="24"/>
              </w:rPr>
            </w:pPr>
            <w:r w:rsidRPr="006304A3">
              <w:rPr>
                <w:rFonts w:cstheme="minorHAnsi"/>
                <w:b/>
                <w:bCs/>
                <w:color w:val="000000"/>
                <w:sz w:val="24"/>
                <w:szCs w:val="24"/>
              </w:rPr>
              <w:lastRenderedPageBreak/>
              <w:t>2</w:t>
            </w:r>
            <w:r w:rsidR="002C4C0F" w:rsidRPr="006304A3">
              <w:rPr>
                <w:rFonts w:cstheme="minorHAnsi"/>
                <w:b/>
                <w:bCs/>
                <w:color w:val="000000"/>
                <w:sz w:val="24"/>
                <w:szCs w:val="24"/>
              </w:rPr>
              <w:t>0</w:t>
            </w:r>
          </w:p>
        </w:tc>
        <w:tc>
          <w:tcPr>
            <w:tcW w:w="2540" w:type="dxa"/>
            <w:tcBorders>
              <w:bottom w:val="single" w:sz="4" w:space="0" w:color="auto"/>
            </w:tcBorders>
            <w:shd w:val="clear" w:color="auto" w:fill="FFFFFF" w:themeFill="background1"/>
          </w:tcPr>
          <w:p w14:paraId="5B1EE3DD" w14:textId="39BF1FCD" w:rsidR="00867AC6" w:rsidRPr="00405D34" w:rsidRDefault="00867AC6" w:rsidP="00867AC6">
            <w:pPr>
              <w:rPr>
                <w:rFonts w:cstheme="minorHAnsi"/>
                <w:b/>
                <w:bCs/>
                <w:color w:val="000000" w:themeColor="text1"/>
                <w:sz w:val="24"/>
                <w:szCs w:val="24"/>
              </w:rPr>
            </w:pPr>
            <w:r w:rsidRPr="006304A3">
              <w:rPr>
                <w:rFonts w:cstheme="minorHAnsi"/>
                <w:b/>
                <w:bCs/>
                <w:sz w:val="24"/>
                <w:szCs w:val="24"/>
              </w:rPr>
              <w:t xml:space="preserve">Opracowanie nowego lub rozwinięcie istniejącego publicznego systemu informatycznego przyczyni się </w:t>
            </w:r>
            <w:r w:rsidR="00D34084" w:rsidRPr="006304A3">
              <w:rPr>
                <w:rFonts w:cstheme="minorHAnsi"/>
                <w:b/>
                <w:bCs/>
                <w:sz w:val="24"/>
                <w:szCs w:val="24"/>
              </w:rPr>
              <w:t>do opracowania</w:t>
            </w:r>
            <w:r w:rsidRPr="006304A3">
              <w:rPr>
                <w:rFonts w:cstheme="minorHAnsi"/>
                <w:b/>
                <w:bCs/>
                <w:sz w:val="24"/>
                <w:szCs w:val="24"/>
              </w:rPr>
              <w:t xml:space="preserve"> </w:t>
            </w:r>
            <w:r w:rsidRPr="00405D34">
              <w:rPr>
                <w:rFonts w:cstheme="minorHAnsi"/>
                <w:b/>
                <w:bCs/>
                <w:color w:val="000000" w:themeColor="text1"/>
                <w:sz w:val="24"/>
                <w:szCs w:val="24"/>
              </w:rPr>
              <w:t>nowej/nowych lub poprawy jakości (wygody użytkowania) istniejącej e-usługi/istniejących e-usług</w:t>
            </w:r>
          </w:p>
          <w:p w14:paraId="499CE554" w14:textId="02C83627" w:rsidR="00867AC6" w:rsidRPr="006304A3" w:rsidRDefault="00867AC6" w:rsidP="00867AC6">
            <w:pPr>
              <w:rPr>
                <w:rFonts w:cstheme="minorHAnsi"/>
                <w:b/>
                <w:bCs/>
                <w:sz w:val="24"/>
                <w:szCs w:val="24"/>
              </w:rPr>
            </w:pPr>
          </w:p>
          <w:p w14:paraId="080ADD41" w14:textId="72AAC2C3" w:rsidR="00867AC6" w:rsidRPr="006304A3" w:rsidRDefault="00867AC6" w:rsidP="00867AC6">
            <w:pPr>
              <w:rPr>
                <w:rFonts w:cstheme="minorHAnsi"/>
                <w:b/>
                <w:bCs/>
                <w:sz w:val="24"/>
                <w:szCs w:val="24"/>
              </w:rPr>
            </w:pPr>
            <w:r w:rsidRPr="006304A3">
              <w:rPr>
                <w:rFonts w:cstheme="minorHAnsi"/>
                <w:b/>
                <w:bCs/>
                <w:sz w:val="24"/>
                <w:szCs w:val="24"/>
              </w:rPr>
              <w:t xml:space="preserve">(Jeśli dotyczy) </w:t>
            </w:r>
          </w:p>
        </w:tc>
        <w:tc>
          <w:tcPr>
            <w:tcW w:w="9027" w:type="dxa"/>
            <w:tcBorders>
              <w:bottom w:val="single" w:sz="4" w:space="0" w:color="auto"/>
            </w:tcBorders>
            <w:shd w:val="clear" w:color="auto" w:fill="FFFFFF" w:themeFill="background1"/>
          </w:tcPr>
          <w:p w14:paraId="299CA3A4" w14:textId="39D1D92C" w:rsidR="00867AC6" w:rsidRPr="006304A3" w:rsidRDefault="00867AC6" w:rsidP="00FA1F6E">
            <w:pPr>
              <w:spacing w:after="360"/>
              <w:rPr>
                <w:rFonts w:cstheme="minorHAnsi"/>
                <w:color w:val="000000"/>
                <w:sz w:val="24"/>
                <w:szCs w:val="24"/>
              </w:rPr>
            </w:pPr>
            <w:r w:rsidRPr="006304A3">
              <w:rPr>
                <w:rFonts w:cstheme="minorHAnsi"/>
                <w:color w:val="000000"/>
                <w:sz w:val="24"/>
                <w:szCs w:val="24"/>
              </w:rPr>
              <w:t>Ostateczny odbiorca wsparcia wykazał, że opracowanie nowego lub rozwinięcie istniejącego publicznego systemu informatycznego przyczyni się do opracowania przynajmniej jednej nowej lub poprawy jakości (wygody użytkowania) przynajmniej jednej istniejącej e-usługi/istniejących e-usług.</w:t>
            </w:r>
          </w:p>
          <w:p w14:paraId="47765AC7" w14:textId="534F221B" w:rsidR="00867AC6" w:rsidRPr="006304A3" w:rsidRDefault="00867AC6" w:rsidP="00FA1F6E">
            <w:pPr>
              <w:spacing w:after="360"/>
              <w:rPr>
                <w:rFonts w:cstheme="minorHAnsi"/>
                <w:color w:val="000000"/>
                <w:sz w:val="24"/>
                <w:szCs w:val="24"/>
              </w:rPr>
            </w:pPr>
            <w:r w:rsidRPr="006304A3">
              <w:rPr>
                <w:rFonts w:cstheme="minorHAnsi"/>
                <w:color w:val="000000"/>
                <w:sz w:val="24"/>
                <w:szCs w:val="24"/>
              </w:rPr>
              <w:t>E-usługa/E-usługi muszą spełniać wszystkie aspekty wymienione w kryterium</w:t>
            </w:r>
            <w:r w:rsidR="006A39F3" w:rsidRPr="006304A3">
              <w:rPr>
                <w:rFonts w:cstheme="minorHAnsi"/>
                <w:color w:val="000000"/>
                <w:sz w:val="24"/>
                <w:szCs w:val="24"/>
              </w:rPr>
              <w:t xml:space="preserve"> </w:t>
            </w:r>
            <w:r w:rsidRPr="006304A3">
              <w:rPr>
                <w:rFonts w:cstheme="minorHAnsi"/>
                <w:color w:val="000000"/>
                <w:sz w:val="24"/>
                <w:szCs w:val="24"/>
              </w:rPr>
              <w:t>1</w:t>
            </w:r>
            <w:r w:rsidR="006A39F3" w:rsidRPr="006304A3">
              <w:rPr>
                <w:rFonts w:cstheme="minorHAnsi"/>
                <w:color w:val="000000"/>
                <w:sz w:val="24"/>
                <w:szCs w:val="24"/>
              </w:rPr>
              <w:t>9</w:t>
            </w:r>
            <w:r w:rsidRPr="006304A3">
              <w:rPr>
                <w:rFonts w:cstheme="minorHAnsi"/>
                <w:color w:val="000000"/>
                <w:sz w:val="24"/>
                <w:szCs w:val="24"/>
              </w:rPr>
              <w:t xml:space="preserve"> „Rozwiązanie IT umożliwi załatwienie konkretnej sprawy on-line przy wykorzystaniu e-usługi publicznej. E-usługa publiczna jest na co najmniej 4 poziomie dojrzałości poza usługami udostępnianymi w aplikacji mobilnej mObywatel)”.</w:t>
            </w:r>
          </w:p>
          <w:p w14:paraId="23D6C4F5" w14:textId="622209F0" w:rsidR="00867AC6" w:rsidRPr="006304A3" w:rsidRDefault="00867AC6" w:rsidP="00867AC6">
            <w:pPr>
              <w:rPr>
                <w:rFonts w:cstheme="minorHAnsi"/>
                <w:color w:val="000000"/>
                <w:sz w:val="24"/>
                <w:szCs w:val="24"/>
              </w:rPr>
            </w:pPr>
            <w:r w:rsidRPr="006304A3">
              <w:rPr>
                <w:rFonts w:cstheme="minorHAnsi"/>
                <w:color w:val="000000"/>
                <w:sz w:val="24"/>
                <w:szCs w:val="24"/>
              </w:rPr>
              <w:t>Poprzez poprawę jakości\wygodę użytkowania rozumiemy również udostępnienie e-usługi za pośrednictwem aplikacji mObywatel, która w tym przypadku musi być przynajmniej na 3 poziomie dojrzałości (zgodnie ze słownikiem pojęć).</w:t>
            </w:r>
          </w:p>
        </w:tc>
        <w:tc>
          <w:tcPr>
            <w:tcW w:w="1247" w:type="dxa"/>
            <w:tcBorders>
              <w:bottom w:val="single" w:sz="4" w:space="0" w:color="auto"/>
            </w:tcBorders>
            <w:shd w:val="clear" w:color="auto" w:fill="FFFFFF" w:themeFill="background1"/>
            <w:vAlign w:val="center"/>
          </w:tcPr>
          <w:p w14:paraId="014EA347" w14:textId="2CCDB67E" w:rsidR="00867AC6" w:rsidRPr="006304A3" w:rsidRDefault="00867AC6" w:rsidP="00867AC6">
            <w:pPr>
              <w:jc w:val="center"/>
              <w:rPr>
                <w:rFonts w:cstheme="minorHAnsi"/>
                <w:color w:val="000000"/>
                <w:sz w:val="24"/>
                <w:szCs w:val="24"/>
              </w:rPr>
            </w:pPr>
            <w:r w:rsidRPr="006304A3">
              <w:rPr>
                <w:rFonts w:cstheme="minorHAnsi"/>
                <w:color w:val="000000"/>
                <w:sz w:val="24"/>
                <w:szCs w:val="24"/>
              </w:rPr>
              <w:t>0/1/Nie dotyczy</w:t>
            </w:r>
          </w:p>
        </w:tc>
      </w:tr>
      <w:tr w:rsidR="00867AC6" w:rsidRPr="00A640DA" w14:paraId="2A10C927" w14:textId="77777777" w:rsidTr="00800A89">
        <w:trPr>
          <w:trHeight w:val="983"/>
        </w:trPr>
        <w:tc>
          <w:tcPr>
            <w:tcW w:w="782" w:type="dxa"/>
            <w:tcBorders>
              <w:bottom w:val="single" w:sz="4" w:space="0" w:color="auto"/>
            </w:tcBorders>
            <w:shd w:val="clear" w:color="auto" w:fill="FFFFFF" w:themeFill="background1"/>
            <w:vAlign w:val="center"/>
          </w:tcPr>
          <w:p w14:paraId="44AB9BE9" w14:textId="597987E2" w:rsidR="00867AC6" w:rsidRPr="006304A3" w:rsidRDefault="00867AC6" w:rsidP="00867AC6">
            <w:pPr>
              <w:jc w:val="center"/>
              <w:rPr>
                <w:rFonts w:cstheme="minorHAnsi"/>
                <w:b/>
                <w:bCs/>
                <w:color w:val="000000"/>
                <w:sz w:val="24"/>
                <w:szCs w:val="24"/>
              </w:rPr>
            </w:pPr>
            <w:r w:rsidRPr="006304A3">
              <w:rPr>
                <w:rFonts w:cstheme="minorHAnsi"/>
                <w:b/>
                <w:bCs/>
                <w:color w:val="000000"/>
                <w:sz w:val="24"/>
                <w:szCs w:val="24"/>
              </w:rPr>
              <w:lastRenderedPageBreak/>
              <w:t>2</w:t>
            </w:r>
            <w:r w:rsidR="002C4C0F" w:rsidRPr="006304A3">
              <w:rPr>
                <w:rFonts w:cstheme="minorHAnsi"/>
                <w:b/>
                <w:bCs/>
                <w:color w:val="000000"/>
                <w:sz w:val="24"/>
                <w:szCs w:val="24"/>
              </w:rPr>
              <w:t>1</w:t>
            </w:r>
          </w:p>
        </w:tc>
        <w:tc>
          <w:tcPr>
            <w:tcW w:w="2540" w:type="dxa"/>
            <w:tcBorders>
              <w:bottom w:val="single" w:sz="4" w:space="0" w:color="auto"/>
            </w:tcBorders>
            <w:shd w:val="clear" w:color="auto" w:fill="FFFFFF" w:themeFill="background1"/>
          </w:tcPr>
          <w:p w14:paraId="2A18E9ED" w14:textId="39D8355F" w:rsidR="00867AC6" w:rsidRPr="006304A3" w:rsidRDefault="00867AC6" w:rsidP="00867AC6">
            <w:pPr>
              <w:rPr>
                <w:rFonts w:cstheme="minorHAnsi"/>
                <w:b/>
                <w:bCs/>
                <w:sz w:val="24"/>
                <w:szCs w:val="24"/>
              </w:rPr>
            </w:pPr>
            <w:r w:rsidRPr="006304A3">
              <w:rPr>
                <w:rFonts w:cstheme="minorHAnsi"/>
                <w:b/>
                <w:bCs/>
                <w:sz w:val="24"/>
                <w:szCs w:val="24"/>
              </w:rPr>
              <w:t xml:space="preserve">Architektura Rozwiązania IT jest zaprojektowana w sposób adekwatny </w:t>
            </w:r>
            <w:r w:rsidRPr="00405D34">
              <w:rPr>
                <w:rFonts w:cstheme="minorHAnsi"/>
                <w:b/>
                <w:bCs/>
                <w:color w:val="000000" w:themeColor="text1"/>
                <w:sz w:val="24"/>
                <w:szCs w:val="24"/>
              </w:rPr>
              <w:t>(software/hardwar</w:t>
            </w:r>
            <w:r w:rsidR="00405D34" w:rsidRPr="00405D34">
              <w:rPr>
                <w:rFonts w:cstheme="minorHAnsi"/>
                <w:b/>
                <w:bCs/>
                <w:color w:val="000000" w:themeColor="text1"/>
                <w:sz w:val="24"/>
                <w:szCs w:val="24"/>
              </w:rPr>
              <w:t>e</w:t>
            </w:r>
            <w:r w:rsidRPr="00405D34">
              <w:rPr>
                <w:rFonts w:cstheme="minorHAnsi"/>
                <w:b/>
                <w:bCs/>
                <w:color w:val="000000" w:themeColor="text1"/>
                <w:sz w:val="24"/>
                <w:szCs w:val="24"/>
              </w:rPr>
              <w:t>)</w:t>
            </w:r>
          </w:p>
          <w:p w14:paraId="06890C25" w14:textId="77777777" w:rsidR="00867AC6" w:rsidRPr="006304A3" w:rsidRDefault="00867AC6" w:rsidP="00867AC6">
            <w:pPr>
              <w:rPr>
                <w:rFonts w:cstheme="minorHAnsi"/>
                <w:b/>
                <w:bCs/>
                <w:sz w:val="24"/>
                <w:szCs w:val="24"/>
              </w:rPr>
            </w:pPr>
          </w:p>
        </w:tc>
        <w:tc>
          <w:tcPr>
            <w:tcW w:w="9027" w:type="dxa"/>
            <w:tcBorders>
              <w:bottom w:val="single" w:sz="4" w:space="0" w:color="auto"/>
            </w:tcBorders>
            <w:shd w:val="clear" w:color="auto" w:fill="auto"/>
          </w:tcPr>
          <w:p w14:paraId="2850B7CE" w14:textId="5F44863C" w:rsidR="00867AC6" w:rsidRPr="006304A3" w:rsidRDefault="00867AC6" w:rsidP="00FA1F6E">
            <w:pPr>
              <w:spacing w:after="360"/>
              <w:rPr>
                <w:rFonts w:cstheme="minorHAnsi"/>
                <w:sz w:val="24"/>
                <w:szCs w:val="24"/>
              </w:rPr>
            </w:pPr>
            <w:r w:rsidRPr="006304A3">
              <w:rPr>
                <w:rFonts w:cstheme="minorHAnsi"/>
                <w:sz w:val="24"/>
                <w:szCs w:val="24"/>
              </w:rPr>
              <w:t>Architektura Rozwiązania IT zapewnia jego wysoką dostępność oraz mechanizmy wymiany danych z systemami zewnętrznymi poprzez interfejsy integracyjne.</w:t>
            </w:r>
          </w:p>
          <w:p w14:paraId="3E044ED5" w14:textId="61525A7B" w:rsidR="00867AC6" w:rsidRPr="006304A3" w:rsidRDefault="00867AC6" w:rsidP="00FA1F6E">
            <w:pPr>
              <w:spacing w:after="360"/>
              <w:rPr>
                <w:rFonts w:cstheme="minorHAnsi"/>
                <w:sz w:val="24"/>
                <w:szCs w:val="24"/>
              </w:rPr>
            </w:pPr>
            <w:r w:rsidRPr="006304A3">
              <w:rPr>
                <w:rFonts w:cstheme="minorHAnsi"/>
                <w:sz w:val="24"/>
                <w:szCs w:val="24"/>
              </w:rPr>
              <w:t xml:space="preserve">Ostateczny odbiorca wsparcia </w:t>
            </w:r>
            <w:r w:rsidRPr="006304A3">
              <w:rPr>
                <w:rFonts w:cstheme="minorHAnsi"/>
                <w:color w:val="000000"/>
                <w:sz w:val="24"/>
                <w:szCs w:val="24"/>
              </w:rPr>
              <w:t>wskazał nazwy rejestrów publicznych i Rozwiązań IT, z którymi budowane lub modernizowane Rozwiązanie IT będzie się komunikowało i wymieniało dane (jeśli dotyczy).</w:t>
            </w:r>
          </w:p>
          <w:p w14:paraId="2EF5D762" w14:textId="2BBB697A" w:rsidR="00867AC6" w:rsidRPr="006304A3" w:rsidRDefault="00867AC6" w:rsidP="00FA1F6E">
            <w:pPr>
              <w:spacing w:after="360"/>
              <w:rPr>
                <w:rFonts w:cstheme="minorHAnsi"/>
                <w:sz w:val="24"/>
                <w:szCs w:val="24"/>
              </w:rPr>
            </w:pPr>
            <w:r w:rsidRPr="006304A3">
              <w:rPr>
                <w:rFonts w:cstheme="minorHAnsi"/>
                <w:sz w:val="24"/>
                <w:szCs w:val="24"/>
              </w:rPr>
              <w:t xml:space="preserve">Architektura Rozwiązania IT wykorzystuje bloki architektoniczne opublikowane pod adresem </w:t>
            </w:r>
            <w:r w:rsidRPr="0076687D">
              <w:rPr>
                <w:rFonts w:cstheme="minorHAnsi"/>
                <w:sz w:val="24"/>
                <w:szCs w:val="24"/>
              </w:rPr>
              <w:t>https://www.gov.pl/web/ia/bloki-budowlane-rozwiazan</w:t>
            </w:r>
            <w:r w:rsidR="0076687D" w:rsidRPr="0076687D">
              <w:rPr>
                <w:rFonts w:cstheme="minorHAnsi"/>
                <w:sz w:val="24"/>
                <w:szCs w:val="24"/>
              </w:rPr>
              <w:t xml:space="preserve"> </w:t>
            </w:r>
            <w:r w:rsidRPr="006304A3">
              <w:rPr>
                <w:rFonts w:cstheme="minorHAnsi"/>
                <w:sz w:val="24"/>
                <w:szCs w:val="24"/>
              </w:rPr>
              <w:t>(jeśli dotyczy).</w:t>
            </w:r>
          </w:p>
          <w:p w14:paraId="18584BA8" w14:textId="77777777" w:rsidR="00FA1F6E" w:rsidRDefault="00867AC6" w:rsidP="00FA1F6E">
            <w:pPr>
              <w:spacing w:after="360"/>
              <w:rPr>
                <w:rFonts w:cstheme="minorHAnsi"/>
                <w:color w:val="000000"/>
                <w:sz w:val="24"/>
                <w:szCs w:val="24"/>
              </w:rPr>
            </w:pPr>
            <w:r w:rsidRPr="006304A3">
              <w:rPr>
                <w:rFonts w:cstheme="minorHAnsi"/>
                <w:sz w:val="24"/>
                <w:szCs w:val="24"/>
              </w:rPr>
              <w:t xml:space="preserve">Zaplanowana do wdrożenia w ramach </w:t>
            </w:r>
            <w:r w:rsidRPr="006304A3">
              <w:rPr>
                <w:rFonts w:cstheme="minorHAnsi"/>
                <w:color w:val="000000"/>
                <w:sz w:val="24"/>
                <w:szCs w:val="24"/>
              </w:rPr>
              <w:t xml:space="preserve">Przedsięwzięcia </w:t>
            </w:r>
            <w:r w:rsidRPr="006304A3">
              <w:rPr>
                <w:rFonts w:cstheme="minorHAnsi"/>
                <w:sz w:val="24"/>
                <w:szCs w:val="24"/>
              </w:rPr>
              <w:t xml:space="preserve">infrastruktura techniczna jest adekwatna do jego zakresu i skali (Ostateczny odbiorca wsparcia </w:t>
            </w:r>
            <w:r w:rsidRPr="006304A3">
              <w:rPr>
                <w:rFonts w:cstheme="minorHAnsi"/>
                <w:color w:val="000000"/>
                <w:sz w:val="24"/>
                <w:szCs w:val="24"/>
              </w:rPr>
              <w:t>wskazał główne składniki infrastruktury, opisał ich przeznaczenie oraz określił najistotniejsze parametry techniczne).</w:t>
            </w:r>
          </w:p>
          <w:p w14:paraId="2870557E" w14:textId="77777777" w:rsidR="00FA1F6E" w:rsidRDefault="00867AC6" w:rsidP="00FA1F6E">
            <w:pPr>
              <w:spacing w:after="360"/>
              <w:rPr>
                <w:rFonts w:cstheme="minorHAnsi"/>
                <w:sz w:val="24"/>
                <w:szCs w:val="24"/>
              </w:rPr>
            </w:pPr>
            <w:r w:rsidRPr="006304A3">
              <w:rPr>
                <w:rFonts w:cstheme="minorHAnsi"/>
                <w:sz w:val="24"/>
                <w:szCs w:val="24"/>
              </w:rPr>
              <w:t>Ostateczny odbiorca wsparcia opisał planowaną do wykorzystania infrastrukturę techniczną obejmującą w szczególności serwery oraz urządzenia telekomunikacyjne. Opisał architekturę infrastruktury serwerowej, logikę połączeń sieciowych z uwzględnieniem stref bezpieczeństwa.</w:t>
            </w:r>
          </w:p>
          <w:p w14:paraId="3E36ABFC" w14:textId="77777777" w:rsidR="00FA1F6E" w:rsidRDefault="00867AC6" w:rsidP="00FA1F6E">
            <w:pPr>
              <w:spacing w:after="360"/>
              <w:rPr>
                <w:rFonts w:cstheme="minorHAnsi"/>
                <w:sz w:val="24"/>
                <w:szCs w:val="24"/>
              </w:rPr>
            </w:pPr>
            <w:r w:rsidRPr="006304A3">
              <w:rPr>
                <w:rFonts w:cstheme="minorHAnsi"/>
                <w:sz w:val="24"/>
                <w:szCs w:val="24"/>
              </w:rPr>
              <w:t xml:space="preserve">Ostateczny odbiorca wsparcia wykazał jaka część infrastruktury już istnieje, jaka jest planowana do zakupienia w ramach </w:t>
            </w:r>
            <w:r w:rsidRPr="006304A3">
              <w:rPr>
                <w:rFonts w:cstheme="minorHAnsi"/>
                <w:color w:val="000000"/>
                <w:sz w:val="24"/>
                <w:szCs w:val="24"/>
              </w:rPr>
              <w:t xml:space="preserve">Przedsięwzięcia </w:t>
            </w:r>
            <w:r w:rsidRPr="006304A3">
              <w:rPr>
                <w:rFonts w:cstheme="minorHAnsi"/>
                <w:sz w:val="24"/>
                <w:szCs w:val="24"/>
              </w:rPr>
              <w:t>a jaka część będzie usługą w modelu chmury obliczeniowej.</w:t>
            </w:r>
          </w:p>
          <w:p w14:paraId="40479905" w14:textId="1C6AC888" w:rsidR="00867AC6" w:rsidRPr="006304A3" w:rsidRDefault="00867AC6" w:rsidP="00FA1F6E">
            <w:pPr>
              <w:spacing w:after="360"/>
              <w:rPr>
                <w:rFonts w:cstheme="minorHAnsi"/>
                <w:sz w:val="24"/>
                <w:szCs w:val="24"/>
              </w:rPr>
            </w:pPr>
            <w:r w:rsidRPr="006304A3">
              <w:rPr>
                <w:rFonts w:cstheme="minorHAnsi"/>
                <w:sz w:val="24"/>
                <w:szCs w:val="24"/>
              </w:rPr>
              <w:t xml:space="preserve">Ostateczny odbiorca wsparcia uzasadnił wybór dobranego rozwiązania infrastrukturalnego oraz wykazał, że planowane parametry techniczne są adekwatne do potrzeb </w:t>
            </w:r>
            <w:r w:rsidRPr="006304A3">
              <w:rPr>
                <w:rFonts w:cstheme="minorHAnsi"/>
                <w:color w:val="000000"/>
                <w:sz w:val="24"/>
                <w:szCs w:val="24"/>
              </w:rPr>
              <w:t>Przedsięwzięcia</w:t>
            </w:r>
            <w:r w:rsidRPr="006304A3">
              <w:rPr>
                <w:rFonts w:cstheme="minorHAnsi"/>
                <w:sz w:val="24"/>
                <w:szCs w:val="24"/>
              </w:rPr>
              <w:t>.</w:t>
            </w:r>
          </w:p>
          <w:p w14:paraId="15C62B23" w14:textId="2EFF8A56" w:rsidR="00867AC6" w:rsidRPr="006304A3" w:rsidRDefault="00867AC6" w:rsidP="00FA1F6E">
            <w:pPr>
              <w:spacing w:after="360"/>
              <w:rPr>
                <w:rFonts w:cstheme="minorHAnsi"/>
                <w:sz w:val="24"/>
                <w:szCs w:val="24"/>
              </w:rPr>
            </w:pPr>
            <w:r w:rsidRPr="006304A3">
              <w:rPr>
                <w:rFonts w:cstheme="minorHAnsi"/>
                <w:sz w:val="24"/>
                <w:szCs w:val="24"/>
              </w:rPr>
              <w:lastRenderedPageBreak/>
              <w:t>Przedstawiono również możliwości skalowalności infrastruktury oraz określono czy, i z jakim zakupem dodatkowego Oprogramowania łączy się wybrane rozwiązanie.</w:t>
            </w:r>
          </w:p>
          <w:p w14:paraId="6E719AC7" w14:textId="29C49EE1" w:rsidR="00867AC6" w:rsidRPr="006304A3" w:rsidRDefault="00867AC6" w:rsidP="00FA1F6E">
            <w:pPr>
              <w:spacing w:after="360"/>
              <w:rPr>
                <w:rFonts w:cstheme="minorHAnsi"/>
                <w:sz w:val="24"/>
                <w:szCs w:val="24"/>
              </w:rPr>
            </w:pPr>
            <w:r w:rsidRPr="006304A3">
              <w:rPr>
                <w:rFonts w:cstheme="minorHAnsi"/>
                <w:sz w:val="24"/>
                <w:szCs w:val="24"/>
              </w:rPr>
              <w:t>Ostateczny odbiorca wsparcia wykazał, że uniknie ryzy</w:t>
            </w:r>
            <w:r w:rsidRPr="00FA1F6E">
              <w:rPr>
                <w:rFonts w:cstheme="minorHAnsi"/>
                <w:sz w:val="24"/>
                <w:szCs w:val="24"/>
              </w:rPr>
              <w:t xml:space="preserve">ka </w:t>
            </w:r>
            <w:proofErr w:type="spellStart"/>
            <w:r w:rsidRPr="00FA1F6E">
              <w:rPr>
                <w:rFonts w:cstheme="minorHAnsi"/>
                <w:sz w:val="24"/>
                <w:szCs w:val="24"/>
              </w:rPr>
              <w:t>vendor</w:t>
            </w:r>
            <w:proofErr w:type="spellEnd"/>
            <w:r w:rsidRPr="00FA1F6E">
              <w:rPr>
                <w:rFonts w:cstheme="minorHAnsi"/>
                <w:sz w:val="24"/>
                <w:szCs w:val="24"/>
              </w:rPr>
              <w:t xml:space="preserve"> </w:t>
            </w:r>
            <w:proofErr w:type="spellStart"/>
            <w:r w:rsidRPr="00FA1F6E">
              <w:rPr>
                <w:rFonts w:cstheme="minorHAnsi"/>
                <w:sz w:val="24"/>
                <w:szCs w:val="24"/>
              </w:rPr>
              <w:t>lockingu</w:t>
            </w:r>
            <w:proofErr w:type="spellEnd"/>
            <w:r w:rsidRPr="00FA1F6E">
              <w:rPr>
                <w:rFonts w:cstheme="minorHAnsi"/>
                <w:sz w:val="24"/>
                <w:szCs w:val="24"/>
              </w:rPr>
              <w:t xml:space="preserve"> na</w:t>
            </w:r>
            <w:r w:rsidRPr="006304A3">
              <w:rPr>
                <w:rFonts w:cstheme="minorHAnsi"/>
                <w:sz w:val="24"/>
                <w:szCs w:val="24"/>
              </w:rPr>
              <w:t xml:space="preserve"> poziomie infrastruktury i Oprogramowania, czyli nie przyjął wyłącznych rozwiązań (standardów) własnych dostawcy, które uniemożliwiają lub istotnie utrudniają dalszą niezależną od dostawcy rozbudowę lub modyfikację rozwiązania.</w:t>
            </w:r>
          </w:p>
          <w:p w14:paraId="174BC5EC" w14:textId="77777777" w:rsidR="00867AC6" w:rsidRPr="006304A3" w:rsidRDefault="00867AC6" w:rsidP="00FA1F6E">
            <w:pPr>
              <w:spacing w:after="360"/>
              <w:rPr>
                <w:rFonts w:cstheme="minorHAnsi"/>
                <w:sz w:val="24"/>
                <w:szCs w:val="24"/>
              </w:rPr>
            </w:pPr>
            <w:r w:rsidRPr="006304A3">
              <w:rPr>
                <w:rFonts w:cstheme="minorHAnsi"/>
                <w:sz w:val="24"/>
                <w:szCs w:val="24"/>
              </w:rPr>
              <w:t xml:space="preserve">Ostateczny odbiorca wsparcia uzasadnił użycie Oprogramowania komercyjnego (innego niż </w:t>
            </w:r>
            <w:r w:rsidRPr="00FA1F6E">
              <w:rPr>
                <w:rFonts w:cstheme="minorHAnsi"/>
                <w:sz w:val="24"/>
                <w:szCs w:val="24"/>
              </w:rPr>
              <w:t xml:space="preserve">Oprogramowanie własne lub open </w:t>
            </w:r>
            <w:proofErr w:type="spellStart"/>
            <w:r w:rsidRPr="00FA1F6E">
              <w:rPr>
                <w:rFonts w:cstheme="minorHAnsi"/>
                <w:sz w:val="24"/>
                <w:szCs w:val="24"/>
              </w:rPr>
              <w:t>source</w:t>
            </w:r>
            <w:proofErr w:type="spellEnd"/>
            <w:r w:rsidRPr="00FA1F6E">
              <w:rPr>
                <w:rFonts w:cstheme="minorHAnsi"/>
                <w:sz w:val="24"/>
                <w:szCs w:val="24"/>
              </w:rPr>
              <w:t>).</w:t>
            </w:r>
          </w:p>
          <w:p w14:paraId="55643340" w14:textId="0C8A8DA4" w:rsidR="00867AC6" w:rsidRPr="006304A3" w:rsidRDefault="00867AC6" w:rsidP="00FA1F6E">
            <w:pPr>
              <w:spacing w:after="360"/>
              <w:rPr>
                <w:rFonts w:cstheme="minorHAnsi"/>
                <w:sz w:val="24"/>
                <w:szCs w:val="24"/>
              </w:rPr>
            </w:pPr>
            <w:r w:rsidRPr="006304A3">
              <w:rPr>
                <w:rFonts w:cstheme="minorHAnsi"/>
                <w:sz w:val="24"/>
                <w:szCs w:val="24"/>
              </w:rPr>
              <w:t>Rozwiązanie IT wykorzystuje już istniejące lub będące w trakcie wdrożenia w administracji rozwiązania do realizacji poszczególnych funkcjonalności (jeśli dotyczy).</w:t>
            </w:r>
          </w:p>
          <w:p w14:paraId="6D18A356" w14:textId="77777777" w:rsidR="00FA1F6E" w:rsidRDefault="00867AC6" w:rsidP="00FA1F6E">
            <w:pPr>
              <w:spacing w:after="360"/>
              <w:rPr>
                <w:rFonts w:cstheme="minorHAnsi"/>
                <w:sz w:val="24"/>
                <w:szCs w:val="24"/>
              </w:rPr>
            </w:pPr>
            <w:r w:rsidRPr="006304A3">
              <w:rPr>
                <w:rFonts w:cstheme="minorHAnsi"/>
                <w:sz w:val="24"/>
                <w:szCs w:val="24"/>
              </w:rPr>
              <w:t xml:space="preserve">Ostateczny odbiorca wsparcia przedstawił API umożliwiające dostęp budowanego/modernizowanego Rozwiązania IT do innych Rozwiązań IT w sposób </w:t>
            </w:r>
            <w:r w:rsidR="00D34084" w:rsidRPr="006304A3">
              <w:rPr>
                <w:rFonts w:cstheme="minorHAnsi"/>
                <w:sz w:val="24"/>
                <w:szCs w:val="24"/>
              </w:rPr>
              <w:t>zdalny (</w:t>
            </w:r>
            <w:r w:rsidRPr="006304A3">
              <w:rPr>
                <w:rFonts w:cstheme="minorHAnsi"/>
                <w:sz w:val="24"/>
                <w:szCs w:val="24"/>
              </w:rPr>
              <w:t>jeśli dotyczy).</w:t>
            </w:r>
          </w:p>
          <w:p w14:paraId="52A39A64" w14:textId="4A6463ED" w:rsidR="00867AC6" w:rsidRPr="00FA1F6E" w:rsidRDefault="00867AC6" w:rsidP="00867AC6">
            <w:pPr>
              <w:rPr>
                <w:rFonts w:cstheme="minorHAnsi"/>
                <w:sz w:val="24"/>
                <w:szCs w:val="24"/>
              </w:rPr>
            </w:pPr>
            <w:r w:rsidRPr="006304A3">
              <w:rPr>
                <w:rFonts w:cstheme="minorHAnsi"/>
                <w:sz w:val="24"/>
                <w:szCs w:val="24"/>
              </w:rPr>
              <w:t>Rozwiązanie IT stosuje architekturę opartą o modularność, która pozwala na niezależne zarządzanie cyklem życia poszczególnych komponentów (jeśli dotyczy).</w:t>
            </w:r>
          </w:p>
        </w:tc>
        <w:tc>
          <w:tcPr>
            <w:tcW w:w="1247" w:type="dxa"/>
            <w:tcBorders>
              <w:bottom w:val="single" w:sz="4" w:space="0" w:color="auto"/>
            </w:tcBorders>
            <w:shd w:val="clear" w:color="auto" w:fill="FFFFFF" w:themeFill="background1"/>
            <w:vAlign w:val="center"/>
          </w:tcPr>
          <w:p w14:paraId="6966DBF2" w14:textId="6ADECBD3" w:rsidR="00867AC6" w:rsidRPr="006304A3" w:rsidRDefault="00867AC6" w:rsidP="00867AC6">
            <w:pPr>
              <w:jc w:val="center"/>
              <w:rPr>
                <w:rFonts w:cstheme="minorHAnsi"/>
                <w:color w:val="000000"/>
                <w:sz w:val="24"/>
                <w:szCs w:val="24"/>
              </w:rPr>
            </w:pPr>
            <w:r w:rsidRPr="006304A3">
              <w:rPr>
                <w:rFonts w:cstheme="minorHAnsi"/>
                <w:color w:val="000000"/>
                <w:sz w:val="24"/>
                <w:szCs w:val="24"/>
              </w:rPr>
              <w:lastRenderedPageBreak/>
              <w:t>0/1</w:t>
            </w:r>
          </w:p>
        </w:tc>
      </w:tr>
      <w:tr w:rsidR="00867AC6" w:rsidRPr="00A640DA" w14:paraId="70371CB3" w14:textId="77777777" w:rsidTr="00800A89">
        <w:trPr>
          <w:trHeight w:val="983"/>
        </w:trPr>
        <w:tc>
          <w:tcPr>
            <w:tcW w:w="782" w:type="dxa"/>
            <w:tcBorders>
              <w:bottom w:val="single" w:sz="4" w:space="0" w:color="auto"/>
            </w:tcBorders>
            <w:shd w:val="clear" w:color="auto" w:fill="FFFFFF" w:themeFill="background1"/>
            <w:vAlign w:val="center"/>
          </w:tcPr>
          <w:p w14:paraId="0D02F13E" w14:textId="1FDBE186" w:rsidR="00867AC6" w:rsidRPr="006304A3" w:rsidRDefault="00867AC6" w:rsidP="00867AC6">
            <w:pPr>
              <w:jc w:val="center"/>
              <w:rPr>
                <w:rFonts w:cstheme="minorHAnsi"/>
                <w:b/>
                <w:bCs/>
                <w:color w:val="000000"/>
                <w:sz w:val="24"/>
                <w:szCs w:val="24"/>
              </w:rPr>
            </w:pPr>
            <w:r w:rsidRPr="006304A3">
              <w:rPr>
                <w:rFonts w:cstheme="minorHAnsi"/>
                <w:b/>
                <w:bCs/>
                <w:color w:val="000000"/>
                <w:sz w:val="24"/>
                <w:szCs w:val="24"/>
              </w:rPr>
              <w:t>2</w:t>
            </w:r>
            <w:r w:rsidR="002C4C0F" w:rsidRPr="006304A3">
              <w:rPr>
                <w:rFonts w:cstheme="minorHAnsi"/>
                <w:b/>
                <w:bCs/>
                <w:color w:val="000000"/>
                <w:sz w:val="24"/>
                <w:szCs w:val="24"/>
              </w:rPr>
              <w:t>2</w:t>
            </w:r>
          </w:p>
        </w:tc>
        <w:tc>
          <w:tcPr>
            <w:tcW w:w="2540" w:type="dxa"/>
            <w:tcBorders>
              <w:bottom w:val="single" w:sz="4" w:space="0" w:color="auto"/>
            </w:tcBorders>
            <w:shd w:val="clear" w:color="auto" w:fill="FFFFFF" w:themeFill="background1"/>
          </w:tcPr>
          <w:p w14:paraId="44ED82E8" w14:textId="0F677840" w:rsidR="00867AC6" w:rsidRPr="006304A3" w:rsidRDefault="00867AC6" w:rsidP="00867AC6">
            <w:pPr>
              <w:rPr>
                <w:rFonts w:cstheme="minorHAnsi"/>
                <w:b/>
                <w:bCs/>
                <w:sz w:val="24"/>
                <w:szCs w:val="24"/>
              </w:rPr>
            </w:pPr>
            <w:r w:rsidRPr="006304A3">
              <w:rPr>
                <w:rFonts w:cstheme="minorHAnsi"/>
                <w:b/>
                <w:bCs/>
                <w:sz w:val="24"/>
                <w:szCs w:val="24"/>
              </w:rPr>
              <w:t>Rozwiązanie IT stosuje adekwatne mechanizmy bezpieczeństwa systemu i przetwarzanych danych</w:t>
            </w:r>
          </w:p>
        </w:tc>
        <w:tc>
          <w:tcPr>
            <w:tcW w:w="9027" w:type="dxa"/>
            <w:tcBorders>
              <w:bottom w:val="single" w:sz="4" w:space="0" w:color="auto"/>
            </w:tcBorders>
            <w:shd w:val="clear" w:color="auto" w:fill="FFFFFF" w:themeFill="background1"/>
          </w:tcPr>
          <w:p w14:paraId="31419BCA" w14:textId="5546705E" w:rsidR="00867AC6" w:rsidRPr="006304A3" w:rsidRDefault="00867AC6" w:rsidP="008677C0">
            <w:pPr>
              <w:spacing w:after="360"/>
              <w:rPr>
                <w:rFonts w:cstheme="minorHAnsi"/>
                <w:sz w:val="24"/>
                <w:szCs w:val="24"/>
              </w:rPr>
            </w:pPr>
            <w:r w:rsidRPr="006304A3">
              <w:rPr>
                <w:rFonts w:cstheme="minorHAnsi"/>
                <w:sz w:val="24"/>
                <w:szCs w:val="24"/>
              </w:rPr>
              <w:t>Ostateczny odbiorca wsparcia przedstawił planowane sposoby i metody zapewnienia jakości i bezpieczeństwa Oprogramowania. Określił, w których fazach/etapach Przedsięwzięcia będzie stosował konkretne metody oraz w jaki sposób będzie uwzględniane wyniki tych pomiarów.</w:t>
            </w:r>
          </w:p>
          <w:p w14:paraId="66C3DEA3" w14:textId="1DA81349" w:rsidR="00867AC6" w:rsidRPr="006304A3" w:rsidRDefault="00867AC6" w:rsidP="00867AC6">
            <w:pPr>
              <w:rPr>
                <w:rFonts w:cstheme="minorHAnsi"/>
                <w:sz w:val="24"/>
                <w:szCs w:val="24"/>
              </w:rPr>
            </w:pPr>
            <w:r w:rsidRPr="006304A3">
              <w:rPr>
                <w:rFonts w:cstheme="minorHAnsi"/>
                <w:sz w:val="24"/>
                <w:szCs w:val="24"/>
              </w:rPr>
              <w:t>W ramach Przedsięwzięcia Ostateczny odbiorca wsparcia przeprowadzi testy bezpieczeństwa, w tym penetracyjne, audyt bezpieczeństwa, analizę bezpieczeństwa i jakości wytwarzanego kodu w aspekcie zastosowanej infrastruktury IT, rozwiązań architektonicznych oraz kodu źródłowego Oprogramowania.</w:t>
            </w:r>
          </w:p>
        </w:tc>
        <w:tc>
          <w:tcPr>
            <w:tcW w:w="1247" w:type="dxa"/>
            <w:tcBorders>
              <w:bottom w:val="single" w:sz="4" w:space="0" w:color="auto"/>
            </w:tcBorders>
            <w:shd w:val="clear" w:color="auto" w:fill="FFFFFF" w:themeFill="background1"/>
            <w:vAlign w:val="center"/>
          </w:tcPr>
          <w:p w14:paraId="034103B0" w14:textId="003E4582" w:rsidR="00867AC6" w:rsidRPr="006304A3" w:rsidRDefault="00867AC6" w:rsidP="00867AC6">
            <w:pPr>
              <w:jc w:val="center"/>
              <w:rPr>
                <w:rFonts w:cstheme="minorHAnsi"/>
                <w:color w:val="000000"/>
                <w:sz w:val="24"/>
                <w:szCs w:val="24"/>
              </w:rPr>
            </w:pPr>
            <w:r w:rsidRPr="006304A3">
              <w:rPr>
                <w:rFonts w:cstheme="minorHAnsi"/>
                <w:color w:val="000000"/>
                <w:sz w:val="24"/>
                <w:szCs w:val="24"/>
              </w:rPr>
              <w:t>0/1</w:t>
            </w:r>
          </w:p>
        </w:tc>
      </w:tr>
      <w:tr w:rsidR="00867AC6" w:rsidRPr="00A640DA" w14:paraId="687D8973" w14:textId="77777777" w:rsidTr="00800A89">
        <w:trPr>
          <w:trHeight w:val="983"/>
        </w:trPr>
        <w:tc>
          <w:tcPr>
            <w:tcW w:w="782" w:type="dxa"/>
            <w:tcBorders>
              <w:bottom w:val="single" w:sz="4" w:space="0" w:color="auto"/>
            </w:tcBorders>
            <w:shd w:val="clear" w:color="auto" w:fill="FFFFFF" w:themeFill="background1"/>
            <w:vAlign w:val="center"/>
          </w:tcPr>
          <w:p w14:paraId="52E7B453" w14:textId="0B7A808F" w:rsidR="00867AC6" w:rsidRPr="006304A3" w:rsidRDefault="00867AC6" w:rsidP="00867AC6">
            <w:pPr>
              <w:jc w:val="center"/>
              <w:rPr>
                <w:rFonts w:cstheme="minorHAnsi"/>
                <w:b/>
                <w:bCs/>
                <w:color w:val="000000"/>
                <w:sz w:val="24"/>
                <w:szCs w:val="24"/>
              </w:rPr>
            </w:pPr>
            <w:r w:rsidRPr="006304A3">
              <w:rPr>
                <w:rFonts w:cstheme="minorHAnsi"/>
                <w:b/>
                <w:bCs/>
                <w:color w:val="000000"/>
                <w:sz w:val="24"/>
                <w:szCs w:val="24"/>
              </w:rPr>
              <w:lastRenderedPageBreak/>
              <w:t>2</w:t>
            </w:r>
            <w:r w:rsidR="002C4C0F" w:rsidRPr="006304A3">
              <w:rPr>
                <w:rFonts w:cstheme="minorHAnsi"/>
                <w:b/>
                <w:bCs/>
                <w:color w:val="000000"/>
                <w:sz w:val="24"/>
                <w:szCs w:val="24"/>
              </w:rPr>
              <w:t>3</w:t>
            </w:r>
          </w:p>
        </w:tc>
        <w:tc>
          <w:tcPr>
            <w:tcW w:w="2540" w:type="dxa"/>
            <w:tcBorders>
              <w:bottom w:val="single" w:sz="4" w:space="0" w:color="auto"/>
            </w:tcBorders>
            <w:shd w:val="clear" w:color="auto" w:fill="FFFFFF" w:themeFill="background1"/>
          </w:tcPr>
          <w:p w14:paraId="1DFDAAFF" w14:textId="62495283" w:rsidR="00867AC6" w:rsidRPr="006304A3" w:rsidRDefault="00867AC6" w:rsidP="00867AC6">
            <w:pPr>
              <w:rPr>
                <w:rFonts w:cstheme="minorHAnsi"/>
                <w:b/>
                <w:bCs/>
                <w:sz w:val="24"/>
                <w:szCs w:val="24"/>
              </w:rPr>
            </w:pPr>
            <w:r w:rsidRPr="006304A3">
              <w:rPr>
                <w:rFonts w:cstheme="minorHAnsi"/>
                <w:b/>
                <w:bCs/>
                <w:sz w:val="24"/>
                <w:szCs w:val="24"/>
              </w:rPr>
              <w:t xml:space="preserve">Rozwiązanie IT jest unikatowe </w:t>
            </w:r>
          </w:p>
        </w:tc>
        <w:tc>
          <w:tcPr>
            <w:tcW w:w="9027" w:type="dxa"/>
            <w:tcBorders>
              <w:bottom w:val="single" w:sz="4" w:space="0" w:color="auto"/>
            </w:tcBorders>
            <w:shd w:val="clear" w:color="auto" w:fill="FFFFFF" w:themeFill="background1"/>
          </w:tcPr>
          <w:p w14:paraId="4A92E1F3" w14:textId="6C659B1D" w:rsidR="00867AC6" w:rsidRPr="006304A3" w:rsidRDefault="00867AC6" w:rsidP="008677C0">
            <w:pPr>
              <w:spacing w:after="360"/>
              <w:rPr>
                <w:rFonts w:cstheme="minorHAnsi"/>
                <w:sz w:val="24"/>
                <w:szCs w:val="24"/>
              </w:rPr>
            </w:pPr>
            <w:r w:rsidRPr="006304A3">
              <w:rPr>
                <w:rFonts w:cstheme="minorHAnsi"/>
                <w:sz w:val="24"/>
                <w:szCs w:val="24"/>
              </w:rPr>
              <w:t>Produkty Przedsięwzięcia nie powielają istniejących i funkcjonujących Rozwiązań IT (nie dotyczy Rozwiązań IT udostępnianych w aplikacji mObywatel).</w:t>
            </w:r>
          </w:p>
          <w:p w14:paraId="2795C01F" w14:textId="46B609E9" w:rsidR="00867AC6" w:rsidRPr="006304A3" w:rsidRDefault="00867AC6" w:rsidP="00867AC6">
            <w:pPr>
              <w:rPr>
                <w:rFonts w:cstheme="minorHAnsi"/>
                <w:sz w:val="24"/>
                <w:szCs w:val="24"/>
              </w:rPr>
            </w:pPr>
            <w:r w:rsidRPr="006304A3">
              <w:rPr>
                <w:rFonts w:cstheme="minorHAnsi"/>
                <w:sz w:val="24"/>
                <w:szCs w:val="24"/>
              </w:rPr>
              <w:t>Ostateczny odbiorca wsparcia, a w przypadku Przedsięwzięć partnerskich również każdy z partnerów w Przedsięwzięciu</w:t>
            </w:r>
            <w:r w:rsidR="00AE3154" w:rsidRPr="006304A3">
              <w:rPr>
                <w:rFonts w:cstheme="minorHAnsi"/>
                <w:sz w:val="24"/>
                <w:szCs w:val="24"/>
              </w:rPr>
              <w:t xml:space="preserve"> </w:t>
            </w:r>
            <w:r w:rsidRPr="006304A3">
              <w:rPr>
                <w:rFonts w:cstheme="minorHAnsi"/>
                <w:sz w:val="24"/>
                <w:szCs w:val="24"/>
              </w:rPr>
              <w:t xml:space="preserve">oświadczył, że oceniane Przedsięwzięcie nie powiela już istniejących i funkcjonujących Rozwiązań IT lub w istotny sposób rozwija już istniejące, bez powtórzeń zakresu (nie dotyczy Rozwiązań IT udostępnianych w aplikacji mObywatel). </w:t>
            </w:r>
          </w:p>
        </w:tc>
        <w:tc>
          <w:tcPr>
            <w:tcW w:w="1247" w:type="dxa"/>
            <w:tcBorders>
              <w:bottom w:val="single" w:sz="4" w:space="0" w:color="auto"/>
            </w:tcBorders>
            <w:shd w:val="clear" w:color="auto" w:fill="FFFFFF" w:themeFill="background1"/>
            <w:vAlign w:val="center"/>
          </w:tcPr>
          <w:p w14:paraId="36F823AE" w14:textId="601D3E19" w:rsidR="00867AC6" w:rsidRPr="006304A3" w:rsidRDefault="00867AC6" w:rsidP="00867AC6">
            <w:pPr>
              <w:jc w:val="center"/>
              <w:rPr>
                <w:rFonts w:cstheme="minorHAnsi"/>
                <w:color w:val="000000"/>
                <w:sz w:val="24"/>
                <w:szCs w:val="24"/>
              </w:rPr>
            </w:pPr>
            <w:r w:rsidRPr="006304A3">
              <w:rPr>
                <w:rFonts w:cstheme="minorHAnsi"/>
                <w:color w:val="000000"/>
                <w:sz w:val="24"/>
                <w:szCs w:val="24"/>
              </w:rPr>
              <w:t>0/1</w:t>
            </w:r>
          </w:p>
        </w:tc>
      </w:tr>
    </w:tbl>
    <w:p w14:paraId="28A09D16" w14:textId="4A4BA1C8" w:rsidR="004B6415" w:rsidRPr="00A640DA" w:rsidRDefault="004B6415" w:rsidP="008677C0">
      <w:pPr>
        <w:rPr>
          <w:rFonts w:ascii="Calibri" w:hAnsi="Calibri" w:cs="Calibri"/>
        </w:rPr>
      </w:pPr>
    </w:p>
    <w:sectPr w:rsidR="004B6415" w:rsidRPr="00A640DA" w:rsidSect="005B3A86">
      <w:headerReference w:type="default" r:id="rId1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D2A19" w14:textId="77777777" w:rsidR="000E79BD" w:rsidRDefault="000E79BD" w:rsidP="0036453A">
      <w:pPr>
        <w:spacing w:after="0" w:line="240" w:lineRule="auto"/>
      </w:pPr>
      <w:r>
        <w:separator/>
      </w:r>
    </w:p>
  </w:endnote>
  <w:endnote w:type="continuationSeparator" w:id="0">
    <w:p w14:paraId="07852D74" w14:textId="77777777" w:rsidR="000E79BD" w:rsidRDefault="000E79BD" w:rsidP="0036453A">
      <w:pPr>
        <w:spacing w:after="0" w:line="240" w:lineRule="auto"/>
      </w:pPr>
      <w:r>
        <w:continuationSeparator/>
      </w:r>
    </w:p>
  </w:endnote>
  <w:endnote w:type="continuationNotice" w:id="1">
    <w:p w14:paraId="39DF6ABA" w14:textId="77777777" w:rsidR="000E79BD" w:rsidRDefault="000E79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sz w:val="24"/>
        <w:szCs w:val="24"/>
      </w:rPr>
      <w:id w:val="-1611432167"/>
      <w:docPartObj>
        <w:docPartGallery w:val="Page Numbers (Bottom of Page)"/>
        <w:docPartUnique/>
      </w:docPartObj>
    </w:sdtPr>
    <w:sdtEndPr/>
    <w:sdtContent>
      <w:p w14:paraId="378EDDB2" w14:textId="447AAF3E" w:rsidR="00A640DA" w:rsidRPr="008677C0" w:rsidRDefault="00A640DA">
        <w:pPr>
          <w:pStyle w:val="Stopka"/>
          <w:jc w:val="right"/>
          <w:rPr>
            <w:rFonts w:ascii="Calibri" w:hAnsi="Calibri" w:cs="Calibri"/>
            <w:sz w:val="24"/>
            <w:szCs w:val="24"/>
          </w:rPr>
        </w:pPr>
        <w:r w:rsidRPr="008677C0">
          <w:rPr>
            <w:rFonts w:ascii="Calibri" w:hAnsi="Calibri" w:cs="Calibri"/>
            <w:sz w:val="24"/>
            <w:szCs w:val="24"/>
          </w:rPr>
          <w:fldChar w:fldCharType="begin"/>
        </w:r>
        <w:r w:rsidRPr="008677C0">
          <w:rPr>
            <w:rFonts w:ascii="Calibri" w:hAnsi="Calibri" w:cs="Calibri"/>
            <w:sz w:val="24"/>
            <w:szCs w:val="24"/>
          </w:rPr>
          <w:instrText>PAGE   \* MERGEFORMAT</w:instrText>
        </w:r>
        <w:r w:rsidRPr="008677C0">
          <w:rPr>
            <w:rFonts w:ascii="Calibri" w:hAnsi="Calibri" w:cs="Calibri"/>
            <w:sz w:val="24"/>
            <w:szCs w:val="24"/>
          </w:rPr>
          <w:fldChar w:fldCharType="separate"/>
        </w:r>
        <w:r w:rsidRPr="008677C0">
          <w:rPr>
            <w:rFonts w:ascii="Calibri" w:hAnsi="Calibri" w:cs="Calibri"/>
            <w:sz w:val="24"/>
            <w:szCs w:val="24"/>
          </w:rPr>
          <w:t>2</w:t>
        </w:r>
        <w:r w:rsidRPr="008677C0">
          <w:rPr>
            <w:rFonts w:ascii="Calibri" w:hAnsi="Calibri" w:cs="Calibri"/>
            <w:sz w:val="24"/>
            <w:szCs w:val="24"/>
          </w:rPr>
          <w:fldChar w:fldCharType="end"/>
        </w:r>
      </w:p>
    </w:sdtContent>
  </w:sdt>
  <w:p w14:paraId="54CE151E" w14:textId="77777777" w:rsidR="0022486A" w:rsidRDefault="002248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08176" w14:textId="77777777" w:rsidR="000E79BD" w:rsidRDefault="000E79BD" w:rsidP="0036453A">
      <w:pPr>
        <w:spacing w:after="0" w:line="240" w:lineRule="auto"/>
      </w:pPr>
      <w:r>
        <w:separator/>
      </w:r>
    </w:p>
  </w:footnote>
  <w:footnote w:type="continuationSeparator" w:id="0">
    <w:p w14:paraId="60B3281D" w14:textId="77777777" w:rsidR="000E79BD" w:rsidRDefault="000E79BD" w:rsidP="0036453A">
      <w:pPr>
        <w:spacing w:after="0" w:line="240" w:lineRule="auto"/>
      </w:pPr>
      <w:r>
        <w:continuationSeparator/>
      </w:r>
    </w:p>
  </w:footnote>
  <w:footnote w:type="continuationNotice" w:id="1">
    <w:p w14:paraId="0B1A96F5" w14:textId="77777777" w:rsidR="000E79BD" w:rsidRDefault="000E79BD">
      <w:pPr>
        <w:spacing w:after="0" w:line="240" w:lineRule="auto"/>
      </w:pPr>
    </w:p>
  </w:footnote>
  <w:footnote w:id="2">
    <w:p w14:paraId="6F2F532F" w14:textId="160A7676" w:rsidR="00C6013D" w:rsidRPr="001E00D4" w:rsidRDefault="00C6013D" w:rsidP="0020684E">
      <w:pPr>
        <w:pStyle w:val="Tekstprzypisudolnego"/>
        <w:rPr>
          <w:rFonts w:ascii="Calibri" w:hAnsi="Calibri" w:cs="Calibri"/>
          <w:sz w:val="24"/>
          <w:szCs w:val="24"/>
        </w:rPr>
      </w:pPr>
      <w:r w:rsidRPr="006304A3">
        <w:rPr>
          <w:rStyle w:val="Odwoanieprzypisudolnego"/>
          <w:rFonts w:ascii="Calibri" w:hAnsi="Calibri" w:cs="Calibri"/>
          <w:sz w:val="24"/>
          <w:szCs w:val="24"/>
        </w:rPr>
        <w:footnoteRef/>
      </w:r>
      <w:r w:rsidRPr="006304A3">
        <w:rPr>
          <w:rFonts w:ascii="Calibri" w:hAnsi="Calibri" w:cs="Calibri"/>
          <w:sz w:val="24"/>
          <w:szCs w:val="24"/>
        </w:rPr>
        <w:t xml:space="preserve"> Jeśli było to możliwe definicje oparto na ustawie z dnia 6 grudnia 2006 r. o zasadach prowadzenia polityki rozwoju.</w:t>
      </w:r>
    </w:p>
  </w:footnote>
  <w:footnote w:id="3">
    <w:p w14:paraId="05972B2A" w14:textId="77777777" w:rsidR="0022486A" w:rsidRPr="006304A3" w:rsidRDefault="0022486A" w:rsidP="00B409E6">
      <w:pPr>
        <w:pStyle w:val="Tekstprzypisudolnego"/>
        <w:rPr>
          <w:rFonts w:ascii="Calibri" w:hAnsi="Calibri" w:cs="Calibri"/>
          <w:sz w:val="24"/>
          <w:szCs w:val="24"/>
        </w:rPr>
      </w:pPr>
      <w:r w:rsidRPr="006304A3">
        <w:rPr>
          <w:rStyle w:val="Odwoanieprzypisudolnego"/>
          <w:rFonts w:ascii="Calibri" w:hAnsi="Calibri" w:cs="Calibri"/>
          <w:sz w:val="24"/>
          <w:szCs w:val="24"/>
        </w:rPr>
        <w:footnoteRef/>
      </w:r>
      <w:r w:rsidRPr="006304A3">
        <w:rPr>
          <w:rFonts w:ascii="Calibri" w:hAnsi="Calibri" w:cs="Calibri"/>
          <w:sz w:val="24"/>
          <w:szCs w:val="24"/>
        </w:rPr>
        <w:t xml:space="preserve"> Terminy pisane wielką literą mają znaczenia nadane im w Słowniku pojęć.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FDBB1" w14:textId="110FEA23" w:rsidR="00206711" w:rsidRDefault="00206711">
    <w:pPr>
      <w:pStyle w:val="Nagwek"/>
    </w:pPr>
    <w:r>
      <w:rPr>
        <w:noProof/>
      </w:rPr>
      <w:drawing>
        <wp:inline distT="0" distB="0" distL="0" distR="0" wp14:anchorId="2A95FB9C" wp14:editId="72E8417F">
          <wp:extent cx="5757684" cy="344425"/>
          <wp:effectExtent l="0" t="0" r="0" b="0"/>
          <wp:docPr id="1101504148"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16473"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7684" cy="344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E7DFC" w14:textId="7F0383E2" w:rsidR="00385FAD" w:rsidRDefault="00385FAD">
    <w:pPr>
      <w:pStyle w:val="Nagwek"/>
    </w:pPr>
    <w:r>
      <w:rPr>
        <w:noProof/>
      </w:rPr>
      <w:drawing>
        <wp:inline distT="0" distB="0" distL="0" distR="0" wp14:anchorId="44E77381" wp14:editId="7E47062F">
          <wp:extent cx="5757684" cy="344425"/>
          <wp:effectExtent l="0" t="0" r="0" b="0"/>
          <wp:docPr id="191121774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16473"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7684" cy="3444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BDC91" w14:textId="77777777" w:rsidR="0099517B" w:rsidRDefault="0099517B">
    <w:pPr>
      <w:pStyle w:val="Nagwek"/>
    </w:pPr>
    <w:r>
      <w:rPr>
        <w:noProof/>
      </w:rPr>
      <w:drawing>
        <wp:anchor distT="0" distB="0" distL="114300" distR="114300" simplePos="0" relativeHeight="251658240" behindDoc="0" locked="0" layoutInCell="1" allowOverlap="1" wp14:anchorId="7F399365" wp14:editId="687DFF68">
          <wp:simplePos x="0" y="0"/>
          <wp:positionH relativeFrom="margin">
            <wp:posOffset>1136015</wp:posOffset>
          </wp:positionH>
          <wp:positionV relativeFrom="margin">
            <wp:posOffset>-599602</wp:posOffset>
          </wp:positionV>
          <wp:extent cx="6619853" cy="396000"/>
          <wp:effectExtent l="0" t="0" r="0" b="4445"/>
          <wp:wrapSquare wrapText="bothSides"/>
          <wp:docPr id="264015410"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16473"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19853"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949"/>
    <w:multiLevelType w:val="hybridMultilevel"/>
    <w:tmpl w:val="7AA6CB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05618F"/>
    <w:multiLevelType w:val="hybridMultilevel"/>
    <w:tmpl w:val="7DDA95C4"/>
    <w:lvl w:ilvl="0" w:tplc="CD444A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 w15:restartNumberingAfterBreak="0">
    <w:nsid w:val="0B2C3FCD"/>
    <w:multiLevelType w:val="hybridMultilevel"/>
    <w:tmpl w:val="B31A92DC"/>
    <w:lvl w:ilvl="0" w:tplc="68CCBEC6">
      <w:start w:val="1"/>
      <w:numFmt w:val="lowerLetter"/>
      <w:lvlText w:val="%1)"/>
      <w:lvlJc w:val="left"/>
      <w:pPr>
        <w:ind w:left="720" w:hanging="360"/>
      </w:pPr>
      <w:rPr>
        <w:rFonts w:asciiTheme="minorHAnsi" w:eastAsiaTheme="minorHAnsi" w:hAnsiTheme="minorHAnsi" w:cstheme="minorHAns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4199E"/>
    <w:multiLevelType w:val="hybridMultilevel"/>
    <w:tmpl w:val="017E7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9E4BB4"/>
    <w:multiLevelType w:val="hybridMultilevel"/>
    <w:tmpl w:val="5AC46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1F1947"/>
    <w:multiLevelType w:val="hybridMultilevel"/>
    <w:tmpl w:val="D2127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AD6D25"/>
    <w:multiLevelType w:val="hybridMultilevel"/>
    <w:tmpl w:val="C9D8E9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F0835CA"/>
    <w:multiLevelType w:val="hybridMultilevel"/>
    <w:tmpl w:val="3F74937A"/>
    <w:lvl w:ilvl="0" w:tplc="04150019">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F82C7C"/>
    <w:multiLevelType w:val="hybridMultilevel"/>
    <w:tmpl w:val="64FEDB18"/>
    <w:lvl w:ilvl="0" w:tplc="FFFFFFFF">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A8544A">
      <w:start w:val="1"/>
      <w:numFmt w:val="lowerLetter"/>
      <w:lvlText w:val="%2)"/>
      <w:lvlJc w:val="left"/>
      <w:pPr>
        <w:ind w:left="1287" w:hanging="360"/>
      </w:pPr>
      <w:rPr>
        <w:b w:val="0"/>
        <w:bCs w:val="0"/>
      </w:rPr>
    </w:lvl>
    <w:lvl w:ilvl="2" w:tplc="FFFFFFFF">
      <w:start w:val="1"/>
      <w:numFmt w:val="bullet"/>
      <w:lvlText w:val=""/>
      <w:lvlJc w:val="left"/>
      <w:pPr>
        <w:ind w:left="1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A02009"/>
    <w:multiLevelType w:val="hybridMultilevel"/>
    <w:tmpl w:val="532E9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657646"/>
    <w:multiLevelType w:val="hybridMultilevel"/>
    <w:tmpl w:val="3432BEC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D2331D"/>
    <w:multiLevelType w:val="hybridMultilevel"/>
    <w:tmpl w:val="52F88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010D9A"/>
    <w:multiLevelType w:val="hybridMultilevel"/>
    <w:tmpl w:val="0D642964"/>
    <w:lvl w:ilvl="0" w:tplc="04150001">
      <w:start w:val="1"/>
      <w:numFmt w:val="bullet"/>
      <w:lvlText w:val=""/>
      <w:lvlJc w:val="left"/>
      <w:pPr>
        <w:ind w:left="753" w:hanging="360"/>
      </w:pPr>
      <w:rPr>
        <w:rFonts w:ascii="Symbol" w:hAnsi="Symbol" w:hint="default"/>
        <w:color w:val="auto"/>
        <w:sz w:val="16"/>
        <w:szCs w:val="16"/>
      </w:rPr>
    </w:lvl>
    <w:lvl w:ilvl="1" w:tplc="FFFFFFFF">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13" w15:restartNumberingAfterBreak="0">
    <w:nsid w:val="35D5592E"/>
    <w:multiLevelType w:val="hybridMultilevel"/>
    <w:tmpl w:val="236E9E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9462DC"/>
    <w:multiLevelType w:val="hybridMultilevel"/>
    <w:tmpl w:val="AFACD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EA1E6C"/>
    <w:multiLevelType w:val="hybridMultilevel"/>
    <w:tmpl w:val="6556298C"/>
    <w:lvl w:ilvl="0" w:tplc="04150001">
      <w:start w:val="1"/>
      <w:numFmt w:val="bullet"/>
      <w:lvlText w:val=""/>
      <w:lvlJc w:val="left"/>
      <w:pPr>
        <w:ind w:left="1113" w:hanging="360"/>
      </w:pPr>
      <w:rPr>
        <w:rFonts w:ascii="Symbol" w:hAnsi="Symbol" w:hint="default"/>
      </w:rPr>
    </w:lvl>
    <w:lvl w:ilvl="1" w:tplc="04150003" w:tentative="1">
      <w:start w:val="1"/>
      <w:numFmt w:val="bullet"/>
      <w:lvlText w:val="o"/>
      <w:lvlJc w:val="left"/>
      <w:pPr>
        <w:ind w:left="1833" w:hanging="360"/>
      </w:pPr>
      <w:rPr>
        <w:rFonts w:ascii="Courier New" w:hAnsi="Courier New" w:cs="Courier New" w:hint="default"/>
      </w:rPr>
    </w:lvl>
    <w:lvl w:ilvl="2" w:tplc="04150005" w:tentative="1">
      <w:start w:val="1"/>
      <w:numFmt w:val="bullet"/>
      <w:lvlText w:val=""/>
      <w:lvlJc w:val="left"/>
      <w:pPr>
        <w:ind w:left="2553" w:hanging="360"/>
      </w:pPr>
      <w:rPr>
        <w:rFonts w:ascii="Wingdings" w:hAnsi="Wingdings" w:hint="default"/>
      </w:rPr>
    </w:lvl>
    <w:lvl w:ilvl="3" w:tplc="04150001" w:tentative="1">
      <w:start w:val="1"/>
      <w:numFmt w:val="bullet"/>
      <w:lvlText w:val=""/>
      <w:lvlJc w:val="left"/>
      <w:pPr>
        <w:ind w:left="3273" w:hanging="360"/>
      </w:pPr>
      <w:rPr>
        <w:rFonts w:ascii="Symbol" w:hAnsi="Symbol" w:hint="default"/>
      </w:rPr>
    </w:lvl>
    <w:lvl w:ilvl="4" w:tplc="04150003" w:tentative="1">
      <w:start w:val="1"/>
      <w:numFmt w:val="bullet"/>
      <w:lvlText w:val="o"/>
      <w:lvlJc w:val="left"/>
      <w:pPr>
        <w:ind w:left="3993" w:hanging="360"/>
      </w:pPr>
      <w:rPr>
        <w:rFonts w:ascii="Courier New" w:hAnsi="Courier New" w:cs="Courier New" w:hint="default"/>
      </w:rPr>
    </w:lvl>
    <w:lvl w:ilvl="5" w:tplc="04150005" w:tentative="1">
      <w:start w:val="1"/>
      <w:numFmt w:val="bullet"/>
      <w:lvlText w:val=""/>
      <w:lvlJc w:val="left"/>
      <w:pPr>
        <w:ind w:left="4713" w:hanging="360"/>
      </w:pPr>
      <w:rPr>
        <w:rFonts w:ascii="Wingdings" w:hAnsi="Wingdings" w:hint="default"/>
      </w:rPr>
    </w:lvl>
    <w:lvl w:ilvl="6" w:tplc="04150001" w:tentative="1">
      <w:start w:val="1"/>
      <w:numFmt w:val="bullet"/>
      <w:lvlText w:val=""/>
      <w:lvlJc w:val="left"/>
      <w:pPr>
        <w:ind w:left="5433" w:hanging="360"/>
      </w:pPr>
      <w:rPr>
        <w:rFonts w:ascii="Symbol" w:hAnsi="Symbol" w:hint="default"/>
      </w:rPr>
    </w:lvl>
    <w:lvl w:ilvl="7" w:tplc="04150003" w:tentative="1">
      <w:start w:val="1"/>
      <w:numFmt w:val="bullet"/>
      <w:lvlText w:val="o"/>
      <w:lvlJc w:val="left"/>
      <w:pPr>
        <w:ind w:left="6153" w:hanging="360"/>
      </w:pPr>
      <w:rPr>
        <w:rFonts w:ascii="Courier New" w:hAnsi="Courier New" w:cs="Courier New" w:hint="default"/>
      </w:rPr>
    </w:lvl>
    <w:lvl w:ilvl="8" w:tplc="04150005" w:tentative="1">
      <w:start w:val="1"/>
      <w:numFmt w:val="bullet"/>
      <w:lvlText w:val=""/>
      <w:lvlJc w:val="left"/>
      <w:pPr>
        <w:ind w:left="6873" w:hanging="360"/>
      </w:pPr>
      <w:rPr>
        <w:rFonts w:ascii="Wingdings" w:hAnsi="Wingdings" w:hint="default"/>
      </w:rPr>
    </w:lvl>
  </w:abstractNum>
  <w:abstractNum w:abstractNumId="16" w15:restartNumberingAfterBreak="0">
    <w:nsid w:val="3AB27323"/>
    <w:multiLevelType w:val="hybridMultilevel"/>
    <w:tmpl w:val="C0B80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122D87"/>
    <w:multiLevelType w:val="hybridMultilevel"/>
    <w:tmpl w:val="F5DCB786"/>
    <w:lvl w:ilvl="0" w:tplc="2A82070C">
      <w:start w:val="1"/>
      <w:numFmt w:val="bullet"/>
      <w:lvlText w:val=""/>
      <w:lvlJc w:val="left"/>
      <w:pPr>
        <w:ind w:left="753" w:hanging="360"/>
      </w:pPr>
      <w:rPr>
        <w:rFonts w:ascii="Symbol" w:hAnsi="Symbol" w:hint="default"/>
        <w:sz w:val="16"/>
        <w:szCs w:val="16"/>
      </w:rPr>
    </w:lvl>
    <w:lvl w:ilvl="1" w:tplc="04150003">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8" w15:restartNumberingAfterBreak="0">
    <w:nsid w:val="4D0A302D"/>
    <w:multiLevelType w:val="hybridMultilevel"/>
    <w:tmpl w:val="F6E2F3C8"/>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F261895"/>
    <w:multiLevelType w:val="hybridMultilevel"/>
    <w:tmpl w:val="CB2270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2440F1"/>
    <w:multiLevelType w:val="hybridMultilevel"/>
    <w:tmpl w:val="6BD6642A"/>
    <w:lvl w:ilvl="0" w:tplc="4A96D5F4">
      <w:numFmt w:val="bullet"/>
      <w:lvlText w:val="•"/>
      <w:lvlJc w:val="left"/>
      <w:pPr>
        <w:ind w:left="1070" w:hanging="71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1085B83"/>
    <w:multiLevelType w:val="hybridMultilevel"/>
    <w:tmpl w:val="E2406E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C70D66"/>
    <w:multiLevelType w:val="hybridMultilevel"/>
    <w:tmpl w:val="66EAA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CE1E04"/>
    <w:multiLevelType w:val="hybridMultilevel"/>
    <w:tmpl w:val="49E43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6215FA8"/>
    <w:multiLevelType w:val="hybridMultilevel"/>
    <w:tmpl w:val="F0464394"/>
    <w:lvl w:ilvl="0" w:tplc="04150001">
      <w:start w:val="1"/>
      <w:numFmt w:val="bullet"/>
      <w:lvlText w:val=""/>
      <w:lvlJc w:val="left"/>
      <w:pPr>
        <w:ind w:left="758" w:hanging="360"/>
      </w:pPr>
      <w:rPr>
        <w:rFonts w:ascii="Symbol" w:hAnsi="Symbol"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25" w15:restartNumberingAfterBreak="0">
    <w:nsid w:val="6FA843AD"/>
    <w:multiLevelType w:val="hybridMultilevel"/>
    <w:tmpl w:val="23802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3AA1424"/>
    <w:multiLevelType w:val="hybridMultilevel"/>
    <w:tmpl w:val="D75EB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DAE5174"/>
    <w:multiLevelType w:val="hybridMultilevel"/>
    <w:tmpl w:val="0A0E3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DC5403A"/>
    <w:multiLevelType w:val="hybridMultilevel"/>
    <w:tmpl w:val="4B927F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51939547">
    <w:abstractNumId w:val="18"/>
  </w:num>
  <w:num w:numId="2" w16cid:durableId="1759138739">
    <w:abstractNumId w:val="3"/>
  </w:num>
  <w:num w:numId="3" w16cid:durableId="1547373020">
    <w:abstractNumId w:val="15"/>
  </w:num>
  <w:num w:numId="4" w16cid:durableId="624047567">
    <w:abstractNumId w:val="16"/>
  </w:num>
  <w:num w:numId="5" w16cid:durableId="1425564982">
    <w:abstractNumId w:val="17"/>
  </w:num>
  <w:num w:numId="6" w16cid:durableId="1528986909">
    <w:abstractNumId w:val="1"/>
  </w:num>
  <w:num w:numId="7" w16cid:durableId="1512984046">
    <w:abstractNumId w:val="11"/>
  </w:num>
  <w:num w:numId="8" w16cid:durableId="1613395954">
    <w:abstractNumId w:val="4"/>
  </w:num>
  <w:num w:numId="9" w16cid:durableId="2087652322">
    <w:abstractNumId w:val="24"/>
  </w:num>
  <w:num w:numId="10" w16cid:durableId="1699621245">
    <w:abstractNumId w:val="25"/>
  </w:num>
  <w:num w:numId="11" w16cid:durableId="155845945">
    <w:abstractNumId w:val="8"/>
  </w:num>
  <w:num w:numId="12" w16cid:durableId="790709867">
    <w:abstractNumId w:val="2"/>
  </w:num>
  <w:num w:numId="13" w16cid:durableId="755589996">
    <w:abstractNumId w:val="27"/>
  </w:num>
  <w:num w:numId="14" w16cid:durableId="998847328">
    <w:abstractNumId w:val="9"/>
  </w:num>
  <w:num w:numId="15" w16cid:durableId="2086683817">
    <w:abstractNumId w:val="0"/>
  </w:num>
  <w:num w:numId="16" w16cid:durableId="308633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2877398">
    <w:abstractNumId w:val="5"/>
  </w:num>
  <w:num w:numId="18" w16cid:durableId="1006053715">
    <w:abstractNumId w:val="26"/>
  </w:num>
  <w:num w:numId="19" w16cid:durableId="1921668599">
    <w:abstractNumId w:val="23"/>
  </w:num>
  <w:num w:numId="20" w16cid:durableId="1349210625">
    <w:abstractNumId w:val="14"/>
  </w:num>
  <w:num w:numId="21" w16cid:durableId="451091182">
    <w:abstractNumId w:val="28"/>
  </w:num>
  <w:num w:numId="22" w16cid:durableId="1101605829">
    <w:abstractNumId w:val="21"/>
  </w:num>
  <w:num w:numId="23" w16cid:durableId="550725864">
    <w:abstractNumId w:val="12"/>
  </w:num>
  <w:num w:numId="24" w16cid:durableId="1024476639">
    <w:abstractNumId w:val="20"/>
  </w:num>
  <w:num w:numId="25" w16cid:durableId="1993098490">
    <w:abstractNumId w:val="10"/>
  </w:num>
  <w:num w:numId="26" w16cid:durableId="248009569">
    <w:abstractNumId w:val="19"/>
  </w:num>
  <w:num w:numId="27" w16cid:durableId="332340549">
    <w:abstractNumId w:val="7"/>
  </w:num>
  <w:num w:numId="28" w16cid:durableId="1849444517">
    <w:abstractNumId w:val="13"/>
  </w:num>
  <w:num w:numId="29" w16cid:durableId="85029423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B2"/>
    <w:rsid w:val="00001409"/>
    <w:rsid w:val="00002681"/>
    <w:rsid w:val="00002791"/>
    <w:rsid w:val="00003A19"/>
    <w:rsid w:val="000049F7"/>
    <w:rsid w:val="000062BE"/>
    <w:rsid w:val="00006BB2"/>
    <w:rsid w:val="00006E9D"/>
    <w:rsid w:val="00007349"/>
    <w:rsid w:val="000107D3"/>
    <w:rsid w:val="00011910"/>
    <w:rsid w:val="00011E05"/>
    <w:rsid w:val="000123C5"/>
    <w:rsid w:val="00016464"/>
    <w:rsid w:val="00016AAA"/>
    <w:rsid w:val="00017429"/>
    <w:rsid w:val="000211A9"/>
    <w:rsid w:val="0002384C"/>
    <w:rsid w:val="000243A2"/>
    <w:rsid w:val="0002459C"/>
    <w:rsid w:val="000266F1"/>
    <w:rsid w:val="00026A07"/>
    <w:rsid w:val="00026B8A"/>
    <w:rsid w:val="00027C7B"/>
    <w:rsid w:val="000313AB"/>
    <w:rsid w:val="00031C85"/>
    <w:rsid w:val="00033A58"/>
    <w:rsid w:val="000341F4"/>
    <w:rsid w:val="000355B7"/>
    <w:rsid w:val="0003754A"/>
    <w:rsid w:val="00037B2B"/>
    <w:rsid w:val="000401B5"/>
    <w:rsid w:val="00040442"/>
    <w:rsid w:val="00042008"/>
    <w:rsid w:val="000442D9"/>
    <w:rsid w:val="00044353"/>
    <w:rsid w:val="00051AD6"/>
    <w:rsid w:val="0005349A"/>
    <w:rsid w:val="000539D4"/>
    <w:rsid w:val="000572AD"/>
    <w:rsid w:val="000644DF"/>
    <w:rsid w:val="00065965"/>
    <w:rsid w:val="00067DCC"/>
    <w:rsid w:val="00072087"/>
    <w:rsid w:val="00072D48"/>
    <w:rsid w:val="0007427A"/>
    <w:rsid w:val="00074C3D"/>
    <w:rsid w:val="00075CCF"/>
    <w:rsid w:val="000767CC"/>
    <w:rsid w:val="00082126"/>
    <w:rsid w:val="00083119"/>
    <w:rsid w:val="000835FE"/>
    <w:rsid w:val="00084F0D"/>
    <w:rsid w:val="00087409"/>
    <w:rsid w:val="000876D1"/>
    <w:rsid w:val="00090D5A"/>
    <w:rsid w:val="00091891"/>
    <w:rsid w:val="00095A8B"/>
    <w:rsid w:val="00095D15"/>
    <w:rsid w:val="00097E33"/>
    <w:rsid w:val="00097E3C"/>
    <w:rsid w:val="000A0D3F"/>
    <w:rsid w:val="000A0F17"/>
    <w:rsid w:val="000A308D"/>
    <w:rsid w:val="000A3866"/>
    <w:rsid w:val="000A3A84"/>
    <w:rsid w:val="000A3F9E"/>
    <w:rsid w:val="000A40F4"/>
    <w:rsid w:val="000A4457"/>
    <w:rsid w:val="000A55E8"/>
    <w:rsid w:val="000A73F2"/>
    <w:rsid w:val="000A7C39"/>
    <w:rsid w:val="000B1AA9"/>
    <w:rsid w:val="000B20BF"/>
    <w:rsid w:val="000B2E72"/>
    <w:rsid w:val="000B38DE"/>
    <w:rsid w:val="000B43A5"/>
    <w:rsid w:val="000B7271"/>
    <w:rsid w:val="000C022A"/>
    <w:rsid w:val="000C146F"/>
    <w:rsid w:val="000C2DEF"/>
    <w:rsid w:val="000C3664"/>
    <w:rsid w:val="000C40FD"/>
    <w:rsid w:val="000C5834"/>
    <w:rsid w:val="000C5CE5"/>
    <w:rsid w:val="000C6F25"/>
    <w:rsid w:val="000D084D"/>
    <w:rsid w:val="000D2E63"/>
    <w:rsid w:val="000D2FF2"/>
    <w:rsid w:val="000D39B7"/>
    <w:rsid w:val="000D4DA8"/>
    <w:rsid w:val="000D590D"/>
    <w:rsid w:val="000D64C6"/>
    <w:rsid w:val="000D66E3"/>
    <w:rsid w:val="000D7688"/>
    <w:rsid w:val="000E0A09"/>
    <w:rsid w:val="000E0A11"/>
    <w:rsid w:val="000E1946"/>
    <w:rsid w:val="000E356C"/>
    <w:rsid w:val="000E7939"/>
    <w:rsid w:val="000E79BD"/>
    <w:rsid w:val="000E7D3C"/>
    <w:rsid w:val="000F13F9"/>
    <w:rsid w:val="000F6466"/>
    <w:rsid w:val="000F6504"/>
    <w:rsid w:val="000F6C18"/>
    <w:rsid w:val="000F7888"/>
    <w:rsid w:val="00101639"/>
    <w:rsid w:val="00101DB2"/>
    <w:rsid w:val="00101E3A"/>
    <w:rsid w:val="001020FF"/>
    <w:rsid w:val="00103396"/>
    <w:rsid w:val="00103452"/>
    <w:rsid w:val="0010347C"/>
    <w:rsid w:val="00104B2C"/>
    <w:rsid w:val="00105497"/>
    <w:rsid w:val="00105E3F"/>
    <w:rsid w:val="00110FDC"/>
    <w:rsid w:val="00112A62"/>
    <w:rsid w:val="001163C5"/>
    <w:rsid w:val="00117144"/>
    <w:rsid w:val="001204D7"/>
    <w:rsid w:val="00120775"/>
    <w:rsid w:val="0012237E"/>
    <w:rsid w:val="00122884"/>
    <w:rsid w:val="00125135"/>
    <w:rsid w:val="00131AC1"/>
    <w:rsid w:val="00133C64"/>
    <w:rsid w:val="0013444D"/>
    <w:rsid w:val="00134D51"/>
    <w:rsid w:val="001353ED"/>
    <w:rsid w:val="001356E8"/>
    <w:rsid w:val="0013578B"/>
    <w:rsid w:val="001358D4"/>
    <w:rsid w:val="00137753"/>
    <w:rsid w:val="0014111C"/>
    <w:rsid w:val="00141192"/>
    <w:rsid w:val="00143EE8"/>
    <w:rsid w:val="001458CD"/>
    <w:rsid w:val="00146499"/>
    <w:rsid w:val="00146F4B"/>
    <w:rsid w:val="00153865"/>
    <w:rsid w:val="00156F5F"/>
    <w:rsid w:val="001608BB"/>
    <w:rsid w:val="00161BBB"/>
    <w:rsid w:val="00161FA9"/>
    <w:rsid w:val="001628BD"/>
    <w:rsid w:val="00162EEF"/>
    <w:rsid w:val="00165F68"/>
    <w:rsid w:val="00170708"/>
    <w:rsid w:val="001739C8"/>
    <w:rsid w:val="00173C60"/>
    <w:rsid w:val="00175FF4"/>
    <w:rsid w:val="0017714F"/>
    <w:rsid w:val="0017780C"/>
    <w:rsid w:val="00180E03"/>
    <w:rsid w:val="00181382"/>
    <w:rsid w:val="001816B1"/>
    <w:rsid w:val="00181F1A"/>
    <w:rsid w:val="00182000"/>
    <w:rsid w:val="00183ABB"/>
    <w:rsid w:val="001857C6"/>
    <w:rsid w:val="001867DC"/>
    <w:rsid w:val="00190B7F"/>
    <w:rsid w:val="001919B2"/>
    <w:rsid w:val="0019246B"/>
    <w:rsid w:val="00193AC5"/>
    <w:rsid w:val="00193BC2"/>
    <w:rsid w:val="00194167"/>
    <w:rsid w:val="00194324"/>
    <w:rsid w:val="00194D64"/>
    <w:rsid w:val="00195156"/>
    <w:rsid w:val="00196248"/>
    <w:rsid w:val="00196437"/>
    <w:rsid w:val="00196E00"/>
    <w:rsid w:val="001A2B11"/>
    <w:rsid w:val="001A4197"/>
    <w:rsid w:val="001A49BF"/>
    <w:rsid w:val="001A6899"/>
    <w:rsid w:val="001A7C94"/>
    <w:rsid w:val="001B2731"/>
    <w:rsid w:val="001B2940"/>
    <w:rsid w:val="001B2BA4"/>
    <w:rsid w:val="001B3209"/>
    <w:rsid w:val="001B3661"/>
    <w:rsid w:val="001B3DAF"/>
    <w:rsid w:val="001B586D"/>
    <w:rsid w:val="001B5C0A"/>
    <w:rsid w:val="001B5CD9"/>
    <w:rsid w:val="001B6CE3"/>
    <w:rsid w:val="001B7C94"/>
    <w:rsid w:val="001C07D4"/>
    <w:rsid w:val="001C0C49"/>
    <w:rsid w:val="001C2AB9"/>
    <w:rsid w:val="001C3897"/>
    <w:rsid w:val="001C4180"/>
    <w:rsid w:val="001C436C"/>
    <w:rsid w:val="001C6ACD"/>
    <w:rsid w:val="001D30BD"/>
    <w:rsid w:val="001D332E"/>
    <w:rsid w:val="001D454E"/>
    <w:rsid w:val="001D497C"/>
    <w:rsid w:val="001D567F"/>
    <w:rsid w:val="001D56EE"/>
    <w:rsid w:val="001E00D4"/>
    <w:rsid w:val="001E06F7"/>
    <w:rsid w:val="001E1212"/>
    <w:rsid w:val="001E2E9C"/>
    <w:rsid w:val="001E3DDE"/>
    <w:rsid w:val="001E4D3D"/>
    <w:rsid w:val="001E5A13"/>
    <w:rsid w:val="001E63E3"/>
    <w:rsid w:val="001F18B2"/>
    <w:rsid w:val="001F2A60"/>
    <w:rsid w:val="001F4B1A"/>
    <w:rsid w:val="001F5B3E"/>
    <w:rsid w:val="001F5B7E"/>
    <w:rsid w:val="001F608E"/>
    <w:rsid w:val="001F6C76"/>
    <w:rsid w:val="001F7A91"/>
    <w:rsid w:val="001F7D9A"/>
    <w:rsid w:val="00201242"/>
    <w:rsid w:val="0020237B"/>
    <w:rsid w:val="00202961"/>
    <w:rsid w:val="00205C68"/>
    <w:rsid w:val="00206711"/>
    <w:rsid w:val="0020684E"/>
    <w:rsid w:val="00206F06"/>
    <w:rsid w:val="00210F84"/>
    <w:rsid w:val="00210FF7"/>
    <w:rsid w:val="00211085"/>
    <w:rsid w:val="002121A2"/>
    <w:rsid w:val="002144BD"/>
    <w:rsid w:val="00214DD6"/>
    <w:rsid w:val="002150A7"/>
    <w:rsid w:val="00215833"/>
    <w:rsid w:val="002160A2"/>
    <w:rsid w:val="00216FB8"/>
    <w:rsid w:val="00221C43"/>
    <w:rsid w:val="0022366C"/>
    <w:rsid w:val="0022486A"/>
    <w:rsid w:val="0022745D"/>
    <w:rsid w:val="00227A5A"/>
    <w:rsid w:val="0023267D"/>
    <w:rsid w:val="00235003"/>
    <w:rsid w:val="00235666"/>
    <w:rsid w:val="00236DC8"/>
    <w:rsid w:val="0023741A"/>
    <w:rsid w:val="002400BE"/>
    <w:rsid w:val="00241A0F"/>
    <w:rsid w:val="00243502"/>
    <w:rsid w:val="00244F5E"/>
    <w:rsid w:val="002465A9"/>
    <w:rsid w:val="002465C3"/>
    <w:rsid w:val="002477A8"/>
    <w:rsid w:val="002516A4"/>
    <w:rsid w:val="00253149"/>
    <w:rsid w:val="002540AC"/>
    <w:rsid w:val="00254994"/>
    <w:rsid w:val="00254F7B"/>
    <w:rsid w:val="00255BC7"/>
    <w:rsid w:val="00256897"/>
    <w:rsid w:val="00257296"/>
    <w:rsid w:val="00260D57"/>
    <w:rsid w:val="0026101A"/>
    <w:rsid w:val="00261B90"/>
    <w:rsid w:val="00261F33"/>
    <w:rsid w:val="00261F3F"/>
    <w:rsid w:val="00262398"/>
    <w:rsid w:val="00263A52"/>
    <w:rsid w:val="00265469"/>
    <w:rsid w:val="00270D9D"/>
    <w:rsid w:val="002721DB"/>
    <w:rsid w:val="00273EAB"/>
    <w:rsid w:val="00276D1A"/>
    <w:rsid w:val="00280D14"/>
    <w:rsid w:val="00281D03"/>
    <w:rsid w:val="00281D95"/>
    <w:rsid w:val="00281F6E"/>
    <w:rsid w:val="00282D47"/>
    <w:rsid w:val="0028317E"/>
    <w:rsid w:val="002838A5"/>
    <w:rsid w:val="002844C4"/>
    <w:rsid w:val="002858B9"/>
    <w:rsid w:val="00287D2E"/>
    <w:rsid w:val="00290C66"/>
    <w:rsid w:val="00291DE7"/>
    <w:rsid w:val="002931C2"/>
    <w:rsid w:val="00296EF3"/>
    <w:rsid w:val="00297523"/>
    <w:rsid w:val="002A2424"/>
    <w:rsid w:val="002A321F"/>
    <w:rsid w:val="002A34CD"/>
    <w:rsid w:val="002A3F81"/>
    <w:rsid w:val="002A50BE"/>
    <w:rsid w:val="002A5761"/>
    <w:rsid w:val="002A5969"/>
    <w:rsid w:val="002A6D55"/>
    <w:rsid w:val="002A701C"/>
    <w:rsid w:val="002B1458"/>
    <w:rsid w:val="002B2536"/>
    <w:rsid w:val="002B25D4"/>
    <w:rsid w:val="002B2C2D"/>
    <w:rsid w:val="002B7CBE"/>
    <w:rsid w:val="002C1C46"/>
    <w:rsid w:val="002C22A5"/>
    <w:rsid w:val="002C27A4"/>
    <w:rsid w:val="002C4C0F"/>
    <w:rsid w:val="002C4D28"/>
    <w:rsid w:val="002C520B"/>
    <w:rsid w:val="002C7804"/>
    <w:rsid w:val="002C7F7D"/>
    <w:rsid w:val="002D01BB"/>
    <w:rsid w:val="002D40DF"/>
    <w:rsid w:val="002D690B"/>
    <w:rsid w:val="002D6E94"/>
    <w:rsid w:val="002E006A"/>
    <w:rsid w:val="002E0E66"/>
    <w:rsid w:val="002E0FA8"/>
    <w:rsid w:val="002E1F3A"/>
    <w:rsid w:val="002E5735"/>
    <w:rsid w:val="002F1114"/>
    <w:rsid w:val="002F12B6"/>
    <w:rsid w:val="002F3A9F"/>
    <w:rsid w:val="002F40A1"/>
    <w:rsid w:val="002F476D"/>
    <w:rsid w:val="002F5744"/>
    <w:rsid w:val="003002EE"/>
    <w:rsid w:val="00300697"/>
    <w:rsid w:val="003008C0"/>
    <w:rsid w:val="00301685"/>
    <w:rsid w:val="00301C20"/>
    <w:rsid w:val="0030246D"/>
    <w:rsid w:val="00302FD7"/>
    <w:rsid w:val="0030503C"/>
    <w:rsid w:val="00305643"/>
    <w:rsid w:val="003112B7"/>
    <w:rsid w:val="00312876"/>
    <w:rsid w:val="003137FD"/>
    <w:rsid w:val="00314EC2"/>
    <w:rsid w:val="00316FF1"/>
    <w:rsid w:val="0031764D"/>
    <w:rsid w:val="00317733"/>
    <w:rsid w:val="003202D5"/>
    <w:rsid w:val="00320365"/>
    <w:rsid w:val="003212E8"/>
    <w:rsid w:val="003223D4"/>
    <w:rsid w:val="00323708"/>
    <w:rsid w:val="003238FA"/>
    <w:rsid w:val="00323E7F"/>
    <w:rsid w:val="00325D1D"/>
    <w:rsid w:val="00326C94"/>
    <w:rsid w:val="00330DFD"/>
    <w:rsid w:val="003314AD"/>
    <w:rsid w:val="003325FC"/>
    <w:rsid w:val="00333845"/>
    <w:rsid w:val="003341D7"/>
    <w:rsid w:val="00334E0D"/>
    <w:rsid w:val="0033624C"/>
    <w:rsid w:val="003374A0"/>
    <w:rsid w:val="00340DF5"/>
    <w:rsid w:val="003424E4"/>
    <w:rsid w:val="0034361E"/>
    <w:rsid w:val="00347770"/>
    <w:rsid w:val="0035131E"/>
    <w:rsid w:val="00351E25"/>
    <w:rsid w:val="00360D7B"/>
    <w:rsid w:val="00360DE3"/>
    <w:rsid w:val="00361C9D"/>
    <w:rsid w:val="00362E9C"/>
    <w:rsid w:val="0036335E"/>
    <w:rsid w:val="0036453A"/>
    <w:rsid w:val="00372344"/>
    <w:rsid w:val="00374758"/>
    <w:rsid w:val="003747E4"/>
    <w:rsid w:val="003769C2"/>
    <w:rsid w:val="00376FC9"/>
    <w:rsid w:val="00377DEF"/>
    <w:rsid w:val="00383703"/>
    <w:rsid w:val="00384085"/>
    <w:rsid w:val="00385FAD"/>
    <w:rsid w:val="00392582"/>
    <w:rsid w:val="00392F03"/>
    <w:rsid w:val="003935BE"/>
    <w:rsid w:val="00397D13"/>
    <w:rsid w:val="003A0EE9"/>
    <w:rsid w:val="003A2591"/>
    <w:rsid w:val="003A370A"/>
    <w:rsid w:val="003A5D8C"/>
    <w:rsid w:val="003A702D"/>
    <w:rsid w:val="003A76A1"/>
    <w:rsid w:val="003A79BC"/>
    <w:rsid w:val="003A7FB2"/>
    <w:rsid w:val="003B0115"/>
    <w:rsid w:val="003B1809"/>
    <w:rsid w:val="003B2188"/>
    <w:rsid w:val="003B262E"/>
    <w:rsid w:val="003B47D3"/>
    <w:rsid w:val="003B4DDF"/>
    <w:rsid w:val="003B68A9"/>
    <w:rsid w:val="003B6E0B"/>
    <w:rsid w:val="003C0B88"/>
    <w:rsid w:val="003C13F8"/>
    <w:rsid w:val="003C1645"/>
    <w:rsid w:val="003C2BA1"/>
    <w:rsid w:val="003C4105"/>
    <w:rsid w:val="003C581F"/>
    <w:rsid w:val="003C5A0B"/>
    <w:rsid w:val="003C648F"/>
    <w:rsid w:val="003C6957"/>
    <w:rsid w:val="003C6C58"/>
    <w:rsid w:val="003C6CE1"/>
    <w:rsid w:val="003C7CF5"/>
    <w:rsid w:val="003D3351"/>
    <w:rsid w:val="003D6502"/>
    <w:rsid w:val="003D6679"/>
    <w:rsid w:val="003D762D"/>
    <w:rsid w:val="003E0209"/>
    <w:rsid w:val="003E19BC"/>
    <w:rsid w:val="003E3E76"/>
    <w:rsid w:val="003E561B"/>
    <w:rsid w:val="003E5E7F"/>
    <w:rsid w:val="003E70BE"/>
    <w:rsid w:val="003F0085"/>
    <w:rsid w:val="003F046D"/>
    <w:rsid w:val="003F08F7"/>
    <w:rsid w:val="003F0F1B"/>
    <w:rsid w:val="003F2FE5"/>
    <w:rsid w:val="003F36C3"/>
    <w:rsid w:val="003F3756"/>
    <w:rsid w:val="003F6714"/>
    <w:rsid w:val="003F76E0"/>
    <w:rsid w:val="003F7B88"/>
    <w:rsid w:val="00402386"/>
    <w:rsid w:val="004032CB"/>
    <w:rsid w:val="00403A56"/>
    <w:rsid w:val="00403D55"/>
    <w:rsid w:val="00403ED7"/>
    <w:rsid w:val="0040439B"/>
    <w:rsid w:val="00405D34"/>
    <w:rsid w:val="00407112"/>
    <w:rsid w:val="004073AE"/>
    <w:rsid w:val="00411684"/>
    <w:rsid w:val="00411E2F"/>
    <w:rsid w:val="00412BAD"/>
    <w:rsid w:val="0041367E"/>
    <w:rsid w:val="00414C79"/>
    <w:rsid w:val="00420053"/>
    <w:rsid w:val="00420599"/>
    <w:rsid w:val="00420FD1"/>
    <w:rsid w:val="00422B45"/>
    <w:rsid w:val="00422CD1"/>
    <w:rsid w:val="00425538"/>
    <w:rsid w:val="004268D2"/>
    <w:rsid w:val="004307B9"/>
    <w:rsid w:val="00431996"/>
    <w:rsid w:val="00431EA0"/>
    <w:rsid w:val="004328BA"/>
    <w:rsid w:val="00432C01"/>
    <w:rsid w:val="00432C94"/>
    <w:rsid w:val="00433940"/>
    <w:rsid w:val="00433A57"/>
    <w:rsid w:val="00434444"/>
    <w:rsid w:val="00434FFA"/>
    <w:rsid w:val="00440821"/>
    <w:rsid w:val="0044082C"/>
    <w:rsid w:val="00441577"/>
    <w:rsid w:val="0044214C"/>
    <w:rsid w:val="004425F6"/>
    <w:rsid w:val="0044289D"/>
    <w:rsid w:val="00443AE8"/>
    <w:rsid w:val="00444571"/>
    <w:rsid w:val="00444CB9"/>
    <w:rsid w:val="00446306"/>
    <w:rsid w:val="00446F57"/>
    <w:rsid w:val="004471DC"/>
    <w:rsid w:val="00447B44"/>
    <w:rsid w:val="00447BFC"/>
    <w:rsid w:val="0045267B"/>
    <w:rsid w:val="00452B23"/>
    <w:rsid w:val="00453170"/>
    <w:rsid w:val="00454EAC"/>
    <w:rsid w:val="00455D0B"/>
    <w:rsid w:val="004574BC"/>
    <w:rsid w:val="004610DE"/>
    <w:rsid w:val="0046277E"/>
    <w:rsid w:val="00466B76"/>
    <w:rsid w:val="004703EA"/>
    <w:rsid w:val="00470F90"/>
    <w:rsid w:val="0047103F"/>
    <w:rsid w:val="00472D14"/>
    <w:rsid w:val="00472DF7"/>
    <w:rsid w:val="004734A6"/>
    <w:rsid w:val="00473CEE"/>
    <w:rsid w:val="004761BC"/>
    <w:rsid w:val="00481914"/>
    <w:rsid w:val="00481A2C"/>
    <w:rsid w:val="00481F1B"/>
    <w:rsid w:val="004822D9"/>
    <w:rsid w:val="0048381B"/>
    <w:rsid w:val="00492E09"/>
    <w:rsid w:val="004A01B1"/>
    <w:rsid w:val="004A078E"/>
    <w:rsid w:val="004A0BD0"/>
    <w:rsid w:val="004A0DC1"/>
    <w:rsid w:val="004A14D6"/>
    <w:rsid w:val="004A1D4C"/>
    <w:rsid w:val="004A6C39"/>
    <w:rsid w:val="004B0629"/>
    <w:rsid w:val="004B0A13"/>
    <w:rsid w:val="004B1FA0"/>
    <w:rsid w:val="004B4DAB"/>
    <w:rsid w:val="004B55F6"/>
    <w:rsid w:val="004B6415"/>
    <w:rsid w:val="004B6E0C"/>
    <w:rsid w:val="004B74BE"/>
    <w:rsid w:val="004C0CF4"/>
    <w:rsid w:val="004C52CC"/>
    <w:rsid w:val="004C65B1"/>
    <w:rsid w:val="004C6C45"/>
    <w:rsid w:val="004C7229"/>
    <w:rsid w:val="004C76FB"/>
    <w:rsid w:val="004C7878"/>
    <w:rsid w:val="004D0FF7"/>
    <w:rsid w:val="004D2585"/>
    <w:rsid w:val="004D2C17"/>
    <w:rsid w:val="004D338F"/>
    <w:rsid w:val="004D4D8E"/>
    <w:rsid w:val="004D65CC"/>
    <w:rsid w:val="004D66EC"/>
    <w:rsid w:val="004E0F4B"/>
    <w:rsid w:val="004E16FD"/>
    <w:rsid w:val="004E1D02"/>
    <w:rsid w:val="004E344E"/>
    <w:rsid w:val="004E354B"/>
    <w:rsid w:val="004E42BD"/>
    <w:rsid w:val="004E4B01"/>
    <w:rsid w:val="004E50EC"/>
    <w:rsid w:val="004E6AD7"/>
    <w:rsid w:val="004F0C7F"/>
    <w:rsid w:val="004F427F"/>
    <w:rsid w:val="004F7186"/>
    <w:rsid w:val="004F7930"/>
    <w:rsid w:val="00500A32"/>
    <w:rsid w:val="00500DE5"/>
    <w:rsid w:val="0050187B"/>
    <w:rsid w:val="00503BAC"/>
    <w:rsid w:val="00506CE0"/>
    <w:rsid w:val="00507123"/>
    <w:rsid w:val="00507806"/>
    <w:rsid w:val="00510452"/>
    <w:rsid w:val="00510BAA"/>
    <w:rsid w:val="005118F9"/>
    <w:rsid w:val="00513263"/>
    <w:rsid w:val="00517CFF"/>
    <w:rsid w:val="00517FEB"/>
    <w:rsid w:val="00521218"/>
    <w:rsid w:val="00521597"/>
    <w:rsid w:val="005225D0"/>
    <w:rsid w:val="00522A8A"/>
    <w:rsid w:val="00524F92"/>
    <w:rsid w:val="00526459"/>
    <w:rsid w:val="00526629"/>
    <w:rsid w:val="005274AD"/>
    <w:rsid w:val="0053111B"/>
    <w:rsid w:val="0053165D"/>
    <w:rsid w:val="00533BD1"/>
    <w:rsid w:val="00533CEE"/>
    <w:rsid w:val="00534326"/>
    <w:rsid w:val="00534363"/>
    <w:rsid w:val="00536570"/>
    <w:rsid w:val="00536F02"/>
    <w:rsid w:val="00541052"/>
    <w:rsid w:val="00546B65"/>
    <w:rsid w:val="005476B5"/>
    <w:rsid w:val="00550910"/>
    <w:rsid w:val="005515E8"/>
    <w:rsid w:val="00552BF6"/>
    <w:rsid w:val="00554488"/>
    <w:rsid w:val="00554B52"/>
    <w:rsid w:val="00554C4F"/>
    <w:rsid w:val="005561D2"/>
    <w:rsid w:val="00556A93"/>
    <w:rsid w:val="005575C0"/>
    <w:rsid w:val="005604B4"/>
    <w:rsid w:val="00561CD5"/>
    <w:rsid w:val="005627A9"/>
    <w:rsid w:val="005629F7"/>
    <w:rsid w:val="00564D36"/>
    <w:rsid w:val="00565601"/>
    <w:rsid w:val="00566C37"/>
    <w:rsid w:val="00567CB9"/>
    <w:rsid w:val="00570180"/>
    <w:rsid w:val="005718A6"/>
    <w:rsid w:val="00573279"/>
    <w:rsid w:val="00573384"/>
    <w:rsid w:val="005736BD"/>
    <w:rsid w:val="00575D36"/>
    <w:rsid w:val="00582B2A"/>
    <w:rsid w:val="0058405A"/>
    <w:rsid w:val="00584B2C"/>
    <w:rsid w:val="00584B5F"/>
    <w:rsid w:val="00585882"/>
    <w:rsid w:val="00585F53"/>
    <w:rsid w:val="00586210"/>
    <w:rsid w:val="0058645C"/>
    <w:rsid w:val="005942A8"/>
    <w:rsid w:val="00594DC7"/>
    <w:rsid w:val="00596497"/>
    <w:rsid w:val="0059656E"/>
    <w:rsid w:val="00596C5A"/>
    <w:rsid w:val="005A05D9"/>
    <w:rsid w:val="005A2596"/>
    <w:rsid w:val="005A4C87"/>
    <w:rsid w:val="005A4F6E"/>
    <w:rsid w:val="005A5AF4"/>
    <w:rsid w:val="005B0367"/>
    <w:rsid w:val="005B05CA"/>
    <w:rsid w:val="005B0B52"/>
    <w:rsid w:val="005B3016"/>
    <w:rsid w:val="005B3A86"/>
    <w:rsid w:val="005B44F5"/>
    <w:rsid w:val="005B681D"/>
    <w:rsid w:val="005B6EB0"/>
    <w:rsid w:val="005C29C6"/>
    <w:rsid w:val="005C2F08"/>
    <w:rsid w:val="005C3853"/>
    <w:rsid w:val="005C6ED6"/>
    <w:rsid w:val="005C73AB"/>
    <w:rsid w:val="005C73E7"/>
    <w:rsid w:val="005C7420"/>
    <w:rsid w:val="005D0772"/>
    <w:rsid w:val="005D0A36"/>
    <w:rsid w:val="005D1CED"/>
    <w:rsid w:val="005D2515"/>
    <w:rsid w:val="005D276B"/>
    <w:rsid w:val="005D2F45"/>
    <w:rsid w:val="005D3759"/>
    <w:rsid w:val="005D4338"/>
    <w:rsid w:val="005D4C96"/>
    <w:rsid w:val="005D6997"/>
    <w:rsid w:val="005E07BB"/>
    <w:rsid w:val="005E0951"/>
    <w:rsid w:val="005E1E82"/>
    <w:rsid w:val="005E2D91"/>
    <w:rsid w:val="005E5A5B"/>
    <w:rsid w:val="005E602B"/>
    <w:rsid w:val="005E7AC2"/>
    <w:rsid w:val="005F1D72"/>
    <w:rsid w:val="005F26D2"/>
    <w:rsid w:val="005F28C9"/>
    <w:rsid w:val="005F68E4"/>
    <w:rsid w:val="005F77C3"/>
    <w:rsid w:val="00600E22"/>
    <w:rsid w:val="00601922"/>
    <w:rsid w:val="00603141"/>
    <w:rsid w:val="00604E97"/>
    <w:rsid w:val="00605574"/>
    <w:rsid w:val="00606BFA"/>
    <w:rsid w:val="00607F4F"/>
    <w:rsid w:val="00611A6E"/>
    <w:rsid w:val="00612397"/>
    <w:rsid w:val="00612A2F"/>
    <w:rsid w:val="006138DF"/>
    <w:rsid w:val="00613CD2"/>
    <w:rsid w:val="006141D5"/>
    <w:rsid w:val="00615AC5"/>
    <w:rsid w:val="00617DA1"/>
    <w:rsid w:val="00620A20"/>
    <w:rsid w:val="00624460"/>
    <w:rsid w:val="00624B92"/>
    <w:rsid w:val="00624C9B"/>
    <w:rsid w:val="006264C4"/>
    <w:rsid w:val="00626C35"/>
    <w:rsid w:val="00630083"/>
    <w:rsid w:val="00630182"/>
    <w:rsid w:val="006304A3"/>
    <w:rsid w:val="00631A10"/>
    <w:rsid w:val="00631BE0"/>
    <w:rsid w:val="00631E83"/>
    <w:rsid w:val="006326C3"/>
    <w:rsid w:val="00633344"/>
    <w:rsid w:val="00633E3D"/>
    <w:rsid w:val="0063702F"/>
    <w:rsid w:val="0063708D"/>
    <w:rsid w:val="0064034F"/>
    <w:rsid w:val="00641CE0"/>
    <w:rsid w:val="00642FCE"/>
    <w:rsid w:val="00646286"/>
    <w:rsid w:val="0065086E"/>
    <w:rsid w:val="006530D6"/>
    <w:rsid w:val="006539BB"/>
    <w:rsid w:val="00655721"/>
    <w:rsid w:val="00656195"/>
    <w:rsid w:val="00657146"/>
    <w:rsid w:val="006612EE"/>
    <w:rsid w:val="00662301"/>
    <w:rsid w:val="00663A4B"/>
    <w:rsid w:val="006641C1"/>
    <w:rsid w:val="006669DE"/>
    <w:rsid w:val="00667B44"/>
    <w:rsid w:val="0067028D"/>
    <w:rsid w:val="006706E5"/>
    <w:rsid w:val="00670E12"/>
    <w:rsid w:val="00671FF9"/>
    <w:rsid w:val="0067265B"/>
    <w:rsid w:val="006811A2"/>
    <w:rsid w:val="006841DF"/>
    <w:rsid w:val="00684C3F"/>
    <w:rsid w:val="00685D2E"/>
    <w:rsid w:val="00690A7E"/>
    <w:rsid w:val="00691780"/>
    <w:rsid w:val="00692F7A"/>
    <w:rsid w:val="006948B5"/>
    <w:rsid w:val="00694FA7"/>
    <w:rsid w:val="00697103"/>
    <w:rsid w:val="006A03B8"/>
    <w:rsid w:val="006A0931"/>
    <w:rsid w:val="006A3141"/>
    <w:rsid w:val="006A3506"/>
    <w:rsid w:val="006A39F3"/>
    <w:rsid w:val="006A3C93"/>
    <w:rsid w:val="006A41A4"/>
    <w:rsid w:val="006A517E"/>
    <w:rsid w:val="006A5E55"/>
    <w:rsid w:val="006A6CBB"/>
    <w:rsid w:val="006A792D"/>
    <w:rsid w:val="006B107F"/>
    <w:rsid w:val="006B1303"/>
    <w:rsid w:val="006B2D7B"/>
    <w:rsid w:val="006C0131"/>
    <w:rsid w:val="006C222F"/>
    <w:rsid w:val="006C2613"/>
    <w:rsid w:val="006C303B"/>
    <w:rsid w:val="006C3663"/>
    <w:rsid w:val="006C3A76"/>
    <w:rsid w:val="006C5BBE"/>
    <w:rsid w:val="006C6BC1"/>
    <w:rsid w:val="006D2BD9"/>
    <w:rsid w:val="006D3E8D"/>
    <w:rsid w:val="006D5E48"/>
    <w:rsid w:val="006D72E4"/>
    <w:rsid w:val="006D73B0"/>
    <w:rsid w:val="006D76E1"/>
    <w:rsid w:val="006E0E14"/>
    <w:rsid w:val="006E2DEF"/>
    <w:rsid w:val="006E41E5"/>
    <w:rsid w:val="006E69DE"/>
    <w:rsid w:val="006E6DF0"/>
    <w:rsid w:val="006E7561"/>
    <w:rsid w:val="006E770A"/>
    <w:rsid w:val="006F08E2"/>
    <w:rsid w:val="006F116D"/>
    <w:rsid w:val="006F145D"/>
    <w:rsid w:val="006F48B5"/>
    <w:rsid w:val="006F4B39"/>
    <w:rsid w:val="006F6015"/>
    <w:rsid w:val="006F612F"/>
    <w:rsid w:val="0070276F"/>
    <w:rsid w:val="00702F80"/>
    <w:rsid w:val="00705611"/>
    <w:rsid w:val="00706EFF"/>
    <w:rsid w:val="007073C3"/>
    <w:rsid w:val="00710A76"/>
    <w:rsid w:val="00710BF5"/>
    <w:rsid w:val="00711806"/>
    <w:rsid w:val="007129EF"/>
    <w:rsid w:val="0071653D"/>
    <w:rsid w:val="00716FBE"/>
    <w:rsid w:val="0071773A"/>
    <w:rsid w:val="00717F14"/>
    <w:rsid w:val="0072050A"/>
    <w:rsid w:val="00720625"/>
    <w:rsid w:val="00721087"/>
    <w:rsid w:val="00721C87"/>
    <w:rsid w:val="00722538"/>
    <w:rsid w:val="00722BE9"/>
    <w:rsid w:val="00722E9C"/>
    <w:rsid w:val="00723169"/>
    <w:rsid w:val="00725AD4"/>
    <w:rsid w:val="00727728"/>
    <w:rsid w:val="00727A0E"/>
    <w:rsid w:val="00727ED8"/>
    <w:rsid w:val="00730FE8"/>
    <w:rsid w:val="00733074"/>
    <w:rsid w:val="007334E0"/>
    <w:rsid w:val="00733FD1"/>
    <w:rsid w:val="007376D5"/>
    <w:rsid w:val="00740CE7"/>
    <w:rsid w:val="00741656"/>
    <w:rsid w:val="007422CD"/>
    <w:rsid w:val="00742724"/>
    <w:rsid w:val="00744753"/>
    <w:rsid w:val="00744AAA"/>
    <w:rsid w:val="00744B4B"/>
    <w:rsid w:val="0074542E"/>
    <w:rsid w:val="0074607B"/>
    <w:rsid w:val="00747577"/>
    <w:rsid w:val="0074778A"/>
    <w:rsid w:val="007506AC"/>
    <w:rsid w:val="00750F1E"/>
    <w:rsid w:val="00751428"/>
    <w:rsid w:val="0075216D"/>
    <w:rsid w:val="0075257F"/>
    <w:rsid w:val="0075390C"/>
    <w:rsid w:val="00753E13"/>
    <w:rsid w:val="00754C53"/>
    <w:rsid w:val="00756664"/>
    <w:rsid w:val="007573B6"/>
    <w:rsid w:val="00760417"/>
    <w:rsid w:val="00761EC0"/>
    <w:rsid w:val="007621C4"/>
    <w:rsid w:val="007630E7"/>
    <w:rsid w:val="007637EA"/>
    <w:rsid w:val="00763C35"/>
    <w:rsid w:val="00764524"/>
    <w:rsid w:val="007656B8"/>
    <w:rsid w:val="00765829"/>
    <w:rsid w:val="00765ED2"/>
    <w:rsid w:val="0076687D"/>
    <w:rsid w:val="0077082C"/>
    <w:rsid w:val="00770AE9"/>
    <w:rsid w:val="007725C6"/>
    <w:rsid w:val="00773191"/>
    <w:rsid w:val="00773CE2"/>
    <w:rsid w:val="00774914"/>
    <w:rsid w:val="00776254"/>
    <w:rsid w:val="00781106"/>
    <w:rsid w:val="007812F7"/>
    <w:rsid w:val="007814CA"/>
    <w:rsid w:val="0078217A"/>
    <w:rsid w:val="0078630F"/>
    <w:rsid w:val="00786C5B"/>
    <w:rsid w:val="00791104"/>
    <w:rsid w:val="00792B64"/>
    <w:rsid w:val="0079679D"/>
    <w:rsid w:val="007A0473"/>
    <w:rsid w:val="007A0B15"/>
    <w:rsid w:val="007A15BA"/>
    <w:rsid w:val="007A2608"/>
    <w:rsid w:val="007A2AFD"/>
    <w:rsid w:val="007A3DD2"/>
    <w:rsid w:val="007A3DF7"/>
    <w:rsid w:val="007A4F93"/>
    <w:rsid w:val="007A7BA8"/>
    <w:rsid w:val="007B351F"/>
    <w:rsid w:val="007B5F67"/>
    <w:rsid w:val="007B6E67"/>
    <w:rsid w:val="007B703B"/>
    <w:rsid w:val="007C0679"/>
    <w:rsid w:val="007C14B4"/>
    <w:rsid w:val="007C16BC"/>
    <w:rsid w:val="007C1931"/>
    <w:rsid w:val="007C2555"/>
    <w:rsid w:val="007C39AC"/>
    <w:rsid w:val="007C488C"/>
    <w:rsid w:val="007C593B"/>
    <w:rsid w:val="007C5A48"/>
    <w:rsid w:val="007C6C67"/>
    <w:rsid w:val="007C7B39"/>
    <w:rsid w:val="007C7DBF"/>
    <w:rsid w:val="007D0A42"/>
    <w:rsid w:val="007D26D6"/>
    <w:rsid w:val="007D6BEA"/>
    <w:rsid w:val="007D7481"/>
    <w:rsid w:val="007E1E5E"/>
    <w:rsid w:val="007E2693"/>
    <w:rsid w:val="007E2F87"/>
    <w:rsid w:val="007E61DE"/>
    <w:rsid w:val="007E6807"/>
    <w:rsid w:val="007E756A"/>
    <w:rsid w:val="007E7753"/>
    <w:rsid w:val="007E7C73"/>
    <w:rsid w:val="007E7CEF"/>
    <w:rsid w:val="007F101B"/>
    <w:rsid w:val="007F2CA9"/>
    <w:rsid w:val="007F39AC"/>
    <w:rsid w:val="007F4B82"/>
    <w:rsid w:val="007F6125"/>
    <w:rsid w:val="007F7433"/>
    <w:rsid w:val="007F7ABD"/>
    <w:rsid w:val="00800899"/>
    <w:rsid w:val="00800A89"/>
    <w:rsid w:val="00800CA7"/>
    <w:rsid w:val="00800E9B"/>
    <w:rsid w:val="008012FC"/>
    <w:rsid w:val="008015D0"/>
    <w:rsid w:val="00802D81"/>
    <w:rsid w:val="00803108"/>
    <w:rsid w:val="00804C05"/>
    <w:rsid w:val="008100B4"/>
    <w:rsid w:val="0081077A"/>
    <w:rsid w:val="00811740"/>
    <w:rsid w:val="00811C58"/>
    <w:rsid w:val="00813744"/>
    <w:rsid w:val="00813E33"/>
    <w:rsid w:val="00815916"/>
    <w:rsid w:val="00816C8A"/>
    <w:rsid w:val="008175F3"/>
    <w:rsid w:val="00817F86"/>
    <w:rsid w:val="00822ED5"/>
    <w:rsid w:val="0082323D"/>
    <w:rsid w:val="008262AF"/>
    <w:rsid w:val="0083092F"/>
    <w:rsid w:val="00832670"/>
    <w:rsid w:val="00832E38"/>
    <w:rsid w:val="00833C24"/>
    <w:rsid w:val="00834055"/>
    <w:rsid w:val="00834769"/>
    <w:rsid w:val="00834926"/>
    <w:rsid w:val="00836250"/>
    <w:rsid w:val="0084083B"/>
    <w:rsid w:val="00844CE7"/>
    <w:rsid w:val="00850733"/>
    <w:rsid w:val="00850770"/>
    <w:rsid w:val="00850C29"/>
    <w:rsid w:val="0085269C"/>
    <w:rsid w:val="00853008"/>
    <w:rsid w:val="00853EB3"/>
    <w:rsid w:val="00853F8D"/>
    <w:rsid w:val="00856FAA"/>
    <w:rsid w:val="00857C5A"/>
    <w:rsid w:val="00857E4F"/>
    <w:rsid w:val="008603C3"/>
    <w:rsid w:val="008658CD"/>
    <w:rsid w:val="008677C0"/>
    <w:rsid w:val="008679AD"/>
    <w:rsid w:val="00867AC6"/>
    <w:rsid w:val="008764B8"/>
    <w:rsid w:val="008767E9"/>
    <w:rsid w:val="00880EA6"/>
    <w:rsid w:val="00881706"/>
    <w:rsid w:val="00881932"/>
    <w:rsid w:val="00881A9A"/>
    <w:rsid w:val="008820B0"/>
    <w:rsid w:val="00883348"/>
    <w:rsid w:val="00883C60"/>
    <w:rsid w:val="008876A9"/>
    <w:rsid w:val="008915CC"/>
    <w:rsid w:val="0089249E"/>
    <w:rsid w:val="00892BC9"/>
    <w:rsid w:val="0089302C"/>
    <w:rsid w:val="00896288"/>
    <w:rsid w:val="00897C1E"/>
    <w:rsid w:val="008A01B0"/>
    <w:rsid w:val="008A124E"/>
    <w:rsid w:val="008A2C2A"/>
    <w:rsid w:val="008A620F"/>
    <w:rsid w:val="008A77B5"/>
    <w:rsid w:val="008A7AD4"/>
    <w:rsid w:val="008B0FED"/>
    <w:rsid w:val="008B1DD8"/>
    <w:rsid w:val="008B224C"/>
    <w:rsid w:val="008B360D"/>
    <w:rsid w:val="008B40CB"/>
    <w:rsid w:val="008B47E4"/>
    <w:rsid w:val="008B663E"/>
    <w:rsid w:val="008B7953"/>
    <w:rsid w:val="008C1787"/>
    <w:rsid w:val="008C1C10"/>
    <w:rsid w:val="008C2079"/>
    <w:rsid w:val="008C353F"/>
    <w:rsid w:val="008C3FBE"/>
    <w:rsid w:val="008C40E6"/>
    <w:rsid w:val="008C5AD5"/>
    <w:rsid w:val="008C7517"/>
    <w:rsid w:val="008D2239"/>
    <w:rsid w:val="008D2622"/>
    <w:rsid w:val="008D49B1"/>
    <w:rsid w:val="008D5467"/>
    <w:rsid w:val="008D55ED"/>
    <w:rsid w:val="008E1206"/>
    <w:rsid w:val="008E2C8E"/>
    <w:rsid w:val="008E33BE"/>
    <w:rsid w:val="008E4273"/>
    <w:rsid w:val="008E532D"/>
    <w:rsid w:val="008E71F2"/>
    <w:rsid w:val="008F0A53"/>
    <w:rsid w:val="008F26C1"/>
    <w:rsid w:val="008F39DD"/>
    <w:rsid w:val="008F3A5F"/>
    <w:rsid w:val="008F60BF"/>
    <w:rsid w:val="008F6CD3"/>
    <w:rsid w:val="00900253"/>
    <w:rsid w:val="00900DA8"/>
    <w:rsid w:val="00902D5E"/>
    <w:rsid w:val="0090314A"/>
    <w:rsid w:val="00904172"/>
    <w:rsid w:val="0090478B"/>
    <w:rsid w:val="00905322"/>
    <w:rsid w:val="009064F7"/>
    <w:rsid w:val="00907249"/>
    <w:rsid w:val="00907F94"/>
    <w:rsid w:val="009115F7"/>
    <w:rsid w:val="00913099"/>
    <w:rsid w:val="00913121"/>
    <w:rsid w:val="00913A09"/>
    <w:rsid w:val="00913BA7"/>
    <w:rsid w:val="00915FA9"/>
    <w:rsid w:val="00917D43"/>
    <w:rsid w:val="0092107B"/>
    <w:rsid w:val="0092359C"/>
    <w:rsid w:val="00923AAC"/>
    <w:rsid w:val="00923BF5"/>
    <w:rsid w:val="00930244"/>
    <w:rsid w:val="00933DCE"/>
    <w:rsid w:val="0093421F"/>
    <w:rsid w:val="00934766"/>
    <w:rsid w:val="009355EA"/>
    <w:rsid w:val="0093638D"/>
    <w:rsid w:val="0094154B"/>
    <w:rsid w:val="0094172E"/>
    <w:rsid w:val="00943714"/>
    <w:rsid w:val="009444CA"/>
    <w:rsid w:val="00944722"/>
    <w:rsid w:val="00945833"/>
    <w:rsid w:val="0094600B"/>
    <w:rsid w:val="00950548"/>
    <w:rsid w:val="00950961"/>
    <w:rsid w:val="00950DBF"/>
    <w:rsid w:val="009521F6"/>
    <w:rsid w:val="009529C1"/>
    <w:rsid w:val="00953627"/>
    <w:rsid w:val="00953D91"/>
    <w:rsid w:val="00953FB2"/>
    <w:rsid w:val="0095526A"/>
    <w:rsid w:val="009561CC"/>
    <w:rsid w:val="009612B3"/>
    <w:rsid w:val="00962CBF"/>
    <w:rsid w:val="0096383F"/>
    <w:rsid w:val="00964771"/>
    <w:rsid w:val="00964C99"/>
    <w:rsid w:val="00964CF1"/>
    <w:rsid w:val="00966CBD"/>
    <w:rsid w:val="00967B86"/>
    <w:rsid w:val="00967F5C"/>
    <w:rsid w:val="00971CFB"/>
    <w:rsid w:val="00973472"/>
    <w:rsid w:val="00973C45"/>
    <w:rsid w:val="00974061"/>
    <w:rsid w:val="0097571C"/>
    <w:rsid w:val="00976FAB"/>
    <w:rsid w:val="0097757A"/>
    <w:rsid w:val="00977D69"/>
    <w:rsid w:val="00980EBF"/>
    <w:rsid w:val="00982A7F"/>
    <w:rsid w:val="009835F9"/>
    <w:rsid w:val="009849FF"/>
    <w:rsid w:val="00984D32"/>
    <w:rsid w:val="00985443"/>
    <w:rsid w:val="00985DEF"/>
    <w:rsid w:val="00987541"/>
    <w:rsid w:val="00990EE4"/>
    <w:rsid w:val="009931E8"/>
    <w:rsid w:val="009949C2"/>
    <w:rsid w:val="0099517B"/>
    <w:rsid w:val="00995D7B"/>
    <w:rsid w:val="00996053"/>
    <w:rsid w:val="00996A90"/>
    <w:rsid w:val="00996AEF"/>
    <w:rsid w:val="009A10B2"/>
    <w:rsid w:val="009A449C"/>
    <w:rsid w:val="009A47A9"/>
    <w:rsid w:val="009A4C2B"/>
    <w:rsid w:val="009A61E5"/>
    <w:rsid w:val="009A629E"/>
    <w:rsid w:val="009B1A95"/>
    <w:rsid w:val="009B30C9"/>
    <w:rsid w:val="009B4971"/>
    <w:rsid w:val="009B5006"/>
    <w:rsid w:val="009B6B74"/>
    <w:rsid w:val="009B722D"/>
    <w:rsid w:val="009C06E6"/>
    <w:rsid w:val="009C25A6"/>
    <w:rsid w:val="009C26C7"/>
    <w:rsid w:val="009C33C4"/>
    <w:rsid w:val="009C33DE"/>
    <w:rsid w:val="009C4358"/>
    <w:rsid w:val="009C6196"/>
    <w:rsid w:val="009C76A7"/>
    <w:rsid w:val="009C79C6"/>
    <w:rsid w:val="009D215F"/>
    <w:rsid w:val="009D45F3"/>
    <w:rsid w:val="009D498C"/>
    <w:rsid w:val="009D56C0"/>
    <w:rsid w:val="009D5A7B"/>
    <w:rsid w:val="009D78CC"/>
    <w:rsid w:val="009E14B2"/>
    <w:rsid w:val="009E1E35"/>
    <w:rsid w:val="009E37BC"/>
    <w:rsid w:val="009E38F3"/>
    <w:rsid w:val="009E57CD"/>
    <w:rsid w:val="009F3108"/>
    <w:rsid w:val="009F39A5"/>
    <w:rsid w:val="009F5B26"/>
    <w:rsid w:val="009F6BBB"/>
    <w:rsid w:val="009F7255"/>
    <w:rsid w:val="009F7792"/>
    <w:rsid w:val="00A0001F"/>
    <w:rsid w:val="00A00391"/>
    <w:rsid w:val="00A00B9F"/>
    <w:rsid w:val="00A015B3"/>
    <w:rsid w:val="00A015C4"/>
    <w:rsid w:val="00A01702"/>
    <w:rsid w:val="00A02DC5"/>
    <w:rsid w:val="00A03F24"/>
    <w:rsid w:val="00A06DD6"/>
    <w:rsid w:val="00A0733E"/>
    <w:rsid w:val="00A0767E"/>
    <w:rsid w:val="00A15483"/>
    <w:rsid w:val="00A159FD"/>
    <w:rsid w:val="00A15C30"/>
    <w:rsid w:val="00A164FB"/>
    <w:rsid w:val="00A16BAF"/>
    <w:rsid w:val="00A16EBC"/>
    <w:rsid w:val="00A172AB"/>
    <w:rsid w:val="00A1795D"/>
    <w:rsid w:val="00A2017B"/>
    <w:rsid w:val="00A20C45"/>
    <w:rsid w:val="00A21351"/>
    <w:rsid w:val="00A21B88"/>
    <w:rsid w:val="00A22864"/>
    <w:rsid w:val="00A241EE"/>
    <w:rsid w:val="00A2551D"/>
    <w:rsid w:val="00A26591"/>
    <w:rsid w:val="00A27DB7"/>
    <w:rsid w:val="00A30CC3"/>
    <w:rsid w:val="00A322BC"/>
    <w:rsid w:val="00A32D08"/>
    <w:rsid w:val="00A32F36"/>
    <w:rsid w:val="00A33EDA"/>
    <w:rsid w:val="00A34230"/>
    <w:rsid w:val="00A368DB"/>
    <w:rsid w:val="00A37E74"/>
    <w:rsid w:val="00A44B3C"/>
    <w:rsid w:val="00A44E5B"/>
    <w:rsid w:val="00A46061"/>
    <w:rsid w:val="00A47D4E"/>
    <w:rsid w:val="00A522F7"/>
    <w:rsid w:val="00A52BFE"/>
    <w:rsid w:val="00A5323A"/>
    <w:rsid w:val="00A54B62"/>
    <w:rsid w:val="00A54D5C"/>
    <w:rsid w:val="00A56D85"/>
    <w:rsid w:val="00A574FE"/>
    <w:rsid w:val="00A605A5"/>
    <w:rsid w:val="00A63218"/>
    <w:rsid w:val="00A640DA"/>
    <w:rsid w:val="00A658AF"/>
    <w:rsid w:val="00A66780"/>
    <w:rsid w:val="00A67D25"/>
    <w:rsid w:val="00A67D71"/>
    <w:rsid w:val="00A70BA0"/>
    <w:rsid w:val="00A7108E"/>
    <w:rsid w:val="00A71106"/>
    <w:rsid w:val="00A71C68"/>
    <w:rsid w:val="00A72533"/>
    <w:rsid w:val="00A72BE9"/>
    <w:rsid w:val="00A72F65"/>
    <w:rsid w:val="00A73C94"/>
    <w:rsid w:val="00A75567"/>
    <w:rsid w:val="00A76B36"/>
    <w:rsid w:val="00A76D42"/>
    <w:rsid w:val="00A77514"/>
    <w:rsid w:val="00A80363"/>
    <w:rsid w:val="00A80DC9"/>
    <w:rsid w:val="00A816AF"/>
    <w:rsid w:val="00A83CF2"/>
    <w:rsid w:val="00A84871"/>
    <w:rsid w:val="00A84C5D"/>
    <w:rsid w:val="00A86BB0"/>
    <w:rsid w:val="00A9008C"/>
    <w:rsid w:val="00A94F11"/>
    <w:rsid w:val="00A953B4"/>
    <w:rsid w:val="00A977CD"/>
    <w:rsid w:val="00A97C33"/>
    <w:rsid w:val="00AA5608"/>
    <w:rsid w:val="00AA592F"/>
    <w:rsid w:val="00AB01A5"/>
    <w:rsid w:val="00AB032A"/>
    <w:rsid w:val="00AB26D0"/>
    <w:rsid w:val="00AB32B2"/>
    <w:rsid w:val="00AB354C"/>
    <w:rsid w:val="00AB3C9C"/>
    <w:rsid w:val="00AB5C34"/>
    <w:rsid w:val="00AB784C"/>
    <w:rsid w:val="00AB7BA9"/>
    <w:rsid w:val="00AB7D92"/>
    <w:rsid w:val="00AC03B4"/>
    <w:rsid w:val="00AC1ADC"/>
    <w:rsid w:val="00AC1BD6"/>
    <w:rsid w:val="00AC2CCD"/>
    <w:rsid w:val="00AC399A"/>
    <w:rsid w:val="00AC523B"/>
    <w:rsid w:val="00AC6518"/>
    <w:rsid w:val="00AC67F9"/>
    <w:rsid w:val="00AC7E2E"/>
    <w:rsid w:val="00AD033C"/>
    <w:rsid w:val="00AD16A9"/>
    <w:rsid w:val="00AD1B12"/>
    <w:rsid w:val="00AD5080"/>
    <w:rsid w:val="00AD7226"/>
    <w:rsid w:val="00AE2711"/>
    <w:rsid w:val="00AE2C4E"/>
    <w:rsid w:val="00AE2FC9"/>
    <w:rsid w:val="00AE3154"/>
    <w:rsid w:val="00AE5DED"/>
    <w:rsid w:val="00AE5E6D"/>
    <w:rsid w:val="00AE5F59"/>
    <w:rsid w:val="00AE5FCB"/>
    <w:rsid w:val="00AE62F3"/>
    <w:rsid w:val="00AF0CAD"/>
    <w:rsid w:val="00AF0F7F"/>
    <w:rsid w:val="00AF14D9"/>
    <w:rsid w:val="00AF1DB4"/>
    <w:rsid w:val="00B002C4"/>
    <w:rsid w:val="00B00ADE"/>
    <w:rsid w:val="00B01B40"/>
    <w:rsid w:val="00B0494B"/>
    <w:rsid w:val="00B102BE"/>
    <w:rsid w:val="00B107D0"/>
    <w:rsid w:val="00B120C4"/>
    <w:rsid w:val="00B159A4"/>
    <w:rsid w:val="00B16C14"/>
    <w:rsid w:val="00B172F7"/>
    <w:rsid w:val="00B17904"/>
    <w:rsid w:val="00B213E4"/>
    <w:rsid w:val="00B2220D"/>
    <w:rsid w:val="00B22E43"/>
    <w:rsid w:val="00B23942"/>
    <w:rsid w:val="00B23FFF"/>
    <w:rsid w:val="00B24666"/>
    <w:rsid w:val="00B25E18"/>
    <w:rsid w:val="00B27313"/>
    <w:rsid w:val="00B27644"/>
    <w:rsid w:val="00B310E9"/>
    <w:rsid w:val="00B32810"/>
    <w:rsid w:val="00B33702"/>
    <w:rsid w:val="00B33A09"/>
    <w:rsid w:val="00B347CB"/>
    <w:rsid w:val="00B3626E"/>
    <w:rsid w:val="00B37B24"/>
    <w:rsid w:val="00B401E1"/>
    <w:rsid w:val="00B409E6"/>
    <w:rsid w:val="00B4156B"/>
    <w:rsid w:val="00B4320A"/>
    <w:rsid w:val="00B46363"/>
    <w:rsid w:val="00B46ED5"/>
    <w:rsid w:val="00B50D61"/>
    <w:rsid w:val="00B5137C"/>
    <w:rsid w:val="00B53DCF"/>
    <w:rsid w:val="00B54543"/>
    <w:rsid w:val="00B54681"/>
    <w:rsid w:val="00B54E41"/>
    <w:rsid w:val="00B558C1"/>
    <w:rsid w:val="00B5662D"/>
    <w:rsid w:val="00B56F8F"/>
    <w:rsid w:val="00B573C8"/>
    <w:rsid w:val="00B607CE"/>
    <w:rsid w:val="00B60F30"/>
    <w:rsid w:val="00B6218A"/>
    <w:rsid w:val="00B62342"/>
    <w:rsid w:val="00B64DD0"/>
    <w:rsid w:val="00B65CD7"/>
    <w:rsid w:val="00B6635E"/>
    <w:rsid w:val="00B67C0B"/>
    <w:rsid w:val="00B71530"/>
    <w:rsid w:val="00B72B96"/>
    <w:rsid w:val="00B737BF"/>
    <w:rsid w:val="00B74FAE"/>
    <w:rsid w:val="00B759C3"/>
    <w:rsid w:val="00B76125"/>
    <w:rsid w:val="00B767DB"/>
    <w:rsid w:val="00B7743F"/>
    <w:rsid w:val="00B778AE"/>
    <w:rsid w:val="00B81272"/>
    <w:rsid w:val="00B815EF"/>
    <w:rsid w:val="00B82CFF"/>
    <w:rsid w:val="00B86F20"/>
    <w:rsid w:val="00B870BE"/>
    <w:rsid w:val="00B902A9"/>
    <w:rsid w:val="00B912BD"/>
    <w:rsid w:val="00B93D83"/>
    <w:rsid w:val="00B93DB9"/>
    <w:rsid w:val="00B93F8D"/>
    <w:rsid w:val="00B94AD8"/>
    <w:rsid w:val="00B95543"/>
    <w:rsid w:val="00B96ADC"/>
    <w:rsid w:val="00B96F87"/>
    <w:rsid w:val="00BA0DFB"/>
    <w:rsid w:val="00BA160C"/>
    <w:rsid w:val="00BA173F"/>
    <w:rsid w:val="00BA582D"/>
    <w:rsid w:val="00BB0552"/>
    <w:rsid w:val="00BB0D99"/>
    <w:rsid w:val="00BB1177"/>
    <w:rsid w:val="00BB251F"/>
    <w:rsid w:val="00BB27B8"/>
    <w:rsid w:val="00BB77E8"/>
    <w:rsid w:val="00BC1810"/>
    <w:rsid w:val="00BC4D54"/>
    <w:rsid w:val="00BC74CD"/>
    <w:rsid w:val="00BC7A7E"/>
    <w:rsid w:val="00BD0249"/>
    <w:rsid w:val="00BD1639"/>
    <w:rsid w:val="00BD32C8"/>
    <w:rsid w:val="00BD6238"/>
    <w:rsid w:val="00BD7055"/>
    <w:rsid w:val="00BD75CB"/>
    <w:rsid w:val="00BE0B35"/>
    <w:rsid w:val="00BE0F89"/>
    <w:rsid w:val="00BE167B"/>
    <w:rsid w:val="00BE19AD"/>
    <w:rsid w:val="00BE2478"/>
    <w:rsid w:val="00BE5F37"/>
    <w:rsid w:val="00BE6D53"/>
    <w:rsid w:val="00BE71DC"/>
    <w:rsid w:val="00BF14A6"/>
    <w:rsid w:val="00BF1D84"/>
    <w:rsid w:val="00BF29CD"/>
    <w:rsid w:val="00BF2D39"/>
    <w:rsid w:val="00BF3714"/>
    <w:rsid w:val="00BF43A6"/>
    <w:rsid w:val="00BF68B9"/>
    <w:rsid w:val="00C01030"/>
    <w:rsid w:val="00C02561"/>
    <w:rsid w:val="00C03A6F"/>
    <w:rsid w:val="00C0526A"/>
    <w:rsid w:val="00C05585"/>
    <w:rsid w:val="00C063FA"/>
    <w:rsid w:val="00C06E46"/>
    <w:rsid w:val="00C1140D"/>
    <w:rsid w:val="00C11D8F"/>
    <w:rsid w:val="00C12CEF"/>
    <w:rsid w:val="00C139B1"/>
    <w:rsid w:val="00C13AB1"/>
    <w:rsid w:val="00C14398"/>
    <w:rsid w:val="00C15F0A"/>
    <w:rsid w:val="00C22A5A"/>
    <w:rsid w:val="00C22E85"/>
    <w:rsid w:val="00C23A21"/>
    <w:rsid w:val="00C23E2B"/>
    <w:rsid w:val="00C23FB4"/>
    <w:rsid w:val="00C24266"/>
    <w:rsid w:val="00C242A6"/>
    <w:rsid w:val="00C24C3A"/>
    <w:rsid w:val="00C24FCD"/>
    <w:rsid w:val="00C2500F"/>
    <w:rsid w:val="00C304C8"/>
    <w:rsid w:val="00C311E2"/>
    <w:rsid w:val="00C31B50"/>
    <w:rsid w:val="00C32C04"/>
    <w:rsid w:val="00C32F81"/>
    <w:rsid w:val="00C355AC"/>
    <w:rsid w:val="00C35B7C"/>
    <w:rsid w:val="00C4395A"/>
    <w:rsid w:val="00C442E5"/>
    <w:rsid w:val="00C46FE9"/>
    <w:rsid w:val="00C50095"/>
    <w:rsid w:val="00C5010E"/>
    <w:rsid w:val="00C50F4D"/>
    <w:rsid w:val="00C52BBB"/>
    <w:rsid w:val="00C52E5E"/>
    <w:rsid w:val="00C5521E"/>
    <w:rsid w:val="00C55F72"/>
    <w:rsid w:val="00C5600E"/>
    <w:rsid w:val="00C577E9"/>
    <w:rsid w:val="00C57B29"/>
    <w:rsid w:val="00C57FD5"/>
    <w:rsid w:val="00C6013D"/>
    <w:rsid w:val="00C60260"/>
    <w:rsid w:val="00C6128C"/>
    <w:rsid w:val="00C6210D"/>
    <w:rsid w:val="00C70AB3"/>
    <w:rsid w:val="00C70B5E"/>
    <w:rsid w:val="00C71C8C"/>
    <w:rsid w:val="00C72969"/>
    <w:rsid w:val="00C734D8"/>
    <w:rsid w:val="00C74218"/>
    <w:rsid w:val="00C760D2"/>
    <w:rsid w:val="00C80278"/>
    <w:rsid w:val="00C8189F"/>
    <w:rsid w:val="00C820DF"/>
    <w:rsid w:val="00C829FB"/>
    <w:rsid w:val="00C87202"/>
    <w:rsid w:val="00C9020C"/>
    <w:rsid w:val="00C9467D"/>
    <w:rsid w:val="00C9656D"/>
    <w:rsid w:val="00C96BFE"/>
    <w:rsid w:val="00C97128"/>
    <w:rsid w:val="00C97817"/>
    <w:rsid w:val="00C97CE6"/>
    <w:rsid w:val="00CA1BDE"/>
    <w:rsid w:val="00CA5B40"/>
    <w:rsid w:val="00CA67DD"/>
    <w:rsid w:val="00CA71B1"/>
    <w:rsid w:val="00CA7221"/>
    <w:rsid w:val="00CA725E"/>
    <w:rsid w:val="00CB07D3"/>
    <w:rsid w:val="00CB1058"/>
    <w:rsid w:val="00CB1E9F"/>
    <w:rsid w:val="00CB4E3B"/>
    <w:rsid w:val="00CC0347"/>
    <w:rsid w:val="00CC5C62"/>
    <w:rsid w:val="00CC6C66"/>
    <w:rsid w:val="00CC6D3F"/>
    <w:rsid w:val="00CC78D5"/>
    <w:rsid w:val="00CD0168"/>
    <w:rsid w:val="00CD0425"/>
    <w:rsid w:val="00CD1CF7"/>
    <w:rsid w:val="00CD20DB"/>
    <w:rsid w:val="00CD23AA"/>
    <w:rsid w:val="00CD2E8A"/>
    <w:rsid w:val="00CD3983"/>
    <w:rsid w:val="00CD5BDF"/>
    <w:rsid w:val="00CD5E89"/>
    <w:rsid w:val="00CE0930"/>
    <w:rsid w:val="00CE09EE"/>
    <w:rsid w:val="00CE1970"/>
    <w:rsid w:val="00CE20A7"/>
    <w:rsid w:val="00CE53AF"/>
    <w:rsid w:val="00CE5A87"/>
    <w:rsid w:val="00CE708D"/>
    <w:rsid w:val="00CF0AEF"/>
    <w:rsid w:val="00CF0F73"/>
    <w:rsid w:val="00CF100D"/>
    <w:rsid w:val="00CF1AFA"/>
    <w:rsid w:val="00CF364D"/>
    <w:rsid w:val="00CF4991"/>
    <w:rsid w:val="00CF554C"/>
    <w:rsid w:val="00CF7991"/>
    <w:rsid w:val="00D00E92"/>
    <w:rsid w:val="00D011D1"/>
    <w:rsid w:val="00D01605"/>
    <w:rsid w:val="00D01E02"/>
    <w:rsid w:val="00D03D67"/>
    <w:rsid w:val="00D03E46"/>
    <w:rsid w:val="00D07066"/>
    <w:rsid w:val="00D07CAE"/>
    <w:rsid w:val="00D1121F"/>
    <w:rsid w:val="00D11961"/>
    <w:rsid w:val="00D119B1"/>
    <w:rsid w:val="00D12F4F"/>
    <w:rsid w:val="00D1386B"/>
    <w:rsid w:val="00D1537B"/>
    <w:rsid w:val="00D168BD"/>
    <w:rsid w:val="00D16DD1"/>
    <w:rsid w:val="00D171E8"/>
    <w:rsid w:val="00D17B9C"/>
    <w:rsid w:val="00D202D2"/>
    <w:rsid w:val="00D248EF"/>
    <w:rsid w:val="00D31A6C"/>
    <w:rsid w:val="00D321E0"/>
    <w:rsid w:val="00D33088"/>
    <w:rsid w:val="00D34084"/>
    <w:rsid w:val="00D36DF6"/>
    <w:rsid w:val="00D40164"/>
    <w:rsid w:val="00D40D40"/>
    <w:rsid w:val="00D430BC"/>
    <w:rsid w:val="00D4481B"/>
    <w:rsid w:val="00D44A5B"/>
    <w:rsid w:val="00D44CE8"/>
    <w:rsid w:val="00D45097"/>
    <w:rsid w:val="00D51783"/>
    <w:rsid w:val="00D5214F"/>
    <w:rsid w:val="00D55663"/>
    <w:rsid w:val="00D55D03"/>
    <w:rsid w:val="00D57050"/>
    <w:rsid w:val="00D578D7"/>
    <w:rsid w:val="00D61366"/>
    <w:rsid w:val="00D61A49"/>
    <w:rsid w:val="00D61BBD"/>
    <w:rsid w:val="00D62B3C"/>
    <w:rsid w:val="00D637AA"/>
    <w:rsid w:val="00D63980"/>
    <w:rsid w:val="00D64B1E"/>
    <w:rsid w:val="00D64D51"/>
    <w:rsid w:val="00D66E6A"/>
    <w:rsid w:val="00D6766B"/>
    <w:rsid w:val="00D67DCA"/>
    <w:rsid w:val="00D70AF9"/>
    <w:rsid w:val="00D72847"/>
    <w:rsid w:val="00D77AAC"/>
    <w:rsid w:val="00D8065A"/>
    <w:rsid w:val="00D81074"/>
    <w:rsid w:val="00D8124C"/>
    <w:rsid w:val="00D8235F"/>
    <w:rsid w:val="00D8590C"/>
    <w:rsid w:val="00D85E92"/>
    <w:rsid w:val="00D9076B"/>
    <w:rsid w:val="00D930FC"/>
    <w:rsid w:val="00D9560A"/>
    <w:rsid w:val="00D96D6B"/>
    <w:rsid w:val="00D97013"/>
    <w:rsid w:val="00D9732C"/>
    <w:rsid w:val="00D977AB"/>
    <w:rsid w:val="00D97A5B"/>
    <w:rsid w:val="00DA0E46"/>
    <w:rsid w:val="00DA1C4E"/>
    <w:rsid w:val="00DA2BE4"/>
    <w:rsid w:val="00DA2DDA"/>
    <w:rsid w:val="00DA3595"/>
    <w:rsid w:val="00DA4AA1"/>
    <w:rsid w:val="00DA4D78"/>
    <w:rsid w:val="00DA7850"/>
    <w:rsid w:val="00DB0865"/>
    <w:rsid w:val="00DB11E8"/>
    <w:rsid w:val="00DB16DC"/>
    <w:rsid w:val="00DB3B16"/>
    <w:rsid w:val="00DB503E"/>
    <w:rsid w:val="00DB53CB"/>
    <w:rsid w:val="00DB5760"/>
    <w:rsid w:val="00DB72F2"/>
    <w:rsid w:val="00DB7969"/>
    <w:rsid w:val="00DB7BA1"/>
    <w:rsid w:val="00DC3EAD"/>
    <w:rsid w:val="00DC5207"/>
    <w:rsid w:val="00DC6934"/>
    <w:rsid w:val="00DC755E"/>
    <w:rsid w:val="00DD1C48"/>
    <w:rsid w:val="00DD3B4A"/>
    <w:rsid w:val="00DD3E53"/>
    <w:rsid w:val="00DD3F0E"/>
    <w:rsid w:val="00DD490D"/>
    <w:rsid w:val="00DD52AF"/>
    <w:rsid w:val="00DD5348"/>
    <w:rsid w:val="00DD7407"/>
    <w:rsid w:val="00DE047B"/>
    <w:rsid w:val="00DE1F7C"/>
    <w:rsid w:val="00DE2E28"/>
    <w:rsid w:val="00DE30D8"/>
    <w:rsid w:val="00DE530E"/>
    <w:rsid w:val="00DE53D3"/>
    <w:rsid w:val="00DE5938"/>
    <w:rsid w:val="00DF0B93"/>
    <w:rsid w:val="00DF2343"/>
    <w:rsid w:val="00DF532F"/>
    <w:rsid w:val="00DF6350"/>
    <w:rsid w:val="00DF7E8B"/>
    <w:rsid w:val="00E0174A"/>
    <w:rsid w:val="00E026D5"/>
    <w:rsid w:val="00E04DEF"/>
    <w:rsid w:val="00E05562"/>
    <w:rsid w:val="00E101C7"/>
    <w:rsid w:val="00E10BBD"/>
    <w:rsid w:val="00E1397A"/>
    <w:rsid w:val="00E1399C"/>
    <w:rsid w:val="00E1424A"/>
    <w:rsid w:val="00E159D8"/>
    <w:rsid w:val="00E24595"/>
    <w:rsid w:val="00E26CF1"/>
    <w:rsid w:val="00E30A09"/>
    <w:rsid w:val="00E31FC2"/>
    <w:rsid w:val="00E3225F"/>
    <w:rsid w:val="00E3261A"/>
    <w:rsid w:val="00E32B8E"/>
    <w:rsid w:val="00E33CBF"/>
    <w:rsid w:val="00E34641"/>
    <w:rsid w:val="00E348AE"/>
    <w:rsid w:val="00E34DE0"/>
    <w:rsid w:val="00E41676"/>
    <w:rsid w:val="00E41CCF"/>
    <w:rsid w:val="00E42C2D"/>
    <w:rsid w:val="00E467D4"/>
    <w:rsid w:val="00E47E8B"/>
    <w:rsid w:val="00E47FA7"/>
    <w:rsid w:val="00E51732"/>
    <w:rsid w:val="00E528BD"/>
    <w:rsid w:val="00E55114"/>
    <w:rsid w:val="00E55C30"/>
    <w:rsid w:val="00E56555"/>
    <w:rsid w:val="00E56EC6"/>
    <w:rsid w:val="00E575FB"/>
    <w:rsid w:val="00E57AE4"/>
    <w:rsid w:val="00E57B44"/>
    <w:rsid w:val="00E57BD9"/>
    <w:rsid w:val="00E6300B"/>
    <w:rsid w:val="00E63504"/>
    <w:rsid w:val="00E640E6"/>
    <w:rsid w:val="00E64816"/>
    <w:rsid w:val="00E7147F"/>
    <w:rsid w:val="00E73A3C"/>
    <w:rsid w:val="00E73B94"/>
    <w:rsid w:val="00E745D5"/>
    <w:rsid w:val="00E75B59"/>
    <w:rsid w:val="00E75FEC"/>
    <w:rsid w:val="00E80230"/>
    <w:rsid w:val="00E802D1"/>
    <w:rsid w:val="00E8152F"/>
    <w:rsid w:val="00E81924"/>
    <w:rsid w:val="00E82D9E"/>
    <w:rsid w:val="00E860A3"/>
    <w:rsid w:val="00E863A4"/>
    <w:rsid w:val="00E902D7"/>
    <w:rsid w:val="00E90C0A"/>
    <w:rsid w:val="00E91E95"/>
    <w:rsid w:val="00E92EE1"/>
    <w:rsid w:val="00E93982"/>
    <w:rsid w:val="00E941A0"/>
    <w:rsid w:val="00E94332"/>
    <w:rsid w:val="00E944A3"/>
    <w:rsid w:val="00E948F4"/>
    <w:rsid w:val="00E94C6C"/>
    <w:rsid w:val="00E9550F"/>
    <w:rsid w:val="00E95709"/>
    <w:rsid w:val="00E968EE"/>
    <w:rsid w:val="00EA0EDA"/>
    <w:rsid w:val="00EA1633"/>
    <w:rsid w:val="00EA2F34"/>
    <w:rsid w:val="00EA64C1"/>
    <w:rsid w:val="00EA6A18"/>
    <w:rsid w:val="00EB06BF"/>
    <w:rsid w:val="00EB0F1A"/>
    <w:rsid w:val="00EB1710"/>
    <w:rsid w:val="00EB218D"/>
    <w:rsid w:val="00EB317B"/>
    <w:rsid w:val="00EB5896"/>
    <w:rsid w:val="00EB5A8B"/>
    <w:rsid w:val="00EC0C35"/>
    <w:rsid w:val="00EC15F0"/>
    <w:rsid w:val="00EC1C0D"/>
    <w:rsid w:val="00EC4DE6"/>
    <w:rsid w:val="00EC6F10"/>
    <w:rsid w:val="00ED12A0"/>
    <w:rsid w:val="00ED1D8C"/>
    <w:rsid w:val="00ED4C5A"/>
    <w:rsid w:val="00ED52B1"/>
    <w:rsid w:val="00ED5EE0"/>
    <w:rsid w:val="00ED6424"/>
    <w:rsid w:val="00ED71E3"/>
    <w:rsid w:val="00ED73FC"/>
    <w:rsid w:val="00ED75DF"/>
    <w:rsid w:val="00EE0F0E"/>
    <w:rsid w:val="00EE1DEB"/>
    <w:rsid w:val="00EE2168"/>
    <w:rsid w:val="00EE2C91"/>
    <w:rsid w:val="00EE30A0"/>
    <w:rsid w:val="00EE360A"/>
    <w:rsid w:val="00EE3DBD"/>
    <w:rsid w:val="00EE3ED5"/>
    <w:rsid w:val="00EE5A94"/>
    <w:rsid w:val="00EE6588"/>
    <w:rsid w:val="00EF1443"/>
    <w:rsid w:val="00EF2E20"/>
    <w:rsid w:val="00EF53CB"/>
    <w:rsid w:val="00EF633D"/>
    <w:rsid w:val="00EF7735"/>
    <w:rsid w:val="00F01120"/>
    <w:rsid w:val="00F0122C"/>
    <w:rsid w:val="00F02102"/>
    <w:rsid w:val="00F04AA2"/>
    <w:rsid w:val="00F07D02"/>
    <w:rsid w:val="00F114C0"/>
    <w:rsid w:val="00F12CEE"/>
    <w:rsid w:val="00F13E00"/>
    <w:rsid w:val="00F143F6"/>
    <w:rsid w:val="00F15518"/>
    <w:rsid w:val="00F159B5"/>
    <w:rsid w:val="00F21452"/>
    <w:rsid w:val="00F22A6A"/>
    <w:rsid w:val="00F22D6E"/>
    <w:rsid w:val="00F30683"/>
    <w:rsid w:val="00F32439"/>
    <w:rsid w:val="00F32F79"/>
    <w:rsid w:val="00F34FC9"/>
    <w:rsid w:val="00F353C0"/>
    <w:rsid w:val="00F37163"/>
    <w:rsid w:val="00F40701"/>
    <w:rsid w:val="00F40A48"/>
    <w:rsid w:val="00F43882"/>
    <w:rsid w:val="00F43C55"/>
    <w:rsid w:val="00F441CC"/>
    <w:rsid w:val="00F528D3"/>
    <w:rsid w:val="00F53E17"/>
    <w:rsid w:val="00F555B5"/>
    <w:rsid w:val="00F56FC9"/>
    <w:rsid w:val="00F572CA"/>
    <w:rsid w:val="00F575A8"/>
    <w:rsid w:val="00F6062E"/>
    <w:rsid w:val="00F61B8A"/>
    <w:rsid w:val="00F63B68"/>
    <w:rsid w:val="00F65C0A"/>
    <w:rsid w:val="00F666A7"/>
    <w:rsid w:val="00F66EA5"/>
    <w:rsid w:val="00F71676"/>
    <w:rsid w:val="00F71A72"/>
    <w:rsid w:val="00F73852"/>
    <w:rsid w:val="00F748AD"/>
    <w:rsid w:val="00F77100"/>
    <w:rsid w:val="00F776B7"/>
    <w:rsid w:val="00F7790F"/>
    <w:rsid w:val="00F77EF7"/>
    <w:rsid w:val="00F834A1"/>
    <w:rsid w:val="00F8469A"/>
    <w:rsid w:val="00F84C21"/>
    <w:rsid w:val="00F85193"/>
    <w:rsid w:val="00F87E93"/>
    <w:rsid w:val="00F91482"/>
    <w:rsid w:val="00F928AB"/>
    <w:rsid w:val="00F92DC3"/>
    <w:rsid w:val="00F934AA"/>
    <w:rsid w:val="00F93B75"/>
    <w:rsid w:val="00F9597B"/>
    <w:rsid w:val="00F95BD9"/>
    <w:rsid w:val="00F95EAB"/>
    <w:rsid w:val="00F965A4"/>
    <w:rsid w:val="00F96E5A"/>
    <w:rsid w:val="00FA00D0"/>
    <w:rsid w:val="00FA1F6E"/>
    <w:rsid w:val="00FA4288"/>
    <w:rsid w:val="00FA632D"/>
    <w:rsid w:val="00FB0480"/>
    <w:rsid w:val="00FB0575"/>
    <w:rsid w:val="00FB0FDF"/>
    <w:rsid w:val="00FB20AF"/>
    <w:rsid w:val="00FB33D4"/>
    <w:rsid w:val="00FB56E3"/>
    <w:rsid w:val="00FB6E02"/>
    <w:rsid w:val="00FC029A"/>
    <w:rsid w:val="00FC1870"/>
    <w:rsid w:val="00FC3296"/>
    <w:rsid w:val="00FC3CDA"/>
    <w:rsid w:val="00FC3F9D"/>
    <w:rsid w:val="00FC419C"/>
    <w:rsid w:val="00FC459E"/>
    <w:rsid w:val="00FC62C3"/>
    <w:rsid w:val="00FC6F8B"/>
    <w:rsid w:val="00FC792A"/>
    <w:rsid w:val="00FD0627"/>
    <w:rsid w:val="00FD0D95"/>
    <w:rsid w:val="00FD0E93"/>
    <w:rsid w:val="00FD1058"/>
    <w:rsid w:val="00FD1545"/>
    <w:rsid w:val="00FD3F11"/>
    <w:rsid w:val="00FD4814"/>
    <w:rsid w:val="00FD493A"/>
    <w:rsid w:val="00FD5552"/>
    <w:rsid w:val="00FD6C64"/>
    <w:rsid w:val="00FE0964"/>
    <w:rsid w:val="00FE100A"/>
    <w:rsid w:val="00FE227A"/>
    <w:rsid w:val="00FE382B"/>
    <w:rsid w:val="00FE3B24"/>
    <w:rsid w:val="00FE4563"/>
    <w:rsid w:val="00FE58BC"/>
    <w:rsid w:val="00FE6886"/>
    <w:rsid w:val="00FE6EDD"/>
    <w:rsid w:val="00FF0E4D"/>
    <w:rsid w:val="00FF1059"/>
    <w:rsid w:val="00FF15E8"/>
    <w:rsid w:val="00FF233A"/>
    <w:rsid w:val="00FF25CE"/>
    <w:rsid w:val="00FF306A"/>
    <w:rsid w:val="00FF4A1D"/>
    <w:rsid w:val="00FF5F34"/>
    <w:rsid w:val="00FF6608"/>
    <w:rsid w:val="00FF70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EFF9C"/>
  <w15:chartTrackingRefBased/>
  <w15:docId w15:val="{180EAC2D-81A2-40AE-9EFD-8490BBBD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6125"/>
  </w:style>
  <w:style w:type="paragraph" w:styleId="Nagwek1">
    <w:name w:val="heading 1"/>
    <w:basedOn w:val="Normalny"/>
    <w:next w:val="Normalny"/>
    <w:link w:val="Nagwek1Znak"/>
    <w:uiPriority w:val="9"/>
    <w:qFormat/>
    <w:rsid w:val="002068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E02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ED5E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Normalny PDST,lp1,Preambuła,HŁ_Bullet1,BulletC,Obiekt,List Paragraph1,Akapit z listą31,Wyliczanie,Akapit z listą1,Akapit z listą4,normalny,Akapit z listą11,normalny tekst,Bullets,List Paragraph compact"/>
    <w:basedOn w:val="Normalny"/>
    <w:link w:val="AkapitzlistZnak"/>
    <w:uiPriority w:val="34"/>
    <w:qFormat/>
    <w:rsid w:val="00953FB2"/>
    <w:pPr>
      <w:ind w:left="720"/>
      <w:contextualSpacing/>
    </w:pPr>
  </w:style>
  <w:style w:type="table" w:styleId="Tabela-Siatka">
    <w:name w:val="Table Grid"/>
    <w:basedOn w:val="Standardowy"/>
    <w:uiPriority w:val="39"/>
    <w:rsid w:val="00953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BF1D84"/>
  </w:style>
  <w:style w:type="paragraph" w:styleId="Tekstprzypisudolnego">
    <w:name w:val="footnote text"/>
    <w:basedOn w:val="Normalny"/>
    <w:link w:val="TekstprzypisudolnegoZnak"/>
    <w:uiPriority w:val="99"/>
    <w:semiHidden/>
    <w:unhideWhenUsed/>
    <w:rsid w:val="0036453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6453A"/>
    <w:rPr>
      <w:sz w:val="20"/>
      <w:szCs w:val="20"/>
    </w:rPr>
  </w:style>
  <w:style w:type="character" w:styleId="Odwoanieprzypisudolnego">
    <w:name w:val="footnote reference"/>
    <w:basedOn w:val="Domylnaczcionkaakapitu"/>
    <w:uiPriority w:val="99"/>
    <w:semiHidden/>
    <w:unhideWhenUsed/>
    <w:rsid w:val="0036453A"/>
    <w:rPr>
      <w:vertAlign w:val="superscript"/>
    </w:rPr>
  </w:style>
  <w:style w:type="character" w:customStyle="1" w:styleId="alb">
    <w:name w:val="a_lb"/>
    <w:rsid w:val="00EF7735"/>
  </w:style>
  <w:style w:type="character" w:customStyle="1" w:styleId="highlight">
    <w:name w:val="highlight"/>
    <w:basedOn w:val="Domylnaczcionkaakapitu"/>
    <w:rsid w:val="00C5010E"/>
  </w:style>
  <w:style w:type="character" w:styleId="Hipercze">
    <w:name w:val="Hyperlink"/>
    <w:basedOn w:val="Domylnaczcionkaakapitu"/>
    <w:uiPriority w:val="99"/>
    <w:unhideWhenUsed/>
    <w:rsid w:val="003A7FB2"/>
    <w:rPr>
      <w:color w:val="0563C1" w:themeColor="hyperlink"/>
      <w:u w:val="single"/>
    </w:rPr>
  </w:style>
  <w:style w:type="character" w:customStyle="1" w:styleId="AkapitzlistZnak">
    <w:name w:val="Akapit z listą Znak"/>
    <w:aliases w:val="L1 Znak,Numerowanie Znak,List Paragraph Znak,Normalny PDST Znak,lp1 Znak,Preambuła Znak,HŁ_Bullet1 Znak,BulletC Znak,Obiekt Znak,List Paragraph1 Znak,Akapit z listą31 Znak,Wyliczanie Znak,Akapit z listą1 Znak,Akapit z listą4 Znak"/>
    <w:link w:val="Akapitzlist"/>
    <w:uiPriority w:val="34"/>
    <w:qFormat/>
    <w:locked/>
    <w:rsid w:val="00883C60"/>
  </w:style>
  <w:style w:type="paragraph" w:styleId="Tekstdymka">
    <w:name w:val="Balloon Text"/>
    <w:basedOn w:val="Normalny"/>
    <w:link w:val="TekstdymkaZnak"/>
    <w:uiPriority w:val="99"/>
    <w:semiHidden/>
    <w:unhideWhenUsed/>
    <w:rsid w:val="00510B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0BAA"/>
    <w:rPr>
      <w:rFonts w:ascii="Segoe UI" w:hAnsi="Segoe UI" w:cs="Segoe UI"/>
      <w:sz w:val="18"/>
      <w:szCs w:val="18"/>
    </w:rPr>
  </w:style>
  <w:style w:type="character" w:styleId="UyteHipercze">
    <w:name w:val="FollowedHyperlink"/>
    <w:basedOn w:val="Domylnaczcionkaakapitu"/>
    <w:uiPriority w:val="99"/>
    <w:semiHidden/>
    <w:unhideWhenUsed/>
    <w:rsid w:val="004E344E"/>
    <w:rPr>
      <w:color w:val="954F72" w:themeColor="followedHyperlink"/>
      <w:u w:val="single"/>
    </w:rPr>
  </w:style>
  <w:style w:type="paragraph" w:styleId="Nagwek">
    <w:name w:val="header"/>
    <w:basedOn w:val="Normalny"/>
    <w:link w:val="NagwekZnak"/>
    <w:uiPriority w:val="99"/>
    <w:unhideWhenUsed/>
    <w:rsid w:val="00EC4D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4DE6"/>
  </w:style>
  <w:style w:type="paragraph" w:styleId="Stopka">
    <w:name w:val="footer"/>
    <w:basedOn w:val="Normalny"/>
    <w:link w:val="StopkaZnak"/>
    <w:uiPriority w:val="99"/>
    <w:unhideWhenUsed/>
    <w:rsid w:val="00EC4D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4DE6"/>
  </w:style>
  <w:style w:type="table" w:customStyle="1" w:styleId="Tabela-Siatka1">
    <w:name w:val="Tabela - Siatka1"/>
    <w:basedOn w:val="Standardowy"/>
    <w:next w:val="Tabela-Siatka"/>
    <w:uiPriority w:val="39"/>
    <w:rsid w:val="00206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20684E"/>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20684E"/>
    <w:pPr>
      <w:outlineLvl w:val="9"/>
    </w:pPr>
    <w:rPr>
      <w:lang w:eastAsia="pl-PL"/>
    </w:rPr>
  </w:style>
  <w:style w:type="paragraph" w:styleId="Spistreci1">
    <w:name w:val="toc 1"/>
    <w:basedOn w:val="Normalny"/>
    <w:next w:val="Normalny"/>
    <w:autoRedefine/>
    <w:uiPriority w:val="39"/>
    <w:unhideWhenUsed/>
    <w:rsid w:val="00101DB2"/>
    <w:pPr>
      <w:tabs>
        <w:tab w:val="left" w:pos="440"/>
        <w:tab w:val="right" w:leader="dot" w:pos="9060"/>
      </w:tabs>
      <w:spacing w:after="0" w:line="240" w:lineRule="auto"/>
    </w:pPr>
  </w:style>
  <w:style w:type="character" w:styleId="Odwoaniedokomentarza">
    <w:name w:val="annotation reference"/>
    <w:basedOn w:val="Domylnaczcionkaakapitu"/>
    <w:uiPriority w:val="99"/>
    <w:semiHidden/>
    <w:unhideWhenUsed/>
    <w:rsid w:val="00F77EF7"/>
    <w:rPr>
      <w:sz w:val="16"/>
      <w:szCs w:val="16"/>
    </w:rPr>
  </w:style>
  <w:style w:type="paragraph" w:styleId="Tekstkomentarza">
    <w:name w:val="annotation text"/>
    <w:basedOn w:val="Normalny"/>
    <w:link w:val="TekstkomentarzaZnak"/>
    <w:uiPriority w:val="99"/>
    <w:unhideWhenUsed/>
    <w:rsid w:val="00F77EF7"/>
    <w:pPr>
      <w:spacing w:line="240" w:lineRule="auto"/>
    </w:pPr>
    <w:rPr>
      <w:sz w:val="20"/>
      <w:szCs w:val="20"/>
    </w:rPr>
  </w:style>
  <w:style w:type="character" w:customStyle="1" w:styleId="TekstkomentarzaZnak">
    <w:name w:val="Tekst komentarza Znak"/>
    <w:basedOn w:val="Domylnaczcionkaakapitu"/>
    <w:link w:val="Tekstkomentarza"/>
    <w:uiPriority w:val="99"/>
    <w:rsid w:val="00F77EF7"/>
    <w:rPr>
      <w:sz w:val="20"/>
      <w:szCs w:val="20"/>
    </w:rPr>
  </w:style>
  <w:style w:type="paragraph" w:styleId="Tematkomentarza">
    <w:name w:val="annotation subject"/>
    <w:basedOn w:val="Tekstkomentarza"/>
    <w:next w:val="Tekstkomentarza"/>
    <w:link w:val="TematkomentarzaZnak"/>
    <w:uiPriority w:val="99"/>
    <w:semiHidden/>
    <w:unhideWhenUsed/>
    <w:rsid w:val="00F77EF7"/>
    <w:rPr>
      <w:b/>
      <w:bCs/>
    </w:rPr>
  </w:style>
  <w:style w:type="character" w:customStyle="1" w:styleId="TematkomentarzaZnak">
    <w:name w:val="Temat komentarza Znak"/>
    <w:basedOn w:val="TekstkomentarzaZnak"/>
    <w:link w:val="Tematkomentarza"/>
    <w:uiPriority w:val="99"/>
    <w:semiHidden/>
    <w:rsid w:val="00F77EF7"/>
    <w:rPr>
      <w:b/>
      <w:bCs/>
      <w:sz w:val="20"/>
      <w:szCs w:val="20"/>
    </w:rPr>
  </w:style>
  <w:style w:type="paragraph" w:styleId="Poprawka">
    <w:name w:val="Revision"/>
    <w:hidden/>
    <w:uiPriority w:val="99"/>
    <w:semiHidden/>
    <w:rsid w:val="00255BC7"/>
    <w:pPr>
      <w:spacing w:after="0" w:line="240" w:lineRule="auto"/>
    </w:pPr>
  </w:style>
  <w:style w:type="character" w:customStyle="1" w:styleId="Nagwek2Znak">
    <w:name w:val="Nagłówek 2 Znak"/>
    <w:basedOn w:val="Domylnaczcionkaakapitu"/>
    <w:link w:val="Nagwek2"/>
    <w:uiPriority w:val="9"/>
    <w:rsid w:val="003E0209"/>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261F33"/>
    <w:pPr>
      <w:spacing w:after="100"/>
      <w:ind w:left="220"/>
    </w:pPr>
  </w:style>
  <w:style w:type="character" w:customStyle="1" w:styleId="Nagwek3Znak">
    <w:name w:val="Nagłówek 3 Znak"/>
    <w:basedOn w:val="Domylnaczcionkaakapitu"/>
    <w:link w:val="Nagwek3"/>
    <w:uiPriority w:val="9"/>
    <w:rsid w:val="00ED5EE0"/>
    <w:rPr>
      <w:rFonts w:asciiTheme="majorHAnsi" w:eastAsiaTheme="majorEastAsia" w:hAnsiTheme="majorHAnsi" w:cstheme="majorBidi"/>
      <w:color w:val="1F4D78" w:themeColor="accent1" w:themeShade="7F"/>
      <w:sz w:val="24"/>
      <w:szCs w:val="24"/>
    </w:rPr>
  </w:style>
  <w:style w:type="paragraph" w:styleId="Tekstprzypisukocowego">
    <w:name w:val="endnote text"/>
    <w:basedOn w:val="Normalny"/>
    <w:link w:val="TekstprzypisukocowegoZnak"/>
    <w:uiPriority w:val="99"/>
    <w:semiHidden/>
    <w:unhideWhenUsed/>
    <w:rsid w:val="00190B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0B7F"/>
    <w:rPr>
      <w:sz w:val="20"/>
      <w:szCs w:val="20"/>
    </w:rPr>
  </w:style>
  <w:style w:type="character" w:styleId="Odwoanieprzypisukocowego">
    <w:name w:val="endnote reference"/>
    <w:basedOn w:val="Domylnaczcionkaakapitu"/>
    <w:uiPriority w:val="99"/>
    <w:semiHidden/>
    <w:unhideWhenUsed/>
    <w:rsid w:val="00190B7F"/>
    <w:rPr>
      <w:vertAlign w:val="superscript"/>
    </w:rPr>
  </w:style>
  <w:style w:type="paragraph" w:customStyle="1" w:styleId="pf0">
    <w:name w:val="pf0"/>
    <w:basedOn w:val="Normalny"/>
    <w:rsid w:val="00EB317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EB317B"/>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D70AF9"/>
    <w:rPr>
      <w:color w:val="605E5C"/>
      <w:shd w:val="clear" w:color="auto" w:fill="E1DFDD"/>
    </w:rPr>
  </w:style>
  <w:style w:type="character" w:styleId="Nierozpoznanawzmianka">
    <w:name w:val="Unresolved Mention"/>
    <w:basedOn w:val="Domylnaczcionkaakapitu"/>
    <w:uiPriority w:val="99"/>
    <w:semiHidden/>
    <w:unhideWhenUsed/>
    <w:rsid w:val="00AD7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5099">
      <w:bodyDiv w:val="1"/>
      <w:marLeft w:val="0"/>
      <w:marRight w:val="0"/>
      <w:marTop w:val="0"/>
      <w:marBottom w:val="0"/>
      <w:divBdr>
        <w:top w:val="none" w:sz="0" w:space="0" w:color="auto"/>
        <w:left w:val="none" w:sz="0" w:space="0" w:color="auto"/>
        <w:bottom w:val="none" w:sz="0" w:space="0" w:color="auto"/>
        <w:right w:val="none" w:sz="0" w:space="0" w:color="auto"/>
      </w:divBdr>
    </w:div>
    <w:div w:id="140388406">
      <w:bodyDiv w:val="1"/>
      <w:marLeft w:val="0"/>
      <w:marRight w:val="0"/>
      <w:marTop w:val="0"/>
      <w:marBottom w:val="0"/>
      <w:divBdr>
        <w:top w:val="none" w:sz="0" w:space="0" w:color="auto"/>
        <w:left w:val="none" w:sz="0" w:space="0" w:color="auto"/>
        <w:bottom w:val="none" w:sz="0" w:space="0" w:color="auto"/>
        <w:right w:val="none" w:sz="0" w:space="0" w:color="auto"/>
      </w:divBdr>
    </w:div>
    <w:div w:id="162356858">
      <w:bodyDiv w:val="1"/>
      <w:marLeft w:val="0"/>
      <w:marRight w:val="0"/>
      <w:marTop w:val="0"/>
      <w:marBottom w:val="0"/>
      <w:divBdr>
        <w:top w:val="none" w:sz="0" w:space="0" w:color="auto"/>
        <w:left w:val="none" w:sz="0" w:space="0" w:color="auto"/>
        <w:bottom w:val="none" w:sz="0" w:space="0" w:color="auto"/>
        <w:right w:val="none" w:sz="0" w:space="0" w:color="auto"/>
      </w:divBdr>
    </w:div>
    <w:div w:id="195166547">
      <w:bodyDiv w:val="1"/>
      <w:marLeft w:val="0"/>
      <w:marRight w:val="0"/>
      <w:marTop w:val="0"/>
      <w:marBottom w:val="0"/>
      <w:divBdr>
        <w:top w:val="none" w:sz="0" w:space="0" w:color="auto"/>
        <w:left w:val="none" w:sz="0" w:space="0" w:color="auto"/>
        <w:bottom w:val="none" w:sz="0" w:space="0" w:color="auto"/>
        <w:right w:val="none" w:sz="0" w:space="0" w:color="auto"/>
      </w:divBdr>
    </w:div>
    <w:div w:id="383875486">
      <w:bodyDiv w:val="1"/>
      <w:marLeft w:val="0"/>
      <w:marRight w:val="0"/>
      <w:marTop w:val="0"/>
      <w:marBottom w:val="0"/>
      <w:divBdr>
        <w:top w:val="none" w:sz="0" w:space="0" w:color="auto"/>
        <w:left w:val="none" w:sz="0" w:space="0" w:color="auto"/>
        <w:bottom w:val="none" w:sz="0" w:space="0" w:color="auto"/>
        <w:right w:val="none" w:sz="0" w:space="0" w:color="auto"/>
      </w:divBdr>
    </w:div>
    <w:div w:id="470488757">
      <w:bodyDiv w:val="1"/>
      <w:marLeft w:val="0"/>
      <w:marRight w:val="0"/>
      <w:marTop w:val="0"/>
      <w:marBottom w:val="0"/>
      <w:divBdr>
        <w:top w:val="none" w:sz="0" w:space="0" w:color="auto"/>
        <w:left w:val="none" w:sz="0" w:space="0" w:color="auto"/>
        <w:bottom w:val="none" w:sz="0" w:space="0" w:color="auto"/>
        <w:right w:val="none" w:sz="0" w:space="0" w:color="auto"/>
      </w:divBdr>
    </w:div>
    <w:div w:id="492335054">
      <w:bodyDiv w:val="1"/>
      <w:marLeft w:val="0"/>
      <w:marRight w:val="0"/>
      <w:marTop w:val="0"/>
      <w:marBottom w:val="0"/>
      <w:divBdr>
        <w:top w:val="none" w:sz="0" w:space="0" w:color="auto"/>
        <w:left w:val="none" w:sz="0" w:space="0" w:color="auto"/>
        <w:bottom w:val="none" w:sz="0" w:space="0" w:color="auto"/>
        <w:right w:val="none" w:sz="0" w:space="0" w:color="auto"/>
      </w:divBdr>
    </w:div>
    <w:div w:id="502164738">
      <w:bodyDiv w:val="1"/>
      <w:marLeft w:val="0"/>
      <w:marRight w:val="0"/>
      <w:marTop w:val="0"/>
      <w:marBottom w:val="0"/>
      <w:divBdr>
        <w:top w:val="none" w:sz="0" w:space="0" w:color="auto"/>
        <w:left w:val="none" w:sz="0" w:space="0" w:color="auto"/>
        <w:bottom w:val="none" w:sz="0" w:space="0" w:color="auto"/>
        <w:right w:val="none" w:sz="0" w:space="0" w:color="auto"/>
      </w:divBdr>
    </w:div>
    <w:div w:id="547298561">
      <w:bodyDiv w:val="1"/>
      <w:marLeft w:val="0"/>
      <w:marRight w:val="0"/>
      <w:marTop w:val="0"/>
      <w:marBottom w:val="0"/>
      <w:divBdr>
        <w:top w:val="none" w:sz="0" w:space="0" w:color="auto"/>
        <w:left w:val="none" w:sz="0" w:space="0" w:color="auto"/>
        <w:bottom w:val="none" w:sz="0" w:space="0" w:color="auto"/>
        <w:right w:val="none" w:sz="0" w:space="0" w:color="auto"/>
      </w:divBdr>
    </w:div>
    <w:div w:id="551040328">
      <w:bodyDiv w:val="1"/>
      <w:marLeft w:val="0"/>
      <w:marRight w:val="0"/>
      <w:marTop w:val="0"/>
      <w:marBottom w:val="0"/>
      <w:divBdr>
        <w:top w:val="none" w:sz="0" w:space="0" w:color="auto"/>
        <w:left w:val="none" w:sz="0" w:space="0" w:color="auto"/>
        <w:bottom w:val="none" w:sz="0" w:space="0" w:color="auto"/>
        <w:right w:val="none" w:sz="0" w:space="0" w:color="auto"/>
      </w:divBdr>
    </w:div>
    <w:div w:id="687215491">
      <w:bodyDiv w:val="1"/>
      <w:marLeft w:val="0"/>
      <w:marRight w:val="0"/>
      <w:marTop w:val="0"/>
      <w:marBottom w:val="0"/>
      <w:divBdr>
        <w:top w:val="none" w:sz="0" w:space="0" w:color="auto"/>
        <w:left w:val="none" w:sz="0" w:space="0" w:color="auto"/>
        <w:bottom w:val="none" w:sz="0" w:space="0" w:color="auto"/>
        <w:right w:val="none" w:sz="0" w:space="0" w:color="auto"/>
      </w:divBdr>
    </w:div>
    <w:div w:id="713694821">
      <w:bodyDiv w:val="1"/>
      <w:marLeft w:val="0"/>
      <w:marRight w:val="0"/>
      <w:marTop w:val="0"/>
      <w:marBottom w:val="0"/>
      <w:divBdr>
        <w:top w:val="none" w:sz="0" w:space="0" w:color="auto"/>
        <w:left w:val="none" w:sz="0" w:space="0" w:color="auto"/>
        <w:bottom w:val="none" w:sz="0" w:space="0" w:color="auto"/>
        <w:right w:val="none" w:sz="0" w:space="0" w:color="auto"/>
      </w:divBdr>
    </w:div>
    <w:div w:id="735589098">
      <w:bodyDiv w:val="1"/>
      <w:marLeft w:val="0"/>
      <w:marRight w:val="0"/>
      <w:marTop w:val="0"/>
      <w:marBottom w:val="0"/>
      <w:divBdr>
        <w:top w:val="none" w:sz="0" w:space="0" w:color="auto"/>
        <w:left w:val="none" w:sz="0" w:space="0" w:color="auto"/>
        <w:bottom w:val="none" w:sz="0" w:space="0" w:color="auto"/>
        <w:right w:val="none" w:sz="0" w:space="0" w:color="auto"/>
      </w:divBdr>
    </w:div>
    <w:div w:id="781068078">
      <w:bodyDiv w:val="1"/>
      <w:marLeft w:val="0"/>
      <w:marRight w:val="0"/>
      <w:marTop w:val="0"/>
      <w:marBottom w:val="0"/>
      <w:divBdr>
        <w:top w:val="none" w:sz="0" w:space="0" w:color="auto"/>
        <w:left w:val="none" w:sz="0" w:space="0" w:color="auto"/>
        <w:bottom w:val="none" w:sz="0" w:space="0" w:color="auto"/>
        <w:right w:val="none" w:sz="0" w:space="0" w:color="auto"/>
      </w:divBdr>
    </w:div>
    <w:div w:id="806974236">
      <w:bodyDiv w:val="1"/>
      <w:marLeft w:val="0"/>
      <w:marRight w:val="0"/>
      <w:marTop w:val="0"/>
      <w:marBottom w:val="0"/>
      <w:divBdr>
        <w:top w:val="none" w:sz="0" w:space="0" w:color="auto"/>
        <w:left w:val="none" w:sz="0" w:space="0" w:color="auto"/>
        <w:bottom w:val="none" w:sz="0" w:space="0" w:color="auto"/>
        <w:right w:val="none" w:sz="0" w:space="0" w:color="auto"/>
      </w:divBdr>
    </w:div>
    <w:div w:id="916209451">
      <w:bodyDiv w:val="1"/>
      <w:marLeft w:val="0"/>
      <w:marRight w:val="0"/>
      <w:marTop w:val="0"/>
      <w:marBottom w:val="0"/>
      <w:divBdr>
        <w:top w:val="none" w:sz="0" w:space="0" w:color="auto"/>
        <w:left w:val="none" w:sz="0" w:space="0" w:color="auto"/>
        <w:bottom w:val="none" w:sz="0" w:space="0" w:color="auto"/>
        <w:right w:val="none" w:sz="0" w:space="0" w:color="auto"/>
      </w:divBdr>
    </w:div>
    <w:div w:id="919800379">
      <w:bodyDiv w:val="1"/>
      <w:marLeft w:val="0"/>
      <w:marRight w:val="0"/>
      <w:marTop w:val="0"/>
      <w:marBottom w:val="0"/>
      <w:divBdr>
        <w:top w:val="none" w:sz="0" w:space="0" w:color="auto"/>
        <w:left w:val="none" w:sz="0" w:space="0" w:color="auto"/>
        <w:bottom w:val="none" w:sz="0" w:space="0" w:color="auto"/>
        <w:right w:val="none" w:sz="0" w:space="0" w:color="auto"/>
      </w:divBdr>
    </w:div>
    <w:div w:id="1116875238">
      <w:bodyDiv w:val="1"/>
      <w:marLeft w:val="0"/>
      <w:marRight w:val="0"/>
      <w:marTop w:val="0"/>
      <w:marBottom w:val="0"/>
      <w:divBdr>
        <w:top w:val="none" w:sz="0" w:space="0" w:color="auto"/>
        <w:left w:val="none" w:sz="0" w:space="0" w:color="auto"/>
        <w:bottom w:val="none" w:sz="0" w:space="0" w:color="auto"/>
        <w:right w:val="none" w:sz="0" w:space="0" w:color="auto"/>
      </w:divBdr>
    </w:div>
    <w:div w:id="1182429530">
      <w:bodyDiv w:val="1"/>
      <w:marLeft w:val="0"/>
      <w:marRight w:val="0"/>
      <w:marTop w:val="0"/>
      <w:marBottom w:val="0"/>
      <w:divBdr>
        <w:top w:val="none" w:sz="0" w:space="0" w:color="auto"/>
        <w:left w:val="none" w:sz="0" w:space="0" w:color="auto"/>
        <w:bottom w:val="none" w:sz="0" w:space="0" w:color="auto"/>
        <w:right w:val="none" w:sz="0" w:space="0" w:color="auto"/>
      </w:divBdr>
    </w:div>
    <w:div w:id="1233278649">
      <w:bodyDiv w:val="1"/>
      <w:marLeft w:val="0"/>
      <w:marRight w:val="0"/>
      <w:marTop w:val="0"/>
      <w:marBottom w:val="0"/>
      <w:divBdr>
        <w:top w:val="none" w:sz="0" w:space="0" w:color="auto"/>
        <w:left w:val="none" w:sz="0" w:space="0" w:color="auto"/>
        <w:bottom w:val="none" w:sz="0" w:space="0" w:color="auto"/>
        <w:right w:val="none" w:sz="0" w:space="0" w:color="auto"/>
      </w:divBdr>
    </w:div>
    <w:div w:id="1274216638">
      <w:bodyDiv w:val="1"/>
      <w:marLeft w:val="0"/>
      <w:marRight w:val="0"/>
      <w:marTop w:val="0"/>
      <w:marBottom w:val="0"/>
      <w:divBdr>
        <w:top w:val="none" w:sz="0" w:space="0" w:color="auto"/>
        <w:left w:val="none" w:sz="0" w:space="0" w:color="auto"/>
        <w:bottom w:val="none" w:sz="0" w:space="0" w:color="auto"/>
        <w:right w:val="none" w:sz="0" w:space="0" w:color="auto"/>
      </w:divBdr>
    </w:div>
    <w:div w:id="1286890836">
      <w:bodyDiv w:val="1"/>
      <w:marLeft w:val="0"/>
      <w:marRight w:val="0"/>
      <w:marTop w:val="0"/>
      <w:marBottom w:val="0"/>
      <w:divBdr>
        <w:top w:val="none" w:sz="0" w:space="0" w:color="auto"/>
        <w:left w:val="none" w:sz="0" w:space="0" w:color="auto"/>
        <w:bottom w:val="none" w:sz="0" w:space="0" w:color="auto"/>
        <w:right w:val="none" w:sz="0" w:space="0" w:color="auto"/>
      </w:divBdr>
    </w:div>
    <w:div w:id="1401051480">
      <w:bodyDiv w:val="1"/>
      <w:marLeft w:val="0"/>
      <w:marRight w:val="0"/>
      <w:marTop w:val="0"/>
      <w:marBottom w:val="0"/>
      <w:divBdr>
        <w:top w:val="none" w:sz="0" w:space="0" w:color="auto"/>
        <w:left w:val="none" w:sz="0" w:space="0" w:color="auto"/>
        <w:bottom w:val="none" w:sz="0" w:space="0" w:color="auto"/>
        <w:right w:val="none" w:sz="0" w:space="0" w:color="auto"/>
      </w:divBdr>
    </w:div>
    <w:div w:id="1409031995">
      <w:bodyDiv w:val="1"/>
      <w:marLeft w:val="0"/>
      <w:marRight w:val="0"/>
      <w:marTop w:val="0"/>
      <w:marBottom w:val="0"/>
      <w:divBdr>
        <w:top w:val="none" w:sz="0" w:space="0" w:color="auto"/>
        <w:left w:val="none" w:sz="0" w:space="0" w:color="auto"/>
        <w:bottom w:val="none" w:sz="0" w:space="0" w:color="auto"/>
        <w:right w:val="none" w:sz="0" w:space="0" w:color="auto"/>
      </w:divBdr>
    </w:div>
    <w:div w:id="1552889574">
      <w:bodyDiv w:val="1"/>
      <w:marLeft w:val="0"/>
      <w:marRight w:val="0"/>
      <w:marTop w:val="0"/>
      <w:marBottom w:val="0"/>
      <w:divBdr>
        <w:top w:val="none" w:sz="0" w:space="0" w:color="auto"/>
        <w:left w:val="none" w:sz="0" w:space="0" w:color="auto"/>
        <w:bottom w:val="none" w:sz="0" w:space="0" w:color="auto"/>
        <w:right w:val="none" w:sz="0" w:space="0" w:color="auto"/>
      </w:divBdr>
    </w:div>
    <w:div w:id="1614244473">
      <w:bodyDiv w:val="1"/>
      <w:marLeft w:val="0"/>
      <w:marRight w:val="0"/>
      <w:marTop w:val="0"/>
      <w:marBottom w:val="0"/>
      <w:divBdr>
        <w:top w:val="none" w:sz="0" w:space="0" w:color="auto"/>
        <w:left w:val="none" w:sz="0" w:space="0" w:color="auto"/>
        <w:bottom w:val="none" w:sz="0" w:space="0" w:color="auto"/>
        <w:right w:val="none" w:sz="0" w:space="0" w:color="auto"/>
      </w:divBdr>
    </w:div>
    <w:div w:id="1777944161">
      <w:bodyDiv w:val="1"/>
      <w:marLeft w:val="0"/>
      <w:marRight w:val="0"/>
      <w:marTop w:val="0"/>
      <w:marBottom w:val="0"/>
      <w:divBdr>
        <w:top w:val="none" w:sz="0" w:space="0" w:color="auto"/>
        <w:left w:val="none" w:sz="0" w:space="0" w:color="auto"/>
        <w:bottom w:val="none" w:sz="0" w:space="0" w:color="auto"/>
        <w:right w:val="none" w:sz="0" w:space="0" w:color="auto"/>
      </w:divBdr>
    </w:div>
    <w:div w:id="1904756481">
      <w:bodyDiv w:val="1"/>
      <w:marLeft w:val="0"/>
      <w:marRight w:val="0"/>
      <w:marTop w:val="0"/>
      <w:marBottom w:val="0"/>
      <w:divBdr>
        <w:top w:val="none" w:sz="0" w:space="0" w:color="auto"/>
        <w:left w:val="none" w:sz="0" w:space="0" w:color="auto"/>
        <w:bottom w:val="none" w:sz="0" w:space="0" w:color="auto"/>
        <w:right w:val="none" w:sz="0" w:space="0" w:color="auto"/>
      </w:divBdr>
    </w:div>
    <w:div w:id="1938098645">
      <w:bodyDiv w:val="1"/>
      <w:marLeft w:val="0"/>
      <w:marRight w:val="0"/>
      <w:marTop w:val="0"/>
      <w:marBottom w:val="0"/>
      <w:divBdr>
        <w:top w:val="none" w:sz="0" w:space="0" w:color="auto"/>
        <w:left w:val="none" w:sz="0" w:space="0" w:color="auto"/>
        <w:bottom w:val="none" w:sz="0" w:space="0" w:color="auto"/>
        <w:right w:val="none" w:sz="0" w:space="0" w:color="auto"/>
      </w:divBdr>
    </w:div>
    <w:div w:id="2123525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068C5-5850-4BC8-AF59-AE2E0CC60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8343</Words>
  <Characters>50062</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Zasady oceny Przedsięwzięć w Inwestycji C2.1.1 Krajowego Planu Odbudowy i Zwiększania Odporności</vt:lpstr>
    </vt:vector>
  </TitlesOfParts>
  <Company>Ministerstwo Cyfryzacji</Company>
  <LinksUpToDate>false</LinksUpToDate>
  <CharactersWithSpaces>58289</CharactersWithSpaces>
  <SharedDoc>false</SharedDoc>
  <HLinks>
    <vt:vector size="18" baseType="variant">
      <vt:variant>
        <vt:i4>2031673</vt:i4>
      </vt:variant>
      <vt:variant>
        <vt:i4>14</vt:i4>
      </vt:variant>
      <vt:variant>
        <vt:i4>0</vt:i4>
      </vt:variant>
      <vt:variant>
        <vt:i4>5</vt:i4>
      </vt:variant>
      <vt:variant>
        <vt:lpwstr/>
      </vt:variant>
      <vt:variant>
        <vt:lpwstr>_Toc156997734</vt:lpwstr>
      </vt:variant>
      <vt:variant>
        <vt:i4>2031673</vt:i4>
      </vt:variant>
      <vt:variant>
        <vt:i4>8</vt:i4>
      </vt:variant>
      <vt:variant>
        <vt:i4>0</vt:i4>
      </vt:variant>
      <vt:variant>
        <vt:i4>5</vt:i4>
      </vt:variant>
      <vt:variant>
        <vt:lpwstr/>
      </vt:variant>
      <vt:variant>
        <vt:lpwstr>_Toc156997733</vt:lpwstr>
      </vt:variant>
      <vt:variant>
        <vt:i4>2031673</vt:i4>
      </vt:variant>
      <vt:variant>
        <vt:i4>2</vt:i4>
      </vt:variant>
      <vt:variant>
        <vt:i4>0</vt:i4>
      </vt:variant>
      <vt:variant>
        <vt:i4>5</vt:i4>
      </vt:variant>
      <vt:variant>
        <vt:lpwstr/>
      </vt:variant>
      <vt:variant>
        <vt:lpwstr>_Toc156997732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oceny Przedsięwzięć w Inwestycji C2.1.1. Krajowego Planu Odbudowy i Zwiększania Odporności</dc:title>
  <dc:subject/>
  <dc:creator>Pieczunko Andrzej</dc:creator>
  <cp:keywords/>
  <dc:description/>
  <cp:lastModifiedBy>Łukasz Szojda</cp:lastModifiedBy>
  <cp:revision>5</cp:revision>
  <cp:lastPrinted>2022-08-22T09:40:00Z</cp:lastPrinted>
  <dcterms:created xsi:type="dcterms:W3CDTF">2024-06-18T12:15:00Z</dcterms:created>
  <dcterms:modified xsi:type="dcterms:W3CDTF">2024-06-20T11:50:00Z</dcterms:modified>
</cp:coreProperties>
</file>