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6664960</wp:posOffset>
                </wp:positionH>
                <wp:positionV relativeFrom="paragraph">
                  <wp:posOffset>29845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1F3C" w:rsidRPr="006E5B39" w:rsidP="00BF1F3C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BF1F3C" w:rsidP="00BF1F3C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24.8pt;margin-top:2.3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BF1F3C" w:rsidRPr="006E5B39" w:rsidP="00BF1F3C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BF1F3C" w:rsidP="00BF1F3C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D95056">
      <w:pPr>
        <w:tabs>
          <w:tab w:val="left" w:pos="-120"/>
        </w:tabs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BF1F3C" w:rsidP="00D95056">
      <w:pPr>
        <w:spacing w:after="120"/>
        <w:jc w:val="right"/>
        <w:rPr>
          <w:rFonts w:ascii="Century Gothic" w:hAnsi="Century Gothic"/>
          <w:sz w:val="20"/>
          <w:szCs w:val="20"/>
        </w:rPr>
      </w:pPr>
    </w:p>
    <w:p w:rsidR="00BF1F3C" w:rsidRPr="006E5B39" w:rsidP="00BF1F3C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09 sierpnia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BF1F3C" w:rsidP="00BF1F3C">
      <w:pPr>
        <w:spacing w:after="120"/>
        <w:rPr>
          <w:rFonts w:ascii="Century Gothic" w:hAnsi="Century Gothic"/>
          <w:sz w:val="20"/>
          <w:szCs w:val="20"/>
        </w:rPr>
      </w:pPr>
      <w:r w:rsidRPr="005831A1">
        <w:rPr>
          <w:rFonts w:ascii="Century Gothic" w:hAnsi="Century Gothic"/>
          <w:sz w:val="20"/>
          <w:szCs w:val="20"/>
        </w:rPr>
        <w:t>BM-WRP.0237.4.2023</w:t>
      </w:r>
    </w:p>
    <w:p w:rsidR="00AC0AF2" w:rsidRPr="00D55783" w:rsidP="00AC0AF2">
      <w:pPr>
        <w:spacing w:after="120"/>
        <w:jc w:val="center"/>
        <w:rPr>
          <w:rFonts w:ascii="Century Gothic" w:hAnsi="Century Gothic"/>
          <w:b/>
        </w:rPr>
      </w:pPr>
      <w:r w:rsidRPr="00D55783">
        <w:rPr>
          <w:rFonts w:ascii="Century Gothic" w:hAnsi="Century Gothic"/>
          <w:b/>
        </w:rPr>
        <w:t>Wykaz prac legislacyjnych Ministra Edukacji</w:t>
      </w:r>
    </w:p>
    <w:p w:rsidR="00AC0AF2" w:rsidRPr="00D55783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D55783">
        <w:rPr>
          <w:rFonts w:ascii="Century Gothic" w:hAnsi="Century Gothic"/>
          <w:b/>
          <w:sz w:val="20"/>
          <w:szCs w:val="20"/>
        </w:rPr>
        <w:t>– aktualizacja (</w:t>
      </w:r>
      <w:r w:rsidRPr="00D55783" w:rsidR="00BF1F3C">
        <w:rPr>
          <w:rFonts w:ascii="Century Gothic" w:hAnsi="Century Gothic"/>
          <w:b/>
          <w:sz w:val="20"/>
          <w:szCs w:val="20"/>
        </w:rPr>
        <w:t>23</w:t>
      </w:r>
      <w:r w:rsidRPr="00D55783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spacing w:before="60" w:after="6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planowana nazwa</w:t>
            </w:r>
          </w:p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zwięzła informacja o przyczynach i potrzebie wprowadzenia rozwiąza</w:t>
            </w:r>
            <w:r w:rsidRPr="00D55783" w:rsidR="006566F4">
              <w:rPr>
                <w:rFonts w:ascii="Century Gothic" w:hAnsi="Century Gothic"/>
                <w:sz w:val="14"/>
                <w:szCs w:val="14"/>
              </w:rPr>
              <w:t>ń, które planuje się zawrzeć w </w:t>
            </w:r>
            <w:r w:rsidRPr="00D55783">
              <w:rPr>
                <w:rFonts w:ascii="Century Gothic" w:hAnsi="Century Gothic"/>
                <w:sz w:val="14"/>
                <w:szCs w:val="14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planowany</w:t>
            </w:r>
          </w:p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termin</w:t>
            </w:r>
          </w:p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wydania</w:t>
            </w:r>
          </w:p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aktu</w:t>
            </w:r>
          </w:p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contextualSpacing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imię i nazwisko</w:t>
            </w:r>
          </w:p>
          <w:p w:rsidR="00AC0AF2" w:rsidRPr="00D55783" w:rsidP="00E94657">
            <w:pPr>
              <w:contextualSpacing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oraz stanowisko</w:t>
            </w:r>
          </w:p>
          <w:p w:rsidR="00AC0AF2" w:rsidRPr="00D55783" w:rsidP="00D55783">
            <w:pPr>
              <w:contextualSpacing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osoby</w:t>
            </w:r>
            <w:r w:rsidR="00D55783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D55783">
              <w:rPr>
                <w:rFonts w:ascii="Century Gothic" w:hAnsi="Century Gothic"/>
                <w:sz w:val="14"/>
                <w:szCs w:val="14"/>
              </w:rPr>
              <w:t>odpowiedzialnej</w:t>
            </w:r>
          </w:p>
          <w:p w:rsidR="00AC0AF2" w:rsidRPr="00D55783" w:rsidP="00E94657">
            <w:pPr>
              <w:contextualSpacing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za opracowanie</w:t>
            </w:r>
          </w:p>
          <w:p w:rsidR="00AC0AF2" w:rsidRPr="00D55783" w:rsidP="00E94657">
            <w:pPr>
              <w:contextualSpacing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projektu</w:t>
            </w:r>
          </w:p>
          <w:p w:rsidR="00AC0AF2" w:rsidRPr="00D55783" w:rsidP="00E94657">
            <w:pPr>
              <w:contextualSpacing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spacing w:before="60" w:after="6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ind w:left="170" w:hanging="17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ind w:left="113" w:hanging="113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D55783" w:rsidP="00E9465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D55783">
              <w:rPr>
                <w:rFonts w:ascii="Century Gothic" w:hAnsi="Century Gothic"/>
                <w:sz w:val="14"/>
                <w:szCs w:val="14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C" w:rsidP="00D9505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F1F3C" w:rsidP="00BF1F3C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D862AA" w:rsidRPr="00D862AA" w:rsidP="00BF1F3C">
            <w:pPr>
              <w:rPr>
                <w:rFonts w:ascii="Century Gothic" w:hAnsi="Century Gothic"/>
                <w:sz w:val="16"/>
                <w:szCs w:val="16"/>
              </w:rPr>
            </w:pPr>
            <w:r w:rsidRPr="00D862AA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D862AA" w:rsidRPr="00B22363" w:rsidP="00BF1F3C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D862AA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862AA">
              <w:rPr>
                <w:rFonts w:ascii="Century Gothic" w:hAnsi="Century Gothic"/>
                <w:sz w:val="16"/>
                <w:szCs w:val="16"/>
              </w:rPr>
              <w:t xml:space="preserve">indywidualnego obowiązkowego rocznego przygotowania przedszkolnego dzieci i indywidualnego nauczania dzieci </w:t>
            </w:r>
            <w:r w:rsidR="001E6549">
              <w:rPr>
                <w:rFonts w:ascii="Century Gothic" w:hAnsi="Century Gothic"/>
                <w:sz w:val="16"/>
                <w:szCs w:val="16"/>
              </w:rPr>
              <w:br/>
            </w:r>
            <w:r w:rsidRPr="00D862AA">
              <w:rPr>
                <w:rFonts w:ascii="Century Gothic" w:hAnsi="Century Gothic"/>
                <w:sz w:val="16"/>
                <w:szCs w:val="16"/>
              </w:rPr>
              <w:t>i młodzieży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6" w:rsidP="006133F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6133F7">
              <w:rPr>
                <w:rFonts w:ascii="Century Gothic" w:hAnsi="Century Gothic"/>
                <w:sz w:val="16"/>
                <w:szCs w:val="16"/>
              </w:rPr>
              <w:t xml:space="preserve">Zmiana rozporządzenia </w:t>
            </w:r>
            <w:r w:rsidRPr="007E4FFC" w:rsidR="007E4FFC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  <w:r w:rsidR="00BF1F3C">
              <w:rPr>
                <w:rFonts w:ascii="Century Gothic" w:hAnsi="Century Gothic"/>
                <w:sz w:val="16"/>
                <w:szCs w:val="16"/>
              </w:rPr>
              <w:br/>
            </w:r>
            <w:r w:rsidRPr="007E4FFC" w:rsidR="007E4FFC">
              <w:rPr>
                <w:rFonts w:ascii="Century Gothic" w:hAnsi="Century Gothic"/>
                <w:sz w:val="16"/>
                <w:szCs w:val="16"/>
              </w:rPr>
              <w:t>z dnia 9 sierpnia 2017 r. w sprawie indywidualnego obowiązkowego rocznego przygotowania przedszkolnego dzieci i indywidualnego nauczania dzieci i młodzieży (Dz. U. z 2023 r. poz. 2468)</w:t>
            </w:r>
            <w:r w:rsidR="007E4F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E4FFC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 w:rsidR="00BF1F3C">
              <w:rPr>
                <w:rFonts w:ascii="Century Gothic" w:hAnsi="Century Gothic"/>
                <w:sz w:val="16"/>
                <w:szCs w:val="16"/>
              </w:rPr>
              <w:br/>
            </w:r>
            <w:r w:rsidRPr="007E4FFC">
              <w:rPr>
                <w:rFonts w:ascii="Century Gothic" w:hAnsi="Century Gothic"/>
                <w:sz w:val="16"/>
                <w:szCs w:val="16"/>
              </w:rPr>
              <w:t xml:space="preserve">z </w:t>
            </w:r>
            <w:r w:rsidR="00CC4A9A">
              <w:rPr>
                <w:rFonts w:ascii="Century Gothic" w:hAnsi="Century Gothic"/>
                <w:sz w:val="16"/>
                <w:szCs w:val="16"/>
              </w:rPr>
              <w:t xml:space="preserve">potrzeby </w:t>
            </w:r>
            <w:r w:rsidRPr="009D48D6">
              <w:rPr>
                <w:rFonts w:ascii="Century Gothic" w:hAnsi="Century Gothic"/>
                <w:sz w:val="16"/>
                <w:szCs w:val="16"/>
              </w:rPr>
              <w:t>uwzględnienia postulat</w:t>
            </w:r>
            <w:r w:rsidRPr="009D48D6" w:rsidR="007E4FFC">
              <w:rPr>
                <w:rFonts w:ascii="Century Gothic" w:hAnsi="Century Gothic"/>
                <w:sz w:val="16"/>
                <w:szCs w:val="16"/>
              </w:rPr>
              <w:t xml:space="preserve">ów 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dyrektorów szkół oraz </w:t>
            </w:r>
            <w:r w:rsidRPr="009D48D6" w:rsidR="007E4FFC">
              <w:rPr>
                <w:rFonts w:ascii="Century Gothic" w:hAnsi="Century Gothic"/>
                <w:sz w:val="16"/>
                <w:szCs w:val="16"/>
              </w:rPr>
              <w:t>rodziców uczniów, których stan zdrowia</w:t>
            </w:r>
            <w:r w:rsidR="005C47F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C47F3" w:rsidR="007E4FFC">
              <w:rPr>
                <w:rFonts w:ascii="Century Gothic" w:hAnsi="Century Gothic"/>
                <w:sz w:val="16"/>
                <w:szCs w:val="16"/>
              </w:rPr>
              <w:t xml:space="preserve">znacznie utrudnia uczęszczanie do </w:t>
            </w:r>
            <w:r w:rsidR="005C47F3">
              <w:rPr>
                <w:rFonts w:ascii="Century Gothic" w:hAnsi="Century Gothic"/>
                <w:sz w:val="16"/>
                <w:szCs w:val="16"/>
              </w:rPr>
              <w:t xml:space="preserve">przedszkola lub </w:t>
            </w:r>
            <w:r w:rsidRPr="005C47F3" w:rsidR="007E4FFC">
              <w:rPr>
                <w:rFonts w:ascii="Century Gothic" w:hAnsi="Century Gothic"/>
                <w:sz w:val="16"/>
                <w:szCs w:val="16"/>
              </w:rPr>
              <w:t>szkoły</w:t>
            </w:r>
            <w:r w:rsidR="005C47F3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7E4FFC" w:rsidR="007E4FFC">
              <w:rPr>
                <w:rFonts w:ascii="Century Gothic" w:hAnsi="Century Gothic"/>
                <w:sz w:val="16"/>
                <w:szCs w:val="16"/>
              </w:rPr>
              <w:t xml:space="preserve">dotyczących </w:t>
            </w:r>
            <w:r w:rsidR="0015744C">
              <w:rPr>
                <w:rFonts w:ascii="Century Gothic" w:hAnsi="Century Gothic"/>
                <w:sz w:val="16"/>
                <w:szCs w:val="16"/>
              </w:rPr>
              <w:t>wprowadzenia</w:t>
            </w:r>
            <w:r w:rsidRPr="007E4FFC" w:rsidR="0015744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E4FFC" w:rsidR="007E4FFC">
              <w:rPr>
                <w:rFonts w:ascii="Century Gothic" w:hAnsi="Century Gothic"/>
                <w:sz w:val="16"/>
                <w:szCs w:val="16"/>
              </w:rPr>
              <w:t xml:space="preserve">regulacji </w:t>
            </w:r>
            <w:r w:rsidR="00B22363">
              <w:rPr>
                <w:rFonts w:ascii="Century Gothic" w:hAnsi="Century Gothic"/>
                <w:sz w:val="16"/>
                <w:szCs w:val="16"/>
              </w:rPr>
              <w:t>umożlwiających</w:t>
            </w:r>
            <w:r w:rsidR="007E4FFC">
              <w:rPr>
                <w:rFonts w:ascii="Century Gothic" w:hAnsi="Century Gothic"/>
                <w:sz w:val="16"/>
                <w:szCs w:val="16"/>
              </w:rPr>
              <w:t xml:space="preserve"> organizowanie </w:t>
            </w:r>
            <w:r w:rsidRPr="007E4FFC" w:rsidR="003E5DBD">
              <w:rPr>
                <w:rFonts w:ascii="Century Gothic" w:hAnsi="Century Gothic"/>
                <w:sz w:val="16"/>
                <w:szCs w:val="16"/>
              </w:rPr>
              <w:t>indywidualnego obowiązkowego rocznego przygotowania przedszkolnego dzieci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 oraz </w:t>
            </w:r>
            <w:r w:rsidRPr="007E4FFC" w:rsidR="003E5DBD">
              <w:rPr>
                <w:rFonts w:ascii="Century Gothic" w:hAnsi="Century Gothic"/>
                <w:sz w:val="16"/>
                <w:szCs w:val="16"/>
              </w:rPr>
              <w:t>indywidualnego nauczania dzieci i młodzieży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32214">
              <w:rPr>
                <w:rFonts w:ascii="Century Gothic" w:hAnsi="Century Gothic"/>
                <w:sz w:val="16"/>
                <w:szCs w:val="16"/>
              </w:rPr>
              <w:t xml:space="preserve">również </w:t>
            </w:r>
            <w:r w:rsidR="00BF1F3C">
              <w:rPr>
                <w:rFonts w:ascii="Century Gothic" w:hAnsi="Century Gothic"/>
                <w:sz w:val="16"/>
                <w:szCs w:val="16"/>
              </w:rPr>
              <w:br/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 w:rsidRPr="003E5DBD" w:rsidR="003E5DBD">
              <w:rPr>
                <w:rFonts w:ascii="Century Gothic" w:hAnsi="Century Gothic"/>
                <w:sz w:val="16"/>
                <w:szCs w:val="16"/>
              </w:rPr>
              <w:t>przedszkol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u, </w:t>
            </w:r>
            <w:r w:rsidRPr="003E5DBD" w:rsidR="003E5DBD">
              <w:rPr>
                <w:rFonts w:ascii="Century Gothic" w:hAnsi="Century Gothic"/>
                <w:sz w:val="16"/>
                <w:szCs w:val="16"/>
              </w:rPr>
              <w:t>innej form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ie </w:t>
            </w:r>
            <w:r w:rsidRPr="003E5DBD" w:rsidR="003E5DBD">
              <w:rPr>
                <w:rFonts w:ascii="Century Gothic" w:hAnsi="Century Gothic"/>
                <w:sz w:val="16"/>
                <w:szCs w:val="16"/>
              </w:rPr>
              <w:t>wychowania przedszkolnego, oddzia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le </w:t>
            </w:r>
            <w:r w:rsidRPr="003E5DBD" w:rsidR="003E5DBD">
              <w:rPr>
                <w:rFonts w:ascii="Century Gothic" w:hAnsi="Century Gothic"/>
                <w:sz w:val="16"/>
                <w:szCs w:val="16"/>
              </w:rPr>
              <w:t>przedszkoln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ym </w:t>
            </w:r>
            <w:r w:rsidRPr="003E5DBD" w:rsidR="003E5DBD">
              <w:rPr>
                <w:rFonts w:ascii="Century Gothic" w:hAnsi="Century Gothic"/>
                <w:sz w:val="16"/>
                <w:szCs w:val="16"/>
              </w:rPr>
              <w:t xml:space="preserve">w szkole podstawowej lub </w:t>
            </w:r>
            <w:r w:rsidR="003E5DBD"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 w:rsidRPr="003E5DBD" w:rsidR="003E5DBD">
              <w:rPr>
                <w:rFonts w:ascii="Century Gothic" w:hAnsi="Century Gothic"/>
                <w:sz w:val="16"/>
                <w:szCs w:val="16"/>
              </w:rPr>
              <w:t>szko</w:t>
            </w:r>
            <w:r w:rsidR="003E5DBD">
              <w:rPr>
                <w:rFonts w:ascii="Century Gothic" w:hAnsi="Century Gothic"/>
                <w:sz w:val="16"/>
                <w:szCs w:val="16"/>
              </w:rPr>
              <w:t>le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na podstawie 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odpowiednio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orzeczenia o potrzebie </w:t>
            </w:r>
            <w:r w:rsidRPr="009D48D6">
              <w:rPr>
                <w:rFonts w:ascii="Century Gothic" w:hAnsi="Century Gothic"/>
                <w:sz w:val="16"/>
                <w:szCs w:val="16"/>
              </w:rPr>
              <w:t xml:space="preserve">indywidualnego obowiązkowego rocznego przygotowania przedszkolnego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lub orzeczenia o potrzebie </w:t>
            </w:r>
            <w:r w:rsidRPr="009D48D6">
              <w:rPr>
                <w:rFonts w:ascii="Century Gothic" w:hAnsi="Century Gothic"/>
                <w:sz w:val="16"/>
                <w:szCs w:val="16"/>
              </w:rPr>
              <w:t>indywidualnego nauczania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  <w:p w:rsidR="00AC0AF2" w:rsidRPr="00877C5C" w:rsidP="00B2236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Ze zgłaszanych </w:t>
            </w:r>
            <w:r w:rsidRPr="006170AF">
              <w:rPr>
                <w:rFonts w:ascii="Century Gothic" w:hAnsi="Century Gothic"/>
                <w:sz w:val="16"/>
                <w:szCs w:val="16"/>
              </w:rPr>
              <w:t xml:space="preserve">postulatów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rodziców </w:t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ww. dzieci </w:t>
            </w:r>
            <w:r w:rsidR="00BF1F3C">
              <w:rPr>
                <w:rFonts w:ascii="Century Gothic" w:hAnsi="Century Gothic"/>
                <w:sz w:val="16"/>
                <w:szCs w:val="16"/>
              </w:rPr>
              <w:br/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uczniów</w:t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70AF">
              <w:rPr>
                <w:rFonts w:ascii="Century Gothic" w:hAnsi="Century Gothic"/>
                <w:sz w:val="16"/>
                <w:szCs w:val="16"/>
              </w:rPr>
              <w:t>wynika,</w:t>
            </w:r>
            <w:r w:rsidR="0015744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że </w:t>
            </w:r>
            <w:r w:rsidRPr="007E4FFC" w:rsidR="00C33359">
              <w:rPr>
                <w:rFonts w:ascii="Century Gothic" w:hAnsi="Century Gothic"/>
                <w:sz w:val="16"/>
                <w:szCs w:val="16"/>
              </w:rPr>
              <w:t>indywidualne obowiązkowe roczne przygotowani</w:t>
            </w:r>
            <w:r w:rsidR="00B22363">
              <w:rPr>
                <w:rFonts w:ascii="Century Gothic" w:hAnsi="Century Gothic"/>
                <w:sz w:val="16"/>
                <w:szCs w:val="16"/>
              </w:rPr>
              <w:t>e</w:t>
            </w:r>
            <w:r w:rsidRPr="007E4FFC" w:rsidR="00C33359">
              <w:rPr>
                <w:rFonts w:ascii="Century Gothic" w:hAnsi="Century Gothic"/>
                <w:sz w:val="16"/>
                <w:szCs w:val="16"/>
              </w:rPr>
              <w:t xml:space="preserve"> przedszkolne </w:t>
            </w:r>
            <w:r w:rsidR="00C33359">
              <w:rPr>
                <w:rFonts w:ascii="Century Gothic" w:hAnsi="Century Gothic"/>
                <w:sz w:val="16"/>
                <w:szCs w:val="16"/>
              </w:rPr>
              <w:t xml:space="preserve">oraz </w:t>
            </w:r>
            <w:r w:rsidRPr="007E4FFC" w:rsidR="00C33359">
              <w:rPr>
                <w:rFonts w:ascii="Century Gothic" w:hAnsi="Century Gothic"/>
                <w:sz w:val="16"/>
                <w:szCs w:val="16"/>
              </w:rPr>
              <w:t>indywidualne nauczani</w:t>
            </w:r>
            <w:r w:rsidR="00B22363">
              <w:rPr>
                <w:rFonts w:ascii="Century Gothic" w:hAnsi="Century Gothic"/>
                <w:sz w:val="16"/>
                <w:szCs w:val="16"/>
              </w:rPr>
              <w:t>e</w:t>
            </w:r>
            <w:r w:rsidRPr="007E4FFC" w:rsidR="00C3335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organizowane </w:t>
            </w:r>
            <w:r w:rsidR="009D48D6">
              <w:rPr>
                <w:rFonts w:ascii="Century Gothic" w:hAnsi="Century Gothic"/>
                <w:sz w:val="16"/>
                <w:szCs w:val="16"/>
              </w:rPr>
              <w:t>w</w:t>
            </w:r>
            <w:r w:rsidR="00375343">
              <w:rPr>
                <w:rFonts w:ascii="Century Gothic" w:hAnsi="Century Gothic"/>
                <w:sz w:val="16"/>
                <w:szCs w:val="16"/>
              </w:rPr>
              <w:t>yłącznie w</w:t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miejscu pobytu </w:t>
            </w:r>
            <w:r w:rsidR="009D48D6">
              <w:rPr>
                <w:rFonts w:ascii="Century Gothic" w:hAnsi="Century Gothic"/>
                <w:sz w:val="16"/>
                <w:szCs w:val="16"/>
              </w:rPr>
              <w:t>dziecka</w:t>
            </w:r>
            <w:r w:rsidR="00CC4A9A">
              <w:rPr>
                <w:rFonts w:ascii="Century Gothic" w:hAnsi="Century Gothic"/>
                <w:sz w:val="16"/>
                <w:szCs w:val="16"/>
              </w:rPr>
              <w:t xml:space="preserve"> lub </w:t>
            </w:r>
            <w:r w:rsidR="00B22363">
              <w:rPr>
                <w:rFonts w:ascii="Century Gothic" w:hAnsi="Century Gothic"/>
                <w:sz w:val="16"/>
                <w:szCs w:val="16"/>
              </w:rPr>
              <w:t>ucznia</w:t>
            </w:r>
            <w:r w:rsidR="0015744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C4A9A">
              <w:rPr>
                <w:rFonts w:ascii="Century Gothic" w:hAnsi="Century Gothic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tanowi 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przeszkodę we włączaniu </w:t>
            </w:r>
            <w:r w:rsidR="005C47F3">
              <w:rPr>
                <w:rFonts w:ascii="Century Gothic" w:hAnsi="Century Gothic"/>
                <w:sz w:val="16"/>
                <w:szCs w:val="16"/>
              </w:rPr>
              <w:t xml:space="preserve">dzieci i uczniów z </w:t>
            </w:r>
            <w:r w:rsidR="00B22363">
              <w:rPr>
                <w:rFonts w:ascii="Century Gothic" w:hAnsi="Century Gothic"/>
                <w:sz w:val="16"/>
                <w:szCs w:val="16"/>
              </w:rPr>
              <w:t>problemami</w:t>
            </w:r>
            <w:r w:rsidR="00C33359">
              <w:rPr>
                <w:rFonts w:ascii="Century Gothic" w:hAnsi="Century Gothic"/>
                <w:sz w:val="16"/>
                <w:szCs w:val="16"/>
              </w:rPr>
              <w:t xml:space="preserve"> zdrowotnymi</w:t>
            </w:r>
            <w:r w:rsidR="00B223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5744C">
              <w:rPr>
                <w:rFonts w:ascii="Century Gothic" w:hAnsi="Century Gothic"/>
                <w:sz w:val="16"/>
                <w:szCs w:val="16"/>
              </w:rPr>
              <w:t>do</w:t>
            </w:r>
            <w:r w:rsidR="00C33359">
              <w:rPr>
                <w:rFonts w:ascii="Century Gothic" w:hAnsi="Century Gothic"/>
                <w:sz w:val="16"/>
                <w:szCs w:val="16"/>
              </w:rPr>
              <w:t xml:space="preserve"> przebywania na terenie jednostki </w:t>
            </w:r>
            <w:r w:rsidR="00CC4A9A">
              <w:rPr>
                <w:rFonts w:ascii="Century Gothic" w:hAnsi="Century Gothic"/>
                <w:sz w:val="16"/>
                <w:szCs w:val="16"/>
              </w:rPr>
              <w:t xml:space="preserve">systemu </w:t>
            </w:r>
            <w:r w:rsidR="00C33359">
              <w:rPr>
                <w:rFonts w:ascii="Century Gothic" w:hAnsi="Century Gothic"/>
                <w:sz w:val="16"/>
                <w:szCs w:val="16"/>
              </w:rPr>
              <w:t>oświat</w:t>
            </w:r>
            <w:r w:rsidR="00CC4A9A">
              <w:rPr>
                <w:rFonts w:ascii="Century Gothic" w:hAnsi="Century Gothic"/>
                <w:sz w:val="16"/>
                <w:szCs w:val="16"/>
              </w:rPr>
              <w:t>y</w:t>
            </w:r>
            <w:r w:rsidR="00C33359">
              <w:rPr>
                <w:rFonts w:ascii="Century Gothic" w:hAnsi="Century Gothic"/>
                <w:sz w:val="16"/>
                <w:szCs w:val="16"/>
              </w:rPr>
              <w:t xml:space="preserve"> oraz uczestnictwa – </w:t>
            </w:r>
            <w:r w:rsidR="0015744C">
              <w:rPr>
                <w:rFonts w:ascii="Century Gothic" w:hAnsi="Century Gothic"/>
                <w:sz w:val="16"/>
                <w:szCs w:val="16"/>
              </w:rPr>
              <w:t>w</w:t>
            </w:r>
            <w:r w:rsidR="00C33359">
              <w:rPr>
                <w:rFonts w:ascii="Century Gothic" w:hAnsi="Century Gothic"/>
                <w:sz w:val="16"/>
                <w:szCs w:val="16"/>
              </w:rPr>
              <w:t xml:space="preserve"> miarę potrzeb i możliwości – w życiu przedszkola lub szkoły. 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5D6A56" w:rsidP="00A125D9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6133F7">
              <w:rPr>
                <w:rFonts w:ascii="Century Gothic" w:hAnsi="Century Gothic"/>
                <w:sz w:val="16"/>
                <w:szCs w:val="16"/>
              </w:rPr>
              <w:t xml:space="preserve">Planowane zmiany w rozporządzeniu </w:t>
            </w:r>
            <w:r w:rsidRPr="002226E0" w:rsidR="002226E0">
              <w:rPr>
                <w:rFonts w:ascii="Century Gothic" w:hAnsi="Century Gothic"/>
                <w:sz w:val="16"/>
                <w:szCs w:val="16"/>
              </w:rPr>
              <w:t>Ministra Edukacji Narodowej z dnia 9 sierpnia 2017 r. w sprawie indywidualnego obowiązkowego rocznego przygotowania przedszkolnego dzieci i indywidualnego nauczania dzieci i młodzież</w:t>
            </w:r>
            <w:r w:rsidR="002226E0">
              <w:rPr>
                <w:rFonts w:ascii="Century Gothic" w:hAnsi="Century Gothic"/>
                <w:sz w:val="16"/>
                <w:szCs w:val="16"/>
              </w:rPr>
              <w:t xml:space="preserve">y, </w:t>
            </w:r>
            <w:r w:rsidRPr="006133F7">
              <w:rPr>
                <w:rFonts w:ascii="Century Gothic" w:hAnsi="Century Gothic"/>
                <w:sz w:val="16"/>
                <w:szCs w:val="16"/>
              </w:rPr>
              <w:t>polegają na wprowadzeniu możliwości</w:t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 organizowania dla dzieci</w:t>
            </w:r>
            <w:r w:rsidR="0007607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F1F3C">
              <w:rPr>
                <w:rFonts w:ascii="Century Gothic" w:hAnsi="Century Gothic"/>
                <w:sz w:val="16"/>
                <w:szCs w:val="16"/>
              </w:rPr>
              <w:br/>
            </w:r>
            <w:r w:rsidR="00076073">
              <w:rPr>
                <w:rFonts w:ascii="Century Gothic" w:hAnsi="Century Gothic"/>
                <w:sz w:val="16"/>
                <w:szCs w:val="16"/>
              </w:rPr>
              <w:t>i uczniów</w:t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9D48D6" w:rsidR="009D48D6">
              <w:rPr>
                <w:rFonts w:ascii="Century Gothic" w:hAnsi="Century Gothic"/>
                <w:sz w:val="16"/>
                <w:szCs w:val="16"/>
              </w:rPr>
              <w:t>których stan zdrowia znacznie utrudnia uczęszczanie do przedszkola lub szkoły</w:t>
            </w:r>
            <w:r w:rsidR="009D48D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76073">
              <w:rPr>
                <w:rFonts w:ascii="Century Gothic" w:hAnsi="Century Gothic"/>
                <w:sz w:val="16"/>
                <w:szCs w:val="16"/>
              </w:rPr>
              <w:t xml:space="preserve">odpowiednio </w:t>
            </w:r>
            <w:r w:rsidRPr="009D48D6" w:rsidR="009D48D6">
              <w:rPr>
                <w:rFonts w:ascii="Century Gothic" w:hAnsi="Century Gothic"/>
                <w:sz w:val="16"/>
                <w:szCs w:val="16"/>
              </w:rPr>
              <w:t xml:space="preserve">indywidualnego obowiązkowego rocznego przygotowania przedszkolnego </w:t>
            </w:r>
            <w:r w:rsidRPr="009D48D6" w:rsidR="00076073">
              <w:rPr>
                <w:rFonts w:ascii="Century Gothic" w:hAnsi="Century Gothic"/>
                <w:sz w:val="16"/>
                <w:szCs w:val="16"/>
              </w:rPr>
              <w:t>w przedszkolu, innej formie wychowania przedszkolnego, oddziale przedszkolnym w szkole podstawowej</w:t>
            </w:r>
            <w:r w:rsidR="00076073">
              <w:rPr>
                <w:rFonts w:ascii="Century Gothic" w:hAnsi="Century Gothic"/>
                <w:sz w:val="16"/>
                <w:szCs w:val="16"/>
              </w:rPr>
              <w:t xml:space="preserve"> lub</w:t>
            </w:r>
            <w:r w:rsidRPr="009D48D6" w:rsidR="009D48D6">
              <w:rPr>
                <w:rFonts w:ascii="Century Gothic" w:hAnsi="Century Gothic"/>
                <w:sz w:val="16"/>
                <w:szCs w:val="16"/>
              </w:rPr>
              <w:t xml:space="preserve"> indywidualnego nauczania </w:t>
            </w:r>
            <w:r w:rsidR="00076073">
              <w:rPr>
                <w:rFonts w:ascii="Century Gothic" w:hAnsi="Century Gothic"/>
                <w:sz w:val="16"/>
                <w:szCs w:val="16"/>
              </w:rPr>
              <w:t>w szkole</w:t>
            </w:r>
            <w:r w:rsidR="00632214">
              <w:rPr>
                <w:rFonts w:ascii="Century Gothic" w:hAnsi="Century Gothic"/>
                <w:sz w:val="16"/>
                <w:szCs w:val="16"/>
              </w:rPr>
              <w:t>.</w:t>
            </w:r>
            <w:r w:rsidR="00A125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323D7"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="00CC4A9A">
              <w:rPr>
                <w:rFonts w:ascii="Century Gothic" w:hAnsi="Century Gothic"/>
                <w:sz w:val="16"/>
                <w:szCs w:val="16"/>
              </w:rPr>
              <w:t>V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D6A56">
              <w:rPr>
                <w:rFonts w:ascii="Century Gothic" w:hAnsi="Century Gothic"/>
                <w:sz w:val="16"/>
                <w:szCs w:val="16"/>
              </w:rPr>
              <w:t>kwartał</w:t>
            </w:r>
            <w:r w:rsidR="005D6A56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2024 </w:t>
            </w:r>
            <w:r w:rsidR="00D305F7">
              <w:rPr>
                <w:rFonts w:ascii="Century Gothic" w:hAnsi="Century Gothic"/>
                <w:sz w:val="16"/>
                <w:szCs w:val="16"/>
              </w:rPr>
              <w:t>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1" w:rsidP="00D9505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Lidia Jóźwiak-Kukawska</w:t>
            </w:r>
          </w:p>
          <w:p w:rsidR="00075091" w:rsidP="00D950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starszy specjalista</w:t>
            </w:r>
          </w:p>
          <w:p w:rsidR="00D55783" w:rsidP="00D95056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5091">
              <w:rPr>
                <w:rFonts w:ascii="Century Gothic" w:hAnsi="Century Gothic"/>
                <w:sz w:val="16"/>
                <w:szCs w:val="16"/>
              </w:rPr>
              <w:t>Helena Maryjanowska</w:t>
            </w:r>
            <w:r w:rsidR="0001692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075091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D55783" w:rsidP="001574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16925" w:rsidRPr="009E3259" w:rsidP="00D950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5091">
              <w:rPr>
                <w:rFonts w:ascii="Century Gothic" w:hAnsi="Century Gothic"/>
                <w:sz w:val="16"/>
                <w:szCs w:val="16"/>
              </w:rPr>
              <w:t>Departam</w:t>
            </w:r>
            <w:r w:rsidR="00D55783">
              <w:rPr>
                <w:rFonts w:ascii="Century Gothic" w:hAnsi="Century Gothic"/>
                <w:sz w:val="16"/>
                <w:szCs w:val="16"/>
              </w:rPr>
              <w:t>ent</w:t>
            </w:r>
            <w:r w:rsidRPr="00075091">
              <w:rPr>
                <w:rFonts w:ascii="Century Gothic" w:hAnsi="Century Gothic"/>
                <w:sz w:val="16"/>
                <w:szCs w:val="16"/>
              </w:rPr>
              <w:t xml:space="preserve"> Edukacji Włączającej</w:t>
            </w:r>
          </w:p>
        </w:tc>
      </w:tr>
    </w:tbl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600650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104960"/>
    <w:multiLevelType w:val="hybridMultilevel"/>
    <w:tmpl w:val="78FE1F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5032D2"/>
    <w:multiLevelType w:val="hybridMultilevel"/>
    <w:tmpl w:val="75F47D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15744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15744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15744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15744C"/>
    <w:rPr>
      <w:rFonts w:ascii="Arial" w:eastAsia="Times New Roman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15744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15744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125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125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C155-9152-4DB8-B099-240762CA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Neroj Elżbieta</cp:lastModifiedBy>
  <cp:revision>39</cp:revision>
  <dcterms:created xsi:type="dcterms:W3CDTF">2024-07-10T12:35:00Z</dcterms:created>
  <dcterms:modified xsi:type="dcterms:W3CDTF">2024-08-08T15:46:00Z</dcterms:modified>
</cp:coreProperties>
</file>