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4DAED2CA" w14:textId="4172E4DF" w:rsidR="00926924" w:rsidRPr="00926924" w:rsidRDefault="00926924" w:rsidP="00926924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926924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PROJEKT OBWIESZCZENIA REFUNDACYJNEGO 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NR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82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KWIETNIA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202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6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6BCA9DE0" w14:textId="77777777" w:rsidR="00926924" w:rsidRDefault="00926924" w:rsidP="00926924">
      <w:pPr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46D96480" w14:textId="7E06F3F9" w:rsidR="00926924" w:rsidRPr="00926924" w:rsidRDefault="00926924" w:rsidP="00926924">
      <w:pPr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26924">
        <w:rPr>
          <w:rFonts w:ascii="Lato" w:hAnsi="Lato"/>
          <w:color w:val="000000" w:themeColor="text1"/>
          <w:sz w:val="24"/>
          <w:szCs w:val="24"/>
        </w:rPr>
        <w:t>Prezentowane podsumowanie projektu obwieszczenia refundacyjnego nr 8</w:t>
      </w:r>
      <w:r>
        <w:rPr>
          <w:rFonts w:ascii="Lato" w:hAnsi="Lato"/>
          <w:color w:val="000000" w:themeColor="text1"/>
          <w:sz w:val="24"/>
          <w:szCs w:val="24"/>
        </w:rPr>
        <w:t>2</w:t>
      </w:r>
      <w:r w:rsidRPr="00926924">
        <w:rPr>
          <w:rFonts w:ascii="Lato" w:hAnsi="Lato"/>
          <w:color w:val="000000" w:themeColor="text1"/>
          <w:sz w:val="24"/>
          <w:szCs w:val="24"/>
        </w:rPr>
        <w:t xml:space="preserve"> nie stanowi jego ostatecznej wersji, bowiem nadal trwają prace administracyjne nad finalnym wykazem refundowanych leków, środków spożywczych specjalnego przeznaczenia żywieniowego oraz wyrobów medycznych obowiązującym od 1 </w:t>
      </w:r>
      <w:r>
        <w:rPr>
          <w:rFonts w:ascii="Lato" w:hAnsi="Lato"/>
          <w:color w:val="000000" w:themeColor="text1"/>
          <w:sz w:val="24"/>
          <w:szCs w:val="24"/>
        </w:rPr>
        <w:t>kwietnia</w:t>
      </w:r>
      <w:r w:rsidRPr="00926924">
        <w:rPr>
          <w:rFonts w:ascii="Lato" w:hAnsi="Lato"/>
          <w:color w:val="000000" w:themeColor="text1"/>
          <w:sz w:val="24"/>
          <w:szCs w:val="24"/>
        </w:rPr>
        <w:t xml:space="preserve"> 2026 r. </w:t>
      </w:r>
    </w:p>
    <w:p w14:paraId="1CF16987" w14:textId="28754207" w:rsidR="00926924" w:rsidRPr="00926924" w:rsidRDefault="00926924" w:rsidP="00926924">
      <w:pPr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26924">
        <w:rPr>
          <w:rFonts w:ascii="Lato" w:hAnsi="Lato"/>
          <w:color w:val="000000" w:themeColor="text1"/>
          <w:sz w:val="24"/>
          <w:szCs w:val="24"/>
        </w:rPr>
        <w:t xml:space="preserve">Uwzględniając niniejszy projekt w roku 2026 wykazu, finansowaniem ze środków publicznych zostanie objętych </w:t>
      </w:r>
      <w:r>
        <w:rPr>
          <w:rFonts w:ascii="Lato" w:hAnsi="Lato"/>
          <w:color w:val="000000" w:themeColor="text1"/>
          <w:sz w:val="24"/>
          <w:szCs w:val="24"/>
        </w:rPr>
        <w:t>40</w:t>
      </w:r>
      <w:r w:rsidRPr="00926924">
        <w:rPr>
          <w:rFonts w:ascii="Lato" w:hAnsi="Lato"/>
          <w:color w:val="000000" w:themeColor="text1"/>
          <w:sz w:val="24"/>
          <w:szCs w:val="24"/>
        </w:rPr>
        <w:t xml:space="preserve"> nowych cząsteczko – wskazań, w tym:</w:t>
      </w:r>
    </w:p>
    <w:p w14:paraId="746A3083" w14:textId="5B87A171" w:rsidR="00926924" w:rsidRPr="00926924" w:rsidRDefault="00926924" w:rsidP="009269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26924">
        <w:rPr>
          <w:rFonts w:ascii="Lato" w:hAnsi="Lato"/>
          <w:color w:val="000000" w:themeColor="text1"/>
          <w:sz w:val="24"/>
          <w:szCs w:val="24"/>
        </w:rPr>
        <w:t>23</w:t>
      </w:r>
      <w:r w:rsidRPr="00926924">
        <w:rPr>
          <w:rFonts w:ascii="Lato" w:hAnsi="Lato"/>
          <w:color w:val="000000" w:themeColor="text1"/>
          <w:sz w:val="24"/>
          <w:szCs w:val="24"/>
        </w:rPr>
        <w:t xml:space="preserve"> cząsteczko – wskazania onkologiczne,</w:t>
      </w:r>
    </w:p>
    <w:p w14:paraId="28D414F1" w14:textId="25D8DDD0" w:rsidR="00926924" w:rsidRPr="00926924" w:rsidRDefault="00926924" w:rsidP="009269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26924">
        <w:rPr>
          <w:rFonts w:ascii="Lato" w:hAnsi="Lato"/>
          <w:color w:val="000000" w:themeColor="text1"/>
          <w:sz w:val="24"/>
          <w:szCs w:val="24"/>
        </w:rPr>
        <w:t>17</w:t>
      </w:r>
      <w:r w:rsidRPr="00926924">
        <w:rPr>
          <w:rFonts w:ascii="Lato" w:hAnsi="Lato"/>
          <w:color w:val="000000" w:themeColor="text1"/>
          <w:sz w:val="24"/>
          <w:szCs w:val="24"/>
        </w:rPr>
        <w:t xml:space="preserve"> cząsteczko - wskazań nieonkologicznych,</w:t>
      </w:r>
    </w:p>
    <w:p w14:paraId="6B34250F" w14:textId="2A9D8C44" w:rsidR="00926924" w:rsidRPr="00926924" w:rsidRDefault="00EB4A6C" w:rsidP="009269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14</w:t>
      </w:r>
      <w:r w:rsidR="00926924" w:rsidRPr="00926924">
        <w:rPr>
          <w:rFonts w:ascii="Lato" w:hAnsi="Lato"/>
          <w:color w:val="000000" w:themeColor="text1"/>
          <w:sz w:val="24"/>
          <w:szCs w:val="24"/>
        </w:rPr>
        <w:t xml:space="preserve"> cząsteczko - wskazań dedykowanych chorobom rzadkim.</w:t>
      </w:r>
    </w:p>
    <w:p w14:paraId="4A7EA38A" w14:textId="60A76A48" w:rsidR="00926924" w:rsidRPr="00926924" w:rsidRDefault="00926924" w:rsidP="00926924">
      <w:pPr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926924">
        <w:rPr>
          <w:rFonts w:ascii="Lato" w:hAnsi="Lato"/>
          <w:color w:val="000000" w:themeColor="text1"/>
          <w:sz w:val="24"/>
          <w:szCs w:val="24"/>
        </w:rPr>
        <w:t>Z uwagi na trwające prace formalno-prawne oraz merytoryczne w zakresie opracowania ostatecznych treści programów lekowych, projekt obwieszczenia refundacyjnego nr 8</w:t>
      </w:r>
      <w:r>
        <w:rPr>
          <w:rFonts w:ascii="Lato" w:hAnsi="Lato"/>
          <w:color w:val="000000" w:themeColor="text1"/>
          <w:sz w:val="24"/>
          <w:szCs w:val="24"/>
        </w:rPr>
        <w:t>2</w:t>
      </w:r>
      <w:r w:rsidRPr="00926924">
        <w:rPr>
          <w:rFonts w:ascii="Lato" w:hAnsi="Lato"/>
          <w:color w:val="000000" w:themeColor="text1"/>
          <w:sz w:val="24"/>
          <w:szCs w:val="24"/>
        </w:rPr>
        <w:t xml:space="preserve"> nie uwzględnia wszystkich nowych terapii, które ujęto w poniższym zestawieniu.</w:t>
      </w:r>
    </w:p>
    <w:p w14:paraId="2A562DA4" w14:textId="77777777" w:rsidR="00926924" w:rsidRDefault="00926924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</w:p>
    <w:p w14:paraId="7135BF56" w14:textId="77777777" w:rsidR="0058276D" w:rsidRDefault="004D093B">
      <w:pPr>
        <w:suppressAutoHyphens w:val="0"/>
        <w:rPr>
          <w:rFonts w:ascii="Lato" w:hAnsi="Lato"/>
          <w:sz w:val="24"/>
          <w:szCs w:val="24"/>
        </w:rPr>
        <w:sectPr w:rsidR="0058276D" w:rsidSect="005058F2">
          <w:headerReference w:type="first" r:id="rId7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299"/>
        </w:sectPr>
      </w:pPr>
      <w:r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1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1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575"/>
        <w:gridCol w:w="1794"/>
        <w:gridCol w:w="1909"/>
        <w:gridCol w:w="3330"/>
        <w:gridCol w:w="4785"/>
      </w:tblGrid>
      <w:tr w:rsidR="005058F2" w:rsidRPr="004D093B" w14:paraId="7E2E9B6A" w14:textId="77777777" w:rsidTr="00B222B4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B222B4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B222B4" w:rsidRPr="004D093B" w14:paraId="60CDF2D4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22B4" w:rsidRPr="004D093B" w14:paraId="41B567AC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3ECE7A4F" w:rsidR="0076786B" w:rsidRPr="004D093B" w:rsidRDefault="00926924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41966C21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sz w:val="18"/>
                <w:szCs w:val="18"/>
              </w:rPr>
              <w:t>Opdivo + Yervoy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355724CB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i/>
                <w:iCs/>
                <w:sz w:val="18"/>
                <w:szCs w:val="18"/>
              </w:rPr>
              <w:t>niwolumab + ipilimumab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769A7DDF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4E779E97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0AC1">
              <w:rPr>
                <w:rFonts w:ascii="Lato" w:hAnsi="Lato" w:cstheme="majorHAnsi"/>
                <w:sz w:val="18"/>
                <w:szCs w:val="18"/>
              </w:rPr>
              <w:t>LECZENIE CHORYCH NA RAKA WĄTROBOWOKOMÓRKOWEGO (ICD-10: C22.0) LUB RAKA DRÓG ŻÓŁCIOWYCH (ICD-10: C22.1, C23, C24.0, C24.1, C24.8, C24.9)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0FCD552B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niwolumabem w skojarzeniu z ipilimumabem dorosłych pacjentów, </w:t>
            </w:r>
            <w:r w:rsidRPr="00A5788D">
              <w:rPr>
                <w:rFonts w:ascii="Lato" w:hAnsi="Lato" w:cstheme="majorHAnsi"/>
                <w:color w:val="000000"/>
                <w:sz w:val="18"/>
                <w:szCs w:val="18"/>
              </w:rPr>
              <w:t>u których nie</w:t>
            </w:r>
            <w:r w:rsidR="00DA1C9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5788D">
              <w:rPr>
                <w:rFonts w:ascii="Lato" w:hAnsi="Lato" w:cstheme="majorHAnsi"/>
                <w:color w:val="000000"/>
                <w:sz w:val="18"/>
                <w:szCs w:val="18"/>
              </w:rPr>
              <w:t>stosowano w przeszłości leczenia systemowego z powodu raka wątrobowokomórkowego (1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 w:rsidRPr="00A578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linia leczenia)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22B4" w:rsidRPr="004D093B" w14:paraId="79F6918C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6063FC97" w:rsidR="0076786B" w:rsidRPr="004D093B" w:rsidRDefault="00926924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02F552DF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Pemazyre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72592B20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pemigatynib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261D7753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15578A09" w:rsidR="0076786B" w:rsidRPr="004D093B" w:rsidRDefault="0076786B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0AC1">
              <w:rPr>
                <w:rFonts w:ascii="Lato" w:hAnsi="Lato" w:cstheme="majorHAnsi"/>
                <w:sz w:val="18"/>
                <w:szCs w:val="18"/>
              </w:rPr>
              <w:t>LECZENIE CHORYCH NA RAKA WĄTROBOWOKOMÓRKOWEGO (ICD-10: C22.0) LUB RAKA DRÓG ŻÓŁCIOWYCH (ICD-10: C22.1, C23, C24.0, C24.1, C24.8, C24.9)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46AB6CF3" w:rsidR="0076786B" w:rsidRPr="004D093B" w:rsidRDefault="004602E4" w:rsidP="0076786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602E4">
              <w:rPr>
                <w:rFonts w:ascii="Lato" w:hAnsi="Lato" w:cstheme="majorHAnsi"/>
                <w:color w:val="000000"/>
                <w:sz w:val="18"/>
                <w:szCs w:val="18"/>
              </w:rPr>
              <w:t>Leczenie pemigatynibem w monoterapii dorosłych pacjentów z miejscowo zaawansowanym lub przerzutowym gruczolakorakiem dróg żółciowych, ze stwierdzoną fuzją lub rearanżacją receptora czynnika wzrostu fibroblastów 2 (FGFR2)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(2. linia leczenia).</w:t>
            </w:r>
          </w:p>
        </w:tc>
      </w:tr>
      <w:tr w:rsidR="00B222B4" w:rsidRPr="004D093B" w14:paraId="54B984AE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1416" w14:textId="43C9D1C0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4C03" w14:textId="7B31776B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Hetronifly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D586" w14:textId="33BF45CC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serplulimab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5CA2" w14:textId="4BE57BC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C5B" w14:textId="3DC94A05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902B" w14:textId="6E29706A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pierwszej linii dorosłych pacjentów chorych na drobnokomórkowego raka płuca (DRP) w postaci rozsianej, w skojarzeniu z karboplatyną i etopozydem w fazie indukcji.</w:t>
            </w:r>
          </w:p>
        </w:tc>
      </w:tr>
      <w:tr w:rsidR="00B222B4" w:rsidRPr="004D093B" w14:paraId="6737D787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7502" w14:textId="508138CD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B68E" w14:textId="572FEEEE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 i.v.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1D7B" w14:textId="64EE146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E4DB" w14:textId="1C9080A4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71FC" w14:textId="6EA3DE47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B4E0" w14:textId="1F934DAB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pierwszej linii,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monoterapią atezolizumabem (postać dożylna),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zaawansowanym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, którzy nie kwalifikują się do leczenia opartego 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pochodnych platyny.</w:t>
            </w:r>
          </w:p>
        </w:tc>
      </w:tr>
      <w:tr w:rsidR="00B222B4" w:rsidRPr="004D093B" w14:paraId="00C22063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544C" w14:textId="51C52CF7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C3ED" w14:textId="711766F8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 s.c.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062F" w14:textId="29D62DBC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FD8F" w14:textId="18A53FAB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318A" w14:textId="168849B5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45C2" w14:textId="05805C48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pierwszej linii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monoterapią atezolizumabem (postać podskórna),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zaawansowanym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, którzy nie kwalifikują się do leczenia opartego 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279C6">
              <w:rPr>
                <w:rFonts w:ascii="Lato" w:hAnsi="Lato" w:cstheme="majorHAnsi"/>
                <w:color w:val="000000"/>
                <w:sz w:val="18"/>
                <w:szCs w:val="18"/>
              </w:rPr>
              <w:t>pochodnych platyny.</w:t>
            </w:r>
          </w:p>
        </w:tc>
      </w:tr>
      <w:tr w:rsidR="00B222B4" w:rsidRPr="004D093B" w14:paraId="575A1F75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21A6" w14:textId="3CA7C9E0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B32C" w14:textId="2860DA2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Rybrevant + Lazcluze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8A77" w14:textId="269CB84C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amiwantamab + lazertinib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9E7" w14:textId="6556F7B3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0ABA" w14:textId="546981CA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6C6B" w14:textId="6EA51492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pierwszej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>pacjentów</w:t>
            </w:r>
            <w:r w:rsidRPr="004A454C">
              <w:rPr>
                <w:rFonts w:ascii="Lato" w:hAnsi="Lato" w:cstheme="majorHAnsi"/>
                <w:sz w:val="18"/>
                <w:szCs w:val="18"/>
              </w:rPr>
              <w:t xml:space="preserve"> z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NDRP z </w:t>
            </w:r>
            <w:r w:rsidRPr="004A454C">
              <w:rPr>
                <w:rFonts w:ascii="Lato" w:hAnsi="Lato" w:cstheme="majorHAnsi"/>
                <w:sz w:val="18"/>
                <w:szCs w:val="18"/>
              </w:rPr>
              <w:t>delecjami w eksonie 19. lub substytucją p.L858R w eksonie 21. EGFR z zastosowaniem amiwantamabu (</w:t>
            </w:r>
            <w:r>
              <w:rPr>
                <w:rFonts w:ascii="Lato" w:hAnsi="Lato" w:cstheme="majorHAnsi"/>
                <w:sz w:val="18"/>
                <w:szCs w:val="18"/>
              </w:rPr>
              <w:t>postać podskórna</w:t>
            </w:r>
            <w:r w:rsidRPr="004A454C">
              <w:rPr>
                <w:rFonts w:ascii="Lato" w:hAnsi="Lato" w:cstheme="majorHAnsi"/>
                <w:sz w:val="18"/>
                <w:szCs w:val="18"/>
              </w:rPr>
              <w:t>) w skojarzeniu z lazertynibem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B222B4" w:rsidRPr="004D093B" w14:paraId="3655E538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F964" w14:textId="6B2AB2CD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7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56DB" w14:textId="4473C361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Rybrevant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EE1F" w14:textId="281B400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amiwantamab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D794" w14:textId="3872F8B9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2B12" w14:textId="2DBC97F1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BE03" w14:textId="77777777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pierwszej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pacjentów 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NDRP z 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>aktywującymi mutacjami insercyjnymi w eksonie 20. EGFR z zastosowaniem amiwantamabu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(postać dożylna)</w:t>
            </w:r>
            <w:r w:rsidRPr="004A45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karboplatyną i pemetreksedem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521375F" w14:textId="0B0F3B2E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3407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22B4" w:rsidRPr="004D093B" w14:paraId="42498415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678B" w14:textId="67A09965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FCF1" w14:textId="625E0F21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Braftovi + Mektovi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5AEF" w14:textId="4D774066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enkorafenib  + binimetinib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2AD6" w14:textId="72EE79F8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2D6E" w14:textId="41CA1508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0FB6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AA27" w14:textId="77777777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Leczenie pierwszej lub kolejnej linii z zastosowaniem </w:t>
            </w:r>
            <w:r w:rsidRPr="00D45959">
              <w:rPr>
                <w:rFonts w:ascii="Lato" w:hAnsi="Lato" w:cstheme="majorHAnsi"/>
                <w:sz w:val="18"/>
                <w:szCs w:val="18"/>
              </w:rPr>
              <w:t>enkorafenibu w skojarzeniu z binimetynibem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u dorosłych pacjentów z NDRP z mutacją </w:t>
            </w:r>
            <w:r w:rsidRPr="00D45959">
              <w:rPr>
                <w:rFonts w:ascii="Lato" w:hAnsi="Lato" w:cstheme="majorHAnsi"/>
                <w:sz w:val="18"/>
                <w:szCs w:val="18"/>
              </w:rPr>
              <w:t>V600E w genie BRAF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7557BF0E" w14:textId="08AD5045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20377">
              <w:rPr>
                <w:rFonts w:ascii="Lato" w:hAnsi="Lato" w:cstheme="majorHAnsi"/>
                <w:b/>
                <w:bCs/>
                <w:sz w:val="18"/>
                <w:szCs w:val="18"/>
              </w:rPr>
              <w:t>(Choroba rzadka)</w:t>
            </w:r>
          </w:p>
        </w:tc>
      </w:tr>
      <w:tr w:rsidR="00B222B4" w:rsidRPr="004D093B" w14:paraId="6FC535A1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E72F" w14:textId="68624FE8" w:rsidR="00B01CCE" w:rsidRDefault="00926924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A97A" w14:textId="5689FE9E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Ibrance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7806" w14:textId="06F9EA50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palbocyklib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5BB1" w14:textId="3C9EBCA7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B.9.FM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6326" w14:textId="30B83859" w:rsidR="00B01CCE" w:rsidRPr="000673F9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673F9">
              <w:rPr>
                <w:rFonts w:ascii="Lato" w:hAnsi="Lato" w:cstheme="majorHAnsi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9E72" w14:textId="26567478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Palbocyklib w skojarzeniu z fulwestrantem w 1. linii leczenia </w:t>
            </w:r>
            <w:r w:rsidRPr="000673F9">
              <w:rPr>
                <w:rFonts w:ascii="Lato" w:hAnsi="Lato" w:cstheme="majorHAnsi"/>
                <w:sz w:val="18"/>
                <w:szCs w:val="18"/>
              </w:rPr>
              <w:t>przerzutowego lub miejscowo zawansowanego (gdy radykalne leczenie miejscowe jest nieskuteczne lub niemożliwe do zastosowania)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HR-dodatniego, HER2-ujemnego raka piersi, po uprzedniej hormonoterapii.</w:t>
            </w:r>
          </w:p>
        </w:tc>
      </w:tr>
      <w:tr w:rsidR="00B222B4" w:rsidRPr="004D093B" w14:paraId="520E8D47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84EF" w14:textId="2744CAE3" w:rsidR="0080392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A45C" w14:textId="762E6E75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Breyanzi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279A" w14:textId="6E506F45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li</w:t>
            </w:r>
            <w:r w:rsidRPr="008C7DF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zokabtagen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maraleucel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120B" w14:textId="1EC99225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F454" w14:textId="35F85475" w:rsidR="0080392B" w:rsidRPr="000673F9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DD21" w14:textId="77777777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Te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rapia CAR-T z zastosowaniem lizokabtagenu maraleucel w leczeniu dorosłych chorych na chłoniaka grudkowego w stopniu 3B (FL3B), chłoniaka rozlanego z dużych komórek B (DLBCL), chłoniaka z komórek B o wysokim stopniu złośliwości (HGBCL) oraz pierwotnego chłoniaka śródpiersia z dużych komórek B (PMBCL) w 2. linii leczenia u pacjentów z nawrotem choroby w ciągu 12 miesięcy od zakończenia immunochemioterapii 1. linii (wczesny nawrót) lub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>chorob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oporn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immunochemioterapię 1. linii,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oraz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3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kolejnych liniach leczenia po wcześniejszym leczeniu zawierającym przeciwciało anty-CD20 i antracykliny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FFB2D88" w14:textId="584BFF8C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C7DF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22B4" w:rsidRPr="004D093B" w14:paraId="4F88564C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F5BB" w14:textId="329FE41C" w:rsidR="0080392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11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ACD9" w14:textId="76977F6A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Columvi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D739" w14:textId="2CFFF261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glofitamab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901B" w14:textId="72024A3A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32F2" w14:textId="5CE68EDA" w:rsidR="0080392B" w:rsidRPr="000673F9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1DBC" w14:textId="77777777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  <w:r w:rsidRPr="008C7DF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dorosłych chorych na chłoniaka rozlanego z dużych komórek B (DLBCL) z przeciwwskazaniami do autoHSCT glofitamabem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skojarzeniu z gemcytabiną i oksaliplatyną.</w:t>
            </w:r>
          </w:p>
          <w:p w14:paraId="27E677A2" w14:textId="56987549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C7DF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22B4" w:rsidRPr="004D093B" w14:paraId="3F6DE49B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AC4A" w14:textId="6F33FC8F" w:rsidR="0080392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12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5D5D" w14:textId="0CFFADCF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Blincyto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8164" w14:textId="47BBA143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blinatumomab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B38B" w14:textId="042650A0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A9A5" w14:textId="4CEFAFF7" w:rsidR="0080392B" w:rsidRPr="000673F9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A591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OSTRĄ BIAŁACZKĘ LIMFOBLASTYCZNĄ (ICD-10: C91.0)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6628" w14:textId="77777777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blinatumomabem w monoterapii w ramach terapii konsolidującej u dorosłych pacjentów z nowo rozpoznaną ostrą białaczką </w:t>
            </w:r>
            <w:r w:rsidRPr="00FA5911">
              <w:rPr>
                <w:rFonts w:ascii="Lato" w:hAnsi="Lato" w:cstheme="majorHAnsi"/>
                <w:color w:val="000000"/>
                <w:sz w:val="18"/>
                <w:szCs w:val="18"/>
              </w:rPr>
              <w:t>limfoblastyczną z komórek prekursorowych linii B, bez chromosomu Filadelfia (Ph-) i z ekspresją antygenu CD19 w pierwszej całkowitej remisji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4760A18" w14:textId="4EE1D4B0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A591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22B4" w:rsidRPr="004D093B" w14:paraId="189EA4B0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02E79071" w:rsidR="00F65312" w:rsidRPr="004D093B" w:rsidRDefault="00926924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13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31E6FC10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6733818B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docetaksel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0C1D3DCE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C.19.b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727FEF13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157F6">
              <w:rPr>
                <w:rFonts w:ascii="Lato" w:hAnsi="Lato" w:cstheme="majorHAnsi"/>
                <w:sz w:val="18"/>
                <w:szCs w:val="18"/>
              </w:rPr>
              <w:t>DOCETAXELUM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7FF1" w14:textId="5D39E924" w:rsidR="00F65312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157F6">
              <w:rPr>
                <w:rFonts w:ascii="Lato" w:hAnsi="Lato" w:cstheme="majorHAnsi"/>
                <w:sz w:val="18"/>
                <w:szCs w:val="18"/>
              </w:rPr>
              <w:t>Leczenie docetakselem pacjentów chorych na gruczolakoraka przełyku w schematach radyk</w:t>
            </w:r>
            <w:r w:rsidR="00746C2A">
              <w:rPr>
                <w:rFonts w:ascii="Lato" w:hAnsi="Lato" w:cstheme="majorHAnsi"/>
                <w:sz w:val="18"/>
                <w:szCs w:val="18"/>
              </w:rPr>
              <w:t>al</w:t>
            </w:r>
            <w:r w:rsidRPr="00C157F6">
              <w:rPr>
                <w:rFonts w:ascii="Lato" w:hAnsi="Lato" w:cstheme="majorHAnsi"/>
                <w:sz w:val="18"/>
                <w:szCs w:val="18"/>
              </w:rPr>
              <w:t>nej chemioterapii oraz paliatywnej chemioterapii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(ICD-10: C15).</w:t>
            </w:r>
          </w:p>
          <w:p w14:paraId="0B1AA7A9" w14:textId="0F043D03" w:rsidR="00F65312" w:rsidRPr="00C157F6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sz w:val="18"/>
                <w:szCs w:val="18"/>
              </w:rPr>
              <w:t>(Wskazanie off-label)</w:t>
            </w:r>
          </w:p>
        </w:tc>
      </w:tr>
      <w:tr w:rsidR="00B222B4" w:rsidRPr="004D093B" w14:paraId="1ACDA5F7" w14:textId="77777777" w:rsidTr="00926924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0044" w14:textId="4B47DEAB" w:rsidR="00F65312" w:rsidRPr="004D093B" w:rsidRDefault="00926924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14</w:t>
            </w:r>
            <w:r w:rsidR="00B222B4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07EC" w14:textId="79561D34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ACB3" w14:textId="5AC18875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paklitaksel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F8D6" w14:textId="773AB542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C.47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1138" w14:textId="6C269486" w:rsidR="00F65312" w:rsidRPr="004D093B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PACLITAXEL</w:t>
            </w:r>
          </w:p>
        </w:tc>
        <w:tc>
          <w:tcPr>
            <w:tcW w:w="1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083B" w14:textId="77777777" w:rsidR="00F65312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C23FE">
              <w:rPr>
                <w:rFonts w:ascii="Lato" w:hAnsi="Lato" w:cstheme="majorHAnsi"/>
                <w:sz w:val="18"/>
                <w:szCs w:val="18"/>
              </w:rPr>
              <w:t>Rozszerzenie wskazania obowiązującego obecnie dla paklitakselu w zaawansowanym raku żołądka, poprzez umożliwienie stosowania w</w:t>
            </w:r>
            <w:r>
              <w:rPr>
                <w:rFonts w:ascii="Lato" w:hAnsi="Lato" w:cstheme="majorHAnsi"/>
                <w:sz w:val="18"/>
                <w:szCs w:val="18"/>
              </w:rPr>
              <w:t> </w:t>
            </w:r>
            <w:r w:rsidRPr="004C23FE">
              <w:rPr>
                <w:rFonts w:ascii="Lato" w:hAnsi="Lato" w:cstheme="majorHAnsi"/>
                <w:sz w:val="18"/>
                <w:szCs w:val="18"/>
              </w:rPr>
              <w:t>1.</w:t>
            </w:r>
            <w:r>
              <w:rPr>
                <w:rFonts w:ascii="Lato" w:hAnsi="Lato" w:cstheme="majorHAnsi"/>
                <w:sz w:val="18"/>
                <w:szCs w:val="18"/>
              </w:rPr>
              <w:t> </w:t>
            </w:r>
            <w:r w:rsidRPr="004C23FE">
              <w:rPr>
                <w:rFonts w:ascii="Lato" w:hAnsi="Lato" w:cstheme="majorHAnsi"/>
                <w:sz w:val="18"/>
                <w:szCs w:val="18"/>
              </w:rPr>
              <w:t>linii leczenia.</w:t>
            </w:r>
          </w:p>
          <w:p w14:paraId="01A46544" w14:textId="0065AF9B" w:rsidR="00F65312" w:rsidRPr="004C23F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453C2">
              <w:rPr>
                <w:rFonts w:ascii="Lato" w:hAnsi="Lato" w:cstheme="majorHAnsi"/>
                <w:b/>
                <w:bCs/>
                <w:sz w:val="18"/>
                <w:szCs w:val="18"/>
              </w:rPr>
              <w:t>(Wskazanie off-label)</w:t>
            </w:r>
          </w:p>
        </w:tc>
      </w:tr>
    </w:tbl>
    <w:p w14:paraId="7F9CCF36" w14:textId="51B74B46" w:rsidR="004D093B" w:rsidRDefault="004D093B"/>
    <w:p w14:paraId="5FD7106E" w14:textId="77777777" w:rsidR="00926924" w:rsidRDefault="00926924"/>
    <w:p w14:paraId="4A5E6A21" w14:textId="77777777" w:rsidR="00926924" w:rsidRDefault="00926924"/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577"/>
        <w:gridCol w:w="1799"/>
        <w:gridCol w:w="1909"/>
        <w:gridCol w:w="3329"/>
        <w:gridCol w:w="4776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2A8C2AC0" w:rsidR="002D6ED9" w:rsidRPr="004D093B" w:rsidRDefault="004D093B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>
              <w:br w:type="page"/>
            </w:r>
            <w:r w:rsidR="002D6ED9" w:rsidRPr="004D093B">
              <w:rPr>
                <w:rFonts w:ascii="Lato" w:hAnsi="Lato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2D6ED9" w:rsidRPr="004D093B" w14:paraId="1394CD71" w14:textId="77777777" w:rsidTr="00B01CCE">
        <w:trPr>
          <w:cantSplit/>
          <w:trHeight w:val="628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01CCE" w:rsidRPr="004D093B" w14:paraId="7522F87A" w14:textId="77777777" w:rsidTr="00B01CCE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5A8849D6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="0021156E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72B95744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Oxlumo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4B55B1C1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lumasiran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3191223D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B.129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27DB51EF" w:rsidR="00B01CCE" w:rsidRPr="004D093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4595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PIERWOTNĄ HIPEROKSALURIĘ TYPU 1 (ICD-10: E74.8)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F426" w14:textId="77777777" w:rsidR="00B01CCE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populacji leczonej w ramach programu o pacjentów w stadium IV-V przewlekłej choroby nerek.</w:t>
            </w:r>
          </w:p>
          <w:p w14:paraId="5797C9BB" w14:textId="54BD23BB" w:rsidR="00B01CCE" w:rsidRPr="00E1030B" w:rsidRDefault="00B01CCE" w:rsidP="00B01CC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D64B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17160E61" w14:textId="780A4D55" w:rsidR="004D093B" w:rsidRDefault="004D093B">
      <w:pPr>
        <w:rPr>
          <w:rFonts w:ascii="Lato" w:hAnsi="Lato"/>
        </w:rPr>
      </w:pPr>
    </w:p>
    <w:p w14:paraId="6D945B1A" w14:textId="77777777" w:rsidR="00926924" w:rsidRDefault="00926924">
      <w:pPr>
        <w:rPr>
          <w:rFonts w:ascii="Lato" w:hAnsi="Lato"/>
        </w:rPr>
      </w:pPr>
    </w:p>
    <w:p w14:paraId="68309334" w14:textId="77777777" w:rsidR="00926924" w:rsidRDefault="00926924">
      <w:pPr>
        <w:rPr>
          <w:rFonts w:ascii="Lato" w:hAnsi="Lato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1F361F2D" w:rsidR="00A434EB" w:rsidRPr="004D093B" w:rsidRDefault="004D093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>
              <w:rPr>
                <w:rFonts w:ascii="Lato" w:hAnsi="Lato"/>
              </w:rPr>
              <w:lastRenderedPageBreak/>
              <w:br w:type="page"/>
            </w:r>
            <w:r w:rsidR="00A434EB" w:rsidRPr="004D093B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80392B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44BDDD74" w:rsidR="0080392B" w:rsidRPr="004D093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23F97764" w:rsidR="0080392B" w:rsidRPr="004D093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B.129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3465EB8E" w:rsidR="0080392B" w:rsidRPr="0021156E" w:rsidRDefault="0080392B" w:rsidP="0080392B">
            <w:pPr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21156E">
              <w:rPr>
                <w:rFonts w:ascii="Lato" w:hAnsi="Lato"/>
                <w:b/>
                <w:bCs/>
                <w:sz w:val="18"/>
                <w:szCs w:val="18"/>
              </w:rPr>
              <w:t>LECZENIE CHORYCH NA PIERWOTNĄ HIPEROKSALURIĘ TYPU 1 (ICD-10: E74.8)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8838" w14:textId="77777777" w:rsidR="0080392B" w:rsidRDefault="0080392B" w:rsidP="0080392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sz w:val="18"/>
                <w:szCs w:val="18"/>
              </w:rPr>
              <w:t>Kompleksowa zmiana treści programu lekowego obejmująca wszystkie jego składowe</w:t>
            </w:r>
            <w:r>
              <w:rPr>
                <w:rFonts w:ascii="Lato" w:hAnsi="Lato" w:cstheme="majorHAnsi"/>
                <w:sz w:val="18"/>
                <w:szCs w:val="18"/>
              </w:rPr>
              <w:t>, prowadzona równolegle do przeniesienia finansowania produktu z Funduszu Medycznego do refundacji systemowej, po 4 latach finansowania jako technologia lekowa o wysokim poziomie innowacyjności (TLI)</w:t>
            </w:r>
            <w:r w:rsidRPr="00A57907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4BC7F39F" w14:textId="401899D2" w:rsidR="0080392B" w:rsidRPr="004D093B" w:rsidRDefault="0080392B" w:rsidP="0080392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sz w:val="18"/>
                <w:szCs w:val="18"/>
              </w:rPr>
              <w:t xml:space="preserve">Główna zmiana dotyczy </w:t>
            </w:r>
            <w:r>
              <w:rPr>
                <w:rFonts w:ascii="Lato" w:hAnsi="Lato" w:cstheme="majorHAnsi"/>
                <w:sz w:val="18"/>
                <w:szCs w:val="18"/>
              </w:rPr>
              <w:t>możliwości leczenia po przeszczepieniu nerki i powrotu do leczenia po ciąży lub karmieniu piersią</w:t>
            </w:r>
            <w:r w:rsidRPr="00A57907">
              <w:rPr>
                <w:rFonts w:ascii="Lato" w:hAnsi="Lato" w:cstheme="majorHAnsi"/>
                <w:sz w:val="18"/>
                <w:szCs w:val="18"/>
              </w:rPr>
              <w:t>. Dodatkowo wprowadzono liczne zmiany ujednolicające i porządkujące program lekowy.</w:t>
            </w:r>
          </w:p>
        </w:tc>
      </w:tr>
      <w:tr w:rsidR="0021156E" w:rsidRPr="004D093B" w14:paraId="571B0832" w14:textId="77777777" w:rsidTr="0021156E">
        <w:trPr>
          <w:cantSplit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79428D54" w:rsidR="0021156E" w:rsidRPr="004D093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148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09D4" w14:textId="3F10410B" w:rsidR="0021156E" w:rsidRDefault="0021156E" w:rsidP="0021156E">
            <w:pPr>
              <w:spacing w:before="60" w:after="12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2724B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B.32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, B.33, B.35, B.36</w:t>
            </w:r>
          </w:p>
          <w:p w14:paraId="7055A01B" w14:textId="5410F27E" w:rsidR="0021156E" w:rsidRDefault="0021156E" w:rsidP="0021156E">
            <w:pPr>
              <w:pStyle w:val="Style2"/>
              <w:widowControl/>
              <w:spacing w:after="12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B.47, B.55, B.82, B.105</w:t>
            </w:r>
          </w:p>
          <w:p w14:paraId="41672C03" w14:textId="1D3591F1" w:rsidR="0021156E" w:rsidRDefault="0021156E" w:rsidP="00DA1C97">
            <w:pPr>
              <w:spacing w:before="60" w:after="12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B.124, B.138.FM, B.150, B.157</w:t>
            </w:r>
          </w:p>
          <w:p w14:paraId="020D1FCD" w14:textId="2E1055BE" w:rsidR="0021156E" w:rsidRPr="0021156E" w:rsidRDefault="0021156E" w:rsidP="0080392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B.161, B.173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5F06142F" w:rsidR="0021156E" w:rsidRPr="004D093B" w:rsidRDefault="0021156E" w:rsidP="0080392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32A2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Modyfikacja techniczna mająca na celu dostosowanie zapisu dot. diagnostyki gruźlicy w ramach programów lekowych, w celu umożliwienia stosowania różnych testów IGRA. Zmiana z zapisu </w:t>
            </w:r>
            <w:r w:rsidRPr="00F64A25">
              <w:rPr>
                <w:rFonts w:ascii="Lato" w:hAnsi="Lato" w:cstheme="majorHAnsi"/>
                <w:color w:val="000000"/>
                <w:sz w:val="18"/>
                <w:szCs w:val="18"/>
              </w:rPr>
              <w:t>„test Quantiferon” / „test Quantiferon lub próba tuberkulinowa” na „test IGRA w kierunku zakażenia prątkiem gruźlicy”</w:t>
            </w:r>
            <w:r w:rsidRPr="00932A2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0392B" w:rsidRPr="004D093B" w14:paraId="4B550579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1BC3" w14:textId="48488C14" w:rsidR="0080392B" w:rsidRPr="004D093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DC49" w14:textId="7B7B6213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AB31" w14:textId="476E6E3C" w:rsidR="0080392B" w:rsidRPr="0021156E" w:rsidRDefault="0080392B" w:rsidP="0080392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21156E">
              <w:rPr>
                <w:rFonts w:ascii="Lato" w:hAnsi="Lato"/>
                <w:b/>
                <w:bCs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6C5D" w14:textId="7287CD09" w:rsidR="0080392B" w:rsidRPr="004A6954" w:rsidRDefault="0080392B" w:rsidP="0080392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</w:t>
            </w:r>
            <w:r w:rsidRPr="00511EB1">
              <w:rPr>
                <w:rFonts w:ascii="Lato" w:hAnsi="Lato" w:cstheme="majorHAnsi"/>
                <w:sz w:val="18"/>
                <w:szCs w:val="18"/>
              </w:rPr>
              <w:t>mian</w:t>
            </w:r>
            <w:r>
              <w:rPr>
                <w:rFonts w:ascii="Lato" w:hAnsi="Lato" w:cstheme="majorHAnsi"/>
                <w:sz w:val="18"/>
                <w:szCs w:val="18"/>
              </w:rPr>
              <w:t>a</w:t>
            </w:r>
            <w:r w:rsidRPr="00511EB1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dostosowująca program do rzeczywistej praktyki klinicznej, </w:t>
            </w:r>
            <w:r w:rsidRPr="00511EB1">
              <w:rPr>
                <w:rFonts w:ascii="Lato" w:hAnsi="Lato" w:cstheme="majorHAnsi"/>
                <w:sz w:val="18"/>
                <w:szCs w:val="18"/>
              </w:rPr>
              <w:t>polegając</w:t>
            </w:r>
            <w:r>
              <w:rPr>
                <w:rFonts w:ascii="Lato" w:hAnsi="Lato" w:cstheme="majorHAnsi"/>
                <w:sz w:val="18"/>
                <w:szCs w:val="18"/>
              </w:rPr>
              <w:t>a</w:t>
            </w:r>
            <w:r w:rsidRPr="00511EB1">
              <w:rPr>
                <w:rFonts w:ascii="Lato" w:hAnsi="Lato" w:cstheme="majorHAnsi"/>
                <w:sz w:val="18"/>
                <w:szCs w:val="18"/>
              </w:rPr>
              <w:t xml:space="preserve"> na wykreśleniu badania wolnej hemoglobiny w moczu z wykazu obligatoryjnych badań przy kwalifikacji do leczenia ekulizumabem, rawulizumabem i krowalimabem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80392B" w:rsidRPr="004D093B" w14:paraId="2E67E4BE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2450" w14:textId="0EBF39F5" w:rsidR="0080392B" w:rsidRPr="004D093B" w:rsidRDefault="00926924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1491" w14:textId="2EB009E1" w:rsidR="0080392B" w:rsidRDefault="0080392B" w:rsidP="0080392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661CB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B.169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A9C3" w14:textId="3277D5E7" w:rsidR="0080392B" w:rsidRPr="0021156E" w:rsidRDefault="0080392B" w:rsidP="0080392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21156E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t>LECZENIE CHORYCH Z ZESPOŁEM HIPEREOZYNOFILOWYM (HES) (ICD-10: D72.11)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6253" w14:textId="3A55DE9A" w:rsidR="0080392B" w:rsidRPr="004A6954" w:rsidRDefault="0080392B" w:rsidP="0080392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Zmiana zapisów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nakładają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cych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obowiązek wykonania konwencjonalnego badania cytogenetycznego oraz PCR w kierunku rearanżacji FIP1L1-PDGFRA zarówno na etapie diagnostyki, jak i kwalifikacji do leczenia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jedyn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konieczn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wystarczając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badanie wykluczając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klonalną eozynofilię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czyli 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>ocen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ę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genu fuzyjnego FIP1L1: PDGFRA metodą FISH.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Zmiana</w:t>
            </w:r>
            <w:r>
              <w:t xml:space="preserve"> 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>dostosowuj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661C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program do aktualnej wiedzy klinicznej i rzeczywistej praktyki diagnostycznej w idiopatycznym HES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65312" w:rsidRPr="004D093B" w14:paraId="354604C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A1508" w14:textId="1B57D43A" w:rsidR="00F65312" w:rsidRDefault="00926924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88F5" w14:textId="4D9F931B" w:rsidR="00F65312" w:rsidRPr="00661CB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E990" w14:textId="7DDB5EC7" w:rsidR="00F65312" w:rsidRPr="0021156E" w:rsidRDefault="00F65312" w:rsidP="00F6531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21156E">
              <w:rPr>
                <w:rFonts w:ascii="Lato" w:hAnsi="Lato"/>
                <w:b/>
                <w:bCs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E285" w14:textId="1CA298BB" w:rsidR="00F65312" w:rsidRPr="00926924" w:rsidRDefault="00F65312" w:rsidP="00926924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Zmiana treści programu lekowego na wniosek Konsultanta Krajowego, w zakresie umożliwienia leczenia rituksimabem i tocilizumabem w ośrodkach pulmonologicznych.</w:t>
            </w:r>
          </w:p>
        </w:tc>
      </w:tr>
      <w:tr w:rsidR="00F65312" w:rsidRPr="004D093B" w14:paraId="787D093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CFDB" w14:textId="366B1EDE" w:rsidR="00F65312" w:rsidRDefault="00926924" w:rsidP="0092692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7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C8D2" w14:textId="1D2B120C" w:rsidR="00F65312" w:rsidRPr="00661CB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C5023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E5F9" w14:textId="186009D6" w:rsidR="00F65312" w:rsidRPr="0021156E" w:rsidRDefault="00F65312" w:rsidP="00F6531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21156E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t xml:space="preserve">LECZENIE CHORYCH NA RAKA GRUCZOŁU </w:t>
            </w:r>
            <w:r w:rsidRPr="0021156E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br/>
              <w:t>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873" w14:textId="6FA8557C" w:rsidR="00F65312" w:rsidRDefault="00F65312" w:rsidP="00F65312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50232">
              <w:rPr>
                <w:rFonts w:ascii="Lato" w:hAnsi="Lato" w:cstheme="majorHAnsi"/>
                <w:color w:val="000000"/>
                <w:sz w:val="18"/>
                <w:szCs w:val="18"/>
              </w:rPr>
              <w:t>Zmiana treści programu lekowego na wniosek Konsultanta Krajowego, w zakresie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modyfikacji jednego z kryterium kwalifikacji dla c</w:t>
            </w:r>
            <w:r w:rsidRPr="002A043D">
              <w:rPr>
                <w:rFonts w:ascii="Lato" w:hAnsi="Lato" w:cstheme="majorHAnsi"/>
                <w:color w:val="000000"/>
                <w:sz w:val="18"/>
                <w:szCs w:val="18"/>
              </w:rPr>
              <w:t>horych na wrażliwego na kastrację raka gruczołu krokowego z przerzutami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A043D">
              <w:rPr>
                <w:rFonts w:ascii="Lato" w:hAnsi="Lato" w:cstheme="majorHAnsi"/>
                <w:color w:val="000000"/>
                <w:sz w:val="18"/>
                <w:szCs w:val="18"/>
              </w:rPr>
              <w:t>apalutamidem albo enzalutamidem albo darolutamidem w skojarzeniu z docetakselem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>
              <w:t xml:space="preserve"> 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z obecnego zapisu: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„</w:t>
            </w:r>
            <w:r w:rsidRPr="000315C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niestosowanie wcześniejszego leczenia octanem abirateronu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”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na: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„</w:t>
            </w:r>
            <w:r w:rsidRPr="000315C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niestosowanie wcześniejszego leczenia octanem abirateronu w chorobie przerzutowej</w:t>
            </w:r>
            <w:r w:rsidRPr="00E30CC5">
              <w:rPr>
                <w:rFonts w:ascii="Lato" w:hAnsi="Lato" w:cstheme="majorHAnsi"/>
                <w:color w:val="000000"/>
                <w:sz w:val="18"/>
                <w:szCs w:val="18"/>
              </w:rPr>
              <w:t>”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65312" w:rsidRPr="004D093B" w14:paraId="400A180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E6E4" w14:textId="37653107" w:rsidR="00DA1C97" w:rsidRPr="00DA1C97" w:rsidRDefault="00DA1C97" w:rsidP="00DA1C9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</w:t>
            </w:r>
            <w:r w:rsidR="0021156E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9B23" w14:textId="7B1E9CC7" w:rsidR="00F65312" w:rsidRPr="00661CB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230FD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C.87.a, C.87.b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4D2D" w14:textId="60717068" w:rsidR="00F65312" w:rsidRPr="0021156E" w:rsidRDefault="00F65312" w:rsidP="00F6531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21156E"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  <w:t>OCTAN ABIRATERONU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B1C8" w14:textId="7AF23832" w:rsidR="00F65312" w:rsidRDefault="00F65312" w:rsidP="00F65312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6A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treści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załączników do chemioterapii</w:t>
            </w:r>
            <w:r w:rsidRPr="00D36A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wniosek Konsultanta Krajowego, w zakresie modyfikacji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zapisów, z obecnego: „</w:t>
            </w:r>
            <w:r w:rsidRPr="00C742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 może być zastosowany u danego pacjenta na podstawie załączników C.87.a. albo C.87.b. tylko w jednym z wymienionych wskazań. Octan abirateronu nie może być zastosowany u danego pacjenta leczonego wcześniej innym nowoczesnym lekiem hormonalnym (apalutamid, enzalutamid, darolutamid)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”,</w:t>
            </w:r>
            <w:r w:rsidRPr="00C742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na: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„</w:t>
            </w:r>
            <w:r w:rsidRPr="00C742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Octan abirateronu nie może być zastosowany u danego pacjenta leczonego wcześniej innym nowoczesnym lekiem hormonalnym (apalutamid, enzalutamid, darolutamid)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”.</w:t>
            </w:r>
          </w:p>
        </w:tc>
      </w:tr>
      <w:tr w:rsidR="00F65312" w:rsidRPr="004D093B" w14:paraId="297B4898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3EEF" w14:textId="4016A585" w:rsidR="00F65312" w:rsidRDefault="00DA1C97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</w:t>
            </w:r>
            <w:r w:rsidR="0021156E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3C5B" w14:textId="6070EE01" w:rsidR="00F65312" w:rsidRPr="00661CBE" w:rsidRDefault="00F65312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B.29.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2754" w14:textId="6767741A" w:rsidR="00F65312" w:rsidRPr="0021156E" w:rsidRDefault="00F65312" w:rsidP="00F65312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21156E">
              <w:rPr>
                <w:rFonts w:ascii="Lato" w:hAnsi="Lato"/>
                <w:b/>
                <w:bCs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8252" w14:textId="619072B5" w:rsidR="00EF3F13" w:rsidRDefault="00DA1C97" w:rsidP="00EF3F1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miana kryterium kwalifikacji </w:t>
            </w:r>
            <w:r>
              <w:rPr>
                <w:rFonts w:ascii="Lato" w:hAnsi="Lato" w:cstheme="majorHAnsi"/>
                <w:sz w:val="18"/>
                <w:szCs w:val="18"/>
              </w:rPr>
              <w:t>do terapii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natalizumab</w:t>
            </w:r>
            <w:r>
              <w:rPr>
                <w:rFonts w:ascii="Lato" w:hAnsi="Lato" w:cstheme="majorHAnsi"/>
                <w:sz w:val="18"/>
                <w:szCs w:val="18"/>
              </w:rPr>
              <w:t>em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>w podskórnej formie podania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 xml:space="preserve"> z: </w:t>
            </w:r>
            <w:r w:rsidR="00F65312" w:rsidRPr="00EF3F13">
              <w:rPr>
                <w:rFonts w:ascii="Lato" w:hAnsi="Lato" w:cstheme="majorHAnsi"/>
                <w:i/>
                <w:iCs/>
                <w:sz w:val="18"/>
                <w:szCs w:val="18"/>
              </w:rPr>
              <w:t>„nietolerancja leczenia natalizumabem i.v. (w postaci dożylnej) z powodu zapalenia żył po wlewach dożylnych lub z powodu trudnego dostępu do żył”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na „</w:t>
            </w:r>
            <w:r w:rsidR="00F65312" w:rsidRPr="00EF3F13">
              <w:rPr>
                <w:rFonts w:ascii="Lato" w:hAnsi="Lato" w:cstheme="majorHAnsi"/>
                <w:i/>
                <w:iCs/>
                <w:sz w:val="18"/>
                <w:szCs w:val="18"/>
              </w:rPr>
              <w:t>brak możliwości leczenia natalizumabem i.v. (w postaci dożylnej definicji nietolerancji natalizumabu iv.</w:t>
            </w:r>
            <w:r w:rsidR="00EF3F13">
              <w:rPr>
                <w:rFonts w:ascii="Lato" w:hAnsi="Lato" w:cstheme="majorHAnsi"/>
                <w:i/>
                <w:iCs/>
                <w:sz w:val="18"/>
                <w:szCs w:val="18"/>
              </w:rPr>
              <w:t>)</w:t>
            </w:r>
            <w:r w:rsidR="00F65312" w:rsidRPr="00EF3F13">
              <w:rPr>
                <w:rFonts w:ascii="Lato" w:hAnsi="Lato" w:cstheme="majorHAnsi"/>
                <w:i/>
                <w:iCs/>
                <w:sz w:val="18"/>
                <w:szCs w:val="18"/>
              </w:rPr>
              <w:t>”</w:t>
            </w:r>
            <w:r w:rsidR="00EF3F13">
              <w:rPr>
                <w:rFonts w:ascii="Lato" w:hAnsi="Lato" w:cstheme="majorHAnsi"/>
                <w:i/>
                <w:iCs/>
                <w:sz w:val="18"/>
                <w:szCs w:val="18"/>
              </w:rPr>
              <w:t>.</w:t>
            </w:r>
          </w:p>
          <w:p w14:paraId="300E64F1" w14:textId="76513505" w:rsidR="00F65312" w:rsidRPr="00BF4BE3" w:rsidRDefault="00EF3F13" w:rsidP="00EF3F1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="00F65312">
              <w:rPr>
                <w:rFonts w:ascii="Lato" w:hAnsi="Lato" w:cstheme="majorHAnsi"/>
                <w:sz w:val="18"/>
                <w:szCs w:val="18"/>
              </w:rPr>
              <w:t>możliwienie p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>owr</w:t>
            </w:r>
            <w:r w:rsidR="00F65312">
              <w:rPr>
                <w:rFonts w:ascii="Lato" w:hAnsi="Lato" w:cstheme="majorHAnsi"/>
                <w:sz w:val="18"/>
                <w:szCs w:val="18"/>
              </w:rPr>
              <w:t>o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>t</w:t>
            </w:r>
            <w:r w:rsidR="00F65312">
              <w:rPr>
                <w:rFonts w:ascii="Lato" w:hAnsi="Lato" w:cstheme="majorHAnsi"/>
                <w:sz w:val="18"/>
                <w:szCs w:val="18"/>
              </w:rPr>
              <w:t>u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 xml:space="preserve"> ze stosowania natalizumabu </w:t>
            </w:r>
            <w:r>
              <w:rPr>
                <w:rFonts w:ascii="Lato" w:hAnsi="Lato" w:cstheme="majorHAnsi"/>
                <w:sz w:val="18"/>
                <w:szCs w:val="18"/>
              </w:rPr>
              <w:t>w podskórnej formie podania</w:t>
            </w:r>
            <w:r w:rsidR="00F65312" w:rsidRPr="00232934">
              <w:rPr>
                <w:rFonts w:ascii="Lato" w:hAnsi="Lato" w:cstheme="majorHAnsi"/>
                <w:sz w:val="18"/>
                <w:szCs w:val="18"/>
              </w:rPr>
              <w:t xml:space="preserve"> do formy </w:t>
            </w:r>
            <w:r>
              <w:rPr>
                <w:rFonts w:ascii="Lato" w:hAnsi="Lato" w:cstheme="majorHAnsi"/>
                <w:sz w:val="18"/>
                <w:szCs w:val="18"/>
              </w:rPr>
              <w:t>dożylnej.</w:t>
            </w:r>
          </w:p>
          <w:p w14:paraId="6B68AB2A" w14:textId="60C32396" w:rsidR="00F65312" w:rsidRDefault="00EF3F13" w:rsidP="00EF3F1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D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odanie </w:t>
            </w:r>
            <w:r>
              <w:rPr>
                <w:rFonts w:ascii="Lato" w:hAnsi="Lato" w:cstheme="majorHAnsi"/>
                <w:sz w:val="18"/>
                <w:szCs w:val="18"/>
              </w:rPr>
              <w:t>terapii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>f</w:t>
            </w:r>
            <w:r w:rsidR="00F65312">
              <w:rPr>
                <w:rFonts w:ascii="Lato" w:hAnsi="Lato" w:cstheme="majorHAnsi"/>
                <w:sz w:val="18"/>
                <w:szCs w:val="18"/>
              </w:rPr>
              <w:t>umaran</w:t>
            </w:r>
            <w:r>
              <w:rPr>
                <w:rFonts w:ascii="Lato" w:hAnsi="Lato" w:cstheme="majorHAnsi"/>
                <w:sz w:val="18"/>
                <w:szCs w:val="18"/>
              </w:rPr>
              <w:t>em</w:t>
            </w:r>
            <w:r w:rsidR="00F65312">
              <w:rPr>
                <w:rFonts w:ascii="Lato" w:hAnsi="Lato" w:cstheme="majorHAnsi"/>
                <w:sz w:val="18"/>
                <w:szCs w:val="18"/>
              </w:rPr>
              <w:t xml:space="preserve"> tegomilu, który jest odpowiednikiem fumaranu dimetylu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</w:tbl>
    <w:p w14:paraId="08AE375A" w14:textId="43C53898" w:rsidR="0056748F" w:rsidRPr="004D093B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13C8E853" w14:textId="77777777" w:rsidR="0009112E" w:rsidRPr="004D093B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2" w:name="_Hlk90283710"/>
    </w:p>
    <w:p w14:paraId="242DFDC3" w14:textId="77777777" w:rsidR="0009112E" w:rsidRPr="004D093B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C4239A" w:rsidRPr="004D093B" w14:paraId="4CDBB94B" w14:textId="77777777" w:rsidTr="00262272">
        <w:trPr>
          <w:cantSplit/>
          <w:trHeight w:val="189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5CCC" w14:textId="6F9C4624" w:rsidR="00C4239A" w:rsidRDefault="00926924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BC99" w14:textId="4212E068" w:rsidR="00C4239A" w:rsidRPr="00591572" w:rsidRDefault="00C4239A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Coatoris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2627" w14:textId="1C3FC193" w:rsidR="00C4239A" w:rsidRPr="00591572" w:rsidRDefault="00C4239A" w:rsidP="00F6531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 + atorwastatyna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D8470" w14:textId="626CA29F" w:rsidR="00C4239A" w:rsidRPr="00C4239A" w:rsidRDefault="00C4239A" w:rsidP="00C423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W leczeniu wspomagającym wraz z dietą u osób dorosłych z pierwotną (heterozygotyczną rodzinną lub niewystępującą rodzinnie) hipercholesterolemią bądź mieszaną hiperlipidemią, w przypadku których odpowiednie jest stosowanie produktów leczniczych złożonych: pacjenci z nieodpowiednią kontrolą choroby przyjmujący statyny w monoterapii; pacjenci leczeni już statynami i ezetymibem.</w:t>
            </w:r>
          </w:p>
          <w:p w14:paraId="77C3529E" w14:textId="6CFFE39A" w:rsidR="00C4239A" w:rsidRPr="00C4239A" w:rsidRDefault="00C4239A" w:rsidP="00C423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Zapobieganie wystąpieniu incydentów sercowo-naczyniowych u pacjentów z chorobą wieńcową i ostrym zespołem wieńcowym w wywiadzie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– </w:t>
            </w: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zarówno u pacjentów leczonych statyną, jak i u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którzy nie byli wcześniej leczeni statyną.</w:t>
            </w:r>
          </w:p>
          <w:p w14:paraId="5E6D87A6" w14:textId="2FCB6CBA" w:rsidR="00C4239A" w:rsidRPr="00591572" w:rsidRDefault="00C4239A" w:rsidP="00C423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Leczenie wspomagające wraz z dietą u osób dorosłych z homozygotyczną hipercholesterolemią rodzinną.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FC77" w14:textId="1A944D2C" w:rsidR="00C4239A" w:rsidRPr="00C4239A" w:rsidRDefault="00C4239A" w:rsidP="00C423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leku dwuskładnikowego u dorosłych pacjentów, który może być stosowany od początku terapii, bez konieczności wcześniejszego dostosowania leczenia (obecnie w refundacji są produkty z tą samą INN w niższych dawkach, refundowane substytucyjnie – jedynie u pacjentów, u których kontrolę choroby uzyskano już wcześniej za pomocą skojarzenia ator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astatyny i ezetymibu, podawanych w oddzielnych preparatach).</w:t>
            </w:r>
          </w:p>
          <w:p w14:paraId="42C9BC66" w14:textId="77777777" w:rsidR="00C4239A" w:rsidRDefault="00C4239A" w:rsidP="00C423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4239A">
              <w:rPr>
                <w:rFonts w:ascii="Lato" w:hAnsi="Lato" w:cstheme="majorHAnsi"/>
                <w:color w:val="000000"/>
                <w:sz w:val="18"/>
                <w:szCs w:val="18"/>
              </w:rPr>
              <w:t>Nowa terapia w leczeniu homozygotycznej hipercholesterolemii rodzinnej.</w:t>
            </w:r>
          </w:p>
          <w:p w14:paraId="2AF9D135" w14:textId="65CBE2C3" w:rsidR="00262272" w:rsidRPr="00591572" w:rsidRDefault="00262272" w:rsidP="00C4239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na liście 65+</w:t>
            </w:r>
          </w:p>
        </w:tc>
      </w:tr>
    </w:tbl>
    <w:p w14:paraId="567C6ED6" w14:textId="77777777" w:rsidR="00926924" w:rsidRDefault="00926924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7D4A36C5" w14:textId="77777777" w:rsidR="00926924" w:rsidRDefault="00926924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926924" w:rsidSect="005058F2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C28A" w14:textId="77777777" w:rsidR="009E02ED" w:rsidRDefault="009E02ED">
      <w:pPr>
        <w:spacing w:after="0" w:line="240" w:lineRule="auto"/>
      </w:pPr>
      <w:r>
        <w:separator/>
      </w:r>
    </w:p>
  </w:endnote>
  <w:endnote w:type="continuationSeparator" w:id="0">
    <w:p w14:paraId="03551DD3" w14:textId="77777777" w:rsidR="009E02ED" w:rsidRDefault="009E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CC0C" w14:textId="77777777" w:rsidR="009E02ED" w:rsidRDefault="009E02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27CA2E" w14:textId="77777777" w:rsidR="009E02ED" w:rsidRDefault="009E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2B0D" w14:textId="55CD0B2D" w:rsidR="00AB647D" w:rsidRDefault="00AB647D">
    <w:pPr>
      <w:pStyle w:val="Nagwek"/>
    </w:pPr>
    <w:bookmarkStart w:id="0" w:name="_Hlk74147372"/>
    <w:bookmarkEnd w:id="0"/>
    <w:r>
      <w:rPr>
        <w:noProof/>
        <w:lang w:eastAsia="pl-PL"/>
      </w:rPr>
      <w:drawing>
        <wp:inline distT="0" distB="0" distL="0" distR="0" wp14:anchorId="3632A4C0" wp14:editId="66A18223">
          <wp:extent cx="2381885" cy="1061720"/>
          <wp:effectExtent l="0" t="0" r="0" b="0"/>
          <wp:docPr id="1993753131" name="Obraz 1993753131" descr="Obraz zawierający symbol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753131" name="Obraz 1993753131" descr="Obraz zawierający symbol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7316" w14:textId="2C7B00ED" w:rsidR="00AB647D" w:rsidRDefault="00AB6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550F8"/>
    <w:multiLevelType w:val="hybridMultilevel"/>
    <w:tmpl w:val="0612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6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2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9"/>
  </w:num>
  <w:num w:numId="9" w16cid:durableId="969629549">
    <w:abstractNumId w:val="19"/>
  </w:num>
  <w:num w:numId="10" w16cid:durableId="1576276737">
    <w:abstractNumId w:val="1"/>
  </w:num>
  <w:num w:numId="11" w16cid:durableId="409036424">
    <w:abstractNumId w:val="23"/>
  </w:num>
  <w:num w:numId="12" w16cid:durableId="1526747669">
    <w:abstractNumId w:val="2"/>
  </w:num>
  <w:num w:numId="13" w16cid:durableId="1746950255">
    <w:abstractNumId w:val="10"/>
  </w:num>
  <w:num w:numId="14" w16cid:durableId="329715522">
    <w:abstractNumId w:val="12"/>
  </w:num>
  <w:num w:numId="15" w16cid:durableId="1837842867">
    <w:abstractNumId w:val="11"/>
  </w:num>
  <w:num w:numId="16" w16cid:durableId="1970238000">
    <w:abstractNumId w:val="21"/>
  </w:num>
  <w:num w:numId="17" w16cid:durableId="485172914">
    <w:abstractNumId w:val="15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7"/>
  </w:num>
  <w:num w:numId="22" w16cid:durableId="1157845039">
    <w:abstractNumId w:val="16"/>
  </w:num>
  <w:num w:numId="23" w16cid:durableId="1318220489">
    <w:abstractNumId w:val="13"/>
  </w:num>
  <w:num w:numId="24" w16cid:durableId="791442922">
    <w:abstractNumId w:val="18"/>
  </w:num>
  <w:num w:numId="25" w16cid:durableId="101307157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2388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673F9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204EA"/>
    <w:rsid w:val="001330B8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4C89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205C55"/>
    <w:rsid w:val="00206C0B"/>
    <w:rsid w:val="0021156E"/>
    <w:rsid w:val="00221A2A"/>
    <w:rsid w:val="002270E2"/>
    <w:rsid w:val="00230BB7"/>
    <w:rsid w:val="0024697E"/>
    <w:rsid w:val="00255E53"/>
    <w:rsid w:val="00262272"/>
    <w:rsid w:val="00275115"/>
    <w:rsid w:val="00280311"/>
    <w:rsid w:val="00280AC1"/>
    <w:rsid w:val="00281BE7"/>
    <w:rsid w:val="00286651"/>
    <w:rsid w:val="00287196"/>
    <w:rsid w:val="0029287B"/>
    <w:rsid w:val="0029403F"/>
    <w:rsid w:val="002C0340"/>
    <w:rsid w:val="002C19DE"/>
    <w:rsid w:val="002D55B8"/>
    <w:rsid w:val="002D6ED9"/>
    <w:rsid w:val="002E46AC"/>
    <w:rsid w:val="002E46D5"/>
    <w:rsid w:val="002F0FB2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986"/>
    <w:rsid w:val="003A0F16"/>
    <w:rsid w:val="003A5B7D"/>
    <w:rsid w:val="003A6433"/>
    <w:rsid w:val="003B46BF"/>
    <w:rsid w:val="003D2AE2"/>
    <w:rsid w:val="003D71C6"/>
    <w:rsid w:val="003F072E"/>
    <w:rsid w:val="003F6709"/>
    <w:rsid w:val="00404F9B"/>
    <w:rsid w:val="00411C64"/>
    <w:rsid w:val="004156E6"/>
    <w:rsid w:val="00415707"/>
    <w:rsid w:val="00416F70"/>
    <w:rsid w:val="0041703B"/>
    <w:rsid w:val="004403B4"/>
    <w:rsid w:val="00446466"/>
    <w:rsid w:val="00447CE9"/>
    <w:rsid w:val="00453B55"/>
    <w:rsid w:val="00457779"/>
    <w:rsid w:val="004602E4"/>
    <w:rsid w:val="00466FE8"/>
    <w:rsid w:val="004744CD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23FE"/>
    <w:rsid w:val="004C35E7"/>
    <w:rsid w:val="004D093B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17F7B"/>
    <w:rsid w:val="0055182D"/>
    <w:rsid w:val="00553AE5"/>
    <w:rsid w:val="0056748F"/>
    <w:rsid w:val="00574D83"/>
    <w:rsid w:val="00581108"/>
    <w:rsid w:val="0058276D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33806"/>
    <w:rsid w:val="00633883"/>
    <w:rsid w:val="00634434"/>
    <w:rsid w:val="0064109C"/>
    <w:rsid w:val="0064487F"/>
    <w:rsid w:val="006648F3"/>
    <w:rsid w:val="00670C14"/>
    <w:rsid w:val="0068046C"/>
    <w:rsid w:val="00680B0E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7125"/>
    <w:rsid w:val="006D7964"/>
    <w:rsid w:val="006F498A"/>
    <w:rsid w:val="006F5BEB"/>
    <w:rsid w:val="00711E24"/>
    <w:rsid w:val="007135A8"/>
    <w:rsid w:val="007156F6"/>
    <w:rsid w:val="00715B91"/>
    <w:rsid w:val="007321D8"/>
    <w:rsid w:val="00733AF9"/>
    <w:rsid w:val="00734732"/>
    <w:rsid w:val="00740ABA"/>
    <w:rsid w:val="00742312"/>
    <w:rsid w:val="0074295D"/>
    <w:rsid w:val="00746C2A"/>
    <w:rsid w:val="00755E27"/>
    <w:rsid w:val="0076786B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0751"/>
    <w:rsid w:val="007E4FAA"/>
    <w:rsid w:val="007F016E"/>
    <w:rsid w:val="007F78F1"/>
    <w:rsid w:val="008008F6"/>
    <w:rsid w:val="008017A7"/>
    <w:rsid w:val="0080392B"/>
    <w:rsid w:val="00823875"/>
    <w:rsid w:val="00827817"/>
    <w:rsid w:val="00827986"/>
    <w:rsid w:val="008279BD"/>
    <w:rsid w:val="00832ED2"/>
    <w:rsid w:val="0084154E"/>
    <w:rsid w:val="00843352"/>
    <w:rsid w:val="00844624"/>
    <w:rsid w:val="008462C0"/>
    <w:rsid w:val="0087118E"/>
    <w:rsid w:val="008771C8"/>
    <w:rsid w:val="00882DCA"/>
    <w:rsid w:val="0088727A"/>
    <w:rsid w:val="00896D35"/>
    <w:rsid w:val="008B00C4"/>
    <w:rsid w:val="008B43B0"/>
    <w:rsid w:val="008C02CF"/>
    <w:rsid w:val="008C0493"/>
    <w:rsid w:val="008C0E92"/>
    <w:rsid w:val="008D45C3"/>
    <w:rsid w:val="008E18D7"/>
    <w:rsid w:val="008E33C7"/>
    <w:rsid w:val="008E4059"/>
    <w:rsid w:val="008F1D35"/>
    <w:rsid w:val="009066C7"/>
    <w:rsid w:val="0092216D"/>
    <w:rsid w:val="00926924"/>
    <w:rsid w:val="00933339"/>
    <w:rsid w:val="00953B84"/>
    <w:rsid w:val="00982754"/>
    <w:rsid w:val="00991174"/>
    <w:rsid w:val="009943F4"/>
    <w:rsid w:val="00995FDD"/>
    <w:rsid w:val="00996389"/>
    <w:rsid w:val="009A2234"/>
    <w:rsid w:val="009A6D46"/>
    <w:rsid w:val="009B2F99"/>
    <w:rsid w:val="009B7A36"/>
    <w:rsid w:val="009B7A4D"/>
    <w:rsid w:val="009C573D"/>
    <w:rsid w:val="009C7016"/>
    <w:rsid w:val="009D10B8"/>
    <w:rsid w:val="009D185F"/>
    <w:rsid w:val="009D43CC"/>
    <w:rsid w:val="009E02ED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434EB"/>
    <w:rsid w:val="00A5351C"/>
    <w:rsid w:val="00A54C06"/>
    <w:rsid w:val="00A5788D"/>
    <w:rsid w:val="00A633F0"/>
    <w:rsid w:val="00A6481E"/>
    <w:rsid w:val="00A66140"/>
    <w:rsid w:val="00A66626"/>
    <w:rsid w:val="00A7064A"/>
    <w:rsid w:val="00A7345A"/>
    <w:rsid w:val="00A75027"/>
    <w:rsid w:val="00A8505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B647D"/>
    <w:rsid w:val="00AC0511"/>
    <w:rsid w:val="00AD08C5"/>
    <w:rsid w:val="00AE069A"/>
    <w:rsid w:val="00AF1EBC"/>
    <w:rsid w:val="00B01CCE"/>
    <w:rsid w:val="00B1467F"/>
    <w:rsid w:val="00B222B4"/>
    <w:rsid w:val="00B31928"/>
    <w:rsid w:val="00B326A9"/>
    <w:rsid w:val="00B45ED3"/>
    <w:rsid w:val="00B543E9"/>
    <w:rsid w:val="00B57127"/>
    <w:rsid w:val="00B76B2B"/>
    <w:rsid w:val="00B8251D"/>
    <w:rsid w:val="00B94288"/>
    <w:rsid w:val="00B9538B"/>
    <w:rsid w:val="00BA15A9"/>
    <w:rsid w:val="00BA598F"/>
    <w:rsid w:val="00BB30C0"/>
    <w:rsid w:val="00BC376D"/>
    <w:rsid w:val="00BD18E8"/>
    <w:rsid w:val="00BD20BC"/>
    <w:rsid w:val="00C15673"/>
    <w:rsid w:val="00C157F6"/>
    <w:rsid w:val="00C15E6F"/>
    <w:rsid w:val="00C210A9"/>
    <w:rsid w:val="00C22821"/>
    <w:rsid w:val="00C243BF"/>
    <w:rsid w:val="00C25F63"/>
    <w:rsid w:val="00C276AE"/>
    <w:rsid w:val="00C34F0F"/>
    <w:rsid w:val="00C4237C"/>
    <w:rsid w:val="00C4239A"/>
    <w:rsid w:val="00C51E8F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7D3E"/>
    <w:rsid w:val="00D4466C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A1C97"/>
    <w:rsid w:val="00DB0B88"/>
    <w:rsid w:val="00DC1405"/>
    <w:rsid w:val="00DD18C6"/>
    <w:rsid w:val="00DD6D00"/>
    <w:rsid w:val="00DE00F0"/>
    <w:rsid w:val="00DE1894"/>
    <w:rsid w:val="00DE5079"/>
    <w:rsid w:val="00DF6B3A"/>
    <w:rsid w:val="00E01942"/>
    <w:rsid w:val="00E10271"/>
    <w:rsid w:val="00E1030B"/>
    <w:rsid w:val="00E25B21"/>
    <w:rsid w:val="00E34DF7"/>
    <w:rsid w:val="00E35DF6"/>
    <w:rsid w:val="00E41E11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4A6C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EF3F13"/>
    <w:rsid w:val="00F017D6"/>
    <w:rsid w:val="00F12CF6"/>
    <w:rsid w:val="00F147FC"/>
    <w:rsid w:val="00F15BD4"/>
    <w:rsid w:val="00F229A3"/>
    <w:rsid w:val="00F31A79"/>
    <w:rsid w:val="00F42214"/>
    <w:rsid w:val="00F5061B"/>
    <w:rsid w:val="00F61A7D"/>
    <w:rsid w:val="00F63AA8"/>
    <w:rsid w:val="00F65312"/>
    <w:rsid w:val="00F67CA2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customStyle="1" w:styleId="pismamz">
    <w:name w:val="pisma_mz"/>
    <w:basedOn w:val="Normalny"/>
    <w:link w:val="pismamzZnak"/>
    <w:qFormat/>
    <w:rsid w:val="00C157F6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C157F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1719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3</cp:revision>
  <dcterms:created xsi:type="dcterms:W3CDTF">2026-03-11T13:42:00Z</dcterms:created>
  <dcterms:modified xsi:type="dcterms:W3CDTF">2026-03-11T13:43:00Z</dcterms:modified>
</cp:coreProperties>
</file>