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757" w:h="538" w:wrap="none" w:hAnchor="page" w:x="1954" w:y="152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Podsekretarz Stanu Anita Sowińska</w:t>
      </w:r>
    </w:p>
    <w:p>
      <w:pPr>
        <w:widowControl w:val="0"/>
        <w:spacing w:line="360" w:lineRule="exact"/>
      </w:pPr>
      <w:r>
        <w:drawing>
          <wp:anchor distT="0" distB="35687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45790" cy="9512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45790" cy="951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72" w:right="1955" w:bottom="842" w:left="513" w:header="144" w:footer="414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94" w:right="0" w:bottom="84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DGO-OP.053.4.2025.AK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5"/>
          <w:sz w:val="18"/>
          <w:szCs w:val="18"/>
        </w:rPr>
        <w:t>3948748.15889794.13373231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Style w:val="CharStyle5"/>
        </w:rPr>
        <w:t>Warszawa, 16-11-2025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both"/>
      </w:pPr>
      <w:r>
        <w:rPr>
          <w:rStyle w:val="CharStyle5"/>
          <w:b/>
          <w:bCs/>
          <w:u w:val="single"/>
        </w:rPr>
        <w:t>Dotyczy</w:t>
      </w:r>
      <w:r>
        <w:rPr>
          <w:rStyle w:val="CharStyle5"/>
          <w:u w:val="single"/>
        </w:rPr>
        <w:t>: petycji 3200 osób w sprawie sprzeciwu wobec systemu kaucyjnego w aptekach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both"/>
      </w:pPr>
      <w:r>
        <w:rPr>
          <w:rStyle w:val="CharStyle5"/>
        </w:rPr>
        <w:t>Pani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5"/>
        </w:rPr>
        <w:t>Szanowna Pani, Szanowni Państwo,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postulaty dotyczące wyłączenia aptek i hurtowni farmaceutycznych z systemu kaucyjnego zostały zgłoszone przez Ministerstwo Zdrowia pismem z dnia 31 sierpnia 2025 r. w procesie uzgodnień projektu ustawy o opakowaniach i odpadach opakowaniowych (UC100). Przedmiotowe zagadnienie jest przedmiotem rozmów międzyresortowych.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Nowelizacją ustawy z dnia 13 czerwca 2013 r. o gospodarce opakowaniami i odpadami opakowaniowymi (Dz. U. z 2025 r. poz. 870) (zwanej dalej „ustawą”) przeprowadzoną w 2024 r. dokonano zmiany przepisów w celu stworzenia tzw. zamkniętego systemu obiegu kaucji. Zgodnie z art. 40g ust. 16 ustawy kaucję pobiera się na etapach dystrybucji produktu w opakowaniu, o którym mowa w załączniku nr 1a do ustawy, będącego napojem, poprzedzających sprzedaż tego produktu użytkownikowi końcowemu oraz od użytkownika końcowego nabywającego ten produkt. Jest to rozwiązanie polegające na pobieraniu kaucji w całym łańcuchu dystrybucji produktu, które przyczyni się do uszczelnienia systemu i zapewnienia możliwości monitorowania przepływów kaucji. Mechanizm ten wyeliminuje możliwości defraudacji kaucji, problemów z jej rozliczeniem pomiędzy podmiotami reprezentującymi oraz zagwarantuje poprawne rozliczanie się operatorów z jednostkami handlu detalicznego, zapewniając jego prawidłowe funkcjonowanie.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Istotną kwestią w zakresie obowiązku uczestniczenia w systemie kaucyjnym ma powierzchnia sprzedaży. Prowadzący małe punkty sprzedaży (w tym apteki) o powierzchni sprzedaży poniżej 200 m</w:t>
      </w:r>
      <w:r>
        <w:rPr>
          <w:rStyle w:val="CharStyle5"/>
          <w:vertAlign w:val="superscript"/>
        </w:rPr>
        <w:t>2</w:t>
      </w:r>
      <w:r>
        <w:rPr>
          <w:rStyle w:val="CharStyle5"/>
        </w:rPr>
        <w:t xml:space="preserve"> będą mogli dobrowolnie przystępować do systemu w zakresie zwrotu kaucji oraz prowadzenia punktów zbiórki opakowań i odpadów opakowaniowych (z zastrzeżeniem dotyczącym szklanych butelek wielokrotnego użytku na napoje). Zawarta w art. 8 pkt 10a ustawy definicja powierzchni sprzedaży odwołuje się do definicji zawartej w art. 2 pkt 19 ustawy z dnia 27 marca 2003 r. o planowaniu i zagospodarowaniu przestrzennym (Dz. U. z 2024 r. poz. 1130, z późn. zm.), zgodnie z którą przez powierzchnię sprzedaży należy rozumieć tę część ogólnodostępnej powierzchni obiektu handlowego stanowiącego całość techniczno-użytkową, przeznaczonego do sprzedaży detalicznej, w której odbywa się bezpośrednia sprzedaż towarów (bez wliczania do niej powierzchni usług i gastronomii oraz powierzchni pomocniczej, do której zalicza się powierzchnie magazynów, biur, komunikacji, ekspozycji wystawowej itp.).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 xml:space="preserve">Zgodnie z art. 44 ust. 2 ustawy przedsiębiorca prowadzący jednostkę handlu detalicznego </w:t>
      </w:r>
      <w:r>
        <w:rPr>
          <w:rStyle w:val="CharStyle5"/>
          <w:u w:val="single"/>
        </w:rPr>
        <w:t>lub hurtowego o powierzchni sprzedaży powyżej 200 m</w:t>
      </w:r>
      <w:r>
        <w:rPr>
          <w:rStyle w:val="CharStyle5"/>
          <w:u w:val="single"/>
          <w:vertAlign w:val="superscript"/>
        </w:rPr>
        <w:t>2</w:t>
      </w:r>
      <w:r>
        <w:rPr>
          <w:rStyle w:val="CharStyle5"/>
          <w:u w:val="single"/>
        </w:rPr>
        <w:t>, w której użytkownikom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0"/>
        </w:rPr>
        <w:t>info@klimat.gov.pl</w:t>
      </w:r>
      <w:r>
        <w:fldChar w:fldCharType="end"/>
      </w:r>
      <w:r>
        <w:rPr>
          <w:rStyle w:val="CharStyle10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10"/>
        </w:rPr>
        <w:t>www.gov.pl/klimat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2"/>
        </w:rPr>
        <w:t>Działamy zgodnie z EMAS - zarządzając instytucją, dbamy o środowisko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końcowym są oferowane produkty będące napojami w opakowaniach na napoje objętych systemem kaucyjnym, jest obowiązany uczestniczyć w systemie kaucyjnym w zakresie co najmniej pobierania i zwracania kaucji oraz zbierania pustych opakowań i odpadów opakowaniowych. W związku z powyższym jednostki handlowe o powierzchni powyżej 200 m</w:t>
      </w:r>
      <w:r>
        <w:rPr>
          <w:rStyle w:val="CharStyle5"/>
          <w:vertAlign w:val="superscript"/>
        </w:rPr>
        <w:t>2</w:t>
      </w:r>
      <w:r>
        <w:rPr>
          <w:rStyle w:val="CharStyle5"/>
        </w:rPr>
        <w:t xml:space="preserve"> powinny zbierać wszystkie rodzaje opakowań objęte systemem nawet jeżeli któregoś z nich nie posiadają w ofercie. Kluczowe jest posiadanie co najmniej jednego takiego produktu.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 xml:space="preserve">Jak wskazała Pani w piśmie </w:t>
      </w:r>
      <w:r>
        <w:rPr>
          <w:rStyle w:val="CharStyle5"/>
          <w:i/>
          <w:iCs/>
        </w:rPr>
        <w:t>tylko niewielką część aptek stanowią placówki o powierzchni sprzedażowej powyżej 200 m</w:t>
      </w:r>
      <w:r>
        <w:rPr>
          <w:rStyle w:val="CharStyle5"/>
          <w:i/>
          <w:iCs/>
          <w:vertAlign w:val="superscript"/>
        </w:rPr>
        <w:t>2</w:t>
      </w:r>
      <w:r>
        <w:rPr>
          <w:rStyle w:val="CharStyle5"/>
          <w:i/>
          <w:iCs/>
        </w:rPr>
        <w:t>, które obligatoryjnie w pełnym zakresie byłyby włączone w system kaucyjny.</w:t>
      </w:r>
      <w:r>
        <w:rPr>
          <w:rStyle w:val="CharStyle5"/>
        </w:rPr>
        <w:t xml:space="preserve"> W tym miejscu warto zwrócić uwagę, że dopuszcza się możliwość zawierania porozumień między jednostkami handlowymi (np. w galeriach handlowych) w celu utworzenia wspólnych punktów zbiórki. W przypadku, w którym podmiot prowadzący centrum handlowe (lub jeden z podmiotów prowadzących sklepy w tym centrum) zapewni zbiórkę opakowań i odpadów opakowaniowych oraz uzgodni z poszczególnymi jednostkami handlowymi szczegóły funkcjonowania należy uznać, że obowiązek zbiórki został zapewniony. Fakt wykonywania obowiązku zbiórki w imieniu konkretnej jednostki handlowej powinien być udokumentowany umową. Taka interpretacja dotyczy wspólnego punktu prowadzonego w tym samym budynku lub w jego bezpośrednim sąsiedztwie. Nie jest jednak dopuszczalne zorganizowanie jednego punktu dla różnych jednostek zlokalizowanych w różnych lokalizacjach.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W zakresie pytania o to kto poniesie koszty zakupu, instalacji i utrzymania automatów kaucyjnych informuję, że koszty wdrożenia i utrzymania systemu kaucyjnego w Polsce pokryją przedsiębiorcy, którzy wprowadzają na rynek napoje w opakowaniach objętych systemem (np. wytwórcy wprowadzający produkty, importerzy). Na podmiotach prowadzących zbiórkę za pomocą automatów będą spoczywały zadania techniczne, obsługowe i sprawozdawcze, które każdy przedsiębiorca oddzielnie ma możliwość uzgodnienia z operatorem.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rStyle w:val="CharStyle5"/>
        </w:rPr>
        <w:t>Zależy nam aby zagwarantować przejrzystość, spójność i rzetelność działania systemu, dlatego nie jest możliwe wprowadzanie jakichkolwiek zwolnień w zakresie pobierania kaucji za opakowania objęte systemem prowadzące do rozszczelnienia systemu.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rStyle w:val="CharStyle5"/>
        </w:rPr>
        <w:t>Z wyrazami szacunku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5"/>
        </w:rPr>
        <w:t>Zastępca Dyrektora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5"/>
        </w:rPr>
        <w:t>Ministerstwo Klimatu i Środowiska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5"/>
        </w:rPr>
        <w:t>/ – podpisany cyfrowo/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094" w:right="1955" w:bottom="843" w:left="1953" w:header="1666" w:footer="41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Picture caption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Body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Body text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Body text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Picture caption"/>
    <w:basedOn w:val="Normal"/>
    <w:link w:val="CharStyle3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Style4">
    <w:name w:val="Body text"/>
    <w:basedOn w:val="Normal"/>
    <w:link w:val="CharStyle5"/>
    <w:qFormat/>
    <w:pPr>
      <w:widowControl w:val="0"/>
      <w:shd w:val="clear" w:color="auto" w:fill="auto"/>
      <w:spacing w:after="1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Body text (2)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Body text (3)"/>
    <w:basedOn w:val="Normal"/>
    <w:link w:val="CharStyle12"/>
    <w:pPr>
      <w:widowControl w:val="0"/>
      <w:shd w:val="clear" w:color="auto" w:fill="auto"/>
      <w:spacing w:after="1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Podsekretarz Stanu Anita Sowińska kolor</dc:title>
  <dc:subject/>
  <dc:creator>Białek Maciej</dc:creator>
  <cp:keywords>PL, KOLOR</cp:keywords>
</cp:coreProperties>
</file>