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94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96"/>
        <w:gridCol w:w="418"/>
        <w:gridCol w:w="229"/>
        <w:gridCol w:w="425"/>
        <w:gridCol w:w="55"/>
        <w:gridCol w:w="709"/>
        <w:gridCol w:w="115"/>
        <w:gridCol w:w="342"/>
        <w:gridCol w:w="251"/>
        <w:gridCol w:w="686"/>
        <w:gridCol w:w="23"/>
        <w:gridCol w:w="111"/>
        <w:gridCol w:w="151"/>
        <w:gridCol w:w="447"/>
        <w:gridCol w:w="206"/>
        <w:gridCol w:w="503"/>
        <w:gridCol w:w="364"/>
        <w:gridCol w:w="71"/>
        <w:gridCol w:w="273"/>
        <w:gridCol w:w="259"/>
        <w:gridCol w:w="405"/>
        <w:gridCol w:w="45"/>
        <w:gridCol w:w="272"/>
        <w:gridCol w:w="579"/>
        <w:gridCol w:w="42"/>
        <w:gridCol w:w="666"/>
        <w:gridCol w:w="272"/>
        <w:gridCol w:w="437"/>
        <w:gridCol w:w="985"/>
        <w:gridCol w:w="10"/>
      </w:tblGrid>
      <w:tr w:rsidR="006A701A" w:rsidRPr="008B4FE6" w14:paraId="1197557E" w14:textId="77777777" w:rsidTr="00AC17BB">
        <w:trPr>
          <w:trHeight w:val="1611"/>
        </w:trPr>
        <w:tc>
          <w:tcPr>
            <w:tcW w:w="6631" w:type="dxa"/>
            <w:gridSpan w:val="17"/>
          </w:tcPr>
          <w:p w14:paraId="34625D72" w14:textId="77777777" w:rsidR="006A701A" w:rsidRPr="008B4FE6" w:rsidRDefault="006A701A" w:rsidP="00616511">
            <w:pPr>
              <w:spacing w:before="120" w:line="240" w:lineRule="auto"/>
              <w:ind w:hanging="45"/>
              <w:rPr>
                <w:rFonts w:ascii="Times New Roman" w:hAnsi="Times New Roman"/>
                <w:color w:val="000000"/>
              </w:rPr>
            </w:pPr>
            <w:bookmarkStart w:id="0" w:name="t1"/>
            <w:r w:rsidRPr="008B4FE6">
              <w:rPr>
                <w:rFonts w:ascii="Times New Roman" w:hAnsi="Times New Roman"/>
                <w:b/>
                <w:color w:val="000000"/>
              </w:rPr>
              <w:t xml:space="preserve">Nazwa </w:t>
            </w:r>
            <w:r w:rsidR="001B75D8">
              <w:rPr>
                <w:rFonts w:ascii="Times New Roman" w:hAnsi="Times New Roman"/>
                <w:b/>
                <w:color w:val="000000"/>
              </w:rPr>
              <w:t>projektu</w:t>
            </w:r>
          </w:p>
          <w:p w14:paraId="3CA7A479" w14:textId="658CD8DD" w:rsidR="00463A70" w:rsidRPr="00F56BEA" w:rsidRDefault="005E395C" w:rsidP="002A55D1">
            <w:pPr>
              <w:spacing w:line="240" w:lineRule="auto"/>
              <w:ind w:hanging="34"/>
              <w:jc w:val="both"/>
              <w:rPr>
                <w:rFonts w:ascii="Times New Roman" w:hAnsi="Times New Roman"/>
                <w:color w:val="000000"/>
              </w:rPr>
            </w:pPr>
            <w:r>
              <w:rPr>
                <w:rFonts w:ascii="Times New Roman" w:hAnsi="Times New Roman"/>
                <w:color w:val="000000"/>
              </w:rPr>
              <w:t>Ustawa</w:t>
            </w:r>
            <w:r w:rsidR="00FE2EE5">
              <w:rPr>
                <w:rFonts w:ascii="Times New Roman" w:hAnsi="Times New Roman"/>
                <w:color w:val="000000"/>
              </w:rPr>
              <w:t xml:space="preserve"> o zmianie ustawy o statystyce publicznej</w:t>
            </w:r>
            <w:r w:rsidR="00F016F6">
              <w:rPr>
                <w:rFonts w:ascii="Times New Roman" w:hAnsi="Times New Roman"/>
                <w:color w:val="000000"/>
              </w:rPr>
              <w:t xml:space="preserve"> oraz niektórych innych ustaw</w:t>
            </w:r>
          </w:p>
          <w:p w14:paraId="065D896E" w14:textId="77777777" w:rsidR="006A701A" w:rsidRPr="008B4FE6" w:rsidRDefault="006A701A" w:rsidP="00A52ADB">
            <w:pPr>
              <w:spacing w:line="240" w:lineRule="auto"/>
              <w:ind w:hanging="34"/>
              <w:rPr>
                <w:rFonts w:ascii="Times New Roman" w:hAnsi="Times New Roman"/>
                <w:color w:val="000000"/>
              </w:rPr>
            </w:pPr>
          </w:p>
          <w:p w14:paraId="4D6E01C6"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Ministerstwo wiodące i ministerstwa współpracujące</w:t>
            </w:r>
          </w:p>
          <w:bookmarkEnd w:id="0"/>
          <w:p w14:paraId="1046E758" w14:textId="77777777" w:rsidR="00463A70" w:rsidRDefault="00463A70" w:rsidP="00463A70">
            <w:pPr>
              <w:spacing w:line="240" w:lineRule="auto"/>
              <w:ind w:hanging="34"/>
              <w:rPr>
                <w:rFonts w:ascii="Times New Roman" w:hAnsi="Times New Roman"/>
                <w:color w:val="000000"/>
              </w:rPr>
            </w:pPr>
            <w:r>
              <w:rPr>
                <w:rFonts w:ascii="Times New Roman" w:hAnsi="Times New Roman"/>
                <w:color w:val="000000"/>
              </w:rPr>
              <w:t>Główny Urząd Statystyczny</w:t>
            </w:r>
          </w:p>
          <w:p w14:paraId="0B25C95A" w14:textId="77777777" w:rsidR="00463A70" w:rsidRDefault="00463A70" w:rsidP="00463A70">
            <w:pPr>
              <w:spacing w:line="240" w:lineRule="auto"/>
              <w:ind w:hanging="34"/>
              <w:rPr>
                <w:rFonts w:ascii="Times New Roman" w:hAnsi="Times New Roman"/>
                <w:color w:val="000000"/>
              </w:rPr>
            </w:pPr>
          </w:p>
          <w:p w14:paraId="43AA45E1" w14:textId="7777777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4"/>
              </w:rPr>
              <w:t>Osoba odpowiedzialna za projekt w randze Ministra, Sekretarza Stanu lub Podsekretarza Stanu</w:t>
            </w:r>
            <w:r w:rsidRPr="00642825">
              <w:rPr>
                <w:rFonts w:ascii="Times New Roman" w:hAnsi="Times New Roman"/>
                <w:b/>
                <w:sz w:val="21"/>
                <w:szCs w:val="21"/>
              </w:rPr>
              <w:t xml:space="preserve"> </w:t>
            </w:r>
          </w:p>
          <w:p w14:paraId="7647ADD0" w14:textId="77777777" w:rsidR="001B3460" w:rsidRDefault="00463A70" w:rsidP="001B3460">
            <w:pPr>
              <w:spacing w:line="240" w:lineRule="auto"/>
              <w:rPr>
                <w:rFonts w:ascii="Times New Roman" w:hAnsi="Times New Roman"/>
              </w:rPr>
            </w:pPr>
            <w:r>
              <w:rPr>
                <w:rFonts w:ascii="Times New Roman" w:hAnsi="Times New Roman"/>
              </w:rPr>
              <w:t>Dominik Rozkrut – Prezes Głównego Urzędu Statystycznego</w:t>
            </w:r>
          </w:p>
          <w:p w14:paraId="36E4060A" w14:textId="77777777" w:rsidR="00463A70" w:rsidRPr="0063060B" w:rsidRDefault="00463A70" w:rsidP="001B3460">
            <w:pPr>
              <w:spacing w:line="240" w:lineRule="auto"/>
              <w:rPr>
                <w:rFonts w:ascii="Times New Roman" w:hAnsi="Times New Roman"/>
                <w:sz w:val="21"/>
                <w:szCs w:val="21"/>
              </w:rPr>
            </w:pPr>
          </w:p>
          <w:p w14:paraId="64C882AD" w14:textId="77777777" w:rsidR="006A701A" w:rsidRPr="008B4FE6" w:rsidRDefault="006A701A" w:rsidP="00616511">
            <w:pPr>
              <w:spacing w:before="120" w:line="240" w:lineRule="auto"/>
              <w:ind w:hanging="45"/>
              <w:rPr>
                <w:rFonts w:ascii="Times New Roman" w:hAnsi="Times New Roman"/>
                <w:b/>
                <w:color w:val="000000"/>
              </w:rPr>
            </w:pPr>
            <w:r w:rsidRPr="008B4FE6">
              <w:rPr>
                <w:rFonts w:ascii="Times New Roman" w:hAnsi="Times New Roman"/>
                <w:b/>
                <w:color w:val="000000"/>
              </w:rPr>
              <w:t>Kontakt do opiekuna merytorycznego projektu</w:t>
            </w:r>
          </w:p>
          <w:p w14:paraId="7B4A06E7" w14:textId="624E74F9" w:rsidR="00463A70" w:rsidRDefault="00463A70" w:rsidP="002A55D1">
            <w:pPr>
              <w:spacing w:line="240" w:lineRule="auto"/>
              <w:ind w:hanging="34"/>
              <w:jc w:val="both"/>
              <w:rPr>
                <w:rFonts w:ascii="Times New Roman" w:hAnsi="Times New Roman"/>
                <w:color w:val="000000"/>
              </w:rPr>
            </w:pPr>
            <w:r>
              <w:rPr>
                <w:rFonts w:ascii="Times New Roman" w:hAnsi="Times New Roman"/>
                <w:color w:val="000000"/>
              </w:rPr>
              <w:t xml:space="preserve">Ireneusz Budzyński – </w:t>
            </w:r>
            <w:r w:rsidR="00797944">
              <w:rPr>
                <w:rFonts w:ascii="Times New Roman" w:hAnsi="Times New Roman"/>
                <w:color w:val="000000"/>
              </w:rPr>
              <w:t xml:space="preserve">Zastępca </w:t>
            </w:r>
            <w:r>
              <w:rPr>
                <w:rFonts w:ascii="Times New Roman" w:hAnsi="Times New Roman"/>
                <w:color w:val="000000"/>
              </w:rPr>
              <w:t>Dyrektor</w:t>
            </w:r>
            <w:r w:rsidR="00797944">
              <w:rPr>
                <w:rFonts w:ascii="Times New Roman" w:hAnsi="Times New Roman"/>
                <w:color w:val="000000"/>
              </w:rPr>
              <w:t>a</w:t>
            </w:r>
            <w:r>
              <w:rPr>
                <w:rFonts w:ascii="Times New Roman" w:hAnsi="Times New Roman"/>
                <w:color w:val="000000"/>
              </w:rPr>
              <w:t xml:space="preserve"> Departamentu </w:t>
            </w:r>
            <w:r w:rsidR="00797944">
              <w:rPr>
                <w:rFonts w:ascii="Times New Roman" w:hAnsi="Times New Roman"/>
                <w:color w:val="000000"/>
              </w:rPr>
              <w:t xml:space="preserve">Programowania, </w:t>
            </w:r>
            <w:r w:rsidR="00575862">
              <w:rPr>
                <w:rFonts w:ascii="Times New Roman" w:hAnsi="Times New Roman"/>
                <w:color w:val="000000"/>
              </w:rPr>
              <w:t>K</w:t>
            </w:r>
            <w:r w:rsidR="00797944">
              <w:rPr>
                <w:rFonts w:ascii="Times New Roman" w:hAnsi="Times New Roman"/>
                <w:color w:val="000000"/>
              </w:rPr>
              <w:t>oordynacji Badań</w:t>
            </w:r>
            <w:r>
              <w:rPr>
                <w:rFonts w:ascii="Times New Roman" w:hAnsi="Times New Roman"/>
                <w:color w:val="000000"/>
              </w:rPr>
              <w:t xml:space="preserve"> i Rejestrów </w:t>
            </w:r>
            <w:r>
              <w:rPr>
                <w:rFonts w:ascii="Times New Roman" w:hAnsi="Times New Roman"/>
              </w:rPr>
              <w:t>Głównego Urzędu Statystycznego</w:t>
            </w:r>
            <w:r>
              <w:rPr>
                <w:rFonts w:ascii="Times New Roman" w:hAnsi="Times New Roman"/>
                <w:color w:val="000000"/>
              </w:rPr>
              <w:t xml:space="preserve">, </w:t>
            </w:r>
          </w:p>
          <w:p w14:paraId="376C183E" w14:textId="77777777" w:rsidR="00A96192" w:rsidRDefault="00A96192" w:rsidP="00A96192">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tel. (22) 608 311</w:t>
            </w:r>
            <w:r>
              <w:rPr>
                <w:rFonts w:ascii="Times New Roman" w:hAnsi="Times New Roman"/>
                <w:color w:val="000000"/>
                <w:lang w:val="en-US"/>
              </w:rPr>
              <w:t xml:space="preserve">4 </w:t>
            </w:r>
            <w:proofErr w:type="spellStart"/>
            <w:r>
              <w:rPr>
                <w:rFonts w:ascii="Times New Roman" w:hAnsi="Times New Roman"/>
                <w:color w:val="000000"/>
                <w:lang w:val="en-US"/>
              </w:rPr>
              <w:t>lub</w:t>
            </w:r>
            <w:proofErr w:type="spellEnd"/>
            <w:r>
              <w:rPr>
                <w:rFonts w:ascii="Times New Roman" w:hAnsi="Times New Roman"/>
                <w:color w:val="000000"/>
                <w:lang w:val="en-US"/>
              </w:rPr>
              <w:t xml:space="preserve"> 695 255 002</w:t>
            </w:r>
            <w:r w:rsidRPr="00D31608">
              <w:rPr>
                <w:rFonts w:ascii="Times New Roman" w:hAnsi="Times New Roman"/>
                <w:color w:val="000000"/>
                <w:lang w:val="en-US"/>
              </w:rPr>
              <w:t xml:space="preserve">; </w:t>
            </w:r>
          </w:p>
          <w:p w14:paraId="61F7C6E0" w14:textId="48EACFB3" w:rsidR="006A701A" w:rsidRPr="00D31608" w:rsidRDefault="00A96192" w:rsidP="00A96192">
            <w:pPr>
              <w:spacing w:line="240" w:lineRule="auto"/>
              <w:ind w:hanging="34"/>
              <w:jc w:val="both"/>
              <w:rPr>
                <w:rFonts w:ascii="Times New Roman" w:hAnsi="Times New Roman"/>
                <w:color w:val="000000"/>
                <w:lang w:val="en-US"/>
              </w:rPr>
            </w:pPr>
            <w:r w:rsidRPr="00D31608">
              <w:rPr>
                <w:rFonts w:ascii="Times New Roman" w:hAnsi="Times New Roman"/>
                <w:color w:val="000000"/>
                <w:lang w:val="en-US"/>
              </w:rPr>
              <w:t xml:space="preserve">e-mail </w:t>
            </w:r>
            <w:hyperlink r:id="rId11" w:history="1">
              <w:r w:rsidRPr="00A2717B">
                <w:rPr>
                  <w:rStyle w:val="Hipercze"/>
                  <w:rFonts w:ascii="Times New Roman" w:hAnsi="Times New Roman"/>
                  <w:lang w:val="en-US"/>
                </w:rPr>
                <w:t>Sekretariat-PR@stat.gov.pl</w:t>
              </w:r>
            </w:hyperlink>
          </w:p>
        </w:tc>
        <w:tc>
          <w:tcPr>
            <w:tcW w:w="4316" w:type="dxa"/>
            <w:gridSpan w:val="13"/>
            <w:shd w:val="clear" w:color="auto" w:fill="FFFFFF"/>
          </w:tcPr>
          <w:p w14:paraId="79955C0F" w14:textId="55270117" w:rsidR="001B3460" w:rsidRPr="00642825" w:rsidRDefault="001B3460" w:rsidP="001B3460">
            <w:pPr>
              <w:spacing w:line="240" w:lineRule="auto"/>
              <w:rPr>
                <w:rFonts w:ascii="Times New Roman" w:hAnsi="Times New Roman"/>
                <w:b/>
                <w:sz w:val="21"/>
                <w:szCs w:val="21"/>
              </w:rPr>
            </w:pPr>
            <w:r w:rsidRPr="00642825">
              <w:rPr>
                <w:rFonts w:ascii="Times New Roman" w:hAnsi="Times New Roman"/>
                <w:b/>
                <w:sz w:val="21"/>
                <w:szCs w:val="21"/>
              </w:rPr>
              <w:t>Data sporządzenia</w:t>
            </w:r>
            <w:r w:rsidRPr="00642825">
              <w:rPr>
                <w:rFonts w:ascii="Times New Roman" w:hAnsi="Times New Roman"/>
                <w:b/>
                <w:sz w:val="21"/>
                <w:szCs w:val="21"/>
              </w:rPr>
              <w:br/>
            </w:r>
            <w:r w:rsidR="00D0152E">
              <w:rPr>
                <w:rFonts w:ascii="Times New Roman" w:hAnsi="Times New Roman"/>
              </w:rPr>
              <w:t>11</w:t>
            </w:r>
            <w:r w:rsidR="00C02FCF">
              <w:rPr>
                <w:rFonts w:ascii="Times New Roman" w:hAnsi="Times New Roman"/>
              </w:rPr>
              <w:t>.</w:t>
            </w:r>
            <w:r w:rsidR="003358D3">
              <w:rPr>
                <w:rFonts w:ascii="Times New Roman" w:hAnsi="Times New Roman"/>
              </w:rPr>
              <w:t>0</w:t>
            </w:r>
            <w:r w:rsidR="00A96192">
              <w:rPr>
                <w:rFonts w:ascii="Times New Roman" w:hAnsi="Times New Roman"/>
              </w:rPr>
              <w:t>9</w:t>
            </w:r>
            <w:r w:rsidR="00C02FCF">
              <w:rPr>
                <w:rFonts w:ascii="Times New Roman" w:hAnsi="Times New Roman"/>
              </w:rPr>
              <w:t>.</w:t>
            </w:r>
            <w:r w:rsidR="00463A70" w:rsidRPr="00733D6A">
              <w:rPr>
                <w:rFonts w:ascii="Times New Roman" w:hAnsi="Times New Roman"/>
              </w:rPr>
              <w:t>202</w:t>
            </w:r>
            <w:r w:rsidR="003358D3">
              <w:rPr>
                <w:rFonts w:ascii="Times New Roman" w:hAnsi="Times New Roman"/>
              </w:rPr>
              <w:t>4</w:t>
            </w:r>
            <w:r w:rsidR="00463A70" w:rsidRPr="00733D6A">
              <w:rPr>
                <w:rFonts w:ascii="Times New Roman" w:hAnsi="Times New Roman"/>
              </w:rPr>
              <w:t xml:space="preserve"> r.</w:t>
            </w:r>
          </w:p>
          <w:p w14:paraId="71F99FBC" w14:textId="77777777" w:rsidR="00F76884" w:rsidRDefault="00F76884" w:rsidP="00F76884">
            <w:pPr>
              <w:spacing w:line="240" w:lineRule="auto"/>
              <w:rPr>
                <w:rFonts w:ascii="Times New Roman" w:hAnsi="Times New Roman"/>
                <w:b/>
              </w:rPr>
            </w:pPr>
          </w:p>
          <w:p w14:paraId="1071EBE8" w14:textId="77777777" w:rsidR="00F76884" w:rsidRPr="0065019F" w:rsidRDefault="00F76884" w:rsidP="00F76884">
            <w:pPr>
              <w:spacing w:line="240" w:lineRule="auto"/>
              <w:rPr>
                <w:rFonts w:ascii="Times New Roman" w:hAnsi="Times New Roman"/>
                <w:b/>
              </w:rPr>
            </w:pPr>
            <w:r w:rsidRPr="0065019F">
              <w:rPr>
                <w:rFonts w:ascii="Times New Roman" w:hAnsi="Times New Roman"/>
                <w:b/>
              </w:rPr>
              <w:t xml:space="preserve">Źródło: </w:t>
            </w:r>
            <w:bookmarkStart w:id="1" w:name="Lista1"/>
          </w:p>
          <w:bookmarkEnd w:id="1"/>
          <w:p w14:paraId="7D73D973" w14:textId="77777777" w:rsidR="00463A70" w:rsidRPr="006E3E3E" w:rsidRDefault="00FE2EE5" w:rsidP="00463A70">
            <w:pPr>
              <w:spacing w:line="240" w:lineRule="auto"/>
              <w:jc w:val="both"/>
              <w:rPr>
                <w:rFonts w:ascii="Times New Roman" w:hAnsi="Times New Roman"/>
              </w:rPr>
            </w:pPr>
            <w:r>
              <w:rPr>
                <w:rFonts w:ascii="Times New Roman" w:hAnsi="Times New Roman"/>
              </w:rPr>
              <w:t>Inne</w:t>
            </w:r>
          </w:p>
          <w:p w14:paraId="606A1D7E" w14:textId="77777777" w:rsidR="00F76884" w:rsidRPr="0065019F" w:rsidRDefault="00F76884" w:rsidP="00F76884">
            <w:pPr>
              <w:spacing w:line="240" w:lineRule="auto"/>
              <w:rPr>
                <w:rFonts w:ascii="Times New Roman" w:hAnsi="Times New Roman"/>
              </w:rPr>
            </w:pPr>
          </w:p>
          <w:p w14:paraId="61FA4968" w14:textId="77777777" w:rsidR="00F76884" w:rsidRPr="0065019F" w:rsidRDefault="00F76884" w:rsidP="00F76884">
            <w:pPr>
              <w:spacing w:line="240" w:lineRule="auto"/>
              <w:rPr>
                <w:rFonts w:ascii="Times New Roman" w:hAnsi="Times New Roman"/>
              </w:rPr>
            </w:pPr>
          </w:p>
          <w:p w14:paraId="4F4B2831" w14:textId="20D9078F" w:rsidR="00393F45" w:rsidRPr="00210304" w:rsidRDefault="00393F45" w:rsidP="00393F45">
            <w:pPr>
              <w:spacing w:after="120" w:line="240" w:lineRule="auto"/>
              <w:rPr>
                <w:rFonts w:ascii="Times New Roman" w:hAnsi="Times New Roman"/>
                <w:b/>
                <w:color w:val="000000"/>
              </w:rPr>
            </w:pPr>
            <w:r w:rsidRPr="00210304">
              <w:rPr>
                <w:rFonts w:ascii="Times New Roman" w:hAnsi="Times New Roman"/>
                <w:b/>
                <w:color w:val="000000"/>
              </w:rPr>
              <w:t xml:space="preserve">Nr w wykazie prac: </w:t>
            </w:r>
            <w:r w:rsidR="00F63951">
              <w:rPr>
                <w:rFonts w:ascii="Times New Roman" w:hAnsi="Times New Roman"/>
                <w:b/>
                <w:color w:val="000000"/>
              </w:rPr>
              <w:t>UD12</w:t>
            </w:r>
            <w:r>
              <w:rPr>
                <w:rFonts w:ascii="Times New Roman" w:hAnsi="Times New Roman"/>
                <w:b/>
                <w:color w:val="000000"/>
              </w:rPr>
              <w:t xml:space="preserve"> </w:t>
            </w:r>
            <w:r>
              <w:rPr>
                <w:rFonts w:ascii="Times New Roman" w:hAnsi="Times New Roman"/>
                <w:b/>
                <w:color w:val="000000"/>
              </w:rPr>
              <w:br/>
            </w:r>
          </w:p>
          <w:p w14:paraId="1928DA4B" w14:textId="77777777" w:rsidR="00393F45" w:rsidRDefault="00393F45" w:rsidP="007943E2">
            <w:pPr>
              <w:spacing w:before="120" w:line="240" w:lineRule="auto"/>
              <w:rPr>
                <w:rFonts w:ascii="Times New Roman" w:hAnsi="Times New Roman"/>
                <w:b/>
                <w:color w:val="000000"/>
              </w:rPr>
            </w:pPr>
          </w:p>
          <w:p w14:paraId="022647A6" w14:textId="77777777" w:rsidR="006A701A" w:rsidRPr="008B4FE6" w:rsidRDefault="006A701A" w:rsidP="00393F45">
            <w:pPr>
              <w:spacing w:line="240" w:lineRule="auto"/>
              <w:rPr>
                <w:rFonts w:ascii="Times New Roman" w:hAnsi="Times New Roman"/>
                <w:color w:val="000000"/>
                <w:sz w:val="28"/>
                <w:szCs w:val="28"/>
              </w:rPr>
            </w:pPr>
          </w:p>
        </w:tc>
      </w:tr>
      <w:tr w:rsidR="006A701A" w:rsidRPr="0022687A" w14:paraId="1BC46C78" w14:textId="77777777" w:rsidTr="00AC17BB">
        <w:trPr>
          <w:trHeight w:val="142"/>
        </w:trPr>
        <w:tc>
          <w:tcPr>
            <w:tcW w:w="10947" w:type="dxa"/>
            <w:gridSpan w:val="30"/>
            <w:shd w:val="clear" w:color="auto" w:fill="99CCFF"/>
          </w:tcPr>
          <w:p w14:paraId="75B7805D" w14:textId="77777777" w:rsidR="006A701A" w:rsidRPr="00627221" w:rsidRDefault="006A701A" w:rsidP="001B4CA1">
            <w:pPr>
              <w:spacing w:line="240" w:lineRule="auto"/>
              <w:ind w:left="57"/>
              <w:jc w:val="center"/>
              <w:rPr>
                <w:rFonts w:ascii="Times New Roman" w:hAnsi="Times New Roman"/>
                <w:b/>
                <w:color w:val="FFFFFF"/>
                <w:sz w:val="32"/>
                <w:szCs w:val="32"/>
              </w:rPr>
            </w:pPr>
            <w:r w:rsidRPr="00627221">
              <w:rPr>
                <w:rFonts w:ascii="Times New Roman" w:hAnsi="Times New Roman"/>
                <w:b/>
                <w:color w:val="FFFFFF"/>
                <w:sz w:val="32"/>
                <w:szCs w:val="32"/>
              </w:rPr>
              <w:t>OCENA SKUTKÓW REGULACJI</w:t>
            </w:r>
          </w:p>
        </w:tc>
      </w:tr>
      <w:tr w:rsidR="006A701A" w:rsidRPr="008B4FE6" w14:paraId="6993D2A8" w14:textId="77777777" w:rsidTr="00AC17BB">
        <w:trPr>
          <w:trHeight w:val="333"/>
        </w:trPr>
        <w:tc>
          <w:tcPr>
            <w:tcW w:w="10947" w:type="dxa"/>
            <w:gridSpan w:val="30"/>
            <w:shd w:val="clear" w:color="auto" w:fill="99CCFF"/>
            <w:vAlign w:val="center"/>
          </w:tcPr>
          <w:p w14:paraId="5981F4A9" w14:textId="77777777" w:rsidR="006A701A" w:rsidRPr="008B4FE6" w:rsidRDefault="003D12F6" w:rsidP="00F9511E">
            <w:pPr>
              <w:numPr>
                <w:ilvl w:val="0"/>
                <w:numId w:val="1"/>
              </w:numPr>
              <w:spacing w:before="60" w:after="60" w:line="240" w:lineRule="auto"/>
              <w:ind w:left="318" w:hanging="284"/>
              <w:jc w:val="both"/>
              <w:rPr>
                <w:rFonts w:ascii="Times New Roman" w:hAnsi="Times New Roman"/>
                <w:b/>
                <w:color w:val="000000"/>
              </w:rPr>
            </w:pPr>
            <w:r w:rsidRPr="001812C7">
              <w:rPr>
                <w:rFonts w:ascii="Times New Roman" w:hAnsi="Times New Roman"/>
                <w:b/>
              </w:rPr>
              <w:t xml:space="preserve">Jaki problem jest </w:t>
            </w:r>
            <w:r w:rsidR="00CC6305" w:rsidRPr="001812C7">
              <w:rPr>
                <w:rFonts w:ascii="Times New Roman" w:hAnsi="Times New Roman"/>
                <w:b/>
              </w:rPr>
              <w:t>rozwiązywany</w:t>
            </w:r>
            <w:r w:rsidR="00CC6305">
              <w:rPr>
                <w:rFonts w:ascii="Times New Roman" w:hAnsi="Times New Roman"/>
                <w:b/>
              </w:rPr>
              <w:t>?</w:t>
            </w:r>
            <w:bookmarkStart w:id="2" w:name="Wybór1"/>
            <w:bookmarkEnd w:id="2"/>
          </w:p>
        </w:tc>
      </w:tr>
      <w:tr w:rsidR="003468AB" w:rsidRPr="008B4FE6" w14:paraId="5695770B" w14:textId="77777777" w:rsidTr="00AC17BB">
        <w:trPr>
          <w:trHeight w:val="1266"/>
        </w:trPr>
        <w:tc>
          <w:tcPr>
            <w:tcW w:w="10947" w:type="dxa"/>
            <w:gridSpan w:val="30"/>
            <w:shd w:val="clear" w:color="auto" w:fill="FFFFFF"/>
          </w:tcPr>
          <w:p w14:paraId="7CC804DC" w14:textId="77777777" w:rsidR="004F4755" w:rsidRPr="009E41CB" w:rsidRDefault="004F4755" w:rsidP="004F4755">
            <w:pPr>
              <w:spacing w:after="120" w:line="240" w:lineRule="exact"/>
              <w:jc w:val="both"/>
              <w:rPr>
                <w:rFonts w:ascii="Times New Roman" w:hAnsi="Times New Roman"/>
              </w:rPr>
            </w:pPr>
            <w:bookmarkStart w:id="3" w:name="_Hlk148370987"/>
            <w:r w:rsidRPr="009E41CB">
              <w:rPr>
                <w:rFonts w:ascii="Times New Roman" w:hAnsi="Times New Roman"/>
              </w:rPr>
              <w:t xml:space="preserve">Rozwiązania proponowane w projektowanej ustawie polegają na wprowadzeniu zmian,  przede wszystkim, w </w:t>
            </w:r>
            <w:bookmarkStart w:id="4" w:name="_Hlk153528284"/>
            <w:r w:rsidRPr="009E41CB">
              <w:rPr>
                <w:rStyle w:val="Odwoaniedokomentarza"/>
                <w:rFonts w:ascii="Times New Roman" w:hAnsi="Times New Roman"/>
                <w:sz w:val="22"/>
                <w:szCs w:val="22"/>
              </w:rPr>
              <w:t xml:space="preserve">ustawie </w:t>
            </w:r>
            <w:r w:rsidRPr="009E41CB">
              <w:rPr>
                <w:rStyle w:val="Odwoaniedokomentarza"/>
                <w:rFonts w:ascii="Times New Roman" w:hAnsi="Times New Roman"/>
                <w:sz w:val="22"/>
                <w:szCs w:val="22"/>
              </w:rPr>
              <w:br/>
              <w:t xml:space="preserve">z dnia </w:t>
            </w:r>
            <w:bookmarkStart w:id="5" w:name="_Hlk176782921"/>
            <w:r w:rsidRPr="009E41CB">
              <w:rPr>
                <w:rStyle w:val="Odwoaniedokomentarza"/>
                <w:rFonts w:ascii="Times New Roman" w:hAnsi="Times New Roman"/>
                <w:sz w:val="22"/>
                <w:szCs w:val="22"/>
              </w:rPr>
              <w:t>29 czerwca 1995 r. o statystyce publicznej (Dz. U. z 2023 r. poz. 773)</w:t>
            </w:r>
            <w:bookmarkEnd w:id="4"/>
            <w:bookmarkEnd w:id="5"/>
            <w:r w:rsidRPr="009E41CB">
              <w:rPr>
                <w:rStyle w:val="Odwoaniedokomentarza"/>
                <w:rFonts w:ascii="Times New Roman" w:hAnsi="Times New Roman"/>
                <w:sz w:val="22"/>
                <w:szCs w:val="22"/>
              </w:rPr>
              <w:t>, dalej: „ustawa o statystyce publicznej”.</w:t>
            </w:r>
          </w:p>
          <w:p w14:paraId="206F5DD1" w14:textId="77777777" w:rsidR="004F4755" w:rsidRPr="009E41CB" w:rsidRDefault="004F4755" w:rsidP="004F4755">
            <w:pPr>
              <w:spacing w:before="120" w:line="240" w:lineRule="exact"/>
              <w:jc w:val="both"/>
              <w:rPr>
                <w:rFonts w:ascii="Times New Roman" w:hAnsi="Times New Roman"/>
              </w:rPr>
            </w:pPr>
            <w:r w:rsidRPr="009E41CB">
              <w:rPr>
                <w:rFonts w:ascii="Times New Roman" w:hAnsi="Times New Roman"/>
              </w:rPr>
              <w:t>Analiza dotychczasowego zakresu i sposobu działania krajowego rejestru urzędowego podmiotów gospodarki narodowej REGON oraz krajowego rejestru urzędowego podziału terytorialnego kraju TERYT wykazała, że:</w:t>
            </w:r>
          </w:p>
          <w:p w14:paraId="6B6ED1FF" w14:textId="77777777" w:rsidR="004F4755" w:rsidRPr="009E41CB" w:rsidRDefault="004F4755" w:rsidP="004F4755">
            <w:pPr>
              <w:pStyle w:val="Akapitzlist"/>
              <w:numPr>
                <w:ilvl w:val="0"/>
                <w:numId w:val="7"/>
              </w:numPr>
              <w:spacing w:line="240" w:lineRule="exact"/>
              <w:jc w:val="both"/>
              <w:rPr>
                <w:rFonts w:ascii="Times New Roman" w:hAnsi="Times New Roman"/>
              </w:rPr>
            </w:pPr>
            <w:r w:rsidRPr="009E41CB">
              <w:rPr>
                <w:rFonts w:ascii="Times New Roman" w:hAnsi="Times New Roman"/>
              </w:rPr>
              <w:t xml:space="preserve">niektóre z przyjętych w ustawie o statystyce publicznej rozwiązań prawnych wymagają dostosowania </w:t>
            </w:r>
            <w:r w:rsidRPr="009E41CB">
              <w:rPr>
                <w:rFonts w:ascii="Times New Roman" w:hAnsi="Times New Roman"/>
              </w:rPr>
              <w:br/>
              <w:t>do zmieniającego się otoczenia prawnego;</w:t>
            </w:r>
          </w:p>
          <w:p w14:paraId="157B10E3" w14:textId="77777777" w:rsidR="004F4755" w:rsidRPr="009E41CB" w:rsidRDefault="004F4755" w:rsidP="004F4755">
            <w:pPr>
              <w:pStyle w:val="Akapitzlist"/>
              <w:numPr>
                <w:ilvl w:val="0"/>
                <w:numId w:val="7"/>
              </w:numPr>
              <w:spacing w:line="240" w:lineRule="exact"/>
              <w:jc w:val="both"/>
              <w:rPr>
                <w:rFonts w:ascii="Times New Roman" w:hAnsi="Times New Roman"/>
              </w:rPr>
            </w:pPr>
            <w:r w:rsidRPr="009E41CB">
              <w:rPr>
                <w:rFonts w:ascii="Times New Roman" w:hAnsi="Times New Roman"/>
              </w:rPr>
              <w:t>niektóre z przyjętych w ustawie o statystyce publicznej rozwiązań prawnych nie odpowiadają aktualnym potrzebom podmiotów wpisywanych do rejestru REGON i jego użytkowników;</w:t>
            </w:r>
          </w:p>
          <w:p w14:paraId="2D4381A6" w14:textId="77777777" w:rsidR="004F4755" w:rsidRPr="009E41CB" w:rsidRDefault="004F4755" w:rsidP="004F4755">
            <w:pPr>
              <w:pStyle w:val="Akapitzlist"/>
              <w:numPr>
                <w:ilvl w:val="0"/>
                <w:numId w:val="7"/>
              </w:numPr>
              <w:spacing w:line="240" w:lineRule="exact"/>
              <w:jc w:val="both"/>
              <w:rPr>
                <w:rFonts w:ascii="Times New Roman" w:hAnsi="Times New Roman"/>
              </w:rPr>
            </w:pPr>
            <w:r w:rsidRPr="009E41CB">
              <w:rPr>
                <w:rFonts w:ascii="Times New Roman" w:hAnsi="Times New Roman"/>
              </w:rPr>
              <w:t xml:space="preserve">zasadne jest przeniesienie do ustawy części spraw uregulowanych obecnie w rozporządzeniu Rady Ministrów </w:t>
            </w:r>
            <w:r w:rsidRPr="009E41CB">
              <w:rPr>
                <w:rFonts w:ascii="Times New Roman" w:hAnsi="Times New Roman"/>
              </w:rPr>
              <w:br/>
              <w:t xml:space="preserve">z dnia 30 listopada 2015 r. w sprawie sposobu i metodologii prowadzenia i aktualizacji krajowego rejestru urzędowego podmiotów gospodarki narodowej, wzorów wniosków, ankiet i zaświadczeń (Dz. U. poz. 2009, </w:t>
            </w:r>
            <w:r w:rsidRPr="009E41CB">
              <w:rPr>
                <w:rFonts w:ascii="Times New Roman" w:hAnsi="Times New Roman"/>
              </w:rPr>
              <w:br/>
              <w:t xml:space="preserve">z </w:t>
            </w:r>
            <w:proofErr w:type="spellStart"/>
            <w:r w:rsidRPr="009E41CB">
              <w:rPr>
                <w:rFonts w:ascii="Times New Roman" w:hAnsi="Times New Roman"/>
              </w:rPr>
              <w:t>późn</w:t>
            </w:r>
            <w:proofErr w:type="spellEnd"/>
            <w:r w:rsidRPr="009E41CB">
              <w:rPr>
                <w:rFonts w:ascii="Times New Roman" w:hAnsi="Times New Roman"/>
              </w:rPr>
              <w:t xml:space="preserve">. zm.), dalej: „rozporządzenie w sprawie rejestru REGON”, oraz w rozporządzeniu Rady Ministrów z dnia 15 grudnia 1998 r. w sprawie szczegółowych zasad prowadzenia, stosowania i udostępniania krajowego rejestru urzędowego podziału terytorialnego kraju oraz związanych z tym obowiązków organów administracji rządowej </w:t>
            </w:r>
            <w:r w:rsidRPr="009E41CB">
              <w:rPr>
                <w:rFonts w:ascii="Times New Roman" w:hAnsi="Times New Roman"/>
              </w:rPr>
              <w:br/>
              <w:t xml:space="preserve">i jednostek samorządu terytorialnego (Dz. U. poz. 1031), dalej: „rozporządzenie w sprawie rejestru TERYT”, </w:t>
            </w:r>
            <w:r w:rsidRPr="009E41CB">
              <w:rPr>
                <w:rFonts w:ascii="Times New Roman" w:hAnsi="Times New Roman"/>
              </w:rPr>
              <w:br/>
              <w:t>ze względu na podstawowe znaczenie tych spraw dla funkcjonowania obydwu rejestrów.</w:t>
            </w:r>
          </w:p>
          <w:p w14:paraId="11D18517" w14:textId="3BDED423" w:rsidR="004F4755" w:rsidRPr="009E41CB" w:rsidRDefault="004F4755" w:rsidP="004F4755">
            <w:pPr>
              <w:spacing w:before="120" w:line="240" w:lineRule="exact"/>
              <w:jc w:val="both"/>
              <w:rPr>
                <w:rFonts w:ascii="Times New Roman" w:hAnsi="Times New Roman"/>
              </w:rPr>
            </w:pPr>
            <w:r w:rsidRPr="009E41CB">
              <w:rPr>
                <w:rFonts w:ascii="Times New Roman" w:hAnsi="Times New Roman"/>
              </w:rPr>
              <w:t xml:space="preserve">Natomiast, powodem podjęcia prac nad zmianą ustawy o statystyce publicznej w obszarze standardów klasyfikacyjnych (w zakresie dotyczącym Polskiej Klasyfikacji Działalności) jest, przede wszystkim, obecnie prowadzony przegląd Statystycznej Klasyfikacji Działalności Gospodarczych, obowiązującej w Unii Europejskiej NACE </w:t>
            </w:r>
            <w:proofErr w:type="spellStart"/>
            <w:r w:rsidRPr="009E41CB">
              <w:rPr>
                <w:rFonts w:ascii="Times New Roman" w:hAnsi="Times New Roman"/>
              </w:rPr>
              <w:t>Rev</w:t>
            </w:r>
            <w:proofErr w:type="spellEnd"/>
            <w:r w:rsidRPr="009E41CB">
              <w:rPr>
                <w:rFonts w:ascii="Times New Roman" w:hAnsi="Times New Roman"/>
              </w:rPr>
              <w:t xml:space="preserve">. 2, której krajowym odpowiednikiem jest Polska Klasyfikacja Działalności (PKD), wprowadzona rozporządzeniem Rady Ministrów z dnia 24 grudnia 2007 r. (Dz. U. Nr 251, poz. 1885, z </w:t>
            </w:r>
            <w:proofErr w:type="spellStart"/>
            <w:r w:rsidRPr="009E41CB">
              <w:rPr>
                <w:rFonts w:ascii="Times New Roman" w:hAnsi="Times New Roman"/>
              </w:rPr>
              <w:t>późn</w:t>
            </w:r>
            <w:proofErr w:type="spellEnd"/>
            <w:r w:rsidRPr="009E41CB">
              <w:rPr>
                <w:rFonts w:ascii="Times New Roman" w:hAnsi="Times New Roman"/>
              </w:rPr>
              <w:t xml:space="preserve">. zm.). Wprowadzenie </w:t>
            </w:r>
            <w:bookmarkStart w:id="6" w:name="_Hlk113622787"/>
            <w:r w:rsidRPr="009E41CB">
              <w:rPr>
                <w:rFonts w:ascii="Times New Roman" w:hAnsi="Times New Roman"/>
              </w:rPr>
              <w:t xml:space="preserve">nowych klasyfikacji NACE oraz PKD </w:t>
            </w:r>
            <w:bookmarkEnd w:id="6"/>
            <w:r w:rsidRPr="009E41CB">
              <w:rPr>
                <w:rFonts w:ascii="Times New Roman" w:hAnsi="Times New Roman"/>
              </w:rPr>
              <w:t xml:space="preserve">planowane jest na dzień 1 stycznia 2025 roku. Zmiana klasyfikacji NACE oraz PKD spowoduje, między innymi, konieczność przeklasyfikowania, w stosunkowo krótkim czasie, działalności podmiotów w rejestrach urzędowych. Wprowadzenie nowej klasyfikacji PKD 2025 będzie się wiązało z wystąpieniem różnego typu relacji pomiędzy poszczególnymi grupowaniami obecnie obowiązującej PKD 2007 a nowej PKD 2025. Mogą to być: relacje identyczne, które nie uległy zmianie co do zakresu i kodyfikacji, grupowania o identycznym zakresie, ale zmienionym kodzie (wynikające z przekodowań numerycznych w obrębie klasyfikacji), grupowania, które uległy scaleniu w nowej klasyfikacji (n:1) oraz takie, które uległy podziałom w nowej klasyfikacji na dwa lub więcej (1:n). Ten ostatni typ powiązań stwarza największe problemy przy przeklasyfikowaniu podmiotów w rejestrach urzędowych i dla tego typu relacji zasadne jest opracowanie klucza jednoznacznego (1:1). W obecnych przepisach ustawy o statystyce publicznej nie ma podstawy prawnej, pozwalającej na </w:t>
            </w:r>
            <w:r w:rsidR="00D0152E">
              <w:rPr>
                <w:rFonts w:ascii="Times New Roman" w:hAnsi="Times New Roman"/>
              </w:rPr>
              <w:t>wykorzystanie</w:t>
            </w:r>
            <w:r w:rsidRPr="009E41CB">
              <w:rPr>
                <w:rFonts w:ascii="Times New Roman" w:hAnsi="Times New Roman"/>
              </w:rPr>
              <w:t xml:space="preserve"> jednoznacznych relacji (1:1), pomiędzy grupowaniami stosowanej klasyfikacji </w:t>
            </w:r>
            <w:r w:rsidR="00D0152E">
              <w:rPr>
                <w:rFonts w:ascii="Times New Roman" w:hAnsi="Times New Roman"/>
              </w:rPr>
              <w:br/>
            </w:r>
            <w:r w:rsidRPr="009E41CB">
              <w:rPr>
                <w:rFonts w:ascii="Times New Roman" w:hAnsi="Times New Roman"/>
              </w:rPr>
              <w:t xml:space="preserve">i nowo wprowadzanej lub zmienianej, </w:t>
            </w:r>
            <w:r w:rsidR="00D0152E">
              <w:rPr>
                <w:rFonts w:ascii="Times New Roman" w:hAnsi="Times New Roman"/>
              </w:rPr>
              <w:t>do</w:t>
            </w:r>
            <w:r w:rsidRPr="009E41CB">
              <w:rPr>
                <w:rFonts w:ascii="Times New Roman" w:hAnsi="Times New Roman"/>
              </w:rPr>
              <w:t xml:space="preserve"> automatyczne</w:t>
            </w:r>
            <w:r w:rsidR="00D0152E">
              <w:rPr>
                <w:rFonts w:ascii="Times New Roman" w:hAnsi="Times New Roman"/>
              </w:rPr>
              <w:t>go</w:t>
            </w:r>
            <w:r w:rsidRPr="009E41CB">
              <w:rPr>
                <w:rFonts w:ascii="Times New Roman" w:hAnsi="Times New Roman"/>
              </w:rPr>
              <w:t xml:space="preserve"> przeklasyfikowani</w:t>
            </w:r>
            <w:r w:rsidR="00D0152E">
              <w:rPr>
                <w:rFonts w:ascii="Times New Roman" w:hAnsi="Times New Roman"/>
              </w:rPr>
              <w:t>a</w:t>
            </w:r>
            <w:r w:rsidRPr="009E41CB">
              <w:rPr>
                <w:rFonts w:ascii="Times New Roman" w:hAnsi="Times New Roman"/>
              </w:rPr>
              <w:t xml:space="preserve"> podmiotów w rejestrach urzędowych, </w:t>
            </w:r>
            <w:r w:rsidR="00D0152E">
              <w:rPr>
                <w:rFonts w:ascii="Times New Roman" w:hAnsi="Times New Roman"/>
              </w:rPr>
              <w:br/>
            </w:r>
            <w:r w:rsidRPr="009E41CB">
              <w:rPr>
                <w:rFonts w:ascii="Times New Roman" w:hAnsi="Times New Roman"/>
              </w:rPr>
              <w:t>w przypadku zmian wprowadzanych w Polskiej Klasyfikacji Działalności.</w:t>
            </w:r>
          </w:p>
          <w:p w14:paraId="2DEB7748" w14:textId="77777777" w:rsidR="004F4755" w:rsidRPr="009E41CB" w:rsidRDefault="004F4755" w:rsidP="004F4755">
            <w:pPr>
              <w:spacing w:before="120" w:line="240" w:lineRule="exact"/>
              <w:jc w:val="both"/>
              <w:rPr>
                <w:rFonts w:ascii="Times New Roman" w:hAnsi="Times New Roman"/>
              </w:rPr>
            </w:pPr>
            <w:r w:rsidRPr="009E41CB">
              <w:rPr>
                <w:rFonts w:ascii="Times New Roman" w:hAnsi="Times New Roman"/>
              </w:rPr>
              <w:t xml:space="preserve">Projektowane obecnie rozporządzenie Rady Ministrów w sprawie Polskiej Klasyfikacji Działalności (PKD) (RC7), wydawane na dotychczasowej podstawie prawnej (art. 40 ust. 2 ustawy o statystyce publicznej) z dniem 1 stycznia 2025 r. ma zastąpić obecnie obowiązujące rozporządzenie Rady Ministrów z dnia 24 grudnia 2007 r. w sprawie Polskiej Klasyfikacji Działalności (PKD) (Dz. U. poz. 1885, z </w:t>
            </w:r>
            <w:proofErr w:type="spellStart"/>
            <w:r w:rsidRPr="009E41CB">
              <w:rPr>
                <w:rFonts w:ascii="Times New Roman" w:hAnsi="Times New Roman"/>
              </w:rPr>
              <w:t>późn</w:t>
            </w:r>
            <w:proofErr w:type="spellEnd"/>
            <w:r w:rsidRPr="009E41CB">
              <w:rPr>
                <w:rFonts w:ascii="Times New Roman" w:hAnsi="Times New Roman"/>
              </w:rPr>
              <w:t>. zm.). Projektowane rozporządzenie zostało dnia 5 września 2024 r. skierowane do uzgodnień międzyresortowych, opiniowania i konsultacji publicznych.</w:t>
            </w:r>
          </w:p>
          <w:p w14:paraId="12DD8073" w14:textId="22019675" w:rsidR="003468AB" w:rsidRPr="004F4755" w:rsidRDefault="004F4755" w:rsidP="004F4755">
            <w:pPr>
              <w:spacing w:before="120" w:line="240" w:lineRule="exact"/>
              <w:jc w:val="both"/>
            </w:pPr>
            <w:r w:rsidRPr="009E41CB">
              <w:rPr>
                <w:rFonts w:ascii="Times New Roman" w:hAnsi="Times New Roman"/>
              </w:rPr>
              <w:t xml:space="preserve">Projektowana ustawa ma również na celu wprowadzenie podstawy prawnej w akcie rangi ustawowej umożliwiającej automatyczne przeklasyfikowanie podmiotów, które w rejestrach urzędowych mają wskazany kod PKD 93.29.Z  i które </w:t>
            </w:r>
            <w:r w:rsidRPr="009E41CB">
              <w:rPr>
                <w:rFonts w:ascii="Times New Roman" w:hAnsi="Times New Roman"/>
              </w:rPr>
              <w:lastRenderedPageBreak/>
              <w:t>do dnia 31 grudnia 2025 r. nie złożą wniosku o zmianę wpisu w Centralnej Ewidencji i Informacji o Działalności Gospodarczej (dalej: „CEIDG”), Krajowym Rejestrze Sądowym (dalej: „KRS”) lub rejestrze REGON i nie wybiorą samodzielnie kodu PKD 93.29.A albo PKD 93.29.B, zgodnie z rozporządzeniem Rady Ministrów z dnia 24 czerwca 2020 r. zmieniającym rozporządzenie w sprawie Polskiej Klasyfikacji Działalności (PKD) (Dz. U. poz. 1249, z 2021 r. poz. 1364, z 2022 r. poz. 1551 oraz z 2023 r. poz. 2668). Bez uregulowania tej kwestii, po upływie wyznaczonego tym rozporządzeniem okresu przejściowego, w którym możliwe jest stosowanie zarówno dotychczasowego kodu PKD 93.29.Z, jak i jednego z kodów PKD 93.29.A albo PKD 93.29.B, zaistniałaby luka prawna. W zakresie dotyczącym przedsiębiorców zarejestrowanych, dla których przedmiot prowadzonej działalności jest oznaczony pozostawionym w mocy do końca tego okresu przejściowego kodem PKD 93.29.Z, zmiana tego kodu z urzędu na jeden z kodów (PKD 93.29.A albo PKD 93.29.B) nie byłaby już możliwa.</w:t>
            </w:r>
          </w:p>
        </w:tc>
      </w:tr>
      <w:bookmarkEnd w:id="3"/>
      <w:tr w:rsidR="0058777E" w:rsidRPr="008B4FE6" w14:paraId="3765E88A" w14:textId="77777777" w:rsidTr="00AC17BB">
        <w:trPr>
          <w:gridAfter w:val="1"/>
          <w:wAfter w:w="10" w:type="dxa"/>
          <w:trHeight w:val="142"/>
        </w:trPr>
        <w:tc>
          <w:tcPr>
            <w:tcW w:w="10937" w:type="dxa"/>
            <w:gridSpan w:val="29"/>
            <w:shd w:val="clear" w:color="auto" w:fill="99CCFF"/>
            <w:vAlign w:val="center"/>
          </w:tcPr>
          <w:p w14:paraId="3F04D4D6" w14:textId="77777777" w:rsidR="0058777E" w:rsidRPr="008B4FE6" w:rsidRDefault="0058777E" w:rsidP="00F9511E">
            <w:pPr>
              <w:numPr>
                <w:ilvl w:val="0"/>
                <w:numId w:val="1"/>
              </w:numPr>
              <w:spacing w:before="60" w:after="60" w:line="240" w:lineRule="auto"/>
              <w:ind w:left="318" w:hanging="284"/>
              <w:jc w:val="both"/>
              <w:rPr>
                <w:rFonts w:ascii="Times New Roman" w:hAnsi="Times New Roman"/>
                <w:b/>
                <w:color w:val="000000"/>
              </w:rPr>
            </w:pPr>
            <w:r w:rsidRPr="001A5FDA">
              <w:rPr>
                <w:rFonts w:ascii="Times New Roman" w:hAnsi="Times New Roman"/>
                <w:b/>
                <w:color w:val="000000"/>
                <w:spacing w:val="-2"/>
              </w:rPr>
              <w:lastRenderedPageBreak/>
              <w:t>Rekomendowane rozwiązanie</w:t>
            </w:r>
            <w:r>
              <w:rPr>
                <w:rFonts w:ascii="Times New Roman" w:hAnsi="Times New Roman"/>
                <w:b/>
                <w:color w:val="000000"/>
                <w:spacing w:val="-2"/>
              </w:rPr>
              <w:t>,</w:t>
            </w:r>
            <w:r w:rsidRPr="001A5FDA">
              <w:rPr>
                <w:rFonts w:ascii="Times New Roman" w:hAnsi="Times New Roman"/>
                <w:b/>
                <w:color w:val="000000"/>
                <w:spacing w:val="-2"/>
              </w:rPr>
              <w:t xml:space="preserve"> w tym planowane narzędzia interwencji</w:t>
            </w:r>
            <w:r>
              <w:rPr>
                <w:rFonts w:ascii="Times New Roman" w:hAnsi="Times New Roman"/>
                <w:b/>
                <w:color w:val="000000"/>
                <w:spacing w:val="-2"/>
              </w:rPr>
              <w:t>,</w:t>
            </w:r>
            <w:r w:rsidRPr="001A5FDA">
              <w:rPr>
                <w:rFonts w:ascii="Times New Roman" w:hAnsi="Times New Roman"/>
                <w:b/>
                <w:color w:val="000000"/>
                <w:spacing w:val="-2"/>
              </w:rPr>
              <w:t xml:space="preserve"> i oczekiwany efekt</w:t>
            </w:r>
          </w:p>
        </w:tc>
      </w:tr>
      <w:tr w:rsidR="003468AB" w:rsidRPr="008B4FE6" w14:paraId="1730258F" w14:textId="77777777" w:rsidTr="00AC17BB">
        <w:trPr>
          <w:gridAfter w:val="1"/>
          <w:wAfter w:w="10" w:type="dxa"/>
          <w:trHeight w:val="983"/>
        </w:trPr>
        <w:tc>
          <w:tcPr>
            <w:tcW w:w="10937" w:type="dxa"/>
            <w:gridSpan w:val="29"/>
            <w:shd w:val="clear" w:color="auto" w:fill="auto"/>
          </w:tcPr>
          <w:p w14:paraId="28BE18C0" w14:textId="77777777" w:rsidR="001A1489" w:rsidRPr="009E41CB" w:rsidRDefault="001A1489" w:rsidP="001A1489">
            <w:pPr>
              <w:spacing w:after="120" w:line="240" w:lineRule="exact"/>
              <w:jc w:val="both"/>
              <w:rPr>
                <w:rFonts w:ascii="Times New Roman" w:hAnsi="Times New Roman"/>
              </w:rPr>
            </w:pPr>
            <w:bookmarkStart w:id="7" w:name="_Hlk148372434"/>
            <w:r w:rsidRPr="009E41CB">
              <w:rPr>
                <w:rFonts w:ascii="Times New Roman" w:hAnsi="Times New Roman"/>
              </w:rPr>
              <w:t xml:space="preserve">Biorąc pod uwagę problemy wskazane w pkt 1 OSR dotyczące rejestrów urzędowych REGON i TERYT, uznano </w:t>
            </w:r>
            <w:r w:rsidRPr="009E41CB">
              <w:rPr>
                <w:rFonts w:ascii="Times New Roman" w:hAnsi="Times New Roman"/>
              </w:rPr>
              <w:br/>
              <w:t>za konieczne wprowadzenie w ustawie o statystyce publicznej rozwiązań mających na celu uporządkowanie i udoskonalenie dotychczasowych regulacji dotyczących tych rejestrów.</w:t>
            </w:r>
          </w:p>
          <w:p w14:paraId="1FC84E9A"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 xml:space="preserve">W zakresie dotyczącym Polskiej Klasyfikacji Działalności proponuje się dodanie art. 40a i 40b do ustawy o statystyce publicznej (art. 1 pkt 8 projektu ustawy). </w:t>
            </w:r>
          </w:p>
          <w:p w14:paraId="627C1D0B"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Zmiana polegająca na dodaniu art. 40a do ustawy o statystyce publicznej (art. 1 pkt 8 projektu ustawy) ma na celu określenie znaczenia wzajemnych relacji wieloznacznych, wzajemnych relacji jednoznacznych oraz szczegółowych interpretacji wzajemnych relacji wieloznacznych, jako integralnych części rozporządzenia Rady Ministrów w sprawie Polskiej Klasyfikacji Działalności (po wejściu w życie projektowanej ustawy rozporządzenie to będzie wydawane na podstawie art. 40 ust. 2 i 3 ustawy o statystyce publicznej, a nie – jak dotychczas miało to miejsce – na podstawie art. 40 ust. 2 tej ustawy).</w:t>
            </w:r>
          </w:p>
          <w:p w14:paraId="4E732A8D"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 xml:space="preserve">Do wzajemnych relacji jednoznacznych zalicza się powiązania, dla których możliwe jest jednoznaczne przypisanie działalności określonej wg kodów dotychczasowej oraz nowej PKD (1:1 oraz n:1). </w:t>
            </w:r>
          </w:p>
          <w:p w14:paraId="71DC2EFA" w14:textId="026C8C62" w:rsidR="001A1489" w:rsidRDefault="001A1489" w:rsidP="001A1489">
            <w:pPr>
              <w:spacing w:line="240" w:lineRule="exact"/>
              <w:jc w:val="both"/>
              <w:rPr>
                <w:rFonts w:ascii="Times New Roman" w:hAnsi="Times New Roman"/>
              </w:rPr>
            </w:pPr>
            <w:r w:rsidRPr="009E41CB">
              <w:rPr>
                <w:rFonts w:ascii="Times New Roman" w:hAnsi="Times New Roman"/>
              </w:rPr>
              <w:t xml:space="preserve">W oparciu o analizę relacji wieloznacznych, tj. takich w których z jednej działalności wyodrębniono kilka działalności (1:n), zostanie opracowany klucz zawierający relacje jednoznaczne (1:1, np. z dwóch grupowań, na które podzielony został dotychczasowy kod zostanie wybrane jedno najbardziej odpowiednie grupowanie, ze względu na </w:t>
            </w:r>
            <w:r w:rsidR="00D0152E">
              <w:rPr>
                <w:rFonts w:ascii="Times New Roman" w:hAnsi="Times New Roman"/>
              </w:rPr>
              <w:t>najszerszy</w:t>
            </w:r>
            <w:r w:rsidRPr="009E41CB">
              <w:rPr>
                <w:rFonts w:ascii="Times New Roman" w:hAnsi="Times New Roman"/>
              </w:rPr>
              <w:t xml:space="preserve"> zakres </w:t>
            </w:r>
            <w:r w:rsidR="00D0152E">
              <w:rPr>
                <w:rFonts w:ascii="Times New Roman" w:hAnsi="Times New Roman"/>
              </w:rPr>
              <w:t>działalności ujęty</w:t>
            </w:r>
            <w:r w:rsidR="00CE6289">
              <w:rPr>
                <w:rFonts w:ascii="Times New Roman" w:hAnsi="Times New Roman"/>
              </w:rPr>
              <w:t>ch</w:t>
            </w:r>
            <w:r w:rsidR="00D0152E">
              <w:rPr>
                <w:rFonts w:ascii="Times New Roman" w:hAnsi="Times New Roman"/>
              </w:rPr>
              <w:t xml:space="preserve"> w tym </w:t>
            </w:r>
            <w:r w:rsidRPr="009E41CB">
              <w:rPr>
                <w:rFonts w:ascii="Times New Roman" w:hAnsi="Times New Roman"/>
              </w:rPr>
              <w:t>grupowani</w:t>
            </w:r>
            <w:r w:rsidR="00D0152E">
              <w:rPr>
                <w:rFonts w:ascii="Times New Roman" w:hAnsi="Times New Roman"/>
              </w:rPr>
              <w:t>u</w:t>
            </w:r>
            <w:r w:rsidRPr="009E41CB">
              <w:rPr>
                <w:rFonts w:ascii="Times New Roman" w:hAnsi="Times New Roman"/>
              </w:rPr>
              <w:t xml:space="preserve">. Najważniejszym celem dokonania analizy i szczegółowych interpretacji powiązań wieloznacznych (1:n) jest uniknięcie sytuacji, w której powstałaby luka w danych spowodowana niezłożeniem przez podmioty wniosków </w:t>
            </w:r>
            <w:r>
              <w:rPr>
                <w:rFonts w:ascii="Times New Roman" w:hAnsi="Times New Roman"/>
              </w:rPr>
              <w:br/>
            </w:r>
            <w:r w:rsidRPr="009E41CB">
              <w:rPr>
                <w:rFonts w:ascii="Times New Roman" w:hAnsi="Times New Roman"/>
              </w:rPr>
              <w:t xml:space="preserve">o przeklasyfikowanie w okresie przejściowym. </w:t>
            </w:r>
          </w:p>
          <w:p w14:paraId="791C9DB1" w14:textId="567216A9" w:rsidR="001A1489" w:rsidRPr="009E41CB" w:rsidRDefault="001A1489" w:rsidP="001A1489">
            <w:pPr>
              <w:spacing w:line="240" w:lineRule="exact"/>
              <w:jc w:val="both"/>
              <w:rPr>
                <w:rFonts w:ascii="Times New Roman" w:hAnsi="Times New Roman"/>
              </w:rPr>
            </w:pPr>
            <w:r w:rsidRPr="009E41CB">
              <w:rPr>
                <w:rFonts w:ascii="Times New Roman" w:hAnsi="Times New Roman"/>
              </w:rPr>
              <w:t xml:space="preserve">Wzajemne relacje (wieloznaczne i jednoznaczne) wraz ze </w:t>
            </w:r>
            <w:bookmarkStart w:id="8" w:name="_Hlk176944695"/>
            <w:r w:rsidRPr="009E41CB">
              <w:rPr>
                <w:rFonts w:ascii="Times New Roman" w:hAnsi="Times New Roman"/>
              </w:rPr>
              <w:t>szczegółowymi interpretacjami wzajemnych relacji wieloznacznych</w:t>
            </w:r>
            <w:bookmarkEnd w:id="8"/>
            <w:r w:rsidRPr="009E41CB">
              <w:rPr>
                <w:rFonts w:ascii="Times New Roman" w:hAnsi="Times New Roman"/>
              </w:rPr>
              <w:t xml:space="preserve"> umożliwią:</w:t>
            </w:r>
          </w:p>
          <w:p w14:paraId="59DA9306" w14:textId="77777777" w:rsidR="001A1489" w:rsidRPr="009E41CB" w:rsidRDefault="001A1489" w:rsidP="001A1489">
            <w:pPr>
              <w:pStyle w:val="ZLITPKTzmpktliter"/>
              <w:numPr>
                <w:ilvl w:val="0"/>
                <w:numId w:val="40"/>
              </w:numPr>
              <w:spacing w:line="240" w:lineRule="exact"/>
              <w:rPr>
                <w:rFonts w:ascii="Times New Roman" w:hAnsi="Times New Roman" w:cs="Times New Roman"/>
                <w:sz w:val="22"/>
                <w:szCs w:val="22"/>
              </w:rPr>
            </w:pPr>
            <w:r w:rsidRPr="009E41CB">
              <w:rPr>
                <w:rFonts w:ascii="Times New Roman" w:hAnsi="Times New Roman" w:cs="Times New Roman"/>
                <w:sz w:val="22"/>
                <w:szCs w:val="22"/>
              </w:rPr>
              <w:t xml:space="preserve">podmiotom wykonującym działalność gospodarczą złożenie wniosku o zmianę wpisu </w:t>
            </w:r>
            <w:r w:rsidRPr="009E41CB">
              <w:rPr>
                <w:rFonts w:ascii="Times New Roman" w:hAnsi="Times New Roman" w:cs="Times New Roman"/>
                <w:sz w:val="22"/>
                <w:szCs w:val="22"/>
              </w:rPr>
              <w:br/>
              <w:t>w CEIDG, KRS lub rejestrze REGON w zakresie dotyczącym zmiany kodu rodzaju działalności według PKD, przed upływem terminu równoczesnego stosowania dotychczasowej i wprowadzanej albo zmienianej klasyfikacji, określonego w rozporządzeniu wydawanym na podstawie art. 40 ust. 2 i 3 ustawy o statystyce publicznej;</w:t>
            </w:r>
          </w:p>
          <w:p w14:paraId="3147339C" w14:textId="77777777" w:rsidR="001A1489" w:rsidRPr="009E41CB" w:rsidRDefault="001A1489" w:rsidP="001A1489">
            <w:pPr>
              <w:pStyle w:val="ZLITPKTzmpktliter"/>
              <w:numPr>
                <w:ilvl w:val="0"/>
                <w:numId w:val="40"/>
              </w:numPr>
              <w:spacing w:line="240" w:lineRule="exact"/>
              <w:rPr>
                <w:rFonts w:ascii="Times New Roman" w:hAnsi="Times New Roman" w:cs="Times New Roman"/>
                <w:sz w:val="22"/>
                <w:szCs w:val="22"/>
              </w:rPr>
            </w:pPr>
            <w:r w:rsidRPr="009E41CB">
              <w:rPr>
                <w:rFonts w:ascii="Times New Roman" w:hAnsi="Times New Roman" w:cs="Times New Roman"/>
                <w:sz w:val="22"/>
                <w:szCs w:val="22"/>
              </w:rPr>
              <w:t>CEIDG oraz rejestrowi REGON automatyczne przeklasyfikowanie wskazanych kodów rodzajów działalności po upływie ww. terminu równoczesnego stosowania dotychczasowej i wprowadzanej albo zmienianej klasyfikacji.</w:t>
            </w:r>
          </w:p>
          <w:p w14:paraId="1393A6C4" w14:textId="25527455"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 xml:space="preserve">Należy zwrócić uwagę, że w przypadku podmiotów zarejestrowanych w KRS, wzajemne relacje jednoznaczne </w:t>
            </w:r>
            <w:r w:rsidR="00CE6289">
              <w:rPr>
                <w:rFonts w:ascii="Times New Roman" w:hAnsi="Times New Roman"/>
              </w:rPr>
              <w:t xml:space="preserve">oraz </w:t>
            </w:r>
            <w:r w:rsidR="00CE6289" w:rsidRPr="009E41CB">
              <w:rPr>
                <w:rFonts w:ascii="Times New Roman" w:hAnsi="Times New Roman"/>
              </w:rPr>
              <w:t>szczegółow</w:t>
            </w:r>
            <w:r w:rsidR="00CE6289">
              <w:rPr>
                <w:rFonts w:ascii="Times New Roman" w:hAnsi="Times New Roman"/>
              </w:rPr>
              <w:t xml:space="preserve">e </w:t>
            </w:r>
            <w:r w:rsidR="00CE6289" w:rsidRPr="009E41CB">
              <w:rPr>
                <w:rFonts w:ascii="Times New Roman" w:hAnsi="Times New Roman"/>
              </w:rPr>
              <w:t>interpretacj</w:t>
            </w:r>
            <w:r w:rsidR="00CE6289">
              <w:rPr>
                <w:rFonts w:ascii="Times New Roman" w:hAnsi="Times New Roman"/>
              </w:rPr>
              <w:t xml:space="preserve">e </w:t>
            </w:r>
            <w:r w:rsidR="00CE6289" w:rsidRPr="009E41CB">
              <w:rPr>
                <w:rFonts w:ascii="Times New Roman" w:hAnsi="Times New Roman"/>
              </w:rPr>
              <w:t xml:space="preserve">wzajemnych relacji wieloznacznych </w:t>
            </w:r>
            <w:r w:rsidRPr="009E41CB">
              <w:rPr>
                <w:rFonts w:ascii="Times New Roman" w:hAnsi="Times New Roman"/>
              </w:rPr>
              <w:t xml:space="preserve">umożliwią również rejestrowi REGON automatyczne przeklasyfikowanie wskazanych kodów przedmiotu działalności według PKD dla tych podmiotów, co nastąpi po upływie terminu równoczesnego stosowania dotychczasowej i wprowadzanej albo zmienianej klasyfikacji, określonego w rozporządzeniu Rady Ministrów wydanym na podstawie art. 40 ust. 2 i 3 ustawy o statystyce publicznej oraz po otrzymaniu z KRS zestawienia podmiotów wymagających takiego automatycznego przeklasyfikowania. Następnie rejestr REGON, niezwłocznie po przeklasyfikowaniu wskazanych kodów przedmiotu działalności według PKD dla omawianej grupy podmiotów, będzie przesyłać informację o zmienionych kodach do KRS. Na tej podstawie będzie dokonywane automatyczne zamieszczenie w KRS informacji otrzymanej z rejestru REGON. </w:t>
            </w:r>
          </w:p>
          <w:p w14:paraId="22715E6F"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Rozwiązanie takie umożliwi minimalizację kosztów przeklasyfikowania podmiotów zarejestrowanych w KRS w stosunku do dotychczasowego pomysłu proponowanego w ramach uzgodnień międzyresortowych. Dotychczas proponowany sposób przeklasyfikowania generował – w ocenie Ministerstwa Sprawiedliwości – bardzo wysokie koszty, sięgające kwoty 258.066.986 zł obliczonej dla 10 lat od dnia wejścia w życie projektowanych zmian (na podstawie wkładu MS do OSR projektu ustawy, stanowiącego załącznik do pisma z dnia 11 czerwca 2024 r., znak DLPK-V.454.83.2024). Koszty realizacji przeklasyfikowania, oszacowane przez Ministerstwo Sprawiedliwości, nie mogły zostać zaakceptowane przez projektodawcę (Główny Urząd Statystyczny).</w:t>
            </w:r>
          </w:p>
          <w:p w14:paraId="724088C3" w14:textId="77777777"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Zmiana polegająca na dodaniu art. 40b do ustawy o statystyce publicznej (art. 1 pkt 8 projektu ustawy) ma na celu ukształtowanie rozwiązań prawnych umożliwiających automatyczne przeklasyfikowanie podmiotów w rejestrze REGON w przypadku wydawania nowej Polskiej Klasyfikacji Działalności albo wprowadzania zmian w obowiązującej Polskiej Klasyfikacji Działalności.</w:t>
            </w:r>
          </w:p>
          <w:p w14:paraId="30CB82C6" w14:textId="77777777" w:rsidR="001A1489" w:rsidRPr="009E41CB" w:rsidRDefault="001A1489" w:rsidP="001A1489">
            <w:pPr>
              <w:spacing w:line="240" w:lineRule="exact"/>
              <w:jc w:val="both"/>
              <w:rPr>
                <w:rFonts w:ascii="Times New Roman" w:hAnsi="Times New Roman"/>
              </w:rPr>
            </w:pPr>
            <w:r w:rsidRPr="009E41CB">
              <w:rPr>
                <w:rFonts w:ascii="Times New Roman" w:hAnsi="Times New Roman"/>
              </w:rPr>
              <w:t>W zakresie dotyczącym przeklasyfikowania podmiotów w rejestrze REGON proponuje się następujący mechanizm:</w:t>
            </w:r>
          </w:p>
          <w:p w14:paraId="0A64A8FE" w14:textId="410E8A1A" w:rsidR="001A1489" w:rsidRPr="00E05A5F" w:rsidRDefault="001A1489" w:rsidP="001A1489">
            <w:pPr>
              <w:pStyle w:val="Akapitzlist"/>
              <w:numPr>
                <w:ilvl w:val="0"/>
                <w:numId w:val="39"/>
              </w:numPr>
              <w:spacing w:line="240" w:lineRule="exact"/>
              <w:jc w:val="both"/>
              <w:rPr>
                <w:rFonts w:ascii="Times New Roman" w:hAnsi="Times New Roman"/>
              </w:rPr>
            </w:pPr>
            <w:r w:rsidRPr="00E05A5F">
              <w:rPr>
                <w:rFonts w:ascii="Times New Roman" w:hAnsi="Times New Roman"/>
              </w:rPr>
              <w:lastRenderedPageBreak/>
              <w:t xml:space="preserve">Po pierwsze, podmioty wykonujące działalność gospodarczą, której przedmiot jest oznaczony w rejestrze REGON kodem Polskiej Klasyfikacji Działalności, który podlega uchyleniu lub zmianie (na mocy rozporządzenia Rady Ministrów wydawanego na podstawie art. 40 ust. 2 i 3 ustawy o statystyce publicznej), zobowiązane są zgłosić </w:t>
            </w:r>
            <w:r>
              <w:rPr>
                <w:rFonts w:ascii="Times New Roman" w:hAnsi="Times New Roman"/>
              </w:rPr>
              <w:br/>
            </w:r>
            <w:r w:rsidRPr="00E05A5F">
              <w:rPr>
                <w:rFonts w:ascii="Times New Roman" w:hAnsi="Times New Roman"/>
              </w:rPr>
              <w:t>w tym rejestrze nowy lub zmieniony kod PKD, wynikający z tych przepisów wykonawczych. Zgłoszenie powinno być dokonane w terminie równoczesnego stosowania dotychczasowej i wprowadzanej albo zmienianej klasyfikacji, przy czym termin ten zostanie określony w rozporządzeniu Rady Ministrów wprowadzającym nową klasyfikację albo wprowadzającym zmiany w dotychczasowej klasyfikacji.</w:t>
            </w:r>
          </w:p>
          <w:p w14:paraId="52B3E18D" w14:textId="22A36026" w:rsidR="001A1489" w:rsidRPr="00E05A5F" w:rsidRDefault="001A1489" w:rsidP="001A1489">
            <w:pPr>
              <w:pStyle w:val="Akapitzlist"/>
              <w:numPr>
                <w:ilvl w:val="0"/>
                <w:numId w:val="39"/>
              </w:numPr>
              <w:spacing w:line="240" w:lineRule="exact"/>
              <w:jc w:val="both"/>
              <w:rPr>
                <w:rFonts w:ascii="Times New Roman" w:hAnsi="Times New Roman"/>
              </w:rPr>
            </w:pPr>
            <w:r w:rsidRPr="00E05A5F">
              <w:rPr>
                <w:rFonts w:ascii="Times New Roman" w:hAnsi="Times New Roman"/>
              </w:rPr>
              <w:t xml:space="preserve">Po upływie tego terminu, w razie niedopełnienia ww. obowiązku przez podmiot wykonujący działalność gospodarczą, kod PKD jest zmieniany automatycznie w rejestrze REGON w sposób określony we ww. wzajemnych relacjach pomiędzy obowiązującą i wprowadzaną albo zmienianą klasyfikacją. </w:t>
            </w:r>
          </w:p>
          <w:p w14:paraId="59E0D0C9" w14:textId="77777777" w:rsidR="001A1489" w:rsidRPr="00E05A5F" w:rsidRDefault="001A1489" w:rsidP="001A1489">
            <w:pPr>
              <w:pStyle w:val="Akapitzlist"/>
              <w:numPr>
                <w:ilvl w:val="0"/>
                <w:numId w:val="39"/>
              </w:numPr>
              <w:spacing w:line="240" w:lineRule="exact"/>
              <w:jc w:val="both"/>
              <w:rPr>
                <w:rFonts w:ascii="Times New Roman" w:hAnsi="Times New Roman"/>
              </w:rPr>
            </w:pPr>
            <w:r w:rsidRPr="00E05A5F">
              <w:rPr>
                <w:rFonts w:ascii="Times New Roman" w:hAnsi="Times New Roman"/>
              </w:rPr>
              <w:t>Automatyczna zmiana w rejestrze REGON jest dokonywana wyłącznie w odniesieniu do podmiotów, które nie są wpisane do CEIDG lub Rejestru Szkół i Placówek Oświatowych. Należy wyjaśnić, że w przypadku podmiotów wpisanych do CEIDG lub Rejestru Szkół i Placówek Oświatowych zmiany w rejestrze REGON są przekazywane automatycznie w sposób wtórny – po ich wprowadzeniu w tych rejestrach.</w:t>
            </w:r>
          </w:p>
          <w:p w14:paraId="20B6A4CF" w14:textId="65D4CD34" w:rsidR="001A1489" w:rsidRPr="00E05A5F" w:rsidRDefault="001A1489" w:rsidP="001A1489">
            <w:pPr>
              <w:pStyle w:val="Akapitzlist"/>
              <w:numPr>
                <w:ilvl w:val="0"/>
                <w:numId w:val="39"/>
              </w:numPr>
              <w:spacing w:line="240" w:lineRule="exact"/>
              <w:jc w:val="both"/>
              <w:rPr>
                <w:rFonts w:ascii="Times New Roman" w:hAnsi="Times New Roman"/>
              </w:rPr>
            </w:pPr>
            <w:r w:rsidRPr="00E05A5F">
              <w:rPr>
                <w:rFonts w:ascii="Times New Roman" w:hAnsi="Times New Roman"/>
              </w:rPr>
              <w:t xml:space="preserve">Jak już wskazano wyżej, automatyczna zmiana kodu Polskiej Klasyfikacji Działalności dla podmiotów zarejestrowanych w Krajowym Rejestrze Sądowym jest dokonywana na zasadach i w trybie określonych </w:t>
            </w:r>
            <w:r>
              <w:rPr>
                <w:rFonts w:ascii="Times New Roman" w:hAnsi="Times New Roman"/>
              </w:rPr>
              <w:br/>
            </w:r>
            <w:r w:rsidRPr="00E05A5F">
              <w:rPr>
                <w:rFonts w:ascii="Times New Roman" w:hAnsi="Times New Roman"/>
              </w:rPr>
              <w:t>w art. 40a ust. 2 i 3.</w:t>
            </w:r>
          </w:p>
          <w:p w14:paraId="19DD615C" w14:textId="219DE2B2" w:rsidR="001A1489" w:rsidRPr="009E41CB" w:rsidRDefault="001A1489" w:rsidP="001A1489">
            <w:pPr>
              <w:spacing w:before="120" w:line="240" w:lineRule="exact"/>
              <w:jc w:val="both"/>
              <w:rPr>
                <w:rFonts w:ascii="Times New Roman" w:hAnsi="Times New Roman"/>
              </w:rPr>
            </w:pPr>
            <w:r w:rsidRPr="009E41CB">
              <w:rPr>
                <w:rFonts w:ascii="Times New Roman" w:hAnsi="Times New Roman"/>
              </w:rPr>
              <w:t xml:space="preserve">Mając na uwadze konieczną spójność systemu prawa, odpowiednie rozwiązania umożliwiające automatyczne przeklasyfikowanie podmiotów w przypadku wydania nowej Polskiej Klasyfikacji Działalności albo wprowadzenia zmian w obowiązującej Polskiej Klasyfikacji Działalności zostały zaproponowane w ustawach regulujących funkcjonowanie CEIDG oraz KRS, tj. w ustawie z dnia 6 marca 2018 r. o Centralnej Ewidencji i Informacji o Działalności Gospodarczej </w:t>
            </w:r>
            <w:r>
              <w:rPr>
                <w:rFonts w:ascii="Times New Roman" w:hAnsi="Times New Roman"/>
              </w:rPr>
              <w:br/>
            </w:r>
            <w:r w:rsidRPr="009E41CB">
              <w:rPr>
                <w:rFonts w:ascii="Times New Roman" w:hAnsi="Times New Roman"/>
              </w:rPr>
              <w:t xml:space="preserve">i Punkcie Informacji dla Przedsiębiorcy (art. 6 projektu ustawy) oraz ustawie z dnia 20 sierpnia 1997 r. o Krajowym Rejestrze Sądowym (Dz. U. z 2024 r. poz. 979) (art. 5 projektu ustawy). W przypadku ustawy z dnia 20 sierpnia 1997 r. </w:t>
            </w:r>
            <w:r>
              <w:rPr>
                <w:rFonts w:ascii="Times New Roman" w:hAnsi="Times New Roman"/>
              </w:rPr>
              <w:br/>
            </w:r>
            <w:r w:rsidRPr="009E41CB">
              <w:rPr>
                <w:rFonts w:ascii="Times New Roman" w:hAnsi="Times New Roman"/>
              </w:rPr>
              <w:t>o Krajowym Rejestrze Sądowym zaproponowano nowe brzmienie ust. 1a w art. 20 oraz dodano art. 20e.</w:t>
            </w:r>
          </w:p>
          <w:p w14:paraId="5CECB6D3" w14:textId="77777777" w:rsidR="001A1489" w:rsidRPr="009E41CB" w:rsidRDefault="001A1489" w:rsidP="001A1489">
            <w:pPr>
              <w:pStyle w:val="Akapitzlist"/>
              <w:spacing w:before="120" w:after="120" w:line="240" w:lineRule="exact"/>
              <w:ind w:left="0"/>
              <w:contextualSpacing w:val="0"/>
              <w:jc w:val="both"/>
              <w:rPr>
                <w:rFonts w:ascii="Times New Roman" w:hAnsi="Times New Roman"/>
              </w:rPr>
            </w:pPr>
            <w:r w:rsidRPr="009E41CB">
              <w:rPr>
                <w:rFonts w:ascii="Times New Roman" w:hAnsi="Times New Roman"/>
              </w:rPr>
              <w:t xml:space="preserve">Z drugiej strony, projektowana ustawa ma również na celu wprowadzenie podstawy prawnej w akcie rangi ustawowej umożliwiającej automatyczne przeklasyfikowanie podmiotów, które w rejestrach urzędowych mają wskazany kod PKD 93.29.Z  i które do dnia 31 grudnia 2025 r. nie złożą wniosku o zmianę wpisu w CEIDG, KRS lub rejestrze REGON i nie wybiorą samodzielnie kodu PKD 93.29.A albo PKD 93.29.B, zgodnie z rozporządzeniem Rady Ministrów z dnia </w:t>
            </w:r>
            <w:r w:rsidRPr="009E41CB">
              <w:rPr>
                <w:rFonts w:ascii="Times New Roman" w:hAnsi="Times New Roman"/>
              </w:rPr>
              <w:br/>
              <w:t xml:space="preserve">24 czerwca 2020 r. zmieniającym rozporządzenie w sprawie Polskiej Klasyfikacji Działalności (PKD) (Dz. U. poz. 1249, z 2021 r. poz. 1364, z 2022 r. poz. 1551 oraz z 2023 r. poz. 2668). Bez uregulowania tej kwestii, po upływie wyznaczonego tym rozporządzeniem okresu przejściowego, w którym możliwe jest stosowanie zarówno dotychczasowego kodu PKD 93.29.Z, jak i jednego z kodów PKD 93.29.A albo PKD 93.29.B, zaistniałaby luka prawna. W zakresie dotyczącym przedsiębiorców zarejestrowanych, dla których przedmiot prowadzonej działalności jest oznaczony pozostawionym </w:t>
            </w:r>
            <w:r w:rsidRPr="009E41CB">
              <w:rPr>
                <w:rFonts w:ascii="Times New Roman" w:hAnsi="Times New Roman"/>
              </w:rPr>
              <w:br/>
              <w:t xml:space="preserve">w mocy do końca tego okresu przejściowego kodem PKD 93.29.Z, zmiana tego kodu z urzędu na jeden z nowych kodów (PKD 93.29.A albo PKD 93.29.B) nie byłaby już możliwa. Należy jednak podkreślić, że automatyczna zmiana kodu PKD 93.29.Z na kod PKD 93.29.A albo PKD 93.29.B będzie wymagała przygotowania CEIDG, rejestru REGON oraz KRS do tego procesu – w sensie organizacyjno-technicznym – a działania te powinny zakończyć się do dnia 31 grudnia 2025 r. (art. 12 projektu ustawy). Projektowana ustawa zawiera przepis stanowiący podstawę prawną umożliwiającą automatyczną zmianę, z dniem 1 stycznia 2026 r., w CEIDG, KRS oraz rejestrze REGON pozostawionego w mocy kodu PKD 93.29.Z  (według PKD 2007) na kod PKD 93.29.B (według PKD 2025) (art. 13). </w:t>
            </w:r>
          </w:p>
          <w:p w14:paraId="002EA388" w14:textId="2A9B95C0" w:rsidR="001A1489" w:rsidRPr="009E41CB" w:rsidRDefault="001A1489" w:rsidP="001A1489">
            <w:pPr>
              <w:pStyle w:val="ARTartustawynprozporzdzenia"/>
              <w:spacing w:before="0" w:line="240" w:lineRule="exact"/>
              <w:ind w:firstLine="0"/>
              <w:rPr>
                <w:rFonts w:ascii="Times New Roman" w:hAnsi="Times New Roman" w:cs="Times New Roman"/>
                <w:sz w:val="22"/>
                <w:szCs w:val="22"/>
              </w:rPr>
            </w:pPr>
            <w:bookmarkStart w:id="9" w:name="_Hlk133413423"/>
            <w:r w:rsidRPr="009E41CB">
              <w:rPr>
                <w:rFonts w:ascii="Times New Roman" w:hAnsi="Times New Roman" w:cs="Times New Roman"/>
                <w:sz w:val="22"/>
                <w:szCs w:val="22"/>
              </w:rPr>
              <w:t xml:space="preserve">W art. 12 wyznaczono organom prowadzącym: CEIDG (tj. ministrowi właściwemu ds. spraw gospodarki), rejestr REGON (tj. Prezesowi GUS) oraz KRS (tj. Ministrowi Sprawiedliwości) termin na dostosowanie tych rejestrów urzędowych </w:t>
            </w:r>
            <w:r>
              <w:rPr>
                <w:rFonts w:ascii="Times New Roman" w:hAnsi="Times New Roman" w:cs="Times New Roman"/>
                <w:sz w:val="22"/>
                <w:szCs w:val="22"/>
              </w:rPr>
              <w:br/>
            </w:r>
            <w:r w:rsidRPr="009E41CB">
              <w:rPr>
                <w:rFonts w:ascii="Times New Roman" w:hAnsi="Times New Roman" w:cs="Times New Roman"/>
                <w:sz w:val="22"/>
                <w:szCs w:val="22"/>
              </w:rPr>
              <w:t>do wymagań technicznych umożliwiających automatyczną zmianę w tych rejestrach kodu Polskiej Klasyfikacji Działalności, która nastąpi w razie niedopełnienia przez podmiot wykonujący działalność gospodarczą obowiązku zgłoszenia w tych rejestrach nowego lub zmienionego kodu Polskiej Klasyfikacji Działalności w terminie wyznaczonym w tym celu w przepisach wykonawczych wydanych na podstawie art. 40 ust. 2 i 3</w:t>
            </w:r>
          </w:p>
          <w:p w14:paraId="18445AF2" w14:textId="77777777" w:rsidR="001A1489" w:rsidRPr="00E05A5F" w:rsidRDefault="001A1489" w:rsidP="001A1489">
            <w:pPr>
              <w:pStyle w:val="CZWSPPKTczwsplnapunktw"/>
              <w:spacing w:before="120" w:line="240" w:lineRule="exact"/>
              <w:rPr>
                <w:rFonts w:ascii="Times New Roman" w:hAnsi="Times New Roman" w:cs="Times New Roman"/>
                <w:sz w:val="22"/>
                <w:szCs w:val="22"/>
              </w:rPr>
            </w:pPr>
            <w:r w:rsidRPr="009E41CB">
              <w:rPr>
                <w:rFonts w:ascii="Times New Roman" w:hAnsi="Times New Roman" w:cs="Times New Roman"/>
                <w:sz w:val="22"/>
                <w:szCs w:val="22"/>
              </w:rPr>
              <w:t>Jeżeli wymienione rejestry urzędowe nie spełniają w dniu wejścia w życie projektowanej ustawy ww. wymagań technicznych, organy prowadzące te rejestry mają obowiązek dostosować je do tych wymagań, w terminie do dnia 31 grudnia 2025 r., tj. do dnia, w którym upłynie pierwszy rok obowiązywania nowej Polskiej Klasyfikacji Działalności. Wejście w życie tej klasyfikacji planowane jest na dzień 1 stycznia 2025 roku, przy czym zakłada się, że projektowane obecnie rozporządzenie Rady Ministrów w sprawie Polskiej Klasyfikacji Działalności (PKD) (RC7) ustanowi dwuletni okres przejściowy równoczesnego stosowania dotychczasowej i nowej klasyfikacji. W tym okresie przedsiębiorcy będą mieli możliwość samodzielnie złożyć wniosek o przeklasyfikowanie dotychczasowego kodu PKD w jednym z trzech wymienionych rejestrów urzędowych (CEIDG, rejestr REGON, KRS). Jeżeli nie skorzystają z tej możliwości, po upływie okresu przejściowego kod PKD zostanie w tych rejestrach zmieniony automatycznie. Wyznaczony w art. 12 projektowanej ustawy okres dostosowawczy na wprowadzenie zmian organizacyjno-technicznych dotyczących każdego z wymienionych rejestrów, umożliwiających automatyczną zmianę kodu PKD, należy uznać za wystarczający, mając w szczególności na uwadze dotychczasowe konsultacje trójstronne z udziałem przedstawicieli zainteresowanych organów, prowadzone w tym zakresie już od roku 2021.</w:t>
            </w:r>
          </w:p>
          <w:bookmarkEnd w:id="9"/>
          <w:p w14:paraId="1161B4C9" w14:textId="77777777" w:rsidR="001A1489" w:rsidRPr="009E41CB" w:rsidRDefault="001A1489" w:rsidP="001A1489">
            <w:pPr>
              <w:spacing w:before="120" w:after="120" w:line="240" w:lineRule="exact"/>
              <w:jc w:val="both"/>
              <w:rPr>
                <w:rFonts w:ascii="Times New Roman" w:hAnsi="Times New Roman"/>
              </w:rPr>
            </w:pPr>
            <w:r w:rsidRPr="009E41CB">
              <w:rPr>
                <w:rFonts w:ascii="Times New Roman" w:hAnsi="Times New Roman"/>
              </w:rPr>
              <w:t xml:space="preserve">Konsekwencją zmian wprowadzanych w ustawie o statystyce publicznej, jest konieczność dokonania zmian w innych ustawach regulujących funkcjonowanie CEIDG, KRS i innych rejestrów sądowych oraz przepisów w zakresie geodezji </w:t>
            </w:r>
            <w:r w:rsidRPr="009E41CB">
              <w:rPr>
                <w:rFonts w:ascii="Times New Roman" w:hAnsi="Times New Roman"/>
              </w:rPr>
              <w:br/>
            </w:r>
            <w:r w:rsidRPr="009E41CB">
              <w:rPr>
                <w:rFonts w:ascii="Times New Roman" w:hAnsi="Times New Roman"/>
              </w:rPr>
              <w:lastRenderedPageBreak/>
              <w:t>i kartografii. Zmiany te, bezpośrednio związane z zakresem przedmiotowym projektowanej ustawy, dotyczą następujących ustaw:</w:t>
            </w:r>
          </w:p>
          <w:p w14:paraId="174AC694" w14:textId="77777777" w:rsidR="0098776F" w:rsidRPr="00EA5898" w:rsidRDefault="0098776F" w:rsidP="0098776F">
            <w:pPr>
              <w:pStyle w:val="Akapitzlist"/>
              <w:numPr>
                <w:ilvl w:val="0"/>
                <w:numId w:val="30"/>
              </w:numPr>
              <w:spacing w:line="240" w:lineRule="exact"/>
              <w:ind w:left="357"/>
              <w:jc w:val="both"/>
              <w:rPr>
                <w:rFonts w:ascii="Times New Roman" w:hAnsi="Times New Roman"/>
                <w:b/>
              </w:rPr>
            </w:pPr>
            <w:r w:rsidRPr="00EA5898">
              <w:rPr>
                <w:rFonts w:ascii="Times New Roman" w:hAnsi="Times New Roman"/>
                <w:b/>
              </w:rPr>
              <w:t>Zmiany w ustawie o księgach wieczystych i hipotece</w:t>
            </w:r>
          </w:p>
          <w:p w14:paraId="2AB0D636" w14:textId="1678BE07" w:rsidR="0098776F" w:rsidRPr="00EA5898" w:rsidRDefault="0098776F" w:rsidP="0098776F">
            <w:pPr>
              <w:pStyle w:val="Akapitzlist"/>
              <w:spacing w:line="240" w:lineRule="exact"/>
              <w:ind w:left="360"/>
              <w:jc w:val="both"/>
              <w:rPr>
                <w:rFonts w:ascii="Times New Roman" w:hAnsi="Times New Roman"/>
              </w:rPr>
            </w:pPr>
            <w:bookmarkStart w:id="10" w:name="_Hlk176764871"/>
            <w:r w:rsidRPr="00EA5898">
              <w:rPr>
                <w:rFonts w:ascii="Times New Roman" w:hAnsi="Times New Roman"/>
              </w:rPr>
              <w:t xml:space="preserve">W art. 2 projektowanej ustawy wprowadza się zmianę w ustawie z dnia 6 lipca 1982 r. o księgach wieczystych </w:t>
            </w:r>
            <w:r>
              <w:rPr>
                <w:rFonts w:ascii="Times New Roman" w:hAnsi="Times New Roman"/>
              </w:rPr>
              <w:br/>
            </w:r>
            <w:r w:rsidRPr="00EA5898">
              <w:rPr>
                <w:rFonts w:ascii="Times New Roman" w:hAnsi="Times New Roman"/>
              </w:rPr>
              <w:t>i hipotece (Dz. U. z 2023 r. poz. 1984), zwanej dalej „</w:t>
            </w:r>
            <w:proofErr w:type="spellStart"/>
            <w:r w:rsidRPr="00EA5898">
              <w:rPr>
                <w:rFonts w:ascii="Times New Roman" w:hAnsi="Times New Roman"/>
              </w:rPr>
              <w:t>u.k.w.h</w:t>
            </w:r>
            <w:proofErr w:type="spellEnd"/>
            <w:r w:rsidRPr="00EA5898">
              <w:rPr>
                <w:rFonts w:ascii="Times New Roman" w:hAnsi="Times New Roman"/>
              </w:rPr>
              <w:t>.”.</w:t>
            </w:r>
          </w:p>
          <w:p w14:paraId="5D16A32B" w14:textId="07D877CE"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Proponuje się dodanie ust. 4 w art. 26 </w:t>
            </w:r>
            <w:proofErr w:type="spellStart"/>
            <w:r w:rsidRPr="00EA5898">
              <w:rPr>
                <w:rFonts w:ascii="Times New Roman" w:hAnsi="Times New Roman"/>
              </w:rPr>
              <w:t>u.k.w.h</w:t>
            </w:r>
            <w:proofErr w:type="spellEnd"/>
            <w:r w:rsidRPr="00EA5898">
              <w:rPr>
                <w:rFonts w:ascii="Times New Roman" w:hAnsi="Times New Roman"/>
              </w:rPr>
              <w:t xml:space="preserve">., w którym wyłącza się obowiązek stosowania identyfikatorów przyjętych w rejestrze TERYT oraz aktualizacji danych, o których mowa w projektowanym art. 48a ustawy o statystyce publicznej w stosunku do ksiąg wieczystych. Wyłączenie takie jest uzasadnione charakterem ksiąg wieczystych, które są rejestrem prowadzonym w celu ustalenia aktualnego stanu prawnego nieruchomości. </w:t>
            </w:r>
          </w:p>
          <w:p w14:paraId="487E8263" w14:textId="1D637DBD"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zakresie oznaczenia nieruchomości dane gromadzone w księgach wieczystych pochodzą przede wszystkim </w:t>
            </w:r>
            <w:r>
              <w:rPr>
                <w:rFonts w:ascii="Times New Roman" w:hAnsi="Times New Roman"/>
              </w:rPr>
              <w:br/>
            </w:r>
            <w:r w:rsidRPr="00EA5898">
              <w:rPr>
                <w:rFonts w:ascii="Times New Roman" w:hAnsi="Times New Roman"/>
              </w:rPr>
              <w:t xml:space="preserve">z katastru nieruchomości. Zgodnie z art. 27 </w:t>
            </w:r>
            <w:proofErr w:type="spellStart"/>
            <w:r w:rsidRPr="00EA5898">
              <w:rPr>
                <w:rFonts w:ascii="Times New Roman" w:hAnsi="Times New Roman"/>
              </w:rPr>
              <w:t>u.k.w.h</w:t>
            </w:r>
            <w:proofErr w:type="spellEnd"/>
            <w:r w:rsidRPr="00EA5898">
              <w:rPr>
                <w:rFonts w:ascii="Times New Roman" w:hAnsi="Times New Roman"/>
              </w:rPr>
              <w:t xml:space="preserve">. w razie niezgodności danych katastru nieruchomości </w:t>
            </w:r>
            <w:r>
              <w:rPr>
                <w:rFonts w:ascii="Times New Roman" w:hAnsi="Times New Roman"/>
              </w:rPr>
              <w:br/>
            </w:r>
            <w:r w:rsidRPr="00EA5898">
              <w:rPr>
                <w:rFonts w:ascii="Times New Roman" w:hAnsi="Times New Roman"/>
              </w:rPr>
              <w:t xml:space="preserve">z oznaczeniem nieruchomości w księdze wieczystej sąd rejonowy dokonuje – na wniosek właściciela nieruchomości lub wieczystego użytkownika – sprostowania oznaczenia nieruchomości na podstawie danych katastru nieruchomości. Sprostowanie może być dokonane także z urzędu, na skutek zawiadomienia jednostki prowadzącej kataster nieruchomości. Wpis w dziale I-O jest dokonywany na podstawie dokumentów geodezyjnych opatrzonych klauzulą wskazującą, że dokumenty te zostały sporządzone na potrzeby dokonania takiego wpisu (§ 78 rozporządzenia Ministra Sprawiedliwości </w:t>
            </w:r>
            <w:r w:rsidRPr="00EA5898">
              <w:rPr>
                <w:rFonts w:ascii="Times New Roman" w:hAnsi="Times New Roman"/>
              </w:rPr>
              <w:br/>
              <w:t xml:space="preserve">z dnia 15 lutego 2016 r. w sprawie zakładania i prowadzenia ksiąg wieczystych w systemie teleinformatycznym </w:t>
            </w:r>
            <w:r>
              <w:rPr>
                <w:rFonts w:ascii="Times New Roman" w:hAnsi="Times New Roman"/>
              </w:rPr>
              <w:br/>
            </w:r>
            <w:r w:rsidRPr="00EA5898">
              <w:rPr>
                <w:rFonts w:ascii="Times New Roman" w:hAnsi="Times New Roman"/>
              </w:rPr>
              <w:t xml:space="preserve">(Dz. U. poz. 312, z </w:t>
            </w:r>
            <w:proofErr w:type="spellStart"/>
            <w:r w:rsidRPr="00EA5898">
              <w:rPr>
                <w:rFonts w:ascii="Times New Roman" w:hAnsi="Times New Roman"/>
              </w:rPr>
              <w:t>późn</w:t>
            </w:r>
            <w:proofErr w:type="spellEnd"/>
            <w:r w:rsidRPr="00EA5898">
              <w:rPr>
                <w:rFonts w:ascii="Times New Roman" w:hAnsi="Times New Roman"/>
              </w:rPr>
              <w:t xml:space="preserve">. zm.)). Ewidencja gruntów i budynków ma zatem charakter referencyjny w stosunku do ksiąg wieczystych. Wszelkie dane, jakie ujawniane są w dziale I-O księgi wieczystej, oparte są na dokumentach geodezyjnych, sporządzanych przez starostę. Z uwagi na to, że dane które są ujawnianie w księdze wieczystej muszą wynikać z dokumentu stanowiącego podstawę wpisu, należy w tym zakresie wyłączyć rozwiązania proponowane </w:t>
            </w:r>
            <w:r>
              <w:rPr>
                <w:rFonts w:ascii="Times New Roman" w:hAnsi="Times New Roman"/>
              </w:rPr>
              <w:br/>
            </w:r>
            <w:r w:rsidRPr="00EA5898">
              <w:rPr>
                <w:rFonts w:ascii="Times New Roman" w:hAnsi="Times New Roman"/>
              </w:rPr>
              <w:t xml:space="preserve">w ustawie o statystyce publicznej przewidujące mechanizm automatycznego dostosowywania danych do rejestru TERYT. </w:t>
            </w:r>
          </w:p>
          <w:p w14:paraId="385CDAAB" w14:textId="0CDB773B" w:rsidR="0098776F" w:rsidRPr="00EA5898" w:rsidRDefault="0098776F" w:rsidP="0098776F">
            <w:pPr>
              <w:pStyle w:val="Akapitzlist"/>
              <w:spacing w:line="240" w:lineRule="exact"/>
              <w:ind w:left="360"/>
              <w:jc w:val="both"/>
              <w:rPr>
                <w:rFonts w:ascii="Times New Roman" w:hAnsi="Times New Roman"/>
                <w14:ligatures w14:val="standardContextual"/>
              </w:rPr>
            </w:pPr>
            <w:r w:rsidRPr="00EA5898">
              <w:rPr>
                <w:rFonts w:ascii="Times New Roman" w:hAnsi="Times New Roman"/>
                <w14:ligatures w14:val="standardContextual"/>
              </w:rPr>
              <w:t xml:space="preserve">W celu zachowania spójności danych z rejestrem TERYT wprowadzona zostanie jednak funkcjonalność systemu </w:t>
            </w:r>
            <w:r>
              <w:rPr>
                <w:rFonts w:ascii="Times New Roman" w:hAnsi="Times New Roman"/>
                <w14:ligatures w14:val="standardContextual"/>
              </w:rPr>
              <w:br/>
            </w:r>
            <w:r w:rsidRPr="00EA5898">
              <w:rPr>
                <w:rFonts w:ascii="Times New Roman" w:hAnsi="Times New Roman"/>
                <w14:ligatures w14:val="standardContextual"/>
              </w:rPr>
              <w:t>w postaci zaimplementowania słowników zgodnych z tym rejestrem. Oznacza to, że system będzie podpowiadał dane zgodne z zaimplementowanym słownikiem. Jeżeli jednak podstawa wpisu (dokument geodezyjny) będzie zawierała dane odmienne, niż podane w słowniku, system umożliwi wpisanie danych zgodnych z treścią tego dokumentu.</w:t>
            </w:r>
          </w:p>
          <w:p w14:paraId="5D3DAFA1"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u.k.w.h</w:t>
            </w:r>
            <w:proofErr w:type="spellEnd"/>
            <w:r w:rsidRPr="00EA5898">
              <w:rPr>
                <w:rFonts w:ascii="Times New Roman" w:hAnsi="Times New Roman"/>
              </w:rPr>
              <w:t>., określone w art. 2 projektowanej ustawy, zostały wypracowane w toku szczegółowych uzgodnień Głównego Urzędu Statystycznego z Ministerstwem Sprawiedliwości.</w:t>
            </w:r>
          </w:p>
          <w:bookmarkEnd w:id="10"/>
          <w:p w14:paraId="2287A7B4" w14:textId="77777777" w:rsidR="0098776F" w:rsidRPr="00EA5898" w:rsidRDefault="0098776F" w:rsidP="0098776F">
            <w:pPr>
              <w:pStyle w:val="Akapitzlist"/>
              <w:numPr>
                <w:ilvl w:val="0"/>
                <w:numId w:val="30"/>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 Prawo geodezyjne i kartograficzne</w:t>
            </w:r>
          </w:p>
          <w:p w14:paraId="493973AA" w14:textId="234A5861" w:rsidR="0098776F" w:rsidRPr="00EA5898" w:rsidRDefault="0098776F" w:rsidP="0098776F">
            <w:pPr>
              <w:spacing w:line="240" w:lineRule="exact"/>
              <w:ind w:left="360"/>
              <w:jc w:val="both"/>
              <w:rPr>
                <w:rFonts w:ascii="Times New Roman" w:hAnsi="Times New Roman"/>
              </w:rPr>
            </w:pPr>
            <w:r w:rsidRPr="00EA5898">
              <w:rPr>
                <w:rFonts w:ascii="Times New Roman" w:hAnsi="Times New Roman"/>
              </w:rPr>
              <w:t xml:space="preserve">W art. 3 projektowanej ustawy wprowadza się zmiany w </w:t>
            </w:r>
            <w:bookmarkStart w:id="11" w:name="_Hlk176782614"/>
            <w:r w:rsidR="00313EF3" w:rsidRPr="00EA5898">
              <w:rPr>
                <w:rFonts w:ascii="Times New Roman" w:hAnsi="Times New Roman"/>
              </w:rPr>
              <w:t xml:space="preserve">ustawie z dnia 17 maja 1989 r. –  Prawo geodezyjne </w:t>
            </w:r>
            <w:r w:rsidR="00313EF3">
              <w:rPr>
                <w:rFonts w:ascii="Times New Roman" w:hAnsi="Times New Roman"/>
              </w:rPr>
              <w:br/>
            </w:r>
            <w:r w:rsidR="00313EF3" w:rsidRPr="00EA5898">
              <w:rPr>
                <w:rFonts w:ascii="Times New Roman" w:hAnsi="Times New Roman"/>
              </w:rPr>
              <w:t>i kartograficzne</w:t>
            </w:r>
            <w:r w:rsidR="00313EF3">
              <w:rPr>
                <w:rFonts w:ascii="Times New Roman" w:hAnsi="Times New Roman"/>
              </w:rPr>
              <w:t xml:space="preserve"> (Dz. U. z 2024 r. poz. 1151)</w:t>
            </w:r>
            <w:bookmarkEnd w:id="11"/>
            <w:r w:rsidRPr="00EA5898">
              <w:rPr>
                <w:rFonts w:ascii="Times New Roman" w:hAnsi="Times New Roman"/>
              </w:rPr>
              <w:t>. Zmiany proponowane w tej ustawie są bezpośrednio związane z zakresem przedmiotowym projektowanej ustawy.</w:t>
            </w:r>
          </w:p>
          <w:p w14:paraId="3C172157" w14:textId="77777777" w:rsidR="0098776F" w:rsidRPr="00EA5898" w:rsidRDefault="0098776F" w:rsidP="0098776F">
            <w:pPr>
              <w:pStyle w:val="Akapitzlist"/>
              <w:numPr>
                <w:ilvl w:val="0"/>
                <w:numId w:val="19"/>
              </w:numPr>
              <w:spacing w:line="240" w:lineRule="exact"/>
              <w:ind w:left="714" w:hanging="357"/>
              <w:jc w:val="both"/>
              <w:rPr>
                <w:rFonts w:ascii="Times New Roman" w:hAnsi="Times New Roman"/>
              </w:rPr>
            </w:pPr>
            <w:r w:rsidRPr="00EA5898">
              <w:rPr>
                <w:rFonts w:ascii="Times New Roman" w:hAnsi="Times New Roman"/>
              </w:rPr>
              <w:t xml:space="preserve">W art. 7a ustawy – Prawo geodezyjne i kartograficzne w ust. 1 w pkt 6 w lit. b uchyla się </w:t>
            </w:r>
            <w:proofErr w:type="spellStart"/>
            <w:r w:rsidRPr="00EA5898">
              <w:rPr>
                <w:rFonts w:ascii="Times New Roman" w:hAnsi="Times New Roman"/>
              </w:rPr>
              <w:t>tiret</w:t>
            </w:r>
            <w:proofErr w:type="spellEnd"/>
            <w:r w:rsidRPr="00EA5898">
              <w:rPr>
                <w:rFonts w:ascii="Times New Roman" w:hAnsi="Times New Roman"/>
              </w:rPr>
              <w:t xml:space="preserve"> trzecie. </w:t>
            </w:r>
          </w:p>
          <w:p w14:paraId="5E66E59D" w14:textId="77777777"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Zmiana ta dotyczy prowadzonego przez Głównego Geodetę Kraju</w:t>
            </w:r>
            <w:r w:rsidRPr="00EA5898">
              <w:rPr>
                <w:rFonts w:ascii="Times New Roman" w:hAnsi="Times New Roman"/>
                <w:color w:val="333333"/>
                <w:shd w:val="clear" w:color="auto" w:fill="FFFFFF"/>
              </w:rPr>
              <w:t xml:space="preserve"> państwowego rejestru granic i powierzchni jednostek podziałów terytorialnych kraju (PRG), zintegrowanego z ewidencją gruntów i budynków oraz ewidencją miejscowości, ulic i adresów, umożliwiającego gromadzenie, aktualizowanie i udostępnianie danych dotyczących granic jednostek podziałów terytorialnych kraju. Zmiana polega na skreśleniu z katalogu wymienionych w tym przepisie rodzajów podziału terytorialnego kraju – </w:t>
            </w:r>
            <w:r w:rsidRPr="00EA5898">
              <w:rPr>
                <w:rFonts w:ascii="Times New Roman" w:hAnsi="Times New Roman"/>
                <w:color w:val="333333"/>
              </w:rPr>
              <w:t>podziału kraju na potrzeby statystyki publicznej.</w:t>
            </w:r>
          </w:p>
          <w:p w14:paraId="2C839E2A" w14:textId="5A79D56B"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Skreślenie w ww. przepisie ustawy – Prawo geodezyjne i kartograficzne wyrazów „podziału kraju na potrzeby statystyki publicznej” wynika z dodania w projektowanej ustawie przepisu upoważniającego służby statystyki publicznej do prowadzenia własnych zbiorów danych przestrzennych pozwalających na prowadzenie i aktualizację przebiegu granic jednostek podziału statystycznego, tj. rejonów statystycznych i obwodów spisowych (art. 47g </w:t>
            </w:r>
            <w:r>
              <w:rPr>
                <w:rFonts w:ascii="Times New Roman" w:hAnsi="Times New Roman"/>
              </w:rPr>
              <w:br/>
            </w:r>
            <w:r w:rsidRPr="00EA5898">
              <w:rPr>
                <w:rFonts w:ascii="Times New Roman" w:hAnsi="Times New Roman"/>
              </w:rPr>
              <w:t xml:space="preserve">ust. 2 nowelizowanej ustawy o statystyce publicznej). Zgodnie z art. 3 ust. 1 pkt 7 lit. k ustawy z dnia 4 marca 2010 r. o infrastrukturze informacji przestrzennej (Dz. U. z 2021 r. poz. 214) organem wiodącym dla tych danych jest Prezes Głównego Urzędu Statystycznego. </w:t>
            </w:r>
          </w:p>
          <w:p w14:paraId="50577AD6" w14:textId="0EFD528D" w:rsidR="0098776F" w:rsidRPr="00EA5898" w:rsidRDefault="0098776F" w:rsidP="0098776F">
            <w:pPr>
              <w:pStyle w:val="Akapitzlist"/>
              <w:spacing w:line="240" w:lineRule="exact"/>
              <w:ind w:left="708"/>
              <w:jc w:val="both"/>
              <w:rPr>
                <w:rFonts w:ascii="Times New Roman" w:hAnsi="Times New Roman"/>
              </w:rPr>
            </w:pPr>
            <w:r w:rsidRPr="00EA5898">
              <w:rPr>
                <w:rFonts w:ascii="Times New Roman" w:hAnsi="Times New Roman"/>
              </w:rPr>
              <w:t xml:space="preserve">W związku z jednoczesnym ujęciem tych danych w ramach PRG, który w zakresie granic jednostek podziału statystycznego jest rejestrem wtórnym w stosunku do rejestru TERYT, zaproponowano ich usunięcie z PRG </w:t>
            </w:r>
            <w:r>
              <w:rPr>
                <w:rFonts w:ascii="Times New Roman" w:hAnsi="Times New Roman"/>
              </w:rPr>
              <w:br/>
            </w:r>
            <w:r w:rsidRPr="00EA5898">
              <w:rPr>
                <w:rFonts w:ascii="Times New Roman" w:hAnsi="Times New Roman"/>
              </w:rPr>
              <w:t>ze względu na brak uzasadnienia dla gromadzenia przez różne rejestry tych samych danych.</w:t>
            </w:r>
          </w:p>
          <w:p w14:paraId="47104BD1" w14:textId="2754952F" w:rsidR="0098776F" w:rsidRPr="00EA5898" w:rsidRDefault="0098776F" w:rsidP="0098776F">
            <w:pPr>
              <w:pStyle w:val="PKTpunkt"/>
              <w:numPr>
                <w:ilvl w:val="0"/>
                <w:numId w:val="22"/>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 xml:space="preserve">W art. 7a ustawy – Prawo geodezyjne i kartograficzne dodaje się ust. 3, który stanowi o współpracy Głównego Geodety Kraju z Prezesem Głównego Urzędu Statystycznego w prowadzeniu i aktualizacji rejestru TERYT. Współpraca ta polega na wyjaśnianiu poprawności informacji gromadzonych w rejestrze TERYT w zakresie danych ujętych w państwowym rejestrze granic i powierzchni jednostek podziałów terytorialnych kraju oraz państwowym rejestrze nazw geograficznych. Współpraca pomiędzy instytucjami jest obustronna i odbywa się </w:t>
            </w:r>
            <w:r>
              <w:rPr>
                <w:rFonts w:ascii="Times New Roman" w:hAnsi="Times New Roman" w:cs="Times New Roman"/>
                <w:sz w:val="22"/>
                <w:szCs w:val="22"/>
              </w:rPr>
              <w:br/>
            </w:r>
            <w:r w:rsidRPr="00EA5898">
              <w:rPr>
                <w:rFonts w:ascii="Times New Roman" w:hAnsi="Times New Roman" w:cs="Times New Roman"/>
                <w:sz w:val="22"/>
                <w:szCs w:val="22"/>
              </w:rPr>
              <w:t>w sposób ciągły.</w:t>
            </w:r>
          </w:p>
          <w:p w14:paraId="5739763A" w14:textId="77777777" w:rsidR="0098776F" w:rsidRPr="00EA5898" w:rsidRDefault="0098776F" w:rsidP="0098776F">
            <w:pPr>
              <w:pStyle w:val="PKTpunkt"/>
              <w:numPr>
                <w:ilvl w:val="0"/>
                <w:numId w:val="22"/>
              </w:numPr>
              <w:spacing w:before="120" w:line="240" w:lineRule="exact"/>
              <w:ind w:left="709"/>
              <w:rPr>
                <w:rFonts w:ascii="Times New Roman" w:hAnsi="Times New Roman" w:cs="Times New Roman"/>
                <w:sz w:val="22"/>
                <w:szCs w:val="22"/>
              </w:rPr>
            </w:pPr>
            <w:r w:rsidRPr="00EA5898">
              <w:rPr>
                <w:rFonts w:ascii="Times New Roman" w:hAnsi="Times New Roman" w:cs="Times New Roman"/>
                <w:sz w:val="22"/>
                <w:szCs w:val="22"/>
              </w:rPr>
              <w:t>W art. 24 ustawy – Prawo geodezyjne i kartograficzne dodaje się ust. 6, na mocy którego starosta, na potrzeby rejestru TERYT, powiadamia właściwy miejscowo urząd statystyczny o dokonaniu zmian w numeracji i przebiegu granic obrębów ewidencyjnych, każdorazowo w przypadku wprowadzenia zmian.</w:t>
            </w:r>
          </w:p>
          <w:p w14:paraId="52797F16" w14:textId="72EBFB1F"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Istotą informowania przez starostów właściwych miejscowo urzędów statystycznych o zmianach dokonanych </w:t>
            </w:r>
            <w:r>
              <w:rPr>
                <w:rFonts w:ascii="Times New Roman" w:hAnsi="Times New Roman"/>
              </w:rPr>
              <w:br/>
            </w:r>
            <w:r w:rsidRPr="00EA5898">
              <w:rPr>
                <w:rFonts w:ascii="Times New Roman" w:hAnsi="Times New Roman"/>
              </w:rPr>
              <w:t xml:space="preserve">w numeracji i przebiegu granic obrębów ewidencyjnych jest zapewnienie spójności pomiędzy jednostkami podziału statystycznego (rejonami statystycznymi i obwodami spisowymi) a jednostkami podziału geodezyjnego </w:t>
            </w:r>
            <w:r w:rsidRPr="00EA5898">
              <w:rPr>
                <w:rFonts w:ascii="Times New Roman" w:hAnsi="Times New Roman"/>
              </w:rPr>
              <w:lastRenderedPageBreak/>
              <w:t>(obrębami ewidencyjnymi). Obecnie obowiązek ten został określony w § 12 ust. 1 pkt 2 rozporządzenia w sprawie rejestru TERYT.</w:t>
            </w:r>
          </w:p>
          <w:p w14:paraId="1A0D5E0A" w14:textId="620DC64D"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Zamieszczenie tych informacji w przepisach ustawy – Prawo geodezyjne i kartograficzne, regulującej funkcjonowanie rejestrów będących źródłem danych do aktualizacji rejestru TERYT (ewidencji gruntów </w:t>
            </w:r>
            <w:r>
              <w:rPr>
                <w:rFonts w:ascii="Times New Roman" w:hAnsi="Times New Roman"/>
              </w:rPr>
              <w:br/>
            </w:r>
            <w:r w:rsidRPr="00EA5898">
              <w:rPr>
                <w:rFonts w:ascii="Times New Roman" w:hAnsi="Times New Roman"/>
              </w:rPr>
              <w:t>i budynków), podyktowane jest faktem, że takie obowiązki powinny być wprowadzone we właściwej ustawie regulującej kompetencje podmiotów, z którymi związane jest posiadanie określonych danych.</w:t>
            </w:r>
          </w:p>
          <w:p w14:paraId="0DDD6074" w14:textId="77777777" w:rsidR="0098776F" w:rsidRPr="00EA5898" w:rsidRDefault="0098776F" w:rsidP="0098776F">
            <w:pPr>
              <w:pStyle w:val="Akapitzlist"/>
              <w:numPr>
                <w:ilvl w:val="0"/>
                <w:numId w:val="23"/>
              </w:numPr>
              <w:spacing w:before="120" w:line="240" w:lineRule="exact"/>
              <w:ind w:left="357"/>
              <w:contextualSpacing w:val="0"/>
              <w:jc w:val="both"/>
              <w:rPr>
                <w:rFonts w:ascii="Times New Roman" w:eastAsiaTheme="minorEastAsia" w:hAnsi="Times New Roman"/>
                <w:bCs/>
                <w:vanish/>
                <w:lang w:eastAsia="pl-PL"/>
              </w:rPr>
            </w:pPr>
          </w:p>
          <w:p w14:paraId="00CA0C2D" w14:textId="457D637F" w:rsidR="0098776F" w:rsidRPr="00EA5898" w:rsidRDefault="0098776F" w:rsidP="0098776F">
            <w:pPr>
              <w:spacing w:before="120" w:line="240" w:lineRule="exact"/>
              <w:ind w:left="357"/>
              <w:jc w:val="both"/>
              <w:rPr>
                <w:rFonts w:ascii="Times New Roman" w:hAnsi="Times New Roman"/>
              </w:rPr>
            </w:pPr>
            <w:r w:rsidRPr="00EA5898">
              <w:rPr>
                <w:rFonts w:ascii="Times New Roman" w:hAnsi="Times New Roman"/>
              </w:rPr>
              <w:t xml:space="preserve">Zmiany w ustawie – Prawo geodezyjne i kartograficzne, określone w art. 3 projektowanej ustawy, zostały wypracowane w toku szczegółowych uzgodnień Głównego Urzędu Statystycznego z Głównym Urzędem Geodezji </w:t>
            </w:r>
            <w:r>
              <w:rPr>
                <w:rFonts w:ascii="Times New Roman" w:hAnsi="Times New Roman"/>
              </w:rPr>
              <w:br/>
            </w:r>
            <w:r w:rsidRPr="00EA5898">
              <w:rPr>
                <w:rFonts w:ascii="Times New Roman" w:hAnsi="Times New Roman"/>
              </w:rPr>
              <w:t>i Kartografii.</w:t>
            </w:r>
          </w:p>
          <w:p w14:paraId="6241B924" w14:textId="77777777" w:rsidR="0098776F" w:rsidRPr="00EA5898" w:rsidRDefault="0098776F" w:rsidP="0098776F">
            <w:pPr>
              <w:pStyle w:val="Akapitzlist"/>
              <w:numPr>
                <w:ilvl w:val="0"/>
                <w:numId w:val="41"/>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zastawie rejestrowym i rejestrze zastawów</w:t>
            </w:r>
          </w:p>
          <w:p w14:paraId="0E688D06" w14:textId="765ECBB6"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W art. 4 projektowanej ustawy wprowadza się zmianę w ustawie z dnia 6 grudnia 1996 r. o zastawie rejestrowym </w:t>
            </w:r>
            <w:r>
              <w:rPr>
                <w:rFonts w:ascii="Times New Roman" w:hAnsi="Times New Roman"/>
              </w:rPr>
              <w:br/>
            </w:r>
            <w:r w:rsidRPr="00EA5898">
              <w:rPr>
                <w:rFonts w:ascii="Times New Roman" w:hAnsi="Times New Roman"/>
              </w:rPr>
              <w:t>i rejestrze zastawów (Dz. U. z 2018 r. poz. 2017), zwanej dalej „</w:t>
            </w:r>
            <w:proofErr w:type="spellStart"/>
            <w:r w:rsidRPr="00EA5898">
              <w:rPr>
                <w:rFonts w:ascii="Times New Roman" w:hAnsi="Times New Roman"/>
              </w:rPr>
              <w:t>u.z.r.r.z</w:t>
            </w:r>
            <w:proofErr w:type="spellEnd"/>
            <w:r w:rsidRPr="00EA5898">
              <w:rPr>
                <w:rFonts w:ascii="Times New Roman" w:hAnsi="Times New Roman"/>
              </w:rPr>
              <w:t>.”.</w:t>
            </w:r>
          </w:p>
          <w:p w14:paraId="5BF6D02E" w14:textId="5254449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Projektowana zmiana polega na dodaniu ust. 4 w art. 40 </w:t>
            </w:r>
            <w:proofErr w:type="spellStart"/>
            <w:r w:rsidRPr="00EA5898">
              <w:rPr>
                <w:rFonts w:ascii="Times New Roman" w:hAnsi="Times New Roman"/>
              </w:rPr>
              <w:t>u.z.r.r.z</w:t>
            </w:r>
            <w:proofErr w:type="spellEnd"/>
            <w:r w:rsidRPr="00EA5898">
              <w:rPr>
                <w:rFonts w:ascii="Times New Roman" w:hAnsi="Times New Roman"/>
              </w:rPr>
              <w:t xml:space="preserve">. i ma na celu wyłączenie obowiązku stosowania identyfikatorów przyjętych w rejestrze TERYT oraz aktualizacji danych, o których mowa </w:t>
            </w:r>
            <w:r w:rsidRPr="00EA5898">
              <w:rPr>
                <w:rFonts w:ascii="Times New Roman" w:hAnsi="Times New Roman"/>
              </w:rPr>
              <w:br/>
              <w:t xml:space="preserve">w projektowanym art. 48a ustawy o statystyce publicznej w stosunku do danych obejmujących miejsce zamieszkania (siedzibę) i adres, gromadzonych w rejestrze zastawów. Wyłączenie takie jest uzasadnione faktem prowadzenia rejestru zastawów w systemie informatycznym, co ogranicza możliwości techniczne integracji tego systemu </w:t>
            </w:r>
            <w:r>
              <w:rPr>
                <w:rFonts w:ascii="Times New Roman" w:hAnsi="Times New Roman"/>
              </w:rPr>
              <w:br/>
            </w:r>
            <w:r w:rsidRPr="00EA5898">
              <w:rPr>
                <w:rFonts w:ascii="Times New Roman" w:hAnsi="Times New Roman"/>
              </w:rPr>
              <w:t xml:space="preserve">z rejestrem TERYT. Integracja taka będzie brana pod uwagę dopiero w ramach przyszłego rozwoju rejestru zastawów polegającego na przeniesieniu tego rejestru do systemu teleinformatycznego. W związku z powyższym </w:t>
            </w:r>
            <w:r>
              <w:rPr>
                <w:rFonts w:ascii="Times New Roman" w:hAnsi="Times New Roman"/>
              </w:rPr>
              <w:br/>
            </w:r>
            <w:r w:rsidRPr="00EA5898">
              <w:rPr>
                <w:rFonts w:ascii="Times New Roman" w:hAnsi="Times New Roman"/>
              </w:rPr>
              <w:t>w projektowanej ustawie należy wyłączyć w stosunku do rejestru zastawów zastosowanie regulacji przewidujących mechanizm automatycznego dostosowywania danych do rejestru TERYT.</w:t>
            </w:r>
          </w:p>
          <w:p w14:paraId="269D6CF9"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Zmiany w </w:t>
            </w:r>
            <w:proofErr w:type="spellStart"/>
            <w:r w:rsidRPr="00EA5898">
              <w:rPr>
                <w:rFonts w:ascii="Times New Roman" w:hAnsi="Times New Roman"/>
              </w:rPr>
              <w:t>u.z.r.r.z</w:t>
            </w:r>
            <w:proofErr w:type="spellEnd"/>
            <w:r w:rsidRPr="00EA5898">
              <w:rPr>
                <w:rFonts w:ascii="Times New Roman" w:hAnsi="Times New Roman"/>
              </w:rPr>
              <w:t>., określone w art. 4 projektowanej ustawy, zostały wypracowane w toku szczegółowych uzgodnień Głównego Urzędu Statystycznego z Ministerstwem Sprawiedliwości.</w:t>
            </w:r>
          </w:p>
          <w:p w14:paraId="006A5464" w14:textId="77777777" w:rsidR="0098776F" w:rsidRPr="00EA5898" w:rsidRDefault="0098776F" w:rsidP="0098776F">
            <w:pPr>
              <w:pStyle w:val="Akapitzlist"/>
              <w:numPr>
                <w:ilvl w:val="0"/>
                <w:numId w:val="22"/>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Sądowym</w:t>
            </w:r>
          </w:p>
          <w:p w14:paraId="0A344232" w14:textId="77777777" w:rsidR="0098776F" w:rsidRPr="00EA5898" w:rsidRDefault="0098776F" w:rsidP="0098776F">
            <w:pPr>
              <w:spacing w:line="240" w:lineRule="exact"/>
              <w:ind w:left="357"/>
              <w:jc w:val="both"/>
              <w:rPr>
                <w:rFonts w:ascii="Times New Roman" w:hAnsi="Times New Roman"/>
              </w:rPr>
            </w:pPr>
            <w:r w:rsidRPr="00EA5898">
              <w:rPr>
                <w:rFonts w:ascii="Times New Roman" w:hAnsi="Times New Roman"/>
              </w:rPr>
              <w:t>W art. 5 projektowanej ustawy wprowadza się zmiany w ustawie z dnia 20 sierpnia 1997 r. o Krajowym Rejestrze Sądowym, zwanej dalej „ustawą o KRS”.</w:t>
            </w:r>
          </w:p>
          <w:p w14:paraId="11DC1EAE" w14:textId="77777777" w:rsidR="0098776F" w:rsidRPr="00EA5898" w:rsidRDefault="0098776F" w:rsidP="0098776F">
            <w:pPr>
              <w:pStyle w:val="Akapitzlist"/>
              <w:numPr>
                <w:ilvl w:val="0"/>
                <w:numId w:val="12"/>
              </w:numPr>
              <w:spacing w:line="240" w:lineRule="exact"/>
              <w:ind w:left="709" w:hanging="357"/>
              <w:contextualSpacing w:val="0"/>
              <w:jc w:val="both"/>
              <w:rPr>
                <w:rFonts w:ascii="Times New Roman" w:hAnsi="Times New Roman"/>
              </w:rPr>
            </w:pPr>
            <w:r w:rsidRPr="00EA5898">
              <w:rPr>
                <w:rFonts w:ascii="Times New Roman" w:hAnsi="Times New Roman"/>
              </w:rPr>
              <w:t xml:space="preserve">W ustawie o KRS nadaje się nowe brzmienie ust. 1a w art. 20. </w:t>
            </w:r>
          </w:p>
          <w:p w14:paraId="4491C620" w14:textId="05D83478" w:rsidR="0098776F" w:rsidRPr="00EA5898" w:rsidRDefault="0098776F" w:rsidP="0098776F">
            <w:pPr>
              <w:pStyle w:val="Akapitzlist"/>
              <w:spacing w:line="240" w:lineRule="exact"/>
              <w:ind w:left="709"/>
              <w:contextualSpacing w:val="0"/>
              <w:jc w:val="both"/>
              <w:rPr>
                <w:rFonts w:ascii="Times New Roman" w:hAnsi="Times New Roman"/>
              </w:rPr>
            </w:pPr>
            <w:r w:rsidRPr="00EA5898">
              <w:rPr>
                <w:rFonts w:ascii="Times New Roman" w:hAnsi="Times New Roman"/>
              </w:rPr>
              <w:t xml:space="preserve">Zgodnie z obecnie obowiązującym brzmieniem tego przepisu, </w:t>
            </w:r>
            <w:r w:rsidRPr="00EA5898">
              <w:rPr>
                <w:rFonts w:ascii="Times New Roman" w:hAnsi="Times New Roman"/>
                <w:color w:val="333333"/>
                <w:shd w:val="clear" w:color="auto" w:fill="FFFFFF"/>
              </w:rPr>
              <w:t xml:space="preserve">wpis w KRS w przedmiocie NIP i numeru identyfikacyjnego REGON polega również na ich automatycznym zamieszczeniu w KRS po przekazaniu </w:t>
            </w:r>
            <w:r>
              <w:rPr>
                <w:rFonts w:ascii="Times New Roman" w:hAnsi="Times New Roman"/>
                <w:color w:val="333333"/>
                <w:shd w:val="clear" w:color="auto" w:fill="FFFFFF"/>
              </w:rPr>
              <w:br/>
            </w:r>
            <w:r w:rsidRPr="00EA5898">
              <w:rPr>
                <w:rFonts w:ascii="Times New Roman" w:hAnsi="Times New Roman"/>
                <w:color w:val="333333"/>
                <w:shd w:val="clear" w:color="auto" w:fill="FFFFFF"/>
              </w:rPr>
              <w:t xml:space="preserve">z </w:t>
            </w:r>
            <w:r w:rsidRPr="00EA5898">
              <w:rPr>
                <w:rFonts w:ascii="Times New Roman" w:hAnsi="Times New Roman"/>
              </w:rPr>
              <w:t>Centralnego Rejestru Podmiotów – Krajowej Ewidencji Podatników</w:t>
            </w:r>
            <w:r w:rsidRPr="00EA5898">
              <w:rPr>
                <w:rFonts w:ascii="Times New Roman" w:hAnsi="Times New Roman"/>
                <w:color w:val="333333"/>
                <w:shd w:val="clear" w:color="auto" w:fill="FFFFFF"/>
              </w:rPr>
              <w:t xml:space="preserve"> i z rejestru REGON. Proponowana w tym przepisie zmiana ma na celu wprowadzenie takiego samego rozwiązana do wpisu w KRS </w:t>
            </w:r>
            <w:r w:rsidRPr="00EA5898">
              <w:rPr>
                <w:rFonts w:ascii="Times New Roman" w:hAnsi="Times New Roman"/>
              </w:rPr>
              <w:t>przedmiotu działalności według PKD, w przypadku o którym mowa w art. 40a ust. 3 ustawy z dnia 29 czerwca 1995 r. o statystyce publicznej (w brzmieniu nadanym projektowaną ustawą), tj. po przeklasyfikowaniu w rejestrze REGON wskazanych kodów przedmiotu działalności według PKD dla podmiotów zarejestrowanych w KRS i przesyłaniu do KRS informacji o zmienionych dla tych podmiotów kodach  przedmiotu działalności.</w:t>
            </w:r>
          </w:p>
          <w:p w14:paraId="276A91B4" w14:textId="52618A61" w:rsidR="0098776F" w:rsidRPr="00EA5898" w:rsidRDefault="0098776F" w:rsidP="0098776F">
            <w:pPr>
              <w:pStyle w:val="Akapitzlist"/>
              <w:spacing w:line="240" w:lineRule="exact"/>
              <w:ind w:left="709"/>
              <w:contextualSpacing w:val="0"/>
              <w:jc w:val="both"/>
              <w:rPr>
                <w:rFonts w:ascii="Times New Roman" w:hAnsi="Times New Roman"/>
              </w:rPr>
            </w:pPr>
            <w:r w:rsidRPr="00EA5898">
              <w:rPr>
                <w:rFonts w:ascii="Times New Roman" w:hAnsi="Times New Roman"/>
              </w:rPr>
              <w:t xml:space="preserve">Zmiana ta ma zapewnić – przede wszystkim – usprawnienie oraz przyspieszenie aktualizacji w KRS danych dotyczących przedmiotu działalności. Zagwarantowanie aktualności takich danych ma istotne znaczenie nie tylko dla podmiotów zajmujących się analizą danych makroekonomicznych, ale także dla podmiotów wpisanych </w:t>
            </w:r>
            <w:r>
              <w:rPr>
                <w:rFonts w:ascii="Times New Roman" w:hAnsi="Times New Roman"/>
              </w:rPr>
              <w:br/>
            </w:r>
            <w:r w:rsidRPr="00EA5898">
              <w:rPr>
                <w:rFonts w:ascii="Times New Roman" w:hAnsi="Times New Roman"/>
              </w:rPr>
              <w:t xml:space="preserve">do KRS (np. aktualność takich danych może stanowić warunek do skorzystania z określonych form pomocy publicznej). </w:t>
            </w:r>
          </w:p>
          <w:p w14:paraId="3E6480E8" w14:textId="03067A37" w:rsidR="0098776F" w:rsidRPr="00EA5898" w:rsidRDefault="0098776F" w:rsidP="0098776F">
            <w:pPr>
              <w:pStyle w:val="Akapitzlist"/>
              <w:numPr>
                <w:ilvl w:val="0"/>
                <w:numId w:val="12"/>
              </w:numPr>
              <w:spacing w:before="120" w:line="240" w:lineRule="exact"/>
              <w:ind w:left="709" w:hanging="357"/>
              <w:contextualSpacing w:val="0"/>
              <w:jc w:val="both"/>
              <w:rPr>
                <w:rFonts w:ascii="Times New Roman" w:hAnsi="Times New Roman"/>
              </w:rPr>
            </w:pPr>
            <w:r w:rsidRPr="00EA5898">
              <w:rPr>
                <w:rFonts w:ascii="Times New Roman" w:hAnsi="Times New Roman"/>
              </w:rPr>
              <w:t xml:space="preserve">Jednocześnie w ustawie o KRS dodaje się art. 20e, który jest rozwinięciem zmiany zawartej w art. 20 ustawy </w:t>
            </w:r>
            <w:r>
              <w:rPr>
                <w:rFonts w:ascii="Times New Roman" w:hAnsi="Times New Roman"/>
              </w:rPr>
              <w:br/>
            </w:r>
            <w:r w:rsidRPr="00EA5898">
              <w:rPr>
                <w:rFonts w:ascii="Times New Roman" w:hAnsi="Times New Roman"/>
              </w:rPr>
              <w:t>o KRS i ma na celu zapewnienie spójności rozwiązań dotyczących aktualizacji w KRS danych dotyczących przedmiotu działalności podmiotów z art. 40a i 40b ustawy o statystyce publicznej.</w:t>
            </w:r>
          </w:p>
          <w:p w14:paraId="30B207F1" w14:textId="2A8B54B1"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Proponowany ust. 1 w art. 20e ustawy o KRS przewiduje, że w przypadku niedostosowania przez podmiot wpisany do rejestru przedsiębiorców ujawnionego w KRS przedmiotu działalności do klasyfikacji wprowadzanej albo zmienianej rozporządzeniem Rady Ministrów wydanym na podstawie art. 40 ust. 2 i 3 ustawy o statystyce publicznej, po upływie terminu równoczesnego stosowania dotychczasowej i wprowadzanej albo zmienianej klasyfikacji (określonego w rozporządzeniu) zostanie dokonana automatyczna aktualizacja tych danych </w:t>
            </w:r>
            <w:r>
              <w:rPr>
                <w:rFonts w:ascii="Times New Roman" w:hAnsi="Times New Roman"/>
              </w:rPr>
              <w:br/>
            </w:r>
            <w:r w:rsidRPr="00EA5898">
              <w:rPr>
                <w:rFonts w:ascii="Times New Roman" w:hAnsi="Times New Roman"/>
              </w:rPr>
              <w:t>na zasadach i w trybie określonych w art. 40a ust. 2 i 3 ustawy z dnia 29 czerwca 1995 r. o statystyce publicznej (</w:t>
            </w:r>
            <w:r w:rsidRPr="00EA5898">
              <w:rPr>
                <w:rFonts w:ascii="Times New Roman" w:hAnsi="Times New Roman"/>
                <w:i/>
              </w:rPr>
              <w:t>vide</w:t>
            </w:r>
            <w:r w:rsidRPr="00EA5898">
              <w:rPr>
                <w:rFonts w:ascii="Times New Roman" w:hAnsi="Times New Roman"/>
              </w:rPr>
              <w:t xml:space="preserve"> uzasadnienie do art. 1 pkt 8 projektu ustawy).</w:t>
            </w:r>
          </w:p>
          <w:p w14:paraId="38E78337" w14:textId="3E3CD36F"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Co istotne, taka aktualizacja nie będzie miała charakteru orzeczenia sądowego, a co za tym idzie – informacja </w:t>
            </w:r>
            <w:r>
              <w:rPr>
                <w:rFonts w:ascii="Times New Roman" w:hAnsi="Times New Roman"/>
              </w:rPr>
              <w:br/>
            </w:r>
            <w:r w:rsidRPr="00EA5898">
              <w:rPr>
                <w:rFonts w:ascii="Times New Roman" w:hAnsi="Times New Roman"/>
              </w:rPr>
              <w:t xml:space="preserve">o wpisie danych nie będzie wymagała doręczenia podmiotowi, a także nie zwiększy obciążenia sądów rejestrowych. </w:t>
            </w:r>
          </w:p>
          <w:p w14:paraId="24A1A694" w14:textId="070A7BD3"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W KRS zostaną w sposób automatyczny zamieszczone dane, których referencyjnym źródłem będzie akt normatywny w postaci rozporządzenia Rady Ministrów wydanego na podstawie art. 40 ust. 2 i 3 ustawy </w:t>
            </w:r>
            <w:r>
              <w:rPr>
                <w:rFonts w:ascii="Times New Roman" w:hAnsi="Times New Roman"/>
              </w:rPr>
              <w:br/>
            </w:r>
            <w:r w:rsidRPr="00EA5898">
              <w:rPr>
                <w:rFonts w:ascii="Times New Roman" w:hAnsi="Times New Roman"/>
              </w:rPr>
              <w:t xml:space="preserve">o statystyce publicznej albo zostaną z tego rejestru wykreślone dane, które zgodnie z przedmiotowym rozporządzeniem staną się nieaktualne. Aktualizacja danych nie będzie wymagała przeprowadzenia postępowania rejestrowego. Źródłem danych będzie informacja otrzymana z rejestru REGON (na podstawie art. 40a ust. 3 ustawy o statystyce publicznej), a zatem nie zajdzie potrzeba przeprowadzania przez sąd rejestrowy badania w trybie </w:t>
            </w:r>
            <w:r>
              <w:rPr>
                <w:rFonts w:ascii="Times New Roman" w:hAnsi="Times New Roman"/>
              </w:rPr>
              <w:br/>
            </w:r>
            <w:r w:rsidRPr="00EA5898">
              <w:rPr>
                <w:rFonts w:ascii="Times New Roman" w:hAnsi="Times New Roman"/>
              </w:rPr>
              <w:t xml:space="preserve">art. 23 ustawy o KRS. </w:t>
            </w:r>
          </w:p>
          <w:p w14:paraId="68804E2F" w14:textId="383CEF85"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 xml:space="preserve">Należy podkreślić, że proces automatycznej zmiany danych dotyczących przedmiotu działalności będzie następował po okresie równoczesnego stosowania dotychczasowej i wprowadzanej albo zmienianej klasyfikacji. </w:t>
            </w:r>
            <w:r w:rsidRPr="00EA5898">
              <w:rPr>
                <w:rFonts w:ascii="Times New Roman" w:hAnsi="Times New Roman"/>
              </w:rPr>
              <w:lastRenderedPageBreak/>
              <w:t xml:space="preserve">W tym okresie podmioty będą mogły samodzielnie, w trybie wnioskowym, dokonać stosowanych zmian w KRS </w:t>
            </w:r>
            <w:r>
              <w:rPr>
                <w:rFonts w:ascii="Times New Roman" w:hAnsi="Times New Roman"/>
              </w:rPr>
              <w:br/>
            </w:r>
            <w:r w:rsidRPr="00EA5898">
              <w:rPr>
                <w:rFonts w:ascii="Times New Roman" w:hAnsi="Times New Roman"/>
              </w:rPr>
              <w:t xml:space="preserve">i zaktualizować dane. </w:t>
            </w:r>
          </w:p>
          <w:p w14:paraId="1D4459C9" w14:textId="77777777" w:rsidR="0098776F" w:rsidRPr="00EA5898" w:rsidRDefault="0098776F" w:rsidP="0098776F">
            <w:pPr>
              <w:spacing w:line="240" w:lineRule="exact"/>
              <w:ind w:left="709"/>
              <w:jc w:val="both"/>
              <w:rPr>
                <w:rFonts w:ascii="Times New Roman" w:hAnsi="Times New Roman"/>
              </w:rPr>
            </w:pPr>
            <w:r w:rsidRPr="00EA5898">
              <w:rPr>
                <w:rFonts w:ascii="Times New Roman" w:hAnsi="Times New Roman"/>
              </w:rPr>
              <w:t>Proponowane zmiany w znacznym stopniu ograniczą obowiązki podmiotów wpisanych do KRS dotyczące samodzielnej aktualizacji kodów i opisów przedmiotu działalności, a także odciążą sądy rejestrowe poprzez zmniejszenie liczby wniosków dotyczących zmiany przedmiotu działalności. Zaproponowany mechanizm istotnie przyspieszy proces aktualizacji takich danych w KRS.</w:t>
            </w:r>
          </w:p>
          <w:p w14:paraId="62353F65" w14:textId="14BD9F0E" w:rsidR="0098776F" w:rsidRPr="00EA5898" w:rsidRDefault="0098776F" w:rsidP="0098776F">
            <w:pPr>
              <w:pStyle w:val="Akapitzlist"/>
              <w:numPr>
                <w:ilvl w:val="0"/>
                <w:numId w:val="12"/>
              </w:numPr>
              <w:spacing w:before="120" w:line="240" w:lineRule="exact"/>
              <w:ind w:left="709" w:hanging="357"/>
              <w:contextualSpacing w:val="0"/>
              <w:jc w:val="both"/>
              <w:rPr>
                <w:rFonts w:ascii="Times New Roman" w:hAnsi="Times New Roman"/>
              </w:rPr>
            </w:pPr>
            <w:r w:rsidRPr="00EA5898">
              <w:rPr>
                <w:rFonts w:ascii="Times New Roman" w:hAnsi="Times New Roman"/>
              </w:rPr>
              <w:t xml:space="preserve">W proponowanym ust. 2 w art. 20e ustawy o KRS przewidziano wyjątek od ww. regulacji ust. 1, określającej mechanizm automatycznej aktualizacji przedmiotu działalności. Polega on na wyłączeniu tego mechanizmu </w:t>
            </w:r>
            <w:r>
              <w:rPr>
                <w:rFonts w:ascii="Times New Roman" w:hAnsi="Times New Roman"/>
              </w:rPr>
              <w:br/>
            </w:r>
            <w:r w:rsidRPr="00EA5898">
              <w:rPr>
                <w:rFonts w:ascii="Times New Roman" w:hAnsi="Times New Roman"/>
              </w:rPr>
              <w:t xml:space="preserve">w stosunku do wpisów dotyczących przedmiotu działalności pożytku publicznego. W przypadku takich wpisów nie jest możliwa aktualizacja automatyczna, ponieważ opis przedmiotu działalności pożytku publicznego (odmiennie od opisu przedmiotu działalności gospodarczej) nie musi pokrywać się z opisem przedmiotu w Polskiej Klasyfikacji Działalności. Wpisy te będą w dalszym ciągu podlegały aktualizacji na zasadach ogólnych. </w:t>
            </w:r>
          </w:p>
          <w:p w14:paraId="2FCDFB8E" w14:textId="77777777" w:rsidR="0098776F" w:rsidRPr="00EA5898" w:rsidRDefault="0098776F" w:rsidP="0098776F">
            <w:pPr>
              <w:pStyle w:val="Akapitzlist"/>
              <w:numPr>
                <w:ilvl w:val="0"/>
                <w:numId w:val="12"/>
              </w:numPr>
              <w:spacing w:before="120" w:line="240" w:lineRule="exact"/>
              <w:ind w:left="709" w:hanging="357"/>
              <w:contextualSpacing w:val="0"/>
              <w:jc w:val="both"/>
              <w:rPr>
                <w:rFonts w:ascii="Times New Roman" w:hAnsi="Times New Roman"/>
              </w:rPr>
            </w:pPr>
            <w:r w:rsidRPr="00EA5898">
              <w:rPr>
                <w:rFonts w:ascii="Times New Roman" w:hAnsi="Times New Roman"/>
              </w:rPr>
              <w:t>W projektowanym art. 20e ust. 3 ustawy o KRS przewidziano mechanizm dokonywania automatycznych wpisów w KRS w zakresie zmiany nazwy województwa, powiatu, gminy, miejscowości lub ulicy w oparciu o dane udostępniane za pomocą usług sieciowych, na podstawie art. 48 ust. 3 ustawy o statystyce publicznej. Wpisy takie będą dokonywane w przypadku zmiany w rejestrze TERYT, jeżeli relacje pomiędzy dotychczasowymi, a nowymi danymi są jednoznaczne.</w:t>
            </w:r>
          </w:p>
          <w:p w14:paraId="0C3845B7" w14:textId="498B987A" w:rsidR="0098776F" w:rsidRPr="00EA5898" w:rsidRDefault="0098776F" w:rsidP="0098776F">
            <w:pPr>
              <w:pStyle w:val="Akapitzlist"/>
              <w:spacing w:line="240" w:lineRule="exact"/>
              <w:ind w:left="709"/>
              <w:jc w:val="both"/>
              <w:rPr>
                <w:rFonts w:ascii="Times New Roman" w:hAnsi="Times New Roman"/>
              </w:rPr>
            </w:pPr>
            <w:r w:rsidRPr="00EA5898">
              <w:rPr>
                <w:rFonts w:ascii="Times New Roman" w:hAnsi="Times New Roman"/>
              </w:rPr>
              <w:t xml:space="preserve">Także w tym przypadku aktualizacja danych nie będzie miała charakteru orzeczenia sądowego, </w:t>
            </w:r>
            <w:r w:rsidRPr="00EA5898">
              <w:rPr>
                <w:rFonts w:ascii="Times New Roman" w:hAnsi="Times New Roman"/>
              </w:rPr>
              <w:br/>
              <w:t xml:space="preserve">a co za tym idzie informacja o wpisie danych nie będzie wymagała doręczenia podmiotowi. W KRS zostaną </w:t>
            </w:r>
            <w:r>
              <w:rPr>
                <w:rFonts w:ascii="Times New Roman" w:hAnsi="Times New Roman"/>
              </w:rPr>
              <w:br/>
            </w:r>
            <w:r w:rsidRPr="00EA5898">
              <w:rPr>
                <w:rFonts w:ascii="Times New Roman" w:hAnsi="Times New Roman"/>
              </w:rPr>
              <w:t xml:space="preserve">w sposób automatyczny zamieszczone dane, których referencyjnym źródłem będzie rejestr TERYT. Aktualizacja danych nie będzie zatem wymagała przeprowadzenia postępowania rejestrowego, w szczególności przeprowadzania przez sąd rejestrowy badania w trybie art. 23 ustawy o KRS. </w:t>
            </w:r>
          </w:p>
          <w:p w14:paraId="65D729C3" w14:textId="0B656999" w:rsidR="0098776F" w:rsidRPr="00EA5898" w:rsidRDefault="0098776F" w:rsidP="0098776F">
            <w:pPr>
              <w:pStyle w:val="Akapitzlist"/>
              <w:spacing w:line="240" w:lineRule="exact"/>
              <w:ind w:left="709"/>
              <w:jc w:val="both"/>
              <w:rPr>
                <w:rStyle w:val="cf01"/>
                <w:rFonts w:ascii="Times New Roman" w:hAnsi="Times New Roman" w:cs="Times New Roman"/>
                <w:sz w:val="22"/>
                <w:szCs w:val="22"/>
              </w:rPr>
            </w:pPr>
            <w:r w:rsidRPr="00EA5898">
              <w:rPr>
                <w:rFonts w:ascii="Times New Roman" w:hAnsi="Times New Roman"/>
              </w:rPr>
              <w:t xml:space="preserve">Proponowany art. 20e ust. 3 ustawy o KRS, podobnie jak regulacja odnosząca się do automatycznej aktualizacji przedmiotu działalności, przyczyni się do znacznego ograniczenia obowiązków podmiotów wpisanych </w:t>
            </w:r>
            <w:r>
              <w:rPr>
                <w:rFonts w:ascii="Times New Roman" w:hAnsi="Times New Roman"/>
              </w:rPr>
              <w:br/>
            </w:r>
            <w:r w:rsidRPr="00EA5898">
              <w:rPr>
                <w:rFonts w:ascii="Times New Roman" w:hAnsi="Times New Roman"/>
              </w:rPr>
              <w:t xml:space="preserve">do Krajowego Rejestru Sądowego dotyczących aktualizacji danych, odciąży sądy rejestrowe poprzez zmniejszenie liczby wniosków aktualizacyjnych oraz </w:t>
            </w:r>
            <w:r w:rsidRPr="00EA5898">
              <w:rPr>
                <w:rStyle w:val="cf01"/>
                <w:rFonts w:ascii="Times New Roman" w:hAnsi="Times New Roman" w:cs="Times New Roman"/>
                <w:sz w:val="22"/>
                <w:szCs w:val="22"/>
              </w:rPr>
              <w:t>znacznie przyspieszy proces aktualizacji danych w KRS.</w:t>
            </w:r>
          </w:p>
          <w:p w14:paraId="0A6A0518" w14:textId="4C90CDED" w:rsidR="0098776F" w:rsidRPr="00EA5898" w:rsidRDefault="0098776F" w:rsidP="0098776F">
            <w:pPr>
              <w:spacing w:before="120" w:line="240" w:lineRule="exact"/>
              <w:ind w:left="357"/>
              <w:jc w:val="both"/>
              <w:rPr>
                <w:rFonts w:ascii="Times New Roman" w:hAnsi="Times New Roman"/>
              </w:rPr>
            </w:pPr>
            <w:r w:rsidRPr="00EA5898">
              <w:rPr>
                <w:rFonts w:ascii="Times New Roman" w:hAnsi="Times New Roman"/>
              </w:rPr>
              <w:t>Zmiany proponowane w ustawie o KRS, określone w art. 5 projektowanej ustawy, są odpowiedzią na dotychczasowe, prowadzone już od 2021 r., uzgodnienia Głównego Urzędu Statystycznego z Ministerstwem Sprawiedliwości.</w:t>
            </w:r>
          </w:p>
          <w:p w14:paraId="205228BC" w14:textId="3C66B72F" w:rsidR="0098776F" w:rsidRPr="00EA5898" w:rsidRDefault="0098776F" w:rsidP="0098776F">
            <w:pPr>
              <w:pStyle w:val="Default"/>
              <w:spacing w:line="240" w:lineRule="exact"/>
              <w:ind w:left="357"/>
              <w:jc w:val="both"/>
              <w:rPr>
                <w:rFonts w:ascii="Times New Roman" w:hAnsi="Times New Roman" w:cs="Times New Roman"/>
                <w:sz w:val="22"/>
                <w:szCs w:val="22"/>
              </w:rPr>
            </w:pPr>
            <w:r w:rsidRPr="00EA5898">
              <w:rPr>
                <w:rFonts w:ascii="Times New Roman" w:hAnsi="Times New Roman" w:cs="Times New Roman"/>
                <w:sz w:val="22"/>
                <w:szCs w:val="22"/>
              </w:rPr>
              <w:t xml:space="preserve">Rozwiązanie proponowane w obecnej wersji projektu ustawy, dotyczące sposobu automatycznej aktualizacji przedmiotu działalności podmiotów wpisanych do Krajowego Rejestru Sądowego, stanowi istotną modyfikację pierwotnego rozwiązania proponowanego w ramach uzgodnień międzyresortowych. Rozwiązanie to generowało jednak – w ocenie Ministerstwa Sprawiedliwości – bardzo wysokie koszty, sięgające kwoty 258.066.986 zł obliczonej dla 10 lat od dnia wejścia w życie projektowanych zmian (na podstawie wkładu MS do OSR projektu ustawy, stanowiącego załącznik do pisma z dnia 11 czerwca 2024 r., znak DLPK-V.454.83.2024). Mając na uwadze zasadę oszczędności (konieczność minimalizacji wydatków z budżetu państwa), projektodawca (Główny Urząd Statystyczny) nie mógł zaakceptować kosztów realizacji przeklasyfikowania, oszacowanych przez Ministerstwo Sprawiedliwości, </w:t>
            </w:r>
            <w:r>
              <w:rPr>
                <w:rFonts w:ascii="Times New Roman" w:hAnsi="Times New Roman" w:cs="Times New Roman"/>
                <w:sz w:val="22"/>
                <w:szCs w:val="22"/>
              </w:rPr>
              <w:br/>
            </w:r>
            <w:r w:rsidRPr="00EA5898">
              <w:rPr>
                <w:rFonts w:ascii="Times New Roman" w:hAnsi="Times New Roman" w:cs="Times New Roman"/>
                <w:sz w:val="22"/>
                <w:szCs w:val="22"/>
              </w:rPr>
              <w:t xml:space="preserve">a tym samym wcześniej proponowany pomysł na przeklasyfikowanie stał się niemożliwy do realizacji. Zaproponowane w obecnej wersji projektu ustawy nowe rozwiązanie w tym zakresie zostało, w ramach uzgodnień dwustronnych, przesłane do Ministerstwa Sprawiedliwości przy piśmie z dnia 22 lipca 2024 r. (znak GUS-PR08.7031.11.2024.2), w celu oceny merytorycznej, jednak Ministerstwo nie odniosło się do tej propozycji (pismo </w:t>
            </w:r>
            <w:r>
              <w:rPr>
                <w:rFonts w:ascii="Times New Roman" w:hAnsi="Times New Roman" w:cs="Times New Roman"/>
                <w:sz w:val="22"/>
                <w:szCs w:val="22"/>
              </w:rPr>
              <w:br/>
            </w:r>
            <w:r w:rsidRPr="00EA5898">
              <w:rPr>
                <w:rFonts w:ascii="Times New Roman" w:hAnsi="Times New Roman" w:cs="Times New Roman"/>
                <w:sz w:val="22"/>
                <w:szCs w:val="22"/>
              </w:rPr>
              <w:t>z dnia 31 lipca 2024 r. , znak DL.454.127.2024).</w:t>
            </w:r>
          </w:p>
          <w:p w14:paraId="0AF184EC" w14:textId="77777777" w:rsidR="0098776F" w:rsidRPr="00EA5898" w:rsidRDefault="0098776F" w:rsidP="0098776F">
            <w:pPr>
              <w:pStyle w:val="Default"/>
              <w:spacing w:line="240" w:lineRule="exact"/>
              <w:ind w:left="357"/>
              <w:jc w:val="both"/>
              <w:rPr>
                <w:rFonts w:ascii="Times New Roman" w:hAnsi="Times New Roman" w:cs="Times New Roman"/>
                <w:sz w:val="22"/>
                <w:szCs w:val="22"/>
              </w:rPr>
            </w:pPr>
            <w:r w:rsidRPr="00EA5898">
              <w:rPr>
                <w:rFonts w:ascii="Times New Roman" w:hAnsi="Times New Roman" w:cs="Times New Roman"/>
                <w:sz w:val="22"/>
                <w:szCs w:val="22"/>
              </w:rPr>
              <w:t>Należy podkreślić, że zaproponowana przez Główny Urząd Statystyczny nowa metoda przeklasyfikowania podmiotów zarejestrowanych w KRS umożliwi znaczne ograniczenie kosztów tego procesu w stosunku do pierwotnego rozwiązania proponowanego w ramach uzgodnień międzyresortowych. Proponowane rozwiązanie przyczyni się również do znacznego ograniczenia obowiązków podmiotów wpisanych do KRS.</w:t>
            </w:r>
          </w:p>
          <w:p w14:paraId="6E85164B" w14:textId="77777777" w:rsidR="0098776F" w:rsidRPr="00EA5898" w:rsidRDefault="0098776F" w:rsidP="0098776F">
            <w:pPr>
              <w:pStyle w:val="Akapitzlist"/>
              <w:numPr>
                <w:ilvl w:val="0"/>
                <w:numId w:val="22"/>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Centralnej Ewidencji i Informacji o Działalności Gospodarczej i Punkcie Informacji dla Przedsiębiorcy</w:t>
            </w:r>
          </w:p>
          <w:p w14:paraId="02B51CCF" w14:textId="4B8E5FB0" w:rsidR="0098776F" w:rsidRPr="00EA5898" w:rsidRDefault="0098776F" w:rsidP="0098776F">
            <w:pPr>
              <w:spacing w:line="240" w:lineRule="exact"/>
              <w:ind w:left="357"/>
              <w:jc w:val="both"/>
              <w:rPr>
                <w:rFonts w:ascii="Times New Roman" w:hAnsi="Times New Roman"/>
              </w:rPr>
            </w:pPr>
            <w:r w:rsidRPr="00EA5898">
              <w:rPr>
                <w:rFonts w:ascii="Times New Roman" w:hAnsi="Times New Roman"/>
              </w:rPr>
              <w:t xml:space="preserve">W art. 6 projektowanej ustawy wprowadza się zmiany w ustawie z dnia 6 marca 2018 r. o Centralnej Ewidencji </w:t>
            </w:r>
            <w:r>
              <w:rPr>
                <w:rFonts w:ascii="Times New Roman" w:hAnsi="Times New Roman"/>
              </w:rPr>
              <w:br/>
            </w:r>
            <w:r w:rsidRPr="00EA5898">
              <w:rPr>
                <w:rFonts w:ascii="Times New Roman" w:hAnsi="Times New Roman"/>
              </w:rPr>
              <w:t>i Informacji o Działalności Gospodarczej i Punkcie Informacji dla Przedsiębiorcy, zwanej dalej „ustawą o CEIDG”.</w:t>
            </w:r>
          </w:p>
          <w:p w14:paraId="791ED17D" w14:textId="1C305FEE" w:rsidR="0098776F" w:rsidRPr="00EA5898" w:rsidRDefault="0098776F" w:rsidP="0098776F">
            <w:pPr>
              <w:pStyle w:val="Akapitzlist"/>
              <w:numPr>
                <w:ilvl w:val="0"/>
                <w:numId w:val="13"/>
              </w:numPr>
              <w:spacing w:before="120" w:line="240" w:lineRule="exact"/>
              <w:ind w:left="714" w:hanging="357"/>
              <w:jc w:val="both"/>
              <w:rPr>
                <w:rFonts w:ascii="Times New Roman" w:hAnsi="Times New Roman"/>
              </w:rPr>
            </w:pPr>
            <w:r w:rsidRPr="00EA5898">
              <w:rPr>
                <w:rFonts w:ascii="Times New Roman" w:hAnsi="Times New Roman"/>
              </w:rPr>
              <w:t xml:space="preserve">W dniu 01.01.2025 r. wejdzie wszedł w życie przepis art. 21a ustawy o CEIDG, który umożliwia dokonywanie automatycznego przeklasyfikowania kodów PKD wykonywanej działalności gospodarczej, jeżeli konieczność dokonania zmiany tych danych wynika ze zmian w standardowych klasyfikacjach lub nomenklaturach, o których mowa w przepisach o statystyce publicznej, o ile w danym przypadku jest to możliwe. W projekcie ustawy zaproponowano zmianę brzmienia art. 21a, która ma na celu doprecyzowanie, że konieczność dokonania zmiany tych danych każdorazowo będzie wynikać ze zmian w rozporządzeniu Rady Ministrów wydanym na podstawie </w:t>
            </w:r>
            <w:r w:rsidRPr="00EA5898">
              <w:rPr>
                <w:rFonts w:ascii="Times New Roman" w:hAnsi="Times New Roman"/>
              </w:rPr>
              <w:br/>
              <w:t>art. 40 ust. 2 i 3 ustawy o statystyce publicznej, w tym z wzajemnych relacji (jednoznacznych i wieloznacznych) pomiędzy obowiązującą i wprowadzaną albo zmienianą klasyfikacją oraz szczegółowych interpretacji wzajemnych relacji wieloznacznych, określonych w tym rozporządzeniu.</w:t>
            </w:r>
          </w:p>
          <w:p w14:paraId="2E57B3A1" w14:textId="77777777" w:rsidR="0098776F" w:rsidRPr="00EA5898" w:rsidRDefault="0098776F" w:rsidP="0098776F">
            <w:pPr>
              <w:pStyle w:val="Akapitzlist"/>
              <w:numPr>
                <w:ilvl w:val="0"/>
                <w:numId w:val="13"/>
              </w:numPr>
              <w:spacing w:before="120" w:line="240" w:lineRule="exact"/>
              <w:ind w:left="714" w:hanging="357"/>
              <w:contextualSpacing w:val="0"/>
              <w:jc w:val="both"/>
              <w:rPr>
                <w:rFonts w:ascii="Times New Roman" w:hAnsi="Times New Roman"/>
              </w:rPr>
            </w:pPr>
            <w:r w:rsidRPr="00EA5898">
              <w:rPr>
                <w:rFonts w:ascii="Times New Roman" w:hAnsi="Times New Roman"/>
              </w:rPr>
              <w:t xml:space="preserve">Dla zapewnienia spójności w różnych rejestrach urzędowych danych w zakresie kodu PKD (który powinien być w każdym z tych rejestrów zgodny z nową lub zmienioną klasyfikacją) niezbędna jest zmiana art. 22 ust. 1 ustawy o CEIDG. Dane i informacje o dokonaniu zmiany kodu PKD, CEIDG będzie przekazywać, droga elektroniczną </w:t>
            </w:r>
            <w:r w:rsidRPr="00EA5898">
              <w:rPr>
                <w:rFonts w:ascii="Times New Roman" w:hAnsi="Times New Roman"/>
              </w:rPr>
              <w:lastRenderedPageBreak/>
              <w:t>do Centralnego Rejestru Podmiotów – Krajowej Ewidencji Podatników, Głównego Urzędu Statystycznego, Zakładu Ubezpieczeń Społecznych, Kasy Rolniczego Ubezpieczenia Społecznego oraz podmiotów, o których mowa w art. 44 ust. 3 ustawy o CEIDG.</w:t>
            </w:r>
          </w:p>
          <w:p w14:paraId="759304C5" w14:textId="77777777" w:rsidR="0098776F" w:rsidRPr="00EA5898" w:rsidRDefault="0098776F" w:rsidP="0098776F">
            <w:pPr>
              <w:spacing w:before="120" w:line="240" w:lineRule="exact"/>
              <w:ind w:left="357"/>
              <w:jc w:val="both"/>
              <w:rPr>
                <w:rFonts w:ascii="Times New Roman" w:hAnsi="Times New Roman"/>
              </w:rPr>
            </w:pPr>
            <w:r w:rsidRPr="00EA5898">
              <w:rPr>
                <w:rFonts w:ascii="Times New Roman" w:hAnsi="Times New Roman"/>
              </w:rPr>
              <w:t>Zmiany w ustawie o CEIDG, określone w art. 6 projektowanej ustawy, zostały wypracowane w toku szczegółowych uzgodnień Głównego Urzędu Statystycznego z Ministerstwem Rozwoju i Technologii.</w:t>
            </w:r>
          </w:p>
          <w:p w14:paraId="242AFF3E" w14:textId="77777777" w:rsidR="0098776F" w:rsidRPr="00EA5898" w:rsidRDefault="0098776F" w:rsidP="0098776F">
            <w:pPr>
              <w:pStyle w:val="Akapitzlist"/>
              <w:numPr>
                <w:ilvl w:val="0"/>
                <w:numId w:val="22"/>
              </w:numPr>
              <w:spacing w:before="120" w:line="240" w:lineRule="exact"/>
              <w:ind w:left="357" w:hanging="357"/>
              <w:contextualSpacing w:val="0"/>
              <w:jc w:val="both"/>
              <w:rPr>
                <w:rFonts w:ascii="Times New Roman" w:hAnsi="Times New Roman"/>
                <w:b/>
              </w:rPr>
            </w:pPr>
            <w:r w:rsidRPr="00EA5898">
              <w:rPr>
                <w:rFonts w:ascii="Times New Roman" w:hAnsi="Times New Roman"/>
                <w:b/>
              </w:rPr>
              <w:t>Zmiany w ustawie o Krajowym Rejestrze Zadłużonych</w:t>
            </w:r>
          </w:p>
          <w:p w14:paraId="208EA2CD"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W art. 7 projektowanej ustawy wprowadza się zmianę w ustawie z dnia 6 grudnia 2018 r. o Krajowym Rejestrze Zadłużonych (Dz. U. z 2021 r. poz. 1909), zwanej dalej „ustawą o KRZ”.</w:t>
            </w:r>
          </w:p>
          <w:p w14:paraId="1B084B92" w14:textId="66853CA1"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Proponowana zmiana polega na nadaniu nowego brzmienia ust. 5 w art. 9 ustawy o KRZ i ma na celu wyłączenie stosowania proponowanego art. 48a ustawy o statystyce publicznej w stosunku do Krajowego Rejestru Zadłużonych. Zmiana taka uzasadniona jest faktem, że w Krajowym Rejestrze Zadłużonych są ujawniane dane według stanu na moment ich ujawnienia. Dane te nie podlegają dalszej aktualizacji. Koniecznym jest zatem wyłączenie obowiązku, </w:t>
            </w:r>
            <w:r>
              <w:rPr>
                <w:rFonts w:ascii="Times New Roman" w:hAnsi="Times New Roman"/>
              </w:rPr>
              <w:br/>
            </w:r>
            <w:r w:rsidRPr="00EA5898">
              <w:rPr>
                <w:rFonts w:ascii="Times New Roman" w:hAnsi="Times New Roman"/>
              </w:rPr>
              <w:t>o którym mowa w art. 1 pkt 21 projektowanej ustawy (proponowany art. 48a o statystyce publicznej), gdyż godziłby on w tak ukształtowaną konstrukcję przedmiotowego rejestru.</w:t>
            </w:r>
          </w:p>
          <w:p w14:paraId="2847E340" w14:textId="77777777"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Zmiany w ustawie o KRZ, określone w art. 7 projektowanej ustawy, zostały wypracowane w toku uzgodnień Głównego Urzędu Statystycznego z Ministerstwem Sprawiedliwości.</w:t>
            </w:r>
          </w:p>
          <w:p w14:paraId="68E5E577" w14:textId="77777777" w:rsidR="0098776F" w:rsidRPr="00EA5898" w:rsidRDefault="0098776F" w:rsidP="0098776F">
            <w:pPr>
              <w:pStyle w:val="Akapitzlist"/>
              <w:numPr>
                <w:ilvl w:val="0"/>
                <w:numId w:val="22"/>
              </w:numPr>
              <w:spacing w:before="120" w:line="240" w:lineRule="exact"/>
              <w:ind w:left="357" w:hanging="357"/>
              <w:contextualSpacing w:val="0"/>
              <w:jc w:val="both"/>
              <w:rPr>
                <w:rFonts w:ascii="Times New Roman" w:hAnsi="Times New Roman"/>
                <w:b/>
              </w:rPr>
            </w:pPr>
            <w:r w:rsidRPr="00EA5898">
              <w:rPr>
                <w:rFonts w:ascii="Times New Roman" w:hAnsi="Times New Roman"/>
                <w:b/>
              </w:rPr>
              <w:t xml:space="preserve">Zmiany w ustawie o doręczeniach elektronicznych </w:t>
            </w:r>
          </w:p>
          <w:p w14:paraId="56A0F08D" w14:textId="77777777" w:rsidR="0098776F" w:rsidRPr="00EA5898" w:rsidRDefault="0098776F" w:rsidP="0098776F">
            <w:pPr>
              <w:pStyle w:val="Akapitzlist"/>
              <w:spacing w:line="240" w:lineRule="exact"/>
              <w:ind w:left="360"/>
              <w:jc w:val="both"/>
              <w:rPr>
                <w:rFonts w:ascii="Times New Roman" w:hAnsi="Times New Roman"/>
              </w:rPr>
            </w:pPr>
            <w:bookmarkStart w:id="12" w:name="_Hlk148368853"/>
            <w:r w:rsidRPr="00EA5898">
              <w:rPr>
                <w:rFonts w:ascii="Times New Roman" w:hAnsi="Times New Roman"/>
              </w:rPr>
              <w:t xml:space="preserve">W art. 8 projektowanej ustawy wprowadza się zmiany w ustawie z dnia 18 listopada 2020 r. </w:t>
            </w:r>
            <w:r w:rsidRPr="00EA5898">
              <w:rPr>
                <w:rFonts w:ascii="Times New Roman" w:hAnsi="Times New Roman"/>
              </w:rPr>
              <w:br/>
              <w:t>o doręczeniach elektronicznych (Dz. U. z 2024 r. poz. 1045).</w:t>
            </w:r>
          </w:p>
          <w:p w14:paraId="773947C2" w14:textId="0A083AD6" w:rsidR="0098776F" w:rsidRPr="00EA5898" w:rsidRDefault="0098776F" w:rsidP="0098776F">
            <w:pPr>
              <w:pStyle w:val="Akapitzlist"/>
              <w:spacing w:line="240" w:lineRule="exact"/>
              <w:ind w:left="360"/>
              <w:jc w:val="both"/>
              <w:rPr>
                <w:rFonts w:ascii="Times New Roman" w:hAnsi="Times New Roman"/>
              </w:rPr>
            </w:pPr>
            <w:r w:rsidRPr="00EA5898">
              <w:rPr>
                <w:rFonts w:ascii="Times New Roman" w:hAnsi="Times New Roman"/>
              </w:rPr>
              <w:t xml:space="preserve">Proponowana nowelizacja tej ustawy polega na wprowadzeniu zmian w art. 166 ustawy z dnia 18 listopada 2020 r. </w:t>
            </w:r>
            <w:r>
              <w:rPr>
                <w:rFonts w:ascii="Times New Roman" w:hAnsi="Times New Roman"/>
              </w:rPr>
              <w:br/>
            </w:r>
            <w:r w:rsidRPr="00EA5898">
              <w:rPr>
                <w:rFonts w:ascii="Times New Roman" w:hAnsi="Times New Roman"/>
              </w:rPr>
              <w:t>o doręczeniach elektronicznych, w zakresie dotyczącym terminu wejścia w życie zmian w ustawie o CEIDG (wprowadzonych tą ustawą) – zmiany te wejdą w życie z dniem 1 stycznia 2025.</w:t>
            </w:r>
          </w:p>
          <w:p w14:paraId="6B82C4F3" w14:textId="2073CFEC" w:rsidR="0098776F" w:rsidRPr="00EA5898" w:rsidRDefault="0098776F" w:rsidP="0098776F">
            <w:pPr>
              <w:spacing w:line="240" w:lineRule="exact"/>
              <w:ind w:left="360"/>
              <w:jc w:val="both"/>
              <w:rPr>
                <w:rFonts w:ascii="Times New Roman" w:hAnsi="Times New Roman"/>
              </w:rPr>
            </w:pPr>
            <w:r w:rsidRPr="00EA5898">
              <w:rPr>
                <w:rFonts w:ascii="Times New Roman" w:hAnsi="Times New Roman"/>
              </w:rPr>
              <w:t>Zmiany w ustawie z dnia 18 listopada 2020 r. o doręczeniach elektronicznych, określone w art. 8 projektowanej ustawy, zostały wypracowane w toku uzgodnień Głównego Urzędu Statystycznego z Ministerstwem Rozwoju i Technologii.</w:t>
            </w:r>
          </w:p>
          <w:p w14:paraId="052C7FD1" w14:textId="10ADEB01" w:rsidR="003468AB" w:rsidRPr="00A567F6" w:rsidRDefault="0098776F" w:rsidP="0098776F">
            <w:pPr>
              <w:spacing w:before="120" w:line="240" w:lineRule="exact"/>
              <w:jc w:val="both"/>
              <w:rPr>
                <w:rFonts w:ascii="Times New Roman" w:hAnsi="Times New Roman"/>
              </w:rPr>
            </w:pPr>
            <w:r w:rsidRPr="00EA5898">
              <w:rPr>
                <w:rFonts w:ascii="Times New Roman" w:hAnsi="Times New Roman"/>
                <w:color w:val="000000"/>
                <w:spacing w:val="-2"/>
              </w:rPr>
              <w:t xml:space="preserve">W związku z potrzebą wprowadzenia ww. zmian w przepisach </w:t>
            </w:r>
            <w:r w:rsidRPr="00EA5898">
              <w:rPr>
                <w:rFonts w:ascii="Times New Roman" w:hAnsi="Times New Roman"/>
              </w:rPr>
              <w:t>ustawy z dnia 29 czerwca 1995 r. o statystyce publicznej oraz w innych ww. ustawach</w:t>
            </w:r>
            <w:r w:rsidRPr="00EA5898">
              <w:rPr>
                <w:rFonts w:ascii="Times New Roman" w:hAnsi="Times New Roman"/>
                <w:color w:val="000000"/>
                <w:spacing w:val="-2"/>
              </w:rPr>
              <w:t>, konieczne jest przyjęcie ścieżki legislacyjnej. Osiągnięcie tego rezultatu przy pomocy działań innych niż działania legislacyjne nie jest możliwe.</w:t>
            </w:r>
            <w:bookmarkEnd w:id="12"/>
          </w:p>
        </w:tc>
      </w:tr>
      <w:bookmarkEnd w:id="7"/>
      <w:tr w:rsidR="0058777E" w:rsidRPr="008B4FE6" w14:paraId="61DD98E6" w14:textId="77777777" w:rsidTr="00AC17BB">
        <w:trPr>
          <w:gridAfter w:val="1"/>
          <w:wAfter w:w="10" w:type="dxa"/>
          <w:trHeight w:val="307"/>
        </w:trPr>
        <w:tc>
          <w:tcPr>
            <w:tcW w:w="10937" w:type="dxa"/>
            <w:gridSpan w:val="29"/>
            <w:shd w:val="clear" w:color="auto" w:fill="99CCFF"/>
            <w:vAlign w:val="center"/>
          </w:tcPr>
          <w:p w14:paraId="2D1D8E01" w14:textId="77777777" w:rsidR="0058777E" w:rsidRPr="008B4FE6" w:rsidRDefault="0058777E" w:rsidP="00343ACC">
            <w:pPr>
              <w:numPr>
                <w:ilvl w:val="0"/>
                <w:numId w:val="30"/>
              </w:numPr>
              <w:spacing w:before="60" w:after="60" w:line="240" w:lineRule="auto"/>
              <w:ind w:left="318" w:hanging="284"/>
              <w:jc w:val="both"/>
              <w:rPr>
                <w:rFonts w:ascii="Times New Roman" w:hAnsi="Times New Roman"/>
                <w:b/>
                <w:color w:val="000000"/>
              </w:rPr>
            </w:pPr>
            <w:r>
              <w:rPr>
                <w:rFonts w:ascii="Times New Roman" w:hAnsi="Times New Roman"/>
                <w:b/>
                <w:spacing w:val="-2"/>
              </w:rPr>
              <w:lastRenderedPageBreak/>
              <w:t>Jak problem został rozwiązany</w:t>
            </w:r>
            <w:r w:rsidRPr="001812C7">
              <w:rPr>
                <w:rFonts w:ascii="Times New Roman" w:hAnsi="Times New Roman"/>
                <w:b/>
                <w:spacing w:val="-2"/>
              </w:rPr>
              <w:t xml:space="preserve"> w innych krajach, w szczególności krajach członkowskich OECD/UE</w:t>
            </w:r>
            <w:r w:rsidRPr="008B4FE6">
              <w:rPr>
                <w:rFonts w:ascii="Times New Roman" w:hAnsi="Times New Roman"/>
                <w:b/>
                <w:color w:val="000000"/>
              </w:rPr>
              <w:t>?</w:t>
            </w:r>
            <w:r w:rsidRPr="008B4FE6">
              <w:rPr>
                <w:rFonts w:ascii="Times New Roman" w:hAnsi="Times New Roman"/>
                <w:i/>
                <w:color w:val="000000"/>
              </w:rPr>
              <w:t xml:space="preserve"> </w:t>
            </w:r>
          </w:p>
        </w:tc>
      </w:tr>
      <w:tr w:rsidR="003468AB" w:rsidRPr="008B4FE6" w14:paraId="0C6FF8E3" w14:textId="77777777" w:rsidTr="00AC17BB">
        <w:trPr>
          <w:gridAfter w:val="1"/>
          <w:wAfter w:w="10" w:type="dxa"/>
          <w:trHeight w:val="1760"/>
        </w:trPr>
        <w:tc>
          <w:tcPr>
            <w:tcW w:w="10937" w:type="dxa"/>
            <w:gridSpan w:val="29"/>
            <w:shd w:val="clear" w:color="auto" w:fill="auto"/>
          </w:tcPr>
          <w:p w14:paraId="48E35017" w14:textId="77777777" w:rsidR="0098776F" w:rsidRDefault="0098776F" w:rsidP="0098776F">
            <w:pPr>
              <w:spacing w:after="120" w:line="240" w:lineRule="exact"/>
              <w:jc w:val="both"/>
              <w:rPr>
                <w:rFonts w:ascii="Times New Roman" w:hAnsi="Times New Roman"/>
                <w:iCs/>
              </w:rPr>
            </w:pPr>
            <w:r>
              <w:rPr>
                <w:rFonts w:ascii="Times New Roman" w:hAnsi="Times New Roman"/>
                <w:iCs/>
              </w:rPr>
              <w:t>W zakresie dotyczącym rejestru REGON i rejestru TERYT projektowana ustawa</w:t>
            </w:r>
            <w:r w:rsidRPr="000F5983">
              <w:rPr>
                <w:rFonts w:ascii="Times New Roman" w:hAnsi="Times New Roman"/>
                <w:iCs/>
              </w:rPr>
              <w:t xml:space="preserve"> dotyczy kwestii szczegółowych, związanych z krajowymi regulacjami prawnymi</w:t>
            </w:r>
            <w:r>
              <w:rPr>
                <w:rFonts w:ascii="Times New Roman" w:hAnsi="Times New Roman"/>
                <w:iCs/>
              </w:rPr>
              <w:t xml:space="preserve">, </w:t>
            </w:r>
            <w:r w:rsidRPr="000F5983">
              <w:rPr>
                <w:rFonts w:ascii="Times New Roman" w:hAnsi="Times New Roman"/>
                <w:iCs/>
              </w:rPr>
              <w:t>odnoszący</w:t>
            </w:r>
            <w:r>
              <w:rPr>
                <w:rFonts w:ascii="Times New Roman" w:hAnsi="Times New Roman"/>
                <w:iCs/>
              </w:rPr>
              <w:t>ch</w:t>
            </w:r>
            <w:r w:rsidRPr="000F5983">
              <w:rPr>
                <w:rFonts w:ascii="Times New Roman" w:hAnsi="Times New Roman"/>
                <w:iCs/>
              </w:rPr>
              <w:t xml:space="preserve"> się do polskiego systemu </w:t>
            </w:r>
            <w:r>
              <w:rPr>
                <w:rFonts w:ascii="Times New Roman" w:hAnsi="Times New Roman"/>
                <w:iCs/>
              </w:rPr>
              <w:t>rejestracji podmiotów gospodarczych</w:t>
            </w:r>
            <w:r w:rsidRPr="000F5983">
              <w:rPr>
                <w:rFonts w:ascii="Times New Roman" w:hAnsi="Times New Roman"/>
                <w:iCs/>
              </w:rPr>
              <w:t xml:space="preserve"> </w:t>
            </w:r>
            <w:r>
              <w:rPr>
                <w:rFonts w:ascii="Times New Roman" w:hAnsi="Times New Roman"/>
                <w:iCs/>
              </w:rPr>
              <w:t>oraz systemu</w:t>
            </w:r>
            <w:r w:rsidRPr="000F5983">
              <w:rPr>
                <w:rFonts w:ascii="Times New Roman" w:hAnsi="Times New Roman"/>
                <w:iCs/>
              </w:rPr>
              <w:t xml:space="preserve"> kodowania jednostek terytorialnych, które nie mają bezpośredniego odniesienia do rozwiązań funkcjonujących w innych krajach</w:t>
            </w:r>
            <w:r>
              <w:rPr>
                <w:rFonts w:ascii="Times New Roman" w:hAnsi="Times New Roman"/>
                <w:iCs/>
              </w:rPr>
              <w:t>, a analiza porównawcza pozostałaby bez wpływu na projektowane regulacje.</w:t>
            </w:r>
          </w:p>
          <w:p w14:paraId="538462B6" w14:textId="77777777" w:rsidR="0098776F" w:rsidRDefault="0098776F" w:rsidP="0098776F">
            <w:pPr>
              <w:spacing w:before="120" w:after="120" w:line="240" w:lineRule="exact"/>
              <w:jc w:val="both"/>
              <w:rPr>
                <w:rFonts w:ascii="Times New Roman" w:hAnsi="Times New Roman"/>
              </w:rPr>
            </w:pPr>
            <w:r w:rsidRPr="000F5983">
              <w:rPr>
                <w:rFonts w:ascii="Times New Roman" w:hAnsi="Times New Roman"/>
                <w:iCs/>
              </w:rPr>
              <w:t xml:space="preserve">W odniesieniu do zmian dotyczących rejestru TERYT, z uwagi na ich porządkujący charakter, nie przeprowadzano analizy prawno-porównawczej odpowiedników rejestru TERYT funkcjonujących w innych krajach członkowskich OECD/UE </w:t>
            </w:r>
            <w:r>
              <w:rPr>
                <w:rFonts w:ascii="Times New Roman" w:hAnsi="Times New Roman"/>
                <w:iCs/>
              </w:rPr>
              <w:br/>
            </w:r>
            <w:r w:rsidRPr="000F5983">
              <w:rPr>
                <w:rFonts w:ascii="Times New Roman" w:hAnsi="Times New Roman"/>
                <w:iCs/>
              </w:rPr>
              <w:t>i współpracy tych rejestrów z innymi rejestrami krajowymi.</w:t>
            </w:r>
            <w:r>
              <w:rPr>
                <w:rFonts w:ascii="Times New Roman" w:hAnsi="Times New Roman"/>
                <w:iCs/>
              </w:rPr>
              <w:t xml:space="preserve"> Projektowane zmiany nie dotyczą tworzenia od podstaw nowego rejestru, nie przewidują nowych rozwiązań ponad te, które są obecnie ujęte w przepisach aktualnie obowiązujących, polegają natomiast na przeniesieniu do ustawy i doprecyzowaniu części przepisów uregulowanych obecnie w rozporządzeniu wykonawczym.</w:t>
            </w:r>
            <w:r w:rsidRPr="000F5983">
              <w:rPr>
                <w:rFonts w:ascii="Times New Roman" w:hAnsi="Times New Roman"/>
                <w:iCs/>
              </w:rPr>
              <w:t xml:space="preserve"> </w:t>
            </w:r>
          </w:p>
          <w:p w14:paraId="18CBD096" w14:textId="77777777" w:rsidR="0098776F" w:rsidRPr="00272A47" w:rsidRDefault="0098776F" w:rsidP="0098776F">
            <w:pPr>
              <w:spacing w:before="120" w:after="120" w:line="240" w:lineRule="exact"/>
              <w:jc w:val="both"/>
              <w:rPr>
                <w:rFonts w:ascii="Times New Roman" w:hAnsi="Times New Roman"/>
              </w:rPr>
            </w:pPr>
            <w:r w:rsidRPr="00272A47">
              <w:rPr>
                <w:rFonts w:ascii="Times New Roman" w:hAnsi="Times New Roman"/>
              </w:rPr>
              <w:t xml:space="preserve">W odniesieniu do rejestru REGON nie przeprowadzano analizy prawno-porównawczej odpowiedników rejestru REGON w innych krajach członkowskich OECD/UE i współpracy tych rejestrów z innymi rejestrami krajowymi. Projektowane regulacje nie ustanawiają nowych rozwiązań </w:t>
            </w:r>
            <w:r>
              <w:rPr>
                <w:rFonts w:ascii="Times New Roman" w:hAnsi="Times New Roman"/>
              </w:rPr>
              <w:t xml:space="preserve">merytorycznych – zmiany </w:t>
            </w:r>
            <w:r w:rsidRPr="00272A47">
              <w:rPr>
                <w:rFonts w:ascii="Times New Roman" w:hAnsi="Times New Roman"/>
              </w:rPr>
              <w:t xml:space="preserve">mają charakter porządkujący i dostosowujący </w:t>
            </w:r>
            <w:r>
              <w:rPr>
                <w:rFonts w:ascii="Times New Roman" w:hAnsi="Times New Roman"/>
              </w:rPr>
              <w:br/>
            </w:r>
            <w:r w:rsidRPr="00272A47">
              <w:rPr>
                <w:rFonts w:ascii="Times New Roman" w:hAnsi="Times New Roman"/>
              </w:rPr>
              <w:t>do innych przepisów, w oparciu o które funkcjonują rejestry krajowe (CEIDG, KRS), stanowiące źródła danych dla rejestru REGON.</w:t>
            </w:r>
          </w:p>
          <w:p w14:paraId="5E0DD69E" w14:textId="77777777" w:rsidR="0098776F" w:rsidRPr="00153397" w:rsidRDefault="0098776F" w:rsidP="0098776F">
            <w:pPr>
              <w:spacing w:before="120" w:after="120" w:line="240" w:lineRule="exact"/>
              <w:jc w:val="both"/>
              <w:rPr>
                <w:rFonts w:ascii="Times New Roman" w:hAnsi="Times New Roman"/>
              </w:rPr>
            </w:pPr>
            <w:r>
              <w:rPr>
                <w:rFonts w:ascii="Times New Roman" w:hAnsi="Times New Roman"/>
              </w:rPr>
              <w:t xml:space="preserve">Odnosząc się do zmian dotyczących Polskiej Klasyfikacji Działalności należy wyjaśnić, że </w:t>
            </w:r>
            <w:r w:rsidRPr="00153397">
              <w:rPr>
                <w:rFonts w:ascii="Times New Roman" w:hAnsi="Times New Roman"/>
              </w:rPr>
              <w:t xml:space="preserve">Statystyczna Klasyfikacja Działalności Gospodarczych (NACE </w:t>
            </w:r>
            <w:proofErr w:type="spellStart"/>
            <w:r w:rsidRPr="00153397">
              <w:rPr>
                <w:rFonts w:ascii="Times New Roman" w:hAnsi="Times New Roman"/>
              </w:rPr>
              <w:t>Rev</w:t>
            </w:r>
            <w:proofErr w:type="spellEnd"/>
            <w:r w:rsidRPr="00153397">
              <w:rPr>
                <w:rFonts w:ascii="Times New Roman" w:hAnsi="Times New Roman"/>
              </w:rPr>
              <w:t xml:space="preserve">. 2), </w:t>
            </w:r>
            <w:r>
              <w:rPr>
                <w:rFonts w:ascii="Times New Roman" w:hAnsi="Times New Roman"/>
              </w:rPr>
              <w:t xml:space="preserve">wprowadzona rozporządzeniem WE </w:t>
            </w:r>
            <w:r w:rsidRPr="00153397">
              <w:rPr>
                <w:rFonts w:ascii="Times New Roman" w:hAnsi="Times New Roman"/>
              </w:rPr>
              <w:t xml:space="preserve">1893/2006, której odpowiednikiem jest Polska Klasyfikacja Działalności (PKD) – została </w:t>
            </w:r>
            <w:r>
              <w:rPr>
                <w:rFonts w:ascii="Times New Roman" w:hAnsi="Times New Roman"/>
              </w:rPr>
              <w:t>zaimplementowana</w:t>
            </w:r>
            <w:r w:rsidRPr="00153397">
              <w:rPr>
                <w:rFonts w:ascii="Times New Roman" w:hAnsi="Times New Roman"/>
              </w:rPr>
              <w:t xml:space="preserve"> do stosowania we wszystkich krajach członkowskich Unii Europejskiej, w celu spełnienia wymogów statystyki Unii</w:t>
            </w:r>
            <w:r>
              <w:rPr>
                <w:rFonts w:ascii="Times New Roman" w:hAnsi="Times New Roman"/>
              </w:rPr>
              <w:t xml:space="preserve"> Europejskiej</w:t>
            </w:r>
            <w:r w:rsidRPr="00153397">
              <w:rPr>
                <w:rFonts w:ascii="Times New Roman" w:hAnsi="Times New Roman"/>
              </w:rPr>
              <w:t>. Analiza</w:t>
            </w:r>
            <w:r>
              <w:rPr>
                <w:rFonts w:ascii="Times New Roman" w:hAnsi="Times New Roman"/>
              </w:rPr>
              <w:t xml:space="preserve"> rozwiązań</w:t>
            </w:r>
            <w:r w:rsidRPr="00153397">
              <w:rPr>
                <w:rFonts w:ascii="Times New Roman" w:hAnsi="Times New Roman"/>
              </w:rPr>
              <w:t xml:space="preserve"> </w:t>
            </w:r>
            <w:r>
              <w:rPr>
                <w:rFonts w:ascii="Times New Roman" w:hAnsi="Times New Roman"/>
              </w:rPr>
              <w:t xml:space="preserve">funkcjonujących </w:t>
            </w:r>
            <w:r>
              <w:rPr>
                <w:rFonts w:ascii="Times New Roman" w:hAnsi="Times New Roman"/>
              </w:rPr>
              <w:br/>
              <w:t>w</w:t>
            </w:r>
            <w:r w:rsidRPr="00153397">
              <w:rPr>
                <w:rFonts w:ascii="Times New Roman" w:hAnsi="Times New Roman"/>
              </w:rPr>
              <w:t xml:space="preserve"> </w:t>
            </w:r>
            <w:r>
              <w:rPr>
                <w:rFonts w:ascii="Times New Roman" w:hAnsi="Times New Roman"/>
              </w:rPr>
              <w:t>państwach</w:t>
            </w:r>
            <w:r w:rsidRPr="00153397">
              <w:rPr>
                <w:rFonts w:ascii="Times New Roman" w:hAnsi="Times New Roman"/>
              </w:rPr>
              <w:t xml:space="preserve"> członkowskich UE</w:t>
            </w:r>
            <w:r>
              <w:rPr>
                <w:rFonts w:ascii="Times New Roman" w:hAnsi="Times New Roman"/>
              </w:rPr>
              <w:t xml:space="preserve"> </w:t>
            </w:r>
            <w:r w:rsidRPr="00153397">
              <w:rPr>
                <w:rFonts w:ascii="Times New Roman" w:hAnsi="Times New Roman"/>
              </w:rPr>
              <w:t xml:space="preserve">wykazuje, że część z nich (na przykład Grecja, Węgry, Rumunia)  </w:t>
            </w:r>
            <w:r>
              <w:rPr>
                <w:rFonts w:ascii="Times New Roman" w:hAnsi="Times New Roman"/>
              </w:rPr>
              <w:t xml:space="preserve">nie posiada </w:t>
            </w:r>
            <w:r w:rsidRPr="00153397">
              <w:rPr>
                <w:rFonts w:ascii="Times New Roman" w:hAnsi="Times New Roman"/>
              </w:rPr>
              <w:t>wersj</w:t>
            </w:r>
            <w:r>
              <w:rPr>
                <w:rFonts w:ascii="Times New Roman" w:hAnsi="Times New Roman"/>
              </w:rPr>
              <w:t>i krajowych – przyjmując</w:t>
            </w:r>
            <w:r w:rsidRPr="00153397">
              <w:rPr>
                <w:rFonts w:ascii="Times New Roman" w:hAnsi="Times New Roman"/>
              </w:rPr>
              <w:t xml:space="preserve"> wprost klasyfikację NACE i nie tworząc podziałów na poziomie krajowym. Inne państwa wprowadzają podziały wynikające z potrzeb użytkowników krajowych (</w:t>
            </w:r>
            <w:r>
              <w:rPr>
                <w:rFonts w:ascii="Times New Roman" w:hAnsi="Times New Roman"/>
              </w:rPr>
              <w:t>na przykład</w:t>
            </w:r>
            <w:r w:rsidRPr="00153397">
              <w:rPr>
                <w:rFonts w:ascii="Times New Roman" w:hAnsi="Times New Roman"/>
              </w:rPr>
              <w:t xml:space="preserve"> </w:t>
            </w:r>
            <w:r>
              <w:rPr>
                <w:rFonts w:ascii="Times New Roman" w:hAnsi="Times New Roman"/>
              </w:rPr>
              <w:t>Francja, Niemcy, Austria, Belgia, Czechy, Dania, Włochy, Portugalia, Szwecja).</w:t>
            </w:r>
          </w:p>
          <w:p w14:paraId="2B879BC7" w14:textId="79D86651" w:rsidR="003468AB" w:rsidRPr="0098776F" w:rsidRDefault="0098776F" w:rsidP="0098776F">
            <w:pPr>
              <w:spacing w:line="240" w:lineRule="exact"/>
              <w:jc w:val="both"/>
            </w:pPr>
            <w:r>
              <w:rPr>
                <w:rFonts w:ascii="Times New Roman" w:hAnsi="Times New Roman"/>
              </w:rPr>
              <w:t>Przygotowywana n</w:t>
            </w:r>
            <w:r w:rsidRPr="00153397">
              <w:rPr>
                <w:rFonts w:ascii="Times New Roman" w:hAnsi="Times New Roman"/>
              </w:rPr>
              <w:t xml:space="preserve">owelizacja klasyfikacji NACE Rev.2 przekłada się na konieczność zaktualizowania PKD 2007 </w:t>
            </w:r>
            <w:r>
              <w:rPr>
                <w:rFonts w:ascii="Times New Roman" w:hAnsi="Times New Roman"/>
              </w:rPr>
              <w:br/>
            </w:r>
            <w:r w:rsidRPr="00153397">
              <w:rPr>
                <w:rFonts w:ascii="Times New Roman" w:hAnsi="Times New Roman"/>
              </w:rPr>
              <w:t>do poziomu 5. znaku PKD</w:t>
            </w:r>
            <w:r>
              <w:rPr>
                <w:rFonts w:ascii="Times New Roman" w:hAnsi="Times New Roman"/>
              </w:rPr>
              <w:t xml:space="preserve">, </w:t>
            </w:r>
            <w:r w:rsidRPr="00153397">
              <w:rPr>
                <w:rFonts w:ascii="Times New Roman" w:hAnsi="Times New Roman"/>
              </w:rPr>
              <w:t xml:space="preserve">pozwalającego na uwzględnienie potrzeb użytkowników krajowych, o ile będą one zgodne </w:t>
            </w:r>
            <w:r>
              <w:rPr>
                <w:rFonts w:ascii="Times New Roman" w:hAnsi="Times New Roman"/>
              </w:rPr>
              <w:br/>
            </w:r>
            <w:r w:rsidRPr="00153397">
              <w:rPr>
                <w:rFonts w:ascii="Times New Roman" w:hAnsi="Times New Roman"/>
              </w:rPr>
              <w:t xml:space="preserve">z zasadami tej klasyfikacji. Z dniem 1 stycznia 2025 r. zaplanowano wprowadzenie w życie </w:t>
            </w:r>
            <w:r>
              <w:rPr>
                <w:rFonts w:ascii="Times New Roman" w:hAnsi="Times New Roman"/>
              </w:rPr>
              <w:t>obydwu</w:t>
            </w:r>
            <w:r w:rsidRPr="00153397">
              <w:rPr>
                <w:rFonts w:ascii="Times New Roman" w:hAnsi="Times New Roman"/>
              </w:rPr>
              <w:t xml:space="preserve"> </w:t>
            </w:r>
            <w:r w:rsidRPr="00F91D38">
              <w:rPr>
                <w:rFonts w:ascii="Times New Roman" w:hAnsi="Times New Roman"/>
              </w:rPr>
              <w:t xml:space="preserve">nowych klasyfikacji </w:t>
            </w:r>
            <w:r>
              <w:rPr>
                <w:rFonts w:ascii="Times New Roman" w:hAnsi="Times New Roman"/>
              </w:rPr>
              <w:t>(</w:t>
            </w:r>
            <w:r w:rsidRPr="00F91D38">
              <w:rPr>
                <w:rFonts w:ascii="Times New Roman" w:hAnsi="Times New Roman"/>
              </w:rPr>
              <w:t>NACE oraz PKD</w:t>
            </w:r>
            <w:r>
              <w:rPr>
                <w:rFonts w:ascii="Times New Roman" w:hAnsi="Times New Roman"/>
              </w:rPr>
              <w:t xml:space="preserve"> 2025)</w:t>
            </w:r>
            <w:r w:rsidRPr="00153397">
              <w:rPr>
                <w:rFonts w:ascii="Times New Roman" w:hAnsi="Times New Roman"/>
              </w:rPr>
              <w:t>.</w:t>
            </w:r>
            <w:r w:rsidR="003468AB" w:rsidRPr="00153397">
              <w:rPr>
                <w:rFonts w:ascii="Times New Roman" w:hAnsi="Times New Roman"/>
              </w:rPr>
              <w:t xml:space="preserve"> </w:t>
            </w:r>
          </w:p>
        </w:tc>
      </w:tr>
      <w:tr w:rsidR="0058777E" w:rsidRPr="008B4FE6" w14:paraId="62466BD9" w14:textId="77777777" w:rsidTr="00AC17BB">
        <w:trPr>
          <w:gridAfter w:val="1"/>
          <w:wAfter w:w="10" w:type="dxa"/>
          <w:trHeight w:val="359"/>
        </w:trPr>
        <w:tc>
          <w:tcPr>
            <w:tcW w:w="10937" w:type="dxa"/>
            <w:gridSpan w:val="29"/>
            <w:shd w:val="clear" w:color="auto" w:fill="99CCFF"/>
            <w:vAlign w:val="center"/>
          </w:tcPr>
          <w:p w14:paraId="3EABDCE7" w14:textId="77777777" w:rsidR="0058777E" w:rsidRPr="008B4FE6" w:rsidRDefault="0058777E" w:rsidP="00343ACC">
            <w:pPr>
              <w:numPr>
                <w:ilvl w:val="0"/>
                <w:numId w:val="30"/>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Podmioty, na które oddziałuje projekt</w:t>
            </w:r>
          </w:p>
        </w:tc>
      </w:tr>
      <w:tr w:rsidR="0058777E" w:rsidRPr="008B4FE6" w14:paraId="24C90194" w14:textId="77777777" w:rsidTr="00AC17BB">
        <w:trPr>
          <w:gridAfter w:val="1"/>
          <w:wAfter w:w="10" w:type="dxa"/>
          <w:trHeight w:val="142"/>
        </w:trPr>
        <w:tc>
          <w:tcPr>
            <w:tcW w:w="2668" w:type="dxa"/>
            <w:gridSpan w:val="4"/>
            <w:shd w:val="clear" w:color="auto" w:fill="auto"/>
          </w:tcPr>
          <w:p w14:paraId="42A44D2E"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Grupa</w:t>
            </w:r>
          </w:p>
        </w:tc>
        <w:tc>
          <w:tcPr>
            <w:tcW w:w="2292" w:type="dxa"/>
            <w:gridSpan w:val="8"/>
            <w:shd w:val="clear" w:color="auto" w:fill="auto"/>
          </w:tcPr>
          <w:p w14:paraId="3431C663" w14:textId="77777777" w:rsidR="0058777E" w:rsidRPr="008B4FE6" w:rsidRDefault="0058777E" w:rsidP="0058777E">
            <w:pPr>
              <w:spacing w:before="40" w:line="240" w:lineRule="auto"/>
              <w:jc w:val="center"/>
              <w:rPr>
                <w:rFonts w:ascii="Times New Roman" w:hAnsi="Times New Roman"/>
                <w:color w:val="000000"/>
                <w:spacing w:val="-2"/>
              </w:rPr>
            </w:pPr>
            <w:r>
              <w:rPr>
                <w:rFonts w:ascii="Times New Roman" w:hAnsi="Times New Roman"/>
                <w:color w:val="000000"/>
                <w:spacing w:val="-2"/>
              </w:rPr>
              <w:t>Wielkość</w:t>
            </w:r>
          </w:p>
        </w:tc>
        <w:tc>
          <w:tcPr>
            <w:tcW w:w="2996" w:type="dxa"/>
            <w:gridSpan w:val="11"/>
            <w:shd w:val="clear" w:color="auto" w:fill="auto"/>
          </w:tcPr>
          <w:p w14:paraId="74949449"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Źródło danych</w:t>
            </w:r>
            <w:r w:rsidRPr="008B4FE6" w:rsidDel="00260F33">
              <w:rPr>
                <w:rFonts w:ascii="Times New Roman" w:hAnsi="Times New Roman"/>
                <w:color w:val="000000"/>
                <w:spacing w:val="-2"/>
              </w:rPr>
              <w:t xml:space="preserve"> </w:t>
            </w:r>
          </w:p>
        </w:tc>
        <w:tc>
          <w:tcPr>
            <w:tcW w:w="2981" w:type="dxa"/>
            <w:gridSpan w:val="6"/>
            <w:shd w:val="clear" w:color="auto" w:fill="auto"/>
          </w:tcPr>
          <w:p w14:paraId="0309A9F0" w14:textId="77777777" w:rsidR="0058777E" w:rsidRPr="008B4FE6" w:rsidRDefault="0058777E" w:rsidP="0058777E">
            <w:pPr>
              <w:spacing w:before="40" w:line="240" w:lineRule="auto"/>
              <w:jc w:val="center"/>
              <w:rPr>
                <w:rFonts w:ascii="Times New Roman" w:hAnsi="Times New Roman"/>
                <w:color w:val="000000"/>
                <w:spacing w:val="-2"/>
              </w:rPr>
            </w:pPr>
            <w:r w:rsidRPr="008B4FE6">
              <w:rPr>
                <w:rFonts w:ascii="Times New Roman" w:hAnsi="Times New Roman"/>
                <w:color w:val="000000"/>
                <w:spacing w:val="-2"/>
              </w:rPr>
              <w:t>Oddziaływanie</w:t>
            </w:r>
          </w:p>
        </w:tc>
      </w:tr>
      <w:tr w:rsidR="00D76F51" w:rsidRPr="008B4FE6" w14:paraId="468231B5" w14:textId="77777777" w:rsidTr="00AC17BB">
        <w:trPr>
          <w:gridAfter w:val="1"/>
          <w:wAfter w:w="10" w:type="dxa"/>
          <w:trHeight w:val="142"/>
        </w:trPr>
        <w:tc>
          <w:tcPr>
            <w:tcW w:w="2668" w:type="dxa"/>
            <w:gridSpan w:val="4"/>
            <w:shd w:val="clear" w:color="auto" w:fill="auto"/>
          </w:tcPr>
          <w:p w14:paraId="4E4E56BF" w14:textId="4EDF7533" w:rsidR="00D14686" w:rsidRPr="007416B9" w:rsidRDefault="00D42E40" w:rsidP="00D76F51">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Podmioty gospodarki narodowej, zarejestrowane w Centralnej Ewidencji i Informacji o Działalności Gospodarczej (CEIDG),  Krajowym Rejestrze Sądowym (KRS) i </w:t>
            </w:r>
            <w:r>
              <w:rPr>
                <w:rFonts w:ascii="Times New Roman" w:hAnsi="Times New Roman"/>
                <w:color w:val="000000"/>
                <w:spacing w:val="-2"/>
              </w:rPr>
              <w:t xml:space="preserve">Krajowym Rejestrze Urzędowym Podmiotów Gospodarki Narodowej (REGON), </w:t>
            </w:r>
            <w:r w:rsidRPr="007F758B">
              <w:rPr>
                <w:rFonts w:ascii="Times New Roman" w:hAnsi="Times New Roman"/>
                <w:color w:val="000000"/>
                <w:spacing w:val="-2"/>
              </w:rPr>
              <w:t xml:space="preserve">których działalność </w:t>
            </w:r>
            <w:r>
              <w:rPr>
                <w:rFonts w:ascii="Times New Roman" w:hAnsi="Times New Roman"/>
                <w:color w:val="000000"/>
                <w:spacing w:val="-2"/>
              </w:rPr>
              <w:t>może zostać</w:t>
            </w:r>
            <w:r w:rsidRPr="007F758B">
              <w:rPr>
                <w:rFonts w:ascii="Times New Roman" w:hAnsi="Times New Roman"/>
                <w:color w:val="000000"/>
                <w:spacing w:val="-2"/>
              </w:rPr>
              <w:t xml:space="preserve"> przeklasyfikowana i </w:t>
            </w:r>
            <w:r>
              <w:rPr>
                <w:rFonts w:ascii="Times New Roman" w:hAnsi="Times New Roman"/>
                <w:color w:val="000000"/>
                <w:spacing w:val="-2"/>
              </w:rPr>
              <w:t xml:space="preserve">automatycznie </w:t>
            </w:r>
            <w:r w:rsidRPr="007F758B">
              <w:rPr>
                <w:rFonts w:ascii="Times New Roman" w:hAnsi="Times New Roman"/>
                <w:color w:val="000000"/>
                <w:spacing w:val="-2"/>
              </w:rPr>
              <w:t>zmieniona, w przypadku zmian klasyfikacji PKD</w:t>
            </w:r>
          </w:p>
        </w:tc>
        <w:tc>
          <w:tcPr>
            <w:tcW w:w="2292" w:type="dxa"/>
            <w:gridSpan w:val="8"/>
            <w:shd w:val="clear" w:color="auto" w:fill="auto"/>
          </w:tcPr>
          <w:p w14:paraId="461E2061" w14:textId="14CFC056" w:rsidR="00DB195A"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Liczba podmiotów nie jest możliwa do </w:t>
            </w:r>
            <w:r>
              <w:rPr>
                <w:rFonts w:ascii="Times New Roman" w:hAnsi="Times New Roman"/>
                <w:color w:val="000000"/>
                <w:spacing w:val="-2"/>
              </w:rPr>
              <w:t xml:space="preserve">precyzyjnego </w:t>
            </w:r>
            <w:r w:rsidRPr="007F758B">
              <w:rPr>
                <w:rFonts w:ascii="Times New Roman" w:hAnsi="Times New Roman"/>
                <w:color w:val="000000"/>
                <w:spacing w:val="-2"/>
              </w:rPr>
              <w:t>oszacowania, gdyż dotyczy przyszłych zmian klasyfikacji PKD. Potencjalnie zmiany mogą dotyczyć</w:t>
            </w:r>
            <w:r>
              <w:rPr>
                <w:rFonts w:ascii="Times New Roman" w:hAnsi="Times New Roman"/>
                <w:color w:val="000000"/>
                <w:spacing w:val="-2"/>
              </w:rPr>
              <w:t xml:space="preserve"> 6 9</w:t>
            </w:r>
            <w:r w:rsidR="00396299">
              <w:rPr>
                <w:rFonts w:ascii="Times New Roman" w:hAnsi="Times New Roman"/>
                <w:color w:val="000000"/>
                <w:spacing w:val="-2"/>
              </w:rPr>
              <w:t>62</w:t>
            </w:r>
            <w:r>
              <w:rPr>
                <w:rFonts w:ascii="Times New Roman" w:hAnsi="Times New Roman"/>
                <w:color w:val="000000"/>
                <w:spacing w:val="-2"/>
              </w:rPr>
              <w:t> </w:t>
            </w:r>
            <w:r w:rsidR="00396299">
              <w:rPr>
                <w:rFonts w:ascii="Times New Roman" w:hAnsi="Times New Roman"/>
                <w:color w:val="000000"/>
                <w:spacing w:val="-2"/>
              </w:rPr>
              <w:t>713</w:t>
            </w:r>
            <w:r>
              <w:rPr>
                <w:rFonts w:ascii="Times New Roman" w:hAnsi="Times New Roman"/>
                <w:color w:val="000000"/>
                <w:spacing w:val="-2"/>
              </w:rPr>
              <w:t xml:space="preserve"> </w:t>
            </w:r>
            <w:r w:rsidRPr="00626E1E">
              <w:rPr>
                <w:rFonts w:ascii="Times New Roman" w:hAnsi="Times New Roman"/>
                <w:color w:val="000000"/>
                <w:spacing w:val="-2"/>
              </w:rPr>
              <w:t xml:space="preserve">podmiotów wpisanych do </w:t>
            </w:r>
            <w:r>
              <w:rPr>
                <w:rFonts w:ascii="Times New Roman" w:hAnsi="Times New Roman"/>
                <w:color w:val="000000"/>
                <w:spacing w:val="-2"/>
              </w:rPr>
              <w:t xml:space="preserve">rejestru </w:t>
            </w:r>
            <w:r w:rsidRPr="00626E1E">
              <w:rPr>
                <w:rFonts w:ascii="Times New Roman" w:hAnsi="Times New Roman"/>
                <w:color w:val="000000"/>
                <w:spacing w:val="-2"/>
              </w:rPr>
              <w:t>REGON</w:t>
            </w:r>
            <w:r>
              <w:rPr>
                <w:rFonts w:ascii="Times New Roman" w:hAnsi="Times New Roman"/>
                <w:color w:val="000000"/>
                <w:spacing w:val="-2"/>
              </w:rPr>
              <w:t xml:space="preserve"> – w tym za pośrednictwem </w:t>
            </w:r>
          </w:p>
          <w:p w14:paraId="4B26D917" w14:textId="0CCCF512" w:rsidR="00DB195A" w:rsidRPr="0086117E" w:rsidRDefault="00DB195A" w:rsidP="00DB195A">
            <w:pPr>
              <w:spacing w:line="240" w:lineRule="auto"/>
              <w:rPr>
                <w:rFonts w:ascii="Times New Roman" w:hAnsi="Times New Roman"/>
                <w:color w:val="000000"/>
                <w:spacing w:val="-2"/>
              </w:rPr>
            </w:pPr>
            <w:r w:rsidRPr="00626E1E">
              <w:rPr>
                <w:rFonts w:ascii="Times New Roman" w:hAnsi="Times New Roman"/>
                <w:color w:val="000000"/>
                <w:spacing w:val="-2"/>
              </w:rPr>
              <w:t>CEIDG</w:t>
            </w:r>
            <w:r>
              <w:rPr>
                <w:rFonts w:ascii="Times New Roman" w:hAnsi="Times New Roman"/>
                <w:color w:val="000000"/>
                <w:spacing w:val="-2"/>
              </w:rPr>
              <w:t xml:space="preserve"> i </w:t>
            </w:r>
            <w:r w:rsidRPr="00A61612">
              <w:rPr>
                <w:rFonts w:ascii="Times New Roman" w:hAnsi="Times New Roman"/>
                <w:color w:val="000000"/>
                <w:spacing w:val="-2"/>
              </w:rPr>
              <w:t>KRS</w:t>
            </w:r>
            <w:r>
              <w:rPr>
                <w:rFonts w:ascii="Times New Roman" w:hAnsi="Times New Roman"/>
                <w:color w:val="000000"/>
                <w:spacing w:val="-2"/>
              </w:rPr>
              <w:t xml:space="preserve"> – </w:t>
            </w:r>
            <w:r w:rsidRPr="00626E1E">
              <w:rPr>
                <w:rFonts w:ascii="Times New Roman" w:hAnsi="Times New Roman"/>
                <w:color w:val="000000"/>
                <w:spacing w:val="-2"/>
              </w:rPr>
              <w:t xml:space="preserve">których przeważająca lub </w:t>
            </w:r>
            <w:r>
              <w:rPr>
                <w:rFonts w:ascii="Times New Roman" w:hAnsi="Times New Roman"/>
                <w:color w:val="000000"/>
                <w:spacing w:val="-2"/>
              </w:rPr>
              <w:t xml:space="preserve">pozostała </w:t>
            </w:r>
            <w:r w:rsidRPr="00626E1E">
              <w:rPr>
                <w:rFonts w:ascii="Times New Roman" w:hAnsi="Times New Roman"/>
                <w:color w:val="000000"/>
                <w:spacing w:val="-2"/>
              </w:rPr>
              <w:t xml:space="preserve">działalność zostanie przeklasyfikowana oraz </w:t>
            </w:r>
            <w:r>
              <w:rPr>
                <w:rFonts w:ascii="Times New Roman" w:hAnsi="Times New Roman"/>
                <w:color w:val="000000"/>
                <w:spacing w:val="-2"/>
              </w:rPr>
              <w:t xml:space="preserve">automatycznie </w:t>
            </w:r>
            <w:r w:rsidRPr="00626E1E">
              <w:rPr>
                <w:rFonts w:ascii="Times New Roman" w:hAnsi="Times New Roman"/>
                <w:color w:val="000000"/>
                <w:spacing w:val="-2"/>
              </w:rPr>
              <w:t xml:space="preserve">zmieniona, w przypadku zmian klasyfikacji PKD.  </w:t>
            </w:r>
          </w:p>
        </w:tc>
        <w:tc>
          <w:tcPr>
            <w:tcW w:w="2996" w:type="dxa"/>
            <w:gridSpan w:val="11"/>
            <w:shd w:val="clear" w:color="auto" w:fill="auto"/>
          </w:tcPr>
          <w:p w14:paraId="06345AEA" w14:textId="25A971E1" w:rsidR="00DB195A" w:rsidRPr="00582F75" w:rsidRDefault="00D76F51" w:rsidP="00DB195A">
            <w:pPr>
              <w:spacing w:line="240" w:lineRule="auto"/>
              <w:rPr>
                <w:rFonts w:ascii="Times New Roman" w:hAnsi="Times New Roman"/>
                <w:spacing w:val="-2"/>
              </w:rPr>
            </w:pPr>
            <w:r>
              <w:rPr>
                <w:rFonts w:ascii="Times New Roman" w:hAnsi="Times New Roman"/>
                <w:color w:val="000000"/>
                <w:spacing w:val="-2"/>
              </w:rPr>
              <w:t xml:space="preserve">Krajowy Rejestr Urzędowy Podmiotów Gospodarki Narodowej (REGON), wg stanu na </w:t>
            </w:r>
            <w:r w:rsidR="00DB195A">
              <w:rPr>
                <w:rFonts w:ascii="Times New Roman" w:hAnsi="Times New Roman"/>
                <w:color w:val="000000"/>
                <w:spacing w:val="-2"/>
              </w:rPr>
              <w:t xml:space="preserve">dzień </w:t>
            </w:r>
            <w:r w:rsidR="00396299">
              <w:rPr>
                <w:rFonts w:ascii="Times New Roman" w:hAnsi="Times New Roman"/>
                <w:spacing w:val="-2"/>
              </w:rPr>
              <w:t>31</w:t>
            </w:r>
            <w:r w:rsidR="00DB195A" w:rsidRPr="00582F75">
              <w:rPr>
                <w:rFonts w:ascii="Times New Roman" w:hAnsi="Times New Roman"/>
                <w:spacing w:val="-2"/>
              </w:rPr>
              <w:t xml:space="preserve"> </w:t>
            </w:r>
            <w:r w:rsidR="00396299">
              <w:rPr>
                <w:rFonts w:ascii="Times New Roman" w:hAnsi="Times New Roman"/>
                <w:spacing w:val="-2"/>
              </w:rPr>
              <w:t>sierpnia</w:t>
            </w:r>
            <w:r w:rsidR="00DB195A" w:rsidRPr="00582F75">
              <w:rPr>
                <w:rFonts w:ascii="Times New Roman" w:hAnsi="Times New Roman"/>
                <w:spacing w:val="-2"/>
              </w:rPr>
              <w:t xml:space="preserve"> 2024 r.</w:t>
            </w:r>
            <w:r w:rsidR="00DB195A" w:rsidRPr="0075011B">
              <w:rPr>
                <w:rFonts w:ascii="Times New Roman" w:hAnsi="Times New Roman"/>
                <w:spacing w:val="-2"/>
              </w:rPr>
              <w:t xml:space="preserve"> – źródło GUS</w:t>
            </w:r>
          </w:p>
          <w:p w14:paraId="04F38C07" w14:textId="340385E4" w:rsidR="00D76F51" w:rsidRDefault="00D76F51" w:rsidP="00D76F51">
            <w:pPr>
              <w:spacing w:line="240" w:lineRule="auto"/>
              <w:rPr>
                <w:rFonts w:ascii="Times New Roman" w:hAnsi="Times New Roman"/>
                <w:spacing w:val="-2"/>
              </w:rPr>
            </w:pPr>
          </w:p>
          <w:p w14:paraId="2C632B16" w14:textId="1F943851" w:rsidR="00DB195A" w:rsidRDefault="00DB195A" w:rsidP="00D76F51">
            <w:pPr>
              <w:spacing w:line="240" w:lineRule="auto"/>
              <w:rPr>
                <w:rFonts w:ascii="Times New Roman" w:hAnsi="Times New Roman"/>
                <w:color w:val="000000"/>
                <w:spacing w:val="-2"/>
              </w:rPr>
            </w:pPr>
          </w:p>
        </w:tc>
        <w:tc>
          <w:tcPr>
            <w:tcW w:w="2981" w:type="dxa"/>
            <w:gridSpan w:val="6"/>
            <w:shd w:val="clear" w:color="auto" w:fill="auto"/>
          </w:tcPr>
          <w:p w14:paraId="6F5561BE"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t>
            </w:r>
          </w:p>
          <w:p w14:paraId="3993A48B"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701C3F56" w14:textId="77777777" w:rsidR="00D76F51" w:rsidRDefault="00D76F51"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p w14:paraId="0D29986B" w14:textId="2E60CC88" w:rsidR="00DB195A" w:rsidRPr="007F758B" w:rsidRDefault="00DB195A" w:rsidP="00DB195A">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podmioty gospodarki narodowej, wpisane do CEIDG, KRS lub </w:t>
            </w:r>
            <w:r>
              <w:rPr>
                <w:rFonts w:ascii="Times New Roman" w:hAnsi="Times New Roman"/>
                <w:color w:val="000000"/>
                <w:spacing w:val="-2"/>
              </w:rPr>
              <w:t xml:space="preserve">rejestru </w:t>
            </w:r>
            <w:r w:rsidRPr="007F758B">
              <w:rPr>
                <w:rFonts w:ascii="Times New Roman" w:hAnsi="Times New Roman"/>
                <w:color w:val="000000"/>
                <w:spacing w:val="-2"/>
              </w:rPr>
              <w:t>REGON, których rodzaj działalności</w:t>
            </w:r>
            <w:r>
              <w:rPr>
                <w:rFonts w:ascii="Times New Roman" w:hAnsi="Times New Roman"/>
                <w:color w:val="000000"/>
                <w:spacing w:val="-2"/>
              </w:rPr>
              <w:t xml:space="preserve"> (PKD)</w:t>
            </w:r>
            <w:r w:rsidRPr="007F758B">
              <w:rPr>
                <w:rFonts w:ascii="Times New Roman" w:hAnsi="Times New Roman"/>
                <w:color w:val="000000"/>
                <w:spacing w:val="-2"/>
              </w:rPr>
              <w:t xml:space="preserve"> będzie mieścił się w zakresie grupowań PKD, ulegających przeklasyfikowaniu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zmianie w CEIDG, KRS lub </w:t>
            </w:r>
            <w:r>
              <w:rPr>
                <w:rFonts w:ascii="Times New Roman" w:hAnsi="Times New Roman"/>
                <w:color w:val="000000"/>
                <w:spacing w:val="-2"/>
              </w:rPr>
              <w:t xml:space="preserve">rejestrze </w:t>
            </w:r>
            <w:r w:rsidRPr="007F758B">
              <w:rPr>
                <w:rFonts w:ascii="Times New Roman" w:hAnsi="Times New Roman"/>
                <w:color w:val="000000"/>
                <w:spacing w:val="-2"/>
              </w:rPr>
              <w:t xml:space="preserve">REGON, w wyniku zmian wprowadzanych </w:t>
            </w:r>
            <w:r>
              <w:rPr>
                <w:rFonts w:ascii="Times New Roman" w:hAnsi="Times New Roman"/>
                <w:color w:val="000000"/>
                <w:spacing w:val="-2"/>
              </w:rPr>
              <w:t>w</w:t>
            </w:r>
            <w:r w:rsidRPr="007F758B">
              <w:rPr>
                <w:rFonts w:ascii="Times New Roman" w:hAnsi="Times New Roman"/>
                <w:color w:val="000000"/>
                <w:spacing w:val="-2"/>
              </w:rPr>
              <w:t xml:space="preserve"> Polskiej</w:t>
            </w:r>
            <w:r>
              <w:rPr>
                <w:rFonts w:ascii="Times New Roman" w:hAnsi="Times New Roman"/>
                <w:color w:val="000000"/>
                <w:spacing w:val="-2"/>
              </w:rPr>
              <w:t xml:space="preserve"> </w:t>
            </w:r>
            <w:r w:rsidRPr="007F758B">
              <w:rPr>
                <w:rFonts w:ascii="Times New Roman" w:hAnsi="Times New Roman"/>
                <w:color w:val="000000"/>
                <w:spacing w:val="-2"/>
              </w:rPr>
              <w:t xml:space="preserve">Klasyfikacji Działalności, jeżeli w przewidzianym okresie przejściowym same nie dokonają takiego przeklasyfikowania.  </w:t>
            </w:r>
          </w:p>
          <w:p w14:paraId="19CF732C" w14:textId="2E8EA6C2" w:rsidR="00D76F51" w:rsidRPr="00B572A0" w:rsidRDefault="00DB195A" w:rsidP="00D76F51">
            <w:pPr>
              <w:spacing w:line="240" w:lineRule="auto"/>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 xml:space="preserve">zwiększy aktualność danych w </w:t>
            </w:r>
            <w:r>
              <w:rPr>
                <w:rFonts w:ascii="Times New Roman" w:hAnsi="Times New Roman"/>
                <w:color w:val="000000"/>
                <w:spacing w:val="-2"/>
              </w:rPr>
              <w:t xml:space="preserve">tych </w:t>
            </w:r>
            <w:r w:rsidRPr="007F758B">
              <w:rPr>
                <w:rFonts w:ascii="Times New Roman" w:hAnsi="Times New Roman"/>
                <w:color w:val="000000"/>
                <w:spacing w:val="-2"/>
              </w:rPr>
              <w:t>rejestr</w:t>
            </w:r>
            <w:r>
              <w:rPr>
                <w:rFonts w:ascii="Times New Roman" w:hAnsi="Times New Roman"/>
                <w:color w:val="000000"/>
                <w:spacing w:val="-2"/>
              </w:rPr>
              <w:t>ach.</w:t>
            </w:r>
          </w:p>
        </w:tc>
      </w:tr>
      <w:tr w:rsidR="00210FBC" w:rsidRPr="008B4FE6" w14:paraId="1D6C61FC" w14:textId="77777777" w:rsidTr="00AC17BB">
        <w:trPr>
          <w:gridAfter w:val="1"/>
          <w:wAfter w:w="10" w:type="dxa"/>
          <w:trHeight w:val="142"/>
        </w:trPr>
        <w:tc>
          <w:tcPr>
            <w:tcW w:w="2668" w:type="dxa"/>
            <w:gridSpan w:val="4"/>
            <w:shd w:val="clear" w:color="auto" w:fill="auto"/>
          </w:tcPr>
          <w:p w14:paraId="0BB9B49D" w14:textId="77777777" w:rsidR="00210FBC"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 xml:space="preserve">Minister Rozwoju i Technologii </w:t>
            </w:r>
          </w:p>
          <w:p w14:paraId="6E52A5ED" w14:textId="77777777"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CEIDG)</w:t>
            </w:r>
          </w:p>
        </w:tc>
        <w:tc>
          <w:tcPr>
            <w:tcW w:w="2292" w:type="dxa"/>
            <w:gridSpan w:val="8"/>
            <w:shd w:val="clear" w:color="auto" w:fill="auto"/>
          </w:tcPr>
          <w:p w14:paraId="73B46C75" w14:textId="77777777" w:rsidR="00210FBC" w:rsidRPr="007F758B"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BB1ABFA" w14:textId="77777777" w:rsidR="00210FBC" w:rsidRDefault="009C592A" w:rsidP="0058777E">
            <w:pPr>
              <w:spacing w:line="240" w:lineRule="auto"/>
              <w:rPr>
                <w:rFonts w:ascii="Times New Roman" w:hAnsi="Times New Roman"/>
                <w:color w:val="000000"/>
                <w:spacing w:val="-2"/>
              </w:rPr>
            </w:pPr>
            <w:r w:rsidRPr="009C592A">
              <w:rPr>
                <w:rFonts w:ascii="Times New Roman" w:hAnsi="Times New Roman"/>
                <w:spacing w:val="-2"/>
              </w:rPr>
              <w:t>Krajowy rejestr urzędowy podmiotów gospodarki narodowej REGON – źródło GUS</w:t>
            </w:r>
          </w:p>
        </w:tc>
        <w:tc>
          <w:tcPr>
            <w:tcW w:w="2981" w:type="dxa"/>
            <w:gridSpan w:val="6"/>
            <w:shd w:val="clear" w:color="auto" w:fill="auto"/>
          </w:tcPr>
          <w:p w14:paraId="5F423DEE" w14:textId="38774A42"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Centralną Ewidencję i Informację o Działalności Gospodarczej 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 –  rodzaju</w:t>
            </w:r>
            <w:r w:rsidRPr="007F758B">
              <w:rPr>
                <w:rFonts w:ascii="Times New Roman" w:hAnsi="Times New Roman"/>
                <w:color w:val="000000"/>
                <w:spacing w:val="-2"/>
              </w:rPr>
              <w:t xml:space="preserve"> działalności </w:t>
            </w:r>
            <w:r>
              <w:rPr>
                <w:rFonts w:ascii="Times New Roman" w:hAnsi="Times New Roman"/>
                <w:color w:val="000000"/>
                <w:spacing w:val="-2"/>
              </w:rPr>
              <w:t xml:space="preserve">gospodarczej </w:t>
            </w:r>
            <w:r w:rsidRPr="007F758B">
              <w:rPr>
                <w:rFonts w:ascii="Times New Roman" w:hAnsi="Times New Roman"/>
                <w:color w:val="000000"/>
                <w:spacing w:val="-2"/>
              </w:rPr>
              <w:t>podmiotów wpisanych do CEIDG, w przypadku zmian wprowadzanych w klasyfikacji PKD, jeżeli w przewidzianym okresie przejściowym podmioty same nie dokonają takiego przeklasyfikowania.</w:t>
            </w:r>
          </w:p>
          <w:p w14:paraId="47EB0004" w14:textId="0039C0AC"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lastRenderedPageBreak/>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tc>
      </w:tr>
      <w:tr w:rsidR="00210FBC" w:rsidRPr="008B4FE6" w14:paraId="0CD63556" w14:textId="77777777" w:rsidTr="00AC17BB">
        <w:trPr>
          <w:gridAfter w:val="1"/>
          <w:wAfter w:w="10" w:type="dxa"/>
          <w:trHeight w:val="142"/>
        </w:trPr>
        <w:tc>
          <w:tcPr>
            <w:tcW w:w="2668" w:type="dxa"/>
            <w:gridSpan w:val="4"/>
            <w:shd w:val="clear" w:color="auto" w:fill="auto"/>
          </w:tcPr>
          <w:p w14:paraId="61F7D3CA" w14:textId="1E9213BD" w:rsidR="00210FBC" w:rsidRPr="007F758B" w:rsidRDefault="00210FBC" w:rsidP="008045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w:t>
            </w:r>
            <w:r>
              <w:rPr>
                <w:rFonts w:ascii="Times New Roman" w:hAnsi="Times New Roman"/>
                <w:color w:val="000000"/>
                <w:spacing w:val="-2"/>
              </w:rPr>
              <w:t>Sprawiedliwości</w:t>
            </w:r>
            <w:r w:rsidRPr="007F758B">
              <w:rPr>
                <w:rFonts w:ascii="Times New Roman" w:hAnsi="Times New Roman"/>
                <w:color w:val="000000"/>
                <w:spacing w:val="-2"/>
              </w:rPr>
              <w:t xml:space="preserve"> (</w:t>
            </w:r>
            <w:r>
              <w:rPr>
                <w:rFonts w:ascii="Times New Roman" w:hAnsi="Times New Roman"/>
                <w:color w:val="000000"/>
                <w:spacing w:val="-2"/>
              </w:rPr>
              <w:t xml:space="preserve">organ </w:t>
            </w:r>
            <w:r w:rsidR="00C56DD1">
              <w:rPr>
                <w:rFonts w:ascii="Times New Roman" w:hAnsi="Times New Roman"/>
                <w:color w:val="000000"/>
                <w:spacing w:val="-2"/>
              </w:rPr>
              <w:t xml:space="preserve">odpowiedzialny za utrzymanie systemu teleinformatycznego służącego do </w:t>
            </w:r>
            <w:r w:rsidR="00896797">
              <w:rPr>
                <w:rFonts w:ascii="Times New Roman" w:hAnsi="Times New Roman"/>
                <w:color w:val="000000"/>
                <w:spacing w:val="-2"/>
              </w:rPr>
              <w:t>prowadzenia KRS</w:t>
            </w:r>
            <w:r w:rsidRPr="007F758B">
              <w:rPr>
                <w:rFonts w:ascii="Times New Roman" w:hAnsi="Times New Roman"/>
                <w:color w:val="000000"/>
                <w:spacing w:val="-2"/>
              </w:rPr>
              <w:t>)</w:t>
            </w:r>
          </w:p>
        </w:tc>
        <w:tc>
          <w:tcPr>
            <w:tcW w:w="2292" w:type="dxa"/>
            <w:gridSpan w:val="8"/>
            <w:shd w:val="clear" w:color="auto" w:fill="auto"/>
          </w:tcPr>
          <w:p w14:paraId="7B84E504" w14:textId="77777777" w:rsidR="00210FBC" w:rsidRDefault="00210FBC" w:rsidP="00626E1E">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3452B53A" w14:textId="77777777" w:rsidR="00210FBC" w:rsidRDefault="009C592A" w:rsidP="0058777E">
            <w:pPr>
              <w:spacing w:line="240" w:lineRule="auto"/>
              <w:rPr>
                <w:rFonts w:ascii="Times New Roman" w:hAnsi="Times New Roman"/>
                <w:color w:val="000000"/>
                <w:spacing w:val="-2"/>
              </w:rPr>
            </w:pPr>
            <w:r w:rsidRPr="009C592A">
              <w:rPr>
                <w:rFonts w:ascii="Times New Roman" w:hAnsi="Times New Roman"/>
                <w:spacing w:val="-2"/>
              </w:rPr>
              <w:t>Krajowy rejestr urzędowy podmiotów gospodarki narodowej REGON – źródło GUS</w:t>
            </w:r>
          </w:p>
        </w:tc>
        <w:tc>
          <w:tcPr>
            <w:tcW w:w="2981" w:type="dxa"/>
            <w:gridSpan w:val="6"/>
            <w:shd w:val="clear" w:color="auto" w:fill="auto"/>
          </w:tcPr>
          <w:p w14:paraId="6EF9A83E" w14:textId="65EA45B5"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 xml:space="preserve">Wprowadzone zmiany będą miały wpływ na </w:t>
            </w:r>
            <w:r>
              <w:rPr>
                <w:rFonts w:ascii="Times New Roman" w:hAnsi="Times New Roman"/>
                <w:color w:val="000000"/>
                <w:spacing w:val="-2"/>
              </w:rPr>
              <w:t xml:space="preserve">Krajowy Rejestr Sądowy </w:t>
            </w:r>
            <w:r w:rsidRPr="007F758B">
              <w:rPr>
                <w:rFonts w:ascii="Times New Roman" w:hAnsi="Times New Roman"/>
                <w:color w:val="000000"/>
                <w:spacing w:val="-2"/>
              </w:rPr>
              <w:t xml:space="preserve">poprzez umożliwienie dokonania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w:t>
            </w:r>
            <w:r>
              <w:rPr>
                <w:rFonts w:ascii="Times New Roman" w:hAnsi="Times New Roman"/>
                <w:color w:val="000000"/>
                <w:spacing w:val="-2"/>
              </w:rPr>
              <w:t>PKD</w:t>
            </w:r>
            <w:r w:rsidR="004F358A">
              <w:rPr>
                <w:rFonts w:ascii="Times New Roman" w:hAnsi="Times New Roman"/>
                <w:color w:val="000000"/>
                <w:spacing w:val="-2"/>
              </w:rPr>
              <w:t xml:space="preserve"> – przedmiotu</w:t>
            </w:r>
            <w:r w:rsidRPr="007F758B">
              <w:rPr>
                <w:rFonts w:ascii="Times New Roman" w:hAnsi="Times New Roman"/>
                <w:color w:val="000000"/>
                <w:spacing w:val="-2"/>
              </w:rPr>
              <w:t xml:space="preserve"> działalności podmiotów wpisanych do </w:t>
            </w:r>
            <w:r>
              <w:rPr>
                <w:rFonts w:ascii="Times New Roman" w:hAnsi="Times New Roman"/>
                <w:color w:val="000000"/>
                <w:spacing w:val="-2"/>
              </w:rPr>
              <w:t>KRS</w:t>
            </w:r>
            <w:r w:rsidRPr="007F758B">
              <w:rPr>
                <w:rFonts w:ascii="Times New Roman" w:hAnsi="Times New Roman"/>
                <w:color w:val="000000"/>
                <w:spacing w:val="-2"/>
              </w:rPr>
              <w:t>, w przypadku zmian wprowadzanych w klasyfikacji PKD, jeżeli w przewidzianym okresie przejściowym podmioty same nie dokonają takiego przeklasyfikowania.</w:t>
            </w:r>
          </w:p>
          <w:p w14:paraId="7AB853FF" w14:textId="77777777" w:rsidR="00D76F51"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ze.</w:t>
            </w:r>
          </w:p>
          <w:p w14:paraId="0C7B590C" w14:textId="77777777" w:rsidR="00D76F51" w:rsidRPr="007F758B" w:rsidRDefault="00D76F51" w:rsidP="00D76F51">
            <w:pPr>
              <w:spacing w:line="240" w:lineRule="auto"/>
              <w:rPr>
                <w:rFonts w:ascii="Times New Roman" w:hAnsi="Times New Roman"/>
                <w:iCs/>
              </w:rPr>
            </w:pPr>
            <w:r>
              <w:rPr>
                <w:rFonts w:ascii="Times New Roman" w:hAnsi="Times New Roman"/>
                <w:color w:val="000000"/>
                <w:spacing w:val="-2"/>
              </w:rPr>
              <w:t>Ponadto w projektowanych przepisach przewidziano mechanizm dokonywania automatycznych wpisów w KRS w zakresie zmiany nazwy województwa, powiatu, gminy, miejscowości lub ulicy w oparciu o dane udostępniane z rejestru TERYT za pomocą usług sieciowych, jeżeli relacje pomiędzy dotychczasowymi, a nowymi danymi będą miały charakter jednoznaczny.</w:t>
            </w:r>
          </w:p>
          <w:p w14:paraId="7D10E961" w14:textId="57863E0B" w:rsidR="00D42E40" w:rsidRPr="00CE6289" w:rsidRDefault="00D76F51" w:rsidP="00D42E40">
            <w:pPr>
              <w:spacing w:line="240" w:lineRule="auto"/>
              <w:rPr>
                <w:rFonts w:ascii="Times New Roman" w:hAnsi="Times New Roman"/>
              </w:rPr>
            </w:pPr>
            <w:bookmarkStart w:id="13" w:name="_Hlk176772433"/>
            <w:r>
              <w:rPr>
                <w:rFonts w:ascii="Times New Roman" w:hAnsi="Times New Roman"/>
                <w:color w:val="000000"/>
                <w:spacing w:val="-2"/>
              </w:rPr>
              <w:t xml:space="preserve">Proponowane </w:t>
            </w:r>
            <w:r w:rsidRPr="007F758B">
              <w:rPr>
                <w:rFonts w:ascii="Times New Roman" w:hAnsi="Times New Roman"/>
              </w:rPr>
              <w:t>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w:t>
            </w:r>
            <w:r>
              <w:rPr>
                <w:rFonts w:ascii="Times New Roman" w:hAnsi="Times New Roman"/>
              </w:rPr>
              <w:t>ze.</w:t>
            </w:r>
            <w:bookmarkEnd w:id="13"/>
          </w:p>
        </w:tc>
      </w:tr>
      <w:tr w:rsidR="009C592A" w:rsidRPr="008B4FE6" w14:paraId="460DC0C1" w14:textId="77777777" w:rsidTr="00AC17BB">
        <w:trPr>
          <w:gridAfter w:val="1"/>
          <w:wAfter w:w="10" w:type="dxa"/>
          <w:trHeight w:val="142"/>
        </w:trPr>
        <w:tc>
          <w:tcPr>
            <w:tcW w:w="2668" w:type="dxa"/>
            <w:gridSpan w:val="4"/>
            <w:shd w:val="clear" w:color="auto" w:fill="auto"/>
          </w:tcPr>
          <w:p w14:paraId="10C8EAE7" w14:textId="77777777" w:rsidR="009C592A" w:rsidRPr="007F758B" w:rsidRDefault="009C592A" w:rsidP="009C592A">
            <w:pPr>
              <w:spacing w:line="240" w:lineRule="auto"/>
              <w:rPr>
                <w:rFonts w:ascii="Times New Roman" w:hAnsi="Times New Roman"/>
                <w:color w:val="000000"/>
                <w:spacing w:val="-2"/>
              </w:rPr>
            </w:pPr>
            <w:bookmarkStart w:id="14" w:name="_Hlk113628096"/>
            <w:r>
              <w:rPr>
                <w:rFonts w:ascii="Times New Roman" w:hAnsi="Times New Roman"/>
                <w:color w:val="000000"/>
                <w:spacing w:val="-2"/>
              </w:rPr>
              <w:t>Jednostki służb statystyki publicznej</w:t>
            </w:r>
          </w:p>
        </w:tc>
        <w:tc>
          <w:tcPr>
            <w:tcW w:w="2292" w:type="dxa"/>
            <w:gridSpan w:val="8"/>
            <w:shd w:val="clear" w:color="auto" w:fill="auto"/>
          </w:tcPr>
          <w:p w14:paraId="06E85E69" w14:textId="77777777" w:rsidR="009C592A" w:rsidRDefault="009C592A" w:rsidP="009C592A">
            <w:pPr>
              <w:spacing w:line="240" w:lineRule="auto"/>
              <w:rPr>
                <w:rFonts w:ascii="Times New Roman" w:hAnsi="Times New Roman"/>
                <w:color w:val="000000"/>
                <w:spacing w:val="-2"/>
              </w:rPr>
            </w:pPr>
            <w:r>
              <w:rPr>
                <w:rFonts w:ascii="Times New Roman" w:hAnsi="Times New Roman"/>
                <w:color w:val="000000"/>
                <w:spacing w:val="-2"/>
              </w:rPr>
              <w:t>Główny Urząd Statystyczny i jednostki podległe Prezesowi GUS (w tym 16 urzędów statystycznych oraz Centrum Informatyki Statystycznej)</w:t>
            </w:r>
          </w:p>
        </w:tc>
        <w:tc>
          <w:tcPr>
            <w:tcW w:w="2996" w:type="dxa"/>
            <w:gridSpan w:val="11"/>
            <w:shd w:val="clear" w:color="auto" w:fill="auto"/>
          </w:tcPr>
          <w:p w14:paraId="1B7AA85B" w14:textId="77777777" w:rsidR="009C592A" w:rsidRDefault="0026720B" w:rsidP="009C592A">
            <w:pPr>
              <w:spacing w:line="240" w:lineRule="auto"/>
              <w:rPr>
                <w:rFonts w:ascii="Times New Roman" w:hAnsi="Times New Roman"/>
                <w:color w:val="000000"/>
                <w:spacing w:val="-2"/>
              </w:rPr>
            </w:pPr>
            <w:r>
              <w:rPr>
                <w:rFonts w:ascii="Times New Roman" w:hAnsi="Times New Roman"/>
                <w:spacing w:val="-2"/>
              </w:rPr>
              <w:t>Ź</w:t>
            </w:r>
            <w:r w:rsidRPr="009C592A">
              <w:rPr>
                <w:rFonts w:ascii="Times New Roman" w:hAnsi="Times New Roman"/>
                <w:spacing w:val="-2"/>
              </w:rPr>
              <w:t>ródło</w:t>
            </w:r>
            <w:r>
              <w:rPr>
                <w:rFonts w:ascii="Times New Roman" w:hAnsi="Times New Roman"/>
                <w:spacing w:val="-2"/>
              </w:rPr>
              <w:t xml:space="preserve"> </w:t>
            </w:r>
            <w:r w:rsidRPr="009C592A">
              <w:rPr>
                <w:rFonts w:ascii="Times New Roman" w:hAnsi="Times New Roman"/>
                <w:spacing w:val="-2"/>
              </w:rPr>
              <w:t>GUS</w:t>
            </w:r>
          </w:p>
        </w:tc>
        <w:tc>
          <w:tcPr>
            <w:tcW w:w="2981" w:type="dxa"/>
            <w:gridSpan w:val="6"/>
            <w:shd w:val="clear" w:color="auto" w:fill="auto"/>
          </w:tcPr>
          <w:p w14:paraId="6D7C40A3"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Konieczność dostosowania do zmian proponowanych w projektowanej ustawie.</w:t>
            </w:r>
          </w:p>
          <w:p w14:paraId="52C890B8" w14:textId="400CE295"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Konieczne będzie d</w:t>
            </w:r>
            <w:r w:rsidRPr="007F758B">
              <w:rPr>
                <w:rFonts w:ascii="Times New Roman" w:hAnsi="Times New Roman"/>
                <w:color w:val="000000"/>
                <w:spacing w:val="-2"/>
              </w:rPr>
              <w:t xml:space="preserve">ostosowanie systemów rejestru REGON do </w:t>
            </w:r>
            <w:r>
              <w:rPr>
                <w:rFonts w:ascii="Times New Roman" w:hAnsi="Times New Roman"/>
                <w:color w:val="000000"/>
                <w:spacing w:val="-2"/>
              </w:rPr>
              <w:t>zmienionego</w:t>
            </w:r>
            <w:r w:rsidRPr="007F758B">
              <w:rPr>
                <w:rFonts w:ascii="Times New Roman" w:hAnsi="Times New Roman"/>
                <w:color w:val="000000"/>
                <w:spacing w:val="-2"/>
              </w:rPr>
              <w:t xml:space="preserve"> zakresu informacyjnego</w:t>
            </w:r>
            <w:r>
              <w:rPr>
                <w:rFonts w:ascii="Times New Roman" w:hAnsi="Times New Roman"/>
                <w:color w:val="000000"/>
                <w:spacing w:val="-2"/>
              </w:rPr>
              <w:t xml:space="preserve">, a także do zmian umożliwiających </w:t>
            </w:r>
            <w:r w:rsidRPr="007F758B">
              <w:rPr>
                <w:rFonts w:ascii="Times New Roman" w:hAnsi="Times New Roman"/>
                <w:color w:val="000000"/>
                <w:spacing w:val="-2"/>
              </w:rPr>
              <w:t>dokonani</w:t>
            </w:r>
            <w:r>
              <w:rPr>
                <w:rFonts w:ascii="Times New Roman" w:hAnsi="Times New Roman"/>
                <w:color w:val="000000"/>
                <w:spacing w:val="-2"/>
              </w:rPr>
              <w:t>e</w:t>
            </w:r>
            <w:r w:rsidRPr="007F758B">
              <w:rPr>
                <w:rFonts w:ascii="Times New Roman" w:hAnsi="Times New Roman"/>
                <w:color w:val="000000"/>
                <w:spacing w:val="-2"/>
              </w:rPr>
              <w:t xml:space="preserve"> przeklasyfikowania i </w:t>
            </w:r>
            <w:r>
              <w:rPr>
                <w:rFonts w:ascii="Times New Roman" w:hAnsi="Times New Roman"/>
                <w:color w:val="000000"/>
                <w:spacing w:val="-2"/>
              </w:rPr>
              <w:t xml:space="preserve">automatycznej </w:t>
            </w:r>
            <w:r w:rsidRPr="007F758B">
              <w:rPr>
                <w:rFonts w:ascii="Times New Roman" w:hAnsi="Times New Roman"/>
                <w:color w:val="000000"/>
                <w:spacing w:val="-2"/>
              </w:rPr>
              <w:t xml:space="preserve">zmiany przeważającej i </w:t>
            </w:r>
            <w:r w:rsidR="000C770F">
              <w:rPr>
                <w:rFonts w:ascii="Times New Roman" w:hAnsi="Times New Roman"/>
                <w:color w:val="000000"/>
                <w:spacing w:val="-2"/>
              </w:rPr>
              <w:t>pozostałej</w:t>
            </w:r>
            <w:r w:rsidRPr="007F758B">
              <w:rPr>
                <w:rFonts w:ascii="Times New Roman" w:hAnsi="Times New Roman"/>
                <w:color w:val="000000"/>
                <w:spacing w:val="-2"/>
              </w:rPr>
              <w:t xml:space="preserve"> działalności podmiotów wpisanych do </w:t>
            </w:r>
            <w:r>
              <w:rPr>
                <w:rFonts w:ascii="Times New Roman" w:hAnsi="Times New Roman"/>
                <w:color w:val="000000"/>
                <w:spacing w:val="-2"/>
              </w:rPr>
              <w:t xml:space="preserve">rejestru </w:t>
            </w:r>
            <w:r w:rsidRPr="007F758B">
              <w:rPr>
                <w:rFonts w:ascii="Times New Roman" w:hAnsi="Times New Roman"/>
                <w:color w:val="000000"/>
                <w:spacing w:val="-2"/>
              </w:rPr>
              <w:t xml:space="preserve">REGON, w przypadku zmian wprowadzanych w klasyfikacji PKD, jeżeli w przewidzianym okresie przejściowym podmioty </w:t>
            </w:r>
            <w:r w:rsidRPr="007F758B">
              <w:rPr>
                <w:rFonts w:ascii="Times New Roman" w:hAnsi="Times New Roman"/>
                <w:color w:val="000000"/>
                <w:spacing w:val="-2"/>
              </w:rPr>
              <w:lastRenderedPageBreak/>
              <w:t xml:space="preserve">same nie dokonają takiego przeklasyfikowania.  </w:t>
            </w:r>
          </w:p>
          <w:p w14:paraId="2309B266" w14:textId="177FC1B9" w:rsidR="00D42E40" w:rsidRPr="007F758B" w:rsidRDefault="00D76F51" w:rsidP="00D42E40">
            <w:pPr>
              <w:spacing w:line="240" w:lineRule="auto"/>
              <w:rPr>
                <w:rFonts w:ascii="Times New Roman" w:hAnsi="Times New Roman"/>
                <w:color w:val="000000"/>
                <w:spacing w:val="-2"/>
              </w:rPr>
            </w:pPr>
            <w:r w:rsidRPr="007F758B">
              <w:rPr>
                <w:rFonts w:ascii="Times New Roman" w:hAnsi="Times New Roman"/>
                <w:color w:val="000000"/>
                <w:spacing w:val="-2"/>
              </w:rPr>
              <w:t>Umożliwienie aktualizacji danych w sposób automatyczny</w:t>
            </w:r>
            <w:r>
              <w:rPr>
                <w:rFonts w:ascii="Times New Roman" w:hAnsi="Times New Roman"/>
                <w:color w:val="000000"/>
                <w:spacing w:val="-2"/>
              </w:rPr>
              <w:t xml:space="preserve"> </w:t>
            </w:r>
            <w:r w:rsidRPr="007F758B">
              <w:rPr>
                <w:rFonts w:ascii="Times New Roman" w:hAnsi="Times New Roman"/>
                <w:color w:val="000000"/>
                <w:spacing w:val="-2"/>
              </w:rPr>
              <w:t>zwiększy aktualność danych w rejestr</w:t>
            </w:r>
            <w:r>
              <w:rPr>
                <w:rFonts w:ascii="Times New Roman" w:hAnsi="Times New Roman"/>
                <w:color w:val="000000"/>
                <w:spacing w:val="-2"/>
              </w:rPr>
              <w:t xml:space="preserve">ze </w:t>
            </w:r>
            <w:r w:rsidRPr="007F758B">
              <w:rPr>
                <w:rFonts w:ascii="Times New Roman" w:hAnsi="Times New Roman"/>
                <w:color w:val="000000"/>
                <w:spacing w:val="-2"/>
              </w:rPr>
              <w:t>REGON</w:t>
            </w:r>
            <w:r>
              <w:rPr>
                <w:rFonts w:ascii="Times New Roman" w:hAnsi="Times New Roman"/>
                <w:color w:val="000000"/>
                <w:spacing w:val="-2"/>
              </w:rPr>
              <w:t>.</w:t>
            </w:r>
          </w:p>
        </w:tc>
      </w:tr>
      <w:bookmarkEnd w:id="14"/>
      <w:tr w:rsidR="009C592A" w:rsidRPr="008B4FE6" w14:paraId="728A7A2A" w14:textId="77777777" w:rsidTr="00AC17BB">
        <w:trPr>
          <w:gridAfter w:val="1"/>
          <w:wAfter w:w="10" w:type="dxa"/>
          <w:trHeight w:val="142"/>
        </w:trPr>
        <w:tc>
          <w:tcPr>
            <w:tcW w:w="2668" w:type="dxa"/>
            <w:gridSpan w:val="4"/>
            <w:shd w:val="clear" w:color="auto" w:fill="auto"/>
          </w:tcPr>
          <w:p w14:paraId="18A893D1" w14:textId="77777777" w:rsidR="009C592A" w:rsidRDefault="009C592A" w:rsidP="009C592A">
            <w:pPr>
              <w:spacing w:line="240" w:lineRule="auto"/>
              <w:rPr>
                <w:rFonts w:ascii="Times New Roman" w:hAnsi="Times New Roman"/>
                <w:color w:val="000000"/>
                <w:spacing w:val="-2"/>
              </w:rPr>
            </w:pPr>
            <w:r w:rsidRPr="007F758B">
              <w:rPr>
                <w:rFonts w:ascii="Times New Roman" w:hAnsi="Times New Roman"/>
                <w:color w:val="000000"/>
                <w:spacing w:val="-2"/>
              </w:rPr>
              <w:lastRenderedPageBreak/>
              <w:t xml:space="preserve">Minister Finansów </w:t>
            </w:r>
            <w:r>
              <w:rPr>
                <w:rFonts w:ascii="Times New Roman" w:hAnsi="Times New Roman"/>
                <w:color w:val="000000"/>
                <w:spacing w:val="-2"/>
              </w:rPr>
              <w:br/>
            </w:r>
            <w:r w:rsidRPr="007F758B">
              <w:rPr>
                <w:rFonts w:ascii="Times New Roman" w:hAnsi="Times New Roman"/>
                <w:color w:val="000000"/>
                <w:spacing w:val="-2"/>
              </w:rPr>
              <w:t>(</w:t>
            </w:r>
            <w:r>
              <w:rPr>
                <w:rFonts w:ascii="Times New Roman" w:hAnsi="Times New Roman"/>
                <w:color w:val="000000"/>
                <w:spacing w:val="-2"/>
              </w:rPr>
              <w:t xml:space="preserve">organ prowadzący </w:t>
            </w:r>
            <w:r w:rsidRPr="007F758B">
              <w:rPr>
                <w:rFonts w:ascii="Times New Roman" w:hAnsi="Times New Roman"/>
                <w:color w:val="000000"/>
                <w:spacing w:val="-2"/>
              </w:rPr>
              <w:t>CRP KEP)</w:t>
            </w:r>
          </w:p>
        </w:tc>
        <w:tc>
          <w:tcPr>
            <w:tcW w:w="2292" w:type="dxa"/>
            <w:gridSpan w:val="8"/>
            <w:shd w:val="clear" w:color="auto" w:fill="auto"/>
          </w:tcPr>
          <w:p w14:paraId="163B7B64"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02F9633B" w14:textId="3493BBEC" w:rsidR="009C592A" w:rsidRPr="009C592A" w:rsidRDefault="000C770F" w:rsidP="009C592A">
            <w:pPr>
              <w:spacing w:line="240" w:lineRule="auto"/>
              <w:rPr>
                <w:rFonts w:ascii="Times New Roman" w:hAnsi="Times New Roman"/>
                <w:color w:val="000000"/>
                <w:spacing w:val="-2"/>
              </w:rPr>
            </w:pPr>
            <w:r>
              <w:rPr>
                <w:rFonts w:ascii="Times New Roman" w:hAnsi="Times New Roman"/>
                <w:spacing w:val="-2"/>
              </w:rPr>
              <w:t>Informacja ogólnodostępna</w:t>
            </w:r>
          </w:p>
        </w:tc>
        <w:tc>
          <w:tcPr>
            <w:tcW w:w="2981" w:type="dxa"/>
            <w:gridSpan w:val="6"/>
            <w:shd w:val="clear" w:color="auto" w:fill="auto"/>
          </w:tcPr>
          <w:p w14:paraId="181B1031" w14:textId="77777777" w:rsidR="009C592A" w:rsidRDefault="00D76F51" w:rsidP="009C592A">
            <w:pPr>
              <w:spacing w:line="240" w:lineRule="auto"/>
              <w:rPr>
                <w:rFonts w:ascii="Times New Roman" w:hAnsi="Times New Roman"/>
                <w:color w:val="000000"/>
                <w:spacing w:val="-2"/>
              </w:rPr>
            </w:pPr>
            <w:r w:rsidRPr="007F758B">
              <w:rPr>
                <w:rFonts w:ascii="Times New Roman" w:hAnsi="Times New Roman"/>
                <w:color w:val="000000"/>
                <w:spacing w:val="-2"/>
              </w:rPr>
              <w:t>Rozszerzenie zakresu danych uzupełniających pozyskiwanych z CRP KEP o adres do doręczeń</w:t>
            </w:r>
            <w:r>
              <w:rPr>
                <w:rFonts w:ascii="Times New Roman" w:hAnsi="Times New Roman"/>
                <w:color w:val="000000"/>
                <w:spacing w:val="-2"/>
              </w:rPr>
              <w:t xml:space="preserve">, </w:t>
            </w:r>
            <w:r w:rsidRPr="007F758B">
              <w:rPr>
                <w:rFonts w:ascii="Times New Roman" w:hAnsi="Times New Roman"/>
                <w:color w:val="000000"/>
                <w:spacing w:val="-2"/>
              </w:rPr>
              <w:t>jeśli podmiot taki wskazał na wniosku NIP-8.</w:t>
            </w:r>
          </w:p>
          <w:p w14:paraId="34606EE1" w14:textId="62A6125B" w:rsidR="000C770F" w:rsidRPr="007F758B" w:rsidRDefault="000C770F" w:rsidP="009C592A">
            <w:pPr>
              <w:spacing w:line="240" w:lineRule="auto"/>
              <w:rPr>
                <w:rFonts w:ascii="Times New Roman" w:hAnsi="Times New Roman"/>
                <w:color w:val="000000"/>
                <w:spacing w:val="-2"/>
              </w:rPr>
            </w:pPr>
          </w:p>
        </w:tc>
      </w:tr>
      <w:tr w:rsidR="00D76F51" w:rsidRPr="008B4FE6" w14:paraId="401613AF" w14:textId="77777777" w:rsidTr="00AC17BB">
        <w:trPr>
          <w:gridAfter w:val="1"/>
          <w:wAfter w:w="10" w:type="dxa"/>
          <w:trHeight w:val="142"/>
        </w:trPr>
        <w:tc>
          <w:tcPr>
            <w:tcW w:w="2668" w:type="dxa"/>
            <w:gridSpan w:val="4"/>
            <w:shd w:val="clear" w:color="auto" w:fill="auto"/>
          </w:tcPr>
          <w:p w14:paraId="457D9897"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Organy administracji rządowej prowadzące rejestry urzędowe i systemy informacyjne administracji publicznej</w:t>
            </w:r>
          </w:p>
        </w:tc>
        <w:tc>
          <w:tcPr>
            <w:tcW w:w="2292" w:type="dxa"/>
            <w:gridSpan w:val="8"/>
            <w:shd w:val="clear" w:color="auto" w:fill="auto"/>
          </w:tcPr>
          <w:p w14:paraId="0D22D284" w14:textId="77777777" w:rsidR="00D76F51" w:rsidRPr="007F758B" w:rsidRDefault="00D76F51" w:rsidP="00D76F51">
            <w:pPr>
              <w:spacing w:line="240" w:lineRule="auto"/>
              <w:rPr>
                <w:rFonts w:ascii="Times New Roman" w:hAnsi="Times New Roman"/>
                <w:color w:val="000000"/>
                <w:spacing w:val="-2"/>
              </w:rPr>
            </w:pPr>
            <w:r w:rsidRPr="007F758B">
              <w:rPr>
                <w:rFonts w:ascii="Times New Roman" w:hAnsi="Times New Roman"/>
                <w:color w:val="000000"/>
                <w:spacing w:val="-2"/>
              </w:rPr>
              <w:t>Kancelaria Prezesa Rady Ministrów (1)</w:t>
            </w:r>
            <w:r>
              <w:rPr>
                <w:rFonts w:ascii="Times New Roman" w:hAnsi="Times New Roman"/>
                <w:color w:val="000000"/>
                <w:spacing w:val="-2"/>
              </w:rPr>
              <w:t>,</w:t>
            </w:r>
          </w:p>
          <w:p w14:paraId="0BF2BB78" w14:textId="365AA0E5"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m</w:t>
            </w:r>
            <w:r w:rsidRPr="007F758B">
              <w:rPr>
                <w:rFonts w:ascii="Times New Roman" w:hAnsi="Times New Roman"/>
                <w:color w:val="000000"/>
                <w:spacing w:val="-2"/>
              </w:rPr>
              <w:t>inisterstwa (</w:t>
            </w:r>
            <w:r w:rsidR="000C770F">
              <w:rPr>
                <w:rFonts w:ascii="Times New Roman" w:hAnsi="Times New Roman"/>
                <w:color w:val="000000"/>
                <w:spacing w:val="-2"/>
              </w:rPr>
              <w:t>19</w:t>
            </w:r>
            <w:r w:rsidRPr="007F758B">
              <w:rPr>
                <w:rFonts w:ascii="Times New Roman" w:hAnsi="Times New Roman"/>
                <w:color w:val="000000"/>
                <w:spacing w:val="-2"/>
              </w:rPr>
              <w:t>)</w:t>
            </w:r>
            <w:r>
              <w:rPr>
                <w:rFonts w:ascii="Times New Roman" w:hAnsi="Times New Roman"/>
                <w:color w:val="000000"/>
                <w:spacing w:val="-2"/>
              </w:rPr>
              <w:t>,</w:t>
            </w:r>
          </w:p>
          <w:p w14:paraId="7A0E8FD4" w14:textId="77777777" w:rsidR="00D76F51" w:rsidRPr="007F758B"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centralne (3</w:t>
            </w:r>
            <w:r>
              <w:rPr>
                <w:rFonts w:ascii="Times New Roman" w:hAnsi="Times New Roman"/>
                <w:color w:val="000000"/>
                <w:spacing w:val="-2"/>
              </w:rPr>
              <w:t>1</w:t>
            </w:r>
            <w:r w:rsidRPr="007F758B">
              <w:rPr>
                <w:rFonts w:ascii="Times New Roman" w:hAnsi="Times New Roman"/>
                <w:color w:val="000000"/>
                <w:spacing w:val="-2"/>
              </w:rPr>
              <w:t>)</w:t>
            </w:r>
            <w:r>
              <w:rPr>
                <w:rFonts w:ascii="Times New Roman" w:hAnsi="Times New Roman"/>
                <w:color w:val="000000"/>
                <w:spacing w:val="-2"/>
              </w:rPr>
              <w:t>,</w:t>
            </w:r>
          </w:p>
          <w:p w14:paraId="2808CC5C"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u</w:t>
            </w:r>
            <w:r w:rsidRPr="007F758B">
              <w:rPr>
                <w:rFonts w:ascii="Times New Roman" w:hAnsi="Times New Roman"/>
                <w:color w:val="000000"/>
                <w:spacing w:val="-2"/>
              </w:rPr>
              <w:t>rzędy wojewódzkie (16)</w:t>
            </w:r>
          </w:p>
          <w:p w14:paraId="37C40746" w14:textId="4DDB30E1" w:rsidR="000C770F" w:rsidRPr="007F758B" w:rsidRDefault="000C770F" w:rsidP="000C770F">
            <w:pPr>
              <w:spacing w:line="240" w:lineRule="auto"/>
              <w:rPr>
                <w:rFonts w:ascii="Times New Roman" w:hAnsi="Times New Roman"/>
                <w:color w:val="000000"/>
                <w:spacing w:val="-2"/>
              </w:rPr>
            </w:pPr>
          </w:p>
        </w:tc>
        <w:tc>
          <w:tcPr>
            <w:tcW w:w="2996" w:type="dxa"/>
            <w:gridSpan w:val="11"/>
            <w:shd w:val="clear" w:color="auto" w:fill="auto"/>
          </w:tcPr>
          <w:p w14:paraId="1F272555" w14:textId="4AFFCA45" w:rsidR="00D76F51" w:rsidRPr="00582F75" w:rsidRDefault="00121A6B" w:rsidP="00D76F51">
            <w:pPr>
              <w:spacing w:line="240" w:lineRule="auto"/>
              <w:rPr>
                <w:rFonts w:ascii="Times New Roman" w:hAnsi="Times New Roman"/>
                <w:spacing w:val="-2"/>
              </w:rPr>
            </w:pPr>
            <w:hyperlink r:id="rId12" w:history="1">
              <w:r w:rsidR="00D76F51" w:rsidRPr="00582F75">
                <w:rPr>
                  <w:rStyle w:val="Hipercze"/>
                  <w:rFonts w:ascii="Times New Roman" w:hAnsi="Times New Roman"/>
                  <w:color w:val="auto"/>
                  <w:spacing w:val="-2"/>
                </w:rPr>
                <w:t>https://www.gov.pl/web/gov/katalog-jednostek</w:t>
              </w:r>
            </w:hyperlink>
            <w:r w:rsidR="00D76F51" w:rsidRPr="00582F75">
              <w:rPr>
                <w:rStyle w:val="Hipercze"/>
                <w:rFonts w:ascii="Times New Roman" w:hAnsi="Times New Roman"/>
                <w:color w:val="auto"/>
                <w:spacing w:val="-2"/>
              </w:rPr>
              <w:t xml:space="preserve"> </w:t>
            </w:r>
            <w:r w:rsidR="00D76F51" w:rsidRPr="00582F75">
              <w:rPr>
                <w:rFonts w:ascii="Times New Roman" w:hAnsi="Times New Roman"/>
                <w:spacing w:val="-2"/>
              </w:rPr>
              <w:t xml:space="preserve">– wg stanu na dzień 13 </w:t>
            </w:r>
            <w:r w:rsidR="000C770F">
              <w:rPr>
                <w:rFonts w:ascii="Times New Roman" w:hAnsi="Times New Roman"/>
                <w:spacing w:val="-2"/>
              </w:rPr>
              <w:t>maja</w:t>
            </w:r>
            <w:r w:rsidR="00D76F51" w:rsidRPr="00582F75">
              <w:rPr>
                <w:rFonts w:ascii="Times New Roman" w:hAnsi="Times New Roman"/>
                <w:spacing w:val="-2"/>
              </w:rPr>
              <w:t xml:space="preserve"> 2024 r.</w:t>
            </w:r>
          </w:p>
          <w:p w14:paraId="20BC0ED7" w14:textId="66A29BFD" w:rsidR="00D76F51" w:rsidRDefault="00D76F51" w:rsidP="00D76F51">
            <w:pPr>
              <w:spacing w:line="240" w:lineRule="auto"/>
              <w:rPr>
                <w:rFonts w:ascii="Times New Roman" w:hAnsi="Times New Roman"/>
                <w:color w:val="000000"/>
                <w:spacing w:val="-2"/>
              </w:rPr>
            </w:pPr>
          </w:p>
          <w:p w14:paraId="07472C74" w14:textId="77777777" w:rsidR="000C770F" w:rsidRPr="007F758B" w:rsidRDefault="000C770F" w:rsidP="00D76F51">
            <w:pPr>
              <w:spacing w:line="240" w:lineRule="auto"/>
              <w:rPr>
                <w:rFonts w:ascii="Times New Roman" w:hAnsi="Times New Roman"/>
                <w:color w:val="000000"/>
                <w:spacing w:val="-2"/>
              </w:rPr>
            </w:pPr>
          </w:p>
          <w:p w14:paraId="69921968" w14:textId="77777777" w:rsidR="00D76F51" w:rsidRDefault="00D76F51" w:rsidP="00D76F51">
            <w:pPr>
              <w:spacing w:line="240" w:lineRule="auto"/>
              <w:rPr>
                <w:rFonts w:ascii="Times New Roman" w:hAnsi="Times New Roman"/>
                <w:color w:val="000000"/>
                <w:spacing w:val="-2"/>
              </w:rPr>
            </w:pPr>
          </w:p>
        </w:tc>
        <w:tc>
          <w:tcPr>
            <w:tcW w:w="2981" w:type="dxa"/>
            <w:gridSpan w:val="6"/>
            <w:shd w:val="clear" w:color="auto" w:fill="auto"/>
          </w:tcPr>
          <w:p w14:paraId="7609654B"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617FE2D5"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59DE4BFD" w14:textId="3E5DC4F5" w:rsidR="000C770F" w:rsidRPr="00AC4FA5" w:rsidRDefault="00D76F51" w:rsidP="000C770F">
            <w:pPr>
              <w:spacing w:line="240" w:lineRule="auto"/>
              <w:rPr>
                <w:rFonts w:ascii="Times New Roman" w:hAnsi="Times New Roman"/>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w:t>
            </w:r>
            <w:r w:rsidR="000C770F">
              <w:rPr>
                <w:rFonts w:ascii="Times New Roman" w:hAnsi="Times New Roman"/>
              </w:rPr>
              <w:t>TERYT</w:t>
            </w:r>
            <w:r w:rsidRPr="007F758B">
              <w:rPr>
                <w:rFonts w:ascii="Times New Roman" w:hAnsi="Times New Roman"/>
              </w:rPr>
              <w:t xml:space="preserve">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 xml:space="preserve">jakość </w:t>
            </w:r>
            <w:r w:rsidRPr="007F758B">
              <w:rPr>
                <w:rFonts w:ascii="Times New Roman" w:hAnsi="Times New Roman"/>
              </w:rPr>
              <w:lastRenderedPageBreak/>
              <w:t>danych gromadzonych w rejestrach</w:t>
            </w:r>
            <w:r>
              <w:rPr>
                <w:rFonts w:ascii="Times New Roman" w:hAnsi="Times New Roman"/>
              </w:rPr>
              <w:t>.</w:t>
            </w:r>
          </w:p>
        </w:tc>
      </w:tr>
      <w:tr w:rsidR="009C592A" w:rsidRPr="008B4FE6" w14:paraId="38B4B9AB" w14:textId="77777777" w:rsidTr="00AC17BB">
        <w:trPr>
          <w:gridAfter w:val="1"/>
          <w:wAfter w:w="10" w:type="dxa"/>
          <w:trHeight w:val="142"/>
        </w:trPr>
        <w:tc>
          <w:tcPr>
            <w:tcW w:w="2668" w:type="dxa"/>
            <w:gridSpan w:val="4"/>
            <w:shd w:val="clear" w:color="auto" w:fill="auto"/>
          </w:tcPr>
          <w:p w14:paraId="29FDF432"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rPr>
              <w:lastRenderedPageBreak/>
              <w:t>Pozostałe</w:t>
            </w:r>
            <w:r w:rsidR="009C592A" w:rsidRPr="007F758B">
              <w:rPr>
                <w:rFonts w:ascii="Times New Roman" w:hAnsi="Times New Roman"/>
                <w:color w:val="000000"/>
              </w:rPr>
              <w:t xml:space="preserve"> </w:t>
            </w:r>
            <w:r>
              <w:rPr>
                <w:rFonts w:ascii="Times New Roman" w:hAnsi="Times New Roman"/>
                <w:color w:val="000000"/>
              </w:rPr>
              <w:t>organy</w:t>
            </w:r>
            <w:r w:rsidR="009C592A">
              <w:rPr>
                <w:rFonts w:ascii="Times New Roman" w:hAnsi="Times New Roman"/>
                <w:color w:val="000000"/>
              </w:rPr>
              <w:t xml:space="preserve"> </w:t>
            </w:r>
            <w:r w:rsidR="004F17B6" w:rsidRPr="007F758B">
              <w:rPr>
                <w:rFonts w:ascii="Times New Roman" w:hAnsi="Times New Roman"/>
                <w:color w:val="000000"/>
                <w:spacing w:val="-2"/>
              </w:rPr>
              <w:t>prowadzące rejestry urzędowe i systemy informacyjne administracji publicznej</w:t>
            </w:r>
          </w:p>
        </w:tc>
        <w:tc>
          <w:tcPr>
            <w:tcW w:w="2292" w:type="dxa"/>
            <w:gridSpan w:val="8"/>
            <w:shd w:val="clear" w:color="auto" w:fill="auto"/>
          </w:tcPr>
          <w:p w14:paraId="0E8DF0EB" w14:textId="77777777" w:rsidR="009C592A" w:rsidRPr="007F758B" w:rsidRDefault="009F0EA3"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00B6627B">
              <w:rPr>
                <w:rFonts w:ascii="Times New Roman" w:hAnsi="Times New Roman"/>
                <w:color w:val="000000"/>
                <w:spacing w:val="-2"/>
              </w:rPr>
              <w:t>3 000</w:t>
            </w:r>
            <w:r>
              <w:rPr>
                <w:rFonts w:ascii="Times New Roman" w:hAnsi="Times New Roman"/>
                <w:color w:val="000000"/>
                <w:spacing w:val="-2"/>
              </w:rPr>
              <w:t xml:space="preserve"> </w:t>
            </w:r>
            <w:r w:rsidR="00C77EBC">
              <w:rPr>
                <w:rFonts w:ascii="Times New Roman" w:hAnsi="Times New Roman"/>
                <w:color w:val="000000"/>
                <w:spacing w:val="-2"/>
              </w:rPr>
              <w:t>organów</w:t>
            </w:r>
          </w:p>
        </w:tc>
        <w:tc>
          <w:tcPr>
            <w:tcW w:w="2996" w:type="dxa"/>
            <w:gridSpan w:val="11"/>
            <w:shd w:val="clear" w:color="auto" w:fill="auto"/>
          </w:tcPr>
          <w:p w14:paraId="7660172C" w14:textId="77777777" w:rsidR="009C592A" w:rsidRDefault="00B6627B" w:rsidP="009F0EA3">
            <w:pPr>
              <w:spacing w:line="240" w:lineRule="auto"/>
            </w:pPr>
            <w:r>
              <w:rPr>
                <w:rFonts w:ascii="Times New Roman" w:hAnsi="Times New Roman"/>
              </w:rPr>
              <w:t>Dane własne GUS</w:t>
            </w:r>
          </w:p>
        </w:tc>
        <w:tc>
          <w:tcPr>
            <w:tcW w:w="2981" w:type="dxa"/>
            <w:gridSpan w:val="6"/>
            <w:shd w:val="clear" w:color="auto" w:fill="auto"/>
          </w:tcPr>
          <w:p w14:paraId="61AE661E" w14:textId="77777777" w:rsidR="00D76F51" w:rsidRDefault="00D76F51" w:rsidP="00D76F51">
            <w:pPr>
              <w:spacing w:line="240" w:lineRule="auto"/>
              <w:rPr>
                <w:rFonts w:ascii="Times New Roman" w:hAnsi="Times New Roman"/>
                <w:color w:val="000000"/>
                <w:spacing w:val="-2"/>
              </w:rPr>
            </w:pPr>
            <w:r>
              <w:rPr>
                <w:rFonts w:ascii="Times New Roman" w:hAnsi="Times New Roman"/>
                <w:color w:val="000000"/>
                <w:spacing w:val="-2"/>
              </w:rPr>
              <w:t>Zmiany proponowane w projektowanej ustawie spowodują</w:t>
            </w:r>
          </w:p>
          <w:p w14:paraId="7A9074BF" w14:textId="77777777" w:rsidR="00D76F51" w:rsidRPr="007F758B" w:rsidRDefault="00D76F51" w:rsidP="00D76F51">
            <w:pPr>
              <w:spacing w:line="240" w:lineRule="auto"/>
              <w:rPr>
                <w:rFonts w:ascii="Times New Roman" w:hAnsi="Times New Roman"/>
                <w:iCs/>
              </w:rPr>
            </w:pPr>
            <w:r>
              <w:rPr>
                <w:rFonts w:ascii="Times New Roman" w:hAnsi="Times New Roman"/>
                <w:iCs/>
              </w:rPr>
              <w:t>ewentualną</w:t>
            </w:r>
            <w:r w:rsidRPr="007F758B">
              <w:rPr>
                <w:rFonts w:ascii="Times New Roman" w:hAnsi="Times New Roman"/>
                <w:iCs/>
              </w:rPr>
              <w:t xml:space="preserve"> konieczność uzupełnienia w systemie teleinformatycznym</w:t>
            </w:r>
            <w:r>
              <w:rPr>
                <w:rFonts w:ascii="Times New Roman" w:hAnsi="Times New Roman"/>
                <w:iCs/>
              </w:rPr>
              <w:t xml:space="preserve">, </w:t>
            </w:r>
            <w:r w:rsidRPr="007F758B">
              <w:rPr>
                <w:rFonts w:ascii="Times New Roman" w:hAnsi="Times New Roman"/>
                <w:iCs/>
              </w:rPr>
              <w:t xml:space="preserve">służącym do prowadzenia </w:t>
            </w:r>
            <w:r>
              <w:rPr>
                <w:rFonts w:ascii="Times New Roman" w:hAnsi="Times New Roman"/>
                <w:iCs/>
              </w:rPr>
              <w:t xml:space="preserve">właściwego </w:t>
            </w:r>
            <w:r w:rsidRPr="007F758B">
              <w:rPr>
                <w:rFonts w:ascii="Times New Roman" w:hAnsi="Times New Roman"/>
                <w:iCs/>
              </w:rPr>
              <w:t xml:space="preserve">rejestru, identyfikatorów rejestru </w:t>
            </w:r>
            <w:r>
              <w:rPr>
                <w:rFonts w:ascii="Times New Roman" w:hAnsi="Times New Roman"/>
                <w:iCs/>
              </w:rPr>
              <w:t>TERYT</w:t>
            </w:r>
            <w:r w:rsidRPr="007F758B">
              <w:rPr>
                <w:rFonts w:ascii="Times New Roman" w:hAnsi="Times New Roman"/>
                <w:iCs/>
              </w:rPr>
              <w:t xml:space="preserve"> w zakresie określonym w ustawie, jeśli identyfikatory te nie są jeszcze stosowane i aktualizowane.</w:t>
            </w:r>
          </w:p>
          <w:p w14:paraId="6649CFC6" w14:textId="12DBBA27" w:rsidR="009C592A" w:rsidRPr="007F758B" w:rsidRDefault="00D76F51" w:rsidP="00D76F51">
            <w:pPr>
              <w:spacing w:line="240" w:lineRule="auto"/>
              <w:rPr>
                <w:rFonts w:ascii="Times New Roman" w:hAnsi="Times New Roman"/>
                <w:color w:val="000000"/>
                <w:spacing w:val="-2"/>
              </w:rPr>
            </w:pPr>
            <w:r w:rsidRPr="007F758B">
              <w:rPr>
                <w:rFonts w:ascii="Times New Roman" w:hAnsi="Times New Roman"/>
                <w:iCs/>
              </w:rPr>
              <w:t xml:space="preserve">Zastosowanie słowników rejestru </w:t>
            </w:r>
            <w:r>
              <w:rPr>
                <w:rFonts w:ascii="Times New Roman" w:hAnsi="Times New Roman"/>
                <w:iCs/>
              </w:rPr>
              <w:t>TERYT</w:t>
            </w:r>
            <w:r w:rsidRPr="007F758B">
              <w:rPr>
                <w:rFonts w:ascii="Times New Roman" w:hAnsi="Times New Roman"/>
                <w:iCs/>
              </w:rPr>
              <w:t xml:space="preserve"> i zawartych w nich identyfikatorów </w:t>
            </w:r>
            <w:r w:rsidRPr="007F758B">
              <w:rPr>
                <w:rFonts w:ascii="Times New Roman" w:hAnsi="Times New Roman"/>
              </w:rPr>
              <w:t xml:space="preserve">tworzy podstawy współdziałania i wzajemnego zasilania urzędowych rejestrów i systemów informacyjnych administracji publicznej, umożliwiając integrację tych rejestrów i systemów oraz bezkolizyjny przepływ informacji pomiędzy nimi. Identyfikatory rejestru terytorialnego oraz przygotowane przez służby statystyki publicznej rozwiązania informatyczne (udostępnianie zbiorów aktualnych i historycznych oraz plików zmian poprzez usługę sieciową Interfejsy API) znacznie ułatwiają proces aktualizacji danych adresowych w innych rejestrach w przypadku zmian w podziale terytorialnym oraz nazewnictwie miejscowości i ulic, umożliwiając wykonanie odpowiedniej aktualizacji w sposób automatyczny. </w:t>
            </w:r>
            <w:bookmarkStart w:id="15" w:name="_Hlk113954559"/>
            <w:r>
              <w:rPr>
                <w:rFonts w:ascii="Times New Roman" w:hAnsi="Times New Roman"/>
                <w:color w:val="000000"/>
                <w:spacing w:val="-2"/>
              </w:rPr>
              <w:t>Proponowane w projektowanej ustawie</w:t>
            </w:r>
            <w:r w:rsidRPr="007F758B">
              <w:rPr>
                <w:rFonts w:ascii="Times New Roman" w:hAnsi="Times New Roman"/>
              </w:rPr>
              <w:t xml:space="preserve"> rozwiązania zapewni</w:t>
            </w:r>
            <w:r>
              <w:rPr>
                <w:rFonts w:ascii="Times New Roman" w:hAnsi="Times New Roman"/>
              </w:rPr>
              <w:t>ą</w:t>
            </w:r>
            <w:r w:rsidRPr="007F758B">
              <w:rPr>
                <w:rFonts w:ascii="Times New Roman" w:hAnsi="Times New Roman"/>
              </w:rPr>
              <w:t xml:space="preserve"> tym samym aktualność danych, a jednocześnie </w:t>
            </w:r>
            <w:r>
              <w:rPr>
                <w:rFonts w:ascii="Times New Roman" w:hAnsi="Times New Roman"/>
              </w:rPr>
              <w:t>spowodują ograniczenie</w:t>
            </w:r>
            <w:r w:rsidRPr="007F758B">
              <w:rPr>
                <w:rFonts w:ascii="Times New Roman" w:hAnsi="Times New Roman"/>
              </w:rPr>
              <w:t xml:space="preserve"> liczb</w:t>
            </w:r>
            <w:r>
              <w:rPr>
                <w:rFonts w:ascii="Times New Roman" w:hAnsi="Times New Roman"/>
              </w:rPr>
              <w:t>y</w:t>
            </w:r>
            <w:r w:rsidRPr="007F758B">
              <w:rPr>
                <w:rFonts w:ascii="Times New Roman" w:hAnsi="Times New Roman"/>
              </w:rPr>
              <w:t xml:space="preserve"> błędów i pomyłek</w:t>
            </w:r>
            <w:r>
              <w:rPr>
                <w:rFonts w:ascii="Times New Roman" w:hAnsi="Times New Roman"/>
              </w:rPr>
              <w:t>, co</w:t>
            </w:r>
            <w:r w:rsidRPr="007F758B">
              <w:rPr>
                <w:rFonts w:ascii="Times New Roman" w:hAnsi="Times New Roman"/>
              </w:rPr>
              <w:t xml:space="preserve"> w konsekwencji </w:t>
            </w:r>
            <w:r>
              <w:rPr>
                <w:rFonts w:ascii="Times New Roman" w:hAnsi="Times New Roman"/>
              </w:rPr>
              <w:t xml:space="preserve">podniesie </w:t>
            </w:r>
            <w:r w:rsidRPr="007F758B">
              <w:rPr>
                <w:rFonts w:ascii="Times New Roman" w:hAnsi="Times New Roman"/>
              </w:rPr>
              <w:t>jakość danych gromadzonych w rejestrach</w:t>
            </w:r>
            <w:r>
              <w:rPr>
                <w:rFonts w:ascii="Times New Roman" w:hAnsi="Times New Roman"/>
              </w:rPr>
              <w:t>.</w:t>
            </w:r>
            <w:bookmarkEnd w:id="15"/>
          </w:p>
        </w:tc>
      </w:tr>
      <w:tr w:rsidR="00B572A0" w:rsidRPr="008B4FE6" w14:paraId="4F70F5E4" w14:textId="77777777" w:rsidTr="00AC17BB">
        <w:trPr>
          <w:gridAfter w:val="1"/>
          <w:wAfter w:w="10" w:type="dxa"/>
          <w:trHeight w:val="142"/>
        </w:trPr>
        <w:tc>
          <w:tcPr>
            <w:tcW w:w="2668" w:type="dxa"/>
            <w:gridSpan w:val="4"/>
            <w:shd w:val="clear" w:color="auto" w:fill="auto"/>
          </w:tcPr>
          <w:p w14:paraId="0843ADB1" w14:textId="2E6E66E6" w:rsidR="00B572A0" w:rsidRDefault="00B572A0" w:rsidP="009C592A">
            <w:pPr>
              <w:spacing w:line="240" w:lineRule="auto"/>
              <w:rPr>
                <w:rFonts w:ascii="Times New Roman" w:hAnsi="Times New Roman"/>
                <w:color w:val="000000"/>
              </w:rPr>
            </w:pPr>
            <w:r>
              <w:rPr>
                <w:rFonts w:ascii="Times New Roman" w:hAnsi="Times New Roman"/>
                <w:color w:val="000000"/>
              </w:rPr>
              <w:t xml:space="preserve">Powiatowi inspektorzy nadzoru budowlanego </w:t>
            </w:r>
          </w:p>
        </w:tc>
        <w:tc>
          <w:tcPr>
            <w:tcW w:w="2292" w:type="dxa"/>
            <w:gridSpan w:val="8"/>
            <w:shd w:val="clear" w:color="auto" w:fill="auto"/>
          </w:tcPr>
          <w:p w14:paraId="276B073D" w14:textId="17E23CFC" w:rsidR="00B572A0" w:rsidRDefault="006A23EA" w:rsidP="009C592A">
            <w:pPr>
              <w:spacing w:line="240" w:lineRule="auto"/>
              <w:rPr>
                <w:rFonts w:ascii="Times New Roman" w:hAnsi="Times New Roman"/>
                <w:color w:val="000000"/>
                <w:spacing w:val="-2"/>
              </w:rPr>
            </w:pPr>
            <w:r>
              <w:rPr>
                <w:rFonts w:ascii="Times New Roman" w:hAnsi="Times New Roman"/>
                <w:color w:val="000000"/>
                <w:spacing w:val="-2"/>
              </w:rPr>
              <w:t>376</w:t>
            </w:r>
          </w:p>
        </w:tc>
        <w:tc>
          <w:tcPr>
            <w:tcW w:w="2996" w:type="dxa"/>
            <w:gridSpan w:val="11"/>
            <w:shd w:val="clear" w:color="auto" w:fill="auto"/>
          </w:tcPr>
          <w:p w14:paraId="500181E1" w14:textId="0AF6ECBD" w:rsidR="00B572A0" w:rsidRPr="0026184A" w:rsidRDefault="00B572A0" w:rsidP="00B572A0">
            <w:pPr>
              <w:spacing w:line="240" w:lineRule="auto"/>
              <w:rPr>
                <w:rFonts w:ascii="Times New Roman" w:hAnsi="Times New Roman"/>
                <w:color w:val="000000" w:themeColor="text1"/>
                <w:spacing w:val="-2"/>
              </w:rPr>
            </w:pPr>
            <w:r w:rsidRPr="0026184A">
              <w:rPr>
                <w:rFonts w:ascii="Times New Roman" w:hAnsi="Times New Roman"/>
                <w:color w:val="000000" w:themeColor="text1"/>
                <w:spacing w:val="-2"/>
              </w:rPr>
              <w:t>Listy wojewódzkie (</w:t>
            </w:r>
            <w:hyperlink r:id="rId13" w:history="1">
              <w:r w:rsidRPr="0026184A">
                <w:rPr>
                  <w:rStyle w:val="Hipercze"/>
                  <w:rFonts w:ascii="Times New Roman" w:hAnsi="Times New Roman"/>
                  <w:color w:val="000000" w:themeColor="text1"/>
                  <w:spacing w:val="-2"/>
                </w:rPr>
                <w:t>www.gunb.gov.pl/winb</w:t>
              </w:r>
            </w:hyperlink>
            <w:r w:rsidRPr="0026184A">
              <w:rPr>
                <w:rStyle w:val="Hipercze"/>
                <w:color w:val="000000" w:themeColor="text1"/>
              </w:rPr>
              <w:t>)</w:t>
            </w:r>
          </w:p>
          <w:p w14:paraId="140CD244" w14:textId="77777777" w:rsidR="00B572A0" w:rsidRDefault="00B572A0" w:rsidP="0033792B">
            <w:pPr>
              <w:spacing w:line="240" w:lineRule="auto"/>
              <w:rPr>
                <w:rFonts w:ascii="Times New Roman" w:hAnsi="Times New Roman"/>
              </w:rPr>
            </w:pPr>
          </w:p>
        </w:tc>
        <w:tc>
          <w:tcPr>
            <w:tcW w:w="2981" w:type="dxa"/>
            <w:gridSpan w:val="6"/>
            <w:shd w:val="clear" w:color="auto" w:fill="auto"/>
          </w:tcPr>
          <w:p w14:paraId="3A043BA5" w14:textId="570AE85B" w:rsidR="00B572A0" w:rsidRPr="007F758B" w:rsidRDefault="00D76F51" w:rsidP="005B5DE3">
            <w:pPr>
              <w:spacing w:line="240" w:lineRule="auto"/>
              <w:rPr>
                <w:rFonts w:ascii="Times New Roman" w:hAnsi="Times New Roman"/>
              </w:rPr>
            </w:pPr>
            <w:bookmarkStart w:id="16" w:name="_Hlk154066253"/>
            <w:r w:rsidRPr="006B43F2">
              <w:rPr>
                <w:rFonts w:ascii="Times New Roman" w:hAnsi="Times New Roman"/>
                <w:color w:val="000000"/>
                <w:spacing w:val="-2"/>
              </w:rPr>
              <w:t>Przekazywanie Prezesowi Głównego Urzędu Statystycznego elektronicznych wykazów oddanych do użytku budynków i mieszkań oraz ich ubytków</w:t>
            </w:r>
            <w:r>
              <w:rPr>
                <w:color w:val="000000"/>
                <w:spacing w:val="-2"/>
              </w:rPr>
              <w:t>.</w:t>
            </w:r>
            <w:bookmarkEnd w:id="16"/>
          </w:p>
        </w:tc>
      </w:tr>
      <w:tr w:rsidR="00C56DD1" w:rsidRPr="008B4FE6" w14:paraId="6E417440" w14:textId="77777777" w:rsidTr="00AC17BB">
        <w:trPr>
          <w:gridAfter w:val="1"/>
          <w:wAfter w:w="10" w:type="dxa"/>
          <w:trHeight w:val="142"/>
        </w:trPr>
        <w:tc>
          <w:tcPr>
            <w:tcW w:w="2668" w:type="dxa"/>
            <w:gridSpan w:val="4"/>
            <w:shd w:val="clear" w:color="auto" w:fill="auto"/>
          </w:tcPr>
          <w:p w14:paraId="3B961A93" w14:textId="77777777" w:rsidR="00C56DD1" w:rsidRDefault="00730ABE" w:rsidP="009C592A">
            <w:pPr>
              <w:spacing w:line="240" w:lineRule="auto"/>
              <w:rPr>
                <w:rFonts w:ascii="Times New Roman" w:hAnsi="Times New Roman"/>
                <w:color w:val="000000"/>
              </w:rPr>
            </w:pPr>
            <w:r>
              <w:rPr>
                <w:rFonts w:ascii="Times New Roman" w:hAnsi="Times New Roman"/>
                <w:color w:val="000000"/>
              </w:rPr>
              <w:lastRenderedPageBreak/>
              <w:t>Starostowie, prezydenci miast</w:t>
            </w:r>
            <w:r w:rsidR="00575862">
              <w:rPr>
                <w:rFonts w:ascii="Times New Roman" w:hAnsi="Times New Roman"/>
                <w:color w:val="000000"/>
              </w:rPr>
              <w:t xml:space="preserve"> na prawach powiatu</w:t>
            </w:r>
          </w:p>
        </w:tc>
        <w:tc>
          <w:tcPr>
            <w:tcW w:w="2292" w:type="dxa"/>
            <w:gridSpan w:val="8"/>
            <w:shd w:val="clear" w:color="auto" w:fill="auto"/>
          </w:tcPr>
          <w:p w14:paraId="08863EB7" w14:textId="77777777" w:rsidR="00C56DD1" w:rsidRDefault="00730ABE" w:rsidP="009C592A">
            <w:pPr>
              <w:spacing w:line="240" w:lineRule="auto"/>
              <w:rPr>
                <w:rFonts w:ascii="Times New Roman" w:hAnsi="Times New Roman"/>
                <w:color w:val="000000"/>
                <w:spacing w:val="-2"/>
              </w:rPr>
            </w:pPr>
            <w:r>
              <w:rPr>
                <w:rFonts w:ascii="Times New Roman" w:hAnsi="Times New Roman"/>
                <w:color w:val="000000"/>
                <w:spacing w:val="-2"/>
              </w:rPr>
              <w:t>380</w:t>
            </w:r>
          </w:p>
        </w:tc>
        <w:tc>
          <w:tcPr>
            <w:tcW w:w="2996" w:type="dxa"/>
            <w:gridSpan w:val="11"/>
            <w:shd w:val="clear" w:color="auto" w:fill="auto"/>
          </w:tcPr>
          <w:p w14:paraId="2120A6A2" w14:textId="77777777" w:rsidR="00C56DD1" w:rsidRPr="00B572A0" w:rsidRDefault="00730ABE" w:rsidP="00B572A0">
            <w:pPr>
              <w:spacing w:line="240" w:lineRule="auto"/>
              <w:rPr>
                <w:rFonts w:ascii="Times New Roman" w:hAnsi="Times New Roman"/>
                <w:spacing w:val="-2"/>
              </w:rPr>
            </w:pPr>
            <w:r w:rsidRPr="00B572A0">
              <w:rPr>
                <w:rFonts w:ascii="Times New Roman" w:hAnsi="Times New Roman"/>
                <w:spacing w:val="-2"/>
              </w:rPr>
              <w:t>Baza teleadresowa JST (https://www.gov.pl/web/mswia/baza-jst)</w:t>
            </w:r>
          </w:p>
        </w:tc>
        <w:tc>
          <w:tcPr>
            <w:tcW w:w="2981" w:type="dxa"/>
            <w:gridSpan w:val="6"/>
            <w:shd w:val="clear" w:color="auto" w:fill="auto"/>
          </w:tcPr>
          <w:p w14:paraId="7CA55882" w14:textId="73104B84" w:rsidR="00AC4FA5" w:rsidRPr="006B43F2" w:rsidRDefault="00AC4FA5" w:rsidP="001C360D">
            <w:pPr>
              <w:spacing w:line="240" w:lineRule="auto"/>
              <w:rPr>
                <w:rFonts w:ascii="Times New Roman" w:hAnsi="Times New Roman"/>
                <w:color w:val="000000"/>
                <w:spacing w:val="-2"/>
              </w:rPr>
            </w:pPr>
            <w:r>
              <w:rPr>
                <w:rFonts w:ascii="Times New Roman" w:hAnsi="Times New Roman"/>
                <w:color w:val="000000"/>
                <w:spacing w:val="-2"/>
              </w:rPr>
              <w:t>Powiadamianie właściwego miejscowo urzędu statystycznego o dokonaniu zmian w numeracji i przebiegu granic obrębów ewidencyjnych, każdorazowo w przypadku wprowadzenia zmian.</w:t>
            </w:r>
          </w:p>
        </w:tc>
      </w:tr>
      <w:tr w:rsidR="001C360D" w:rsidRPr="008B4FE6" w14:paraId="106F78D5" w14:textId="77777777" w:rsidTr="00AC17BB">
        <w:trPr>
          <w:gridAfter w:val="1"/>
          <w:wAfter w:w="10" w:type="dxa"/>
          <w:trHeight w:val="142"/>
        </w:trPr>
        <w:tc>
          <w:tcPr>
            <w:tcW w:w="2668" w:type="dxa"/>
            <w:gridSpan w:val="4"/>
            <w:shd w:val="clear" w:color="auto" w:fill="auto"/>
          </w:tcPr>
          <w:p w14:paraId="6015B35C" w14:textId="77777777" w:rsidR="001C360D" w:rsidRDefault="001C360D" w:rsidP="009C592A">
            <w:pPr>
              <w:spacing w:line="240" w:lineRule="auto"/>
              <w:rPr>
                <w:rFonts w:ascii="Times New Roman" w:hAnsi="Times New Roman"/>
                <w:color w:val="000000"/>
              </w:rPr>
            </w:pPr>
            <w:r>
              <w:rPr>
                <w:rFonts w:ascii="Times New Roman" w:hAnsi="Times New Roman"/>
                <w:color w:val="000000"/>
              </w:rPr>
              <w:t>Wójtowie (burmistrzowie, prezydenci miast)</w:t>
            </w:r>
          </w:p>
        </w:tc>
        <w:tc>
          <w:tcPr>
            <w:tcW w:w="2292" w:type="dxa"/>
            <w:gridSpan w:val="8"/>
            <w:shd w:val="clear" w:color="auto" w:fill="auto"/>
          </w:tcPr>
          <w:p w14:paraId="3B8EB0DB" w14:textId="77777777" w:rsidR="001C360D" w:rsidRDefault="001C360D" w:rsidP="009C592A">
            <w:pPr>
              <w:spacing w:line="240" w:lineRule="auto"/>
              <w:rPr>
                <w:rFonts w:ascii="Times New Roman" w:hAnsi="Times New Roman"/>
                <w:color w:val="000000"/>
                <w:spacing w:val="-2"/>
              </w:rPr>
            </w:pPr>
            <w:r>
              <w:rPr>
                <w:rFonts w:ascii="Times New Roman" w:hAnsi="Times New Roman"/>
                <w:color w:val="000000"/>
                <w:spacing w:val="-2"/>
              </w:rPr>
              <w:t>2477</w:t>
            </w:r>
          </w:p>
        </w:tc>
        <w:tc>
          <w:tcPr>
            <w:tcW w:w="2996" w:type="dxa"/>
            <w:gridSpan w:val="11"/>
            <w:shd w:val="clear" w:color="auto" w:fill="auto"/>
          </w:tcPr>
          <w:p w14:paraId="2BD33D0E" w14:textId="77777777" w:rsidR="00D76F51" w:rsidRDefault="00D76F51" w:rsidP="00D76F51">
            <w:pPr>
              <w:spacing w:line="240" w:lineRule="auto"/>
              <w:rPr>
                <w:rFonts w:ascii="Times New Roman" w:hAnsi="Times New Roman"/>
              </w:rPr>
            </w:pPr>
            <w:r w:rsidRPr="00B572A0">
              <w:rPr>
                <w:rFonts w:ascii="Times New Roman" w:hAnsi="Times New Roman"/>
                <w:spacing w:val="-2"/>
              </w:rPr>
              <w:t>Baza teleadresowa JST (https://www.gov.pl/web/mswia/baza-jst)</w:t>
            </w:r>
          </w:p>
          <w:p w14:paraId="6929BF69" w14:textId="38A6CDFD" w:rsidR="001C360D" w:rsidRDefault="00D76F51" w:rsidP="00D76F51">
            <w:pPr>
              <w:spacing w:line="240" w:lineRule="auto"/>
              <w:rPr>
                <w:rFonts w:ascii="Times New Roman" w:hAnsi="Times New Roman"/>
              </w:rPr>
            </w:pPr>
            <w:r>
              <w:rPr>
                <w:rFonts w:ascii="Times New Roman" w:hAnsi="Times New Roman"/>
              </w:rPr>
              <w:t>Raport: Liczba jednostek podziału terytorialnego (</w:t>
            </w:r>
            <w:hyperlink r:id="rId14" w:history="1">
              <w:r w:rsidR="00AC4FA5" w:rsidRPr="00A11B42">
                <w:rPr>
                  <w:rStyle w:val="Hipercze"/>
                  <w:rFonts w:ascii="Times New Roman" w:hAnsi="Times New Roman"/>
                </w:rPr>
                <w:t>www.stat.gov.pl</w:t>
              </w:r>
            </w:hyperlink>
            <w:r>
              <w:rPr>
                <w:rFonts w:ascii="Times New Roman" w:hAnsi="Times New Roman"/>
              </w:rPr>
              <w:t>)</w:t>
            </w:r>
          </w:p>
          <w:p w14:paraId="6C2392A1" w14:textId="2E920916" w:rsidR="00AC4FA5" w:rsidRDefault="00AC4FA5" w:rsidP="00AC4FA5">
            <w:pPr>
              <w:spacing w:line="240" w:lineRule="auto"/>
              <w:rPr>
                <w:rFonts w:ascii="Times New Roman" w:hAnsi="Times New Roman"/>
              </w:rPr>
            </w:pPr>
          </w:p>
        </w:tc>
        <w:tc>
          <w:tcPr>
            <w:tcW w:w="2981" w:type="dxa"/>
            <w:gridSpan w:val="6"/>
            <w:shd w:val="clear" w:color="auto" w:fill="auto"/>
          </w:tcPr>
          <w:p w14:paraId="2BBD18DC" w14:textId="584BA43E" w:rsidR="00AC4FA5" w:rsidRPr="007F758B" w:rsidRDefault="00D76F51" w:rsidP="005B5DE3">
            <w:pPr>
              <w:spacing w:line="240" w:lineRule="auto"/>
              <w:rPr>
                <w:rFonts w:ascii="Times New Roman" w:hAnsi="Times New Roman"/>
              </w:rPr>
            </w:pPr>
            <w:r w:rsidRPr="006B43F2">
              <w:rPr>
                <w:rFonts w:ascii="Times New Roman" w:hAnsi="Times New Roman"/>
                <w:color w:val="000000"/>
                <w:spacing w:val="-2"/>
              </w:rPr>
              <w:t>Przekazywanie Prezesowi Głównego Urzędu Statystycznego</w:t>
            </w:r>
            <w:r>
              <w:rPr>
                <w:rFonts w:ascii="Times New Roman" w:hAnsi="Times New Roman"/>
                <w:color w:val="000000"/>
                <w:spacing w:val="-2"/>
              </w:rPr>
              <w:t xml:space="preserve"> informacji o: nadaniu i zmianie nazewnictwa ulic, </w:t>
            </w:r>
            <w:r w:rsidRPr="007D0168">
              <w:rPr>
                <w:rFonts w:ascii="Times New Roman" w:hAnsi="Times New Roman"/>
              </w:rPr>
              <w:t>zmianach numeracji porządkowej budynków mieszkalnych i niemieszkalnych, jeśli znajduje się w nich przynajmniej jedno mieszkanie</w:t>
            </w:r>
            <w:r>
              <w:rPr>
                <w:rFonts w:ascii="Times New Roman" w:hAnsi="Times New Roman"/>
              </w:rPr>
              <w:t>,</w:t>
            </w:r>
            <w:r w:rsidRPr="007D0168">
              <w:rPr>
                <w:rFonts w:ascii="Times New Roman" w:hAnsi="Times New Roman"/>
              </w:rPr>
              <w:t xml:space="preserve"> nadaniu nowych numerów porządkowych dla nowo budowanych budynków mieszkalnych i niemieszkalnych z mieszkaniami</w:t>
            </w:r>
            <w:r>
              <w:rPr>
                <w:rFonts w:ascii="Times New Roman" w:hAnsi="Times New Roman"/>
              </w:rPr>
              <w:t xml:space="preserve"> oraz</w:t>
            </w:r>
            <w:r w:rsidRPr="007D0168">
              <w:rPr>
                <w:rFonts w:ascii="Times New Roman" w:hAnsi="Times New Roman"/>
              </w:rPr>
              <w:t xml:space="preserve"> zestawie</w:t>
            </w:r>
            <w:r>
              <w:rPr>
                <w:rFonts w:ascii="Times New Roman" w:hAnsi="Times New Roman"/>
              </w:rPr>
              <w:t>ń</w:t>
            </w:r>
            <w:r w:rsidRPr="007D0168">
              <w:rPr>
                <w:rFonts w:ascii="Times New Roman" w:hAnsi="Times New Roman"/>
              </w:rPr>
              <w:t xml:space="preserve"> danych dotyczących obszarów przekazywanych w związku z dokonaną zmianą w podziale terytorialnym kraju</w:t>
            </w:r>
            <w:r>
              <w:rPr>
                <w:rFonts w:ascii="Times New Roman" w:hAnsi="Times New Roman"/>
              </w:rPr>
              <w:t>.</w:t>
            </w:r>
          </w:p>
        </w:tc>
      </w:tr>
      <w:tr w:rsidR="009C592A" w:rsidRPr="008B4FE6" w14:paraId="603511C0" w14:textId="77777777" w:rsidTr="00AC17BB">
        <w:trPr>
          <w:gridAfter w:val="1"/>
          <w:wAfter w:w="10" w:type="dxa"/>
          <w:trHeight w:val="142"/>
        </w:trPr>
        <w:tc>
          <w:tcPr>
            <w:tcW w:w="2668" w:type="dxa"/>
            <w:gridSpan w:val="4"/>
            <w:shd w:val="clear" w:color="auto" w:fill="auto"/>
          </w:tcPr>
          <w:p w14:paraId="1F7B2CBE" w14:textId="77777777" w:rsidR="009C592A" w:rsidRPr="007F758B" w:rsidRDefault="009C592A" w:rsidP="009C592A">
            <w:pPr>
              <w:spacing w:line="240" w:lineRule="auto"/>
              <w:rPr>
                <w:rFonts w:ascii="Times New Roman" w:hAnsi="Times New Roman"/>
                <w:color w:val="000000"/>
              </w:rPr>
            </w:pPr>
            <w:bookmarkStart w:id="17" w:name="_Hlk113954347"/>
            <w:r>
              <w:rPr>
                <w:rFonts w:ascii="Times New Roman" w:hAnsi="Times New Roman"/>
                <w:color w:val="000000"/>
              </w:rPr>
              <w:t>Obywatele Rzeczypospolitej Polskiej</w:t>
            </w:r>
          </w:p>
        </w:tc>
        <w:tc>
          <w:tcPr>
            <w:tcW w:w="2292" w:type="dxa"/>
            <w:gridSpan w:val="8"/>
            <w:shd w:val="clear" w:color="auto" w:fill="auto"/>
          </w:tcPr>
          <w:p w14:paraId="537032B0" w14:textId="77777777" w:rsidR="009C592A" w:rsidRPr="007F758B" w:rsidRDefault="009C592A" w:rsidP="009C592A">
            <w:pPr>
              <w:spacing w:line="240" w:lineRule="auto"/>
              <w:rPr>
                <w:rFonts w:ascii="Times New Roman" w:hAnsi="Times New Roman"/>
                <w:color w:val="000000"/>
                <w:spacing w:val="-2"/>
              </w:rPr>
            </w:pPr>
            <w:r>
              <w:rPr>
                <w:rFonts w:ascii="Times New Roman" w:hAnsi="Times New Roman"/>
                <w:color w:val="000000"/>
                <w:spacing w:val="-2"/>
              </w:rPr>
              <w:t xml:space="preserve">Około </w:t>
            </w:r>
            <w:r w:rsidRPr="007F758B">
              <w:rPr>
                <w:rFonts w:ascii="Times New Roman" w:hAnsi="Times New Roman"/>
                <w:color w:val="000000"/>
                <w:spacing w:val="-2"/>
              </w:rPr>
              <w:t>38 mln osób</w:t>
            </w:r>
          </w:p>
          <w:p w14:paraId="12557696" w14:textId="77777777" w:rsidR="009C592A" w:rsidRPr="00C91988" w:rsidRDefault="009C592A" w:rsidP="009C592A">
            <w:pPr>
              <w:spacing w:line="240" w:lineRule="auto"/>
              <w:rPr>
                <w:rFonts w:ascii="Times New Roman" w:hAnsi="Times New Roman"/>
                <w:color w:val="000000"/>
                <w:spacing w:val="-2"/>
                <w:highlight w:val="yellow"/>
              </w:rPr>
            </w:pPr>
          </w:p>
        </w:tc>
        <w:tc>
          <w:tcPr>
            <w:tcW w:w="2996" w:type="dxa"/>
            <w:gridSpan w:val="11"/>
            <w:shd w:val="clear" w:color="auto" w:fill="auto"/>
          </w:tcPr>
          <w:p w14:paraId="436F60A8" w14:textId="0B1654FA" w:rsidR="00D76F51" w:rsidRPr="00582F75" w:rsidRDefault="00AC4FA5" w:rsidP="00D76F51">
            <w:pPr>
              <w:spacing w:line="240" w:lineRule="auto"/>
              <w:rPr>
                <w:rFonts w:ascii="Times New Roman" w:hAnsi="Times New Roman"/>
              </w:rPr>
            </w:pPr>
            <w:r>
              <w:rPr>
                <w:rFonts w:ascii="Times New Roman" w:hAnsi="Times New Roman"/>
              </w:rPr>
              <w:t>„</w:t>
            </w:r>
            <w:r w:rsidR="00D76F51" w:rsidRPr="00582F75">
              <w:rPr>
                <w:rFonts w:ascii="Times New Roman" w:hAnsi="Times New Roman"/>
              </w:rPr>
              <w:t>Stan i struktura demograficzno-społeczna i ekonomiczna ludności Polski w świetle wyników NSP 2021”</w:t>
            </w:r>
            <w:r>
              <w:rPr>
                <w:rFonts w:ascii="Times New Roman" w:hAnsi="Times New Roman"/>
              </w:rPr>
              <w:t>,</w:t>
            </w:r>
          </w:p>
          <w:p w14:paraId="34A34962" w14:textId="2AEF5020" w:rsidR="009C592A" w:rsidRDefault="00D76F51" w:rsidP="00D76F51">
            <w:pPr>
              <w:spacing w:line="240" w:lineRule="auto"/>
            </w:pPr>
            <w:r w:rsidRPr="00582F75">
              <w:t>(</w:t>
            </w:r>
            <w:hyperlink r:id="rId15" w:history="1">
              <w:r w:rsidRPr="00582F75">
                <w:rPr>
                  <w:rStyle w:val="Hipercze"/>
                  <w:rFonts w:ascii="Times New Roman" w:hAnsi="Times New Roman"/>
                  <w:color w:val="auto"/>
                </w:rPr>
                <w:t xml:space="preserve">Główny Urząd Statystyczny / Spisy Powszechne / NSP 2021 / NSP 2021 </w:t>
              </w:r>
              <w:r>
                <w:rPr>
                  <w:rStyle w:val="Hipercze"/>
                  <w:rFonts w:ascii="Times New Roman" w:hAnsi="Times New Roman"/>
                  <w:color w:val="auto"/>
                </w:rPr>
                <w:t xml:space="preserve">– </w:t>
              </w:r>
              <w:r w:rsidRPr="00582F75">
                <w:rPr>
                  <w:rStyle w:val="Hipercze"/>
                  <w:rFonts w:ascii="Times New Roman" w:hAnsi="Times New Roman"/>
                  <w:color w:val="auto"/>
                </w:rPr>
                <w:t>wyniki ostateczne / Stan i struktura demograficzno-społeczna i ekonomiczna ludności Polski w świetle wyników NSP 2021</w:t>
              </w:r>
            </w:hyperlink>
            <w:r>
              <w:rPr>
                <w:rStyle w:val="Hipercze"/>
                <w:rFonts w:ascii="Times New Roman" w:hAnsi="Times New Roman"/>
                <w:color w:val="auto"/>
              </w:rPr>
              <w:t>)</w:t>
            </w:r>
          </w:p>
        </w:tc>
        <w:tc>
          <w:tcPr>
            <w:tcW w:w="2981" w:type="dxa"/>
            <w:gridSpan w:val="6"/>
            <w:shd w:val="clear" w:color="auto" w:fill="auto"/>
          </w:tcPr>
          <w:p w14:paraId="7742FEC7" w14:textId="75BF547C" w:rsidR="00AC4FA5" w:rsidRPr="005B5DE3" w:rsidRDefault="00D76F51" w:rsidP="005B5DE3">
            <w:pPr>
              <w:spacing w:line="240" w:lineRule="auto"/>
              <w:rPr>
                <w:rFonts w:ascii="Times New Roman" w:hAnsi="Times New Roman"/>
              </w:rPr>
            </w:pPr>
            <w:r w:rsidRPr="007F758B">
              <w:rPr>
                <w:rFonts w:ascii="Times New Roman" w:hAnsi="Times New Roman"/>
              </w:rPr>
              <w:t xml:space="preserve">Stosowanie identyfikatorów rejestru </w:t>
            </w:r>
            <w:r>
              <w:rPr>
                <w:rFonts w:ascii="Times New Roman" w:hAnsi="Times New Roman"/>
              </w:rPr>
              <w:t>TERYT</w:t>
            </w:r>
            <w:r w:rsidRPr="007F758B">
              <w:rPr>
                <w:rFonts w:ascii="Times New Roman" w:hAnsi="Times New Roman"/>
              </w:rPr>
              <w:t xml:space="preserve"> i ich aktualizacja przy jednoczesnym zapewnieniu mechanizmów prawnych pozwalających na dokonywanie w rejestrach </w:t>
            </w:r>
            <w:r>
              <w:rPr>
                <w:rFonts w:ascii="Times New Roman" w:hAnsi="Times New Roman"/>
              </w:rPr>
              <w:t xml:space="preserve">urzędowych </w:t>
            </w:r>
            <w:r w:rsidRPr="007F758B">
              <w:rPr>
                <w:rFonts w:ascii="Times New Roman" w:hAnsi="Times New Roman"/>
              </w:rPr>
              <w:t xml:space="preserve">aktualizacji danych adresowych </w:t>
            </w:r>
            <w:r w:rsidRPr="007F758B">
              <w:rPr>
                <w:rFonts w:ascii="Times New Roman" w:hAnsi="Times New Roman"/>
                <w:color w:val="000000"/>
                <w:spacing w:val="-2"/>
              </w:rPr>
              <w:t>w sposób automatyczny</w:t>
            </w:r>
            <w:r>
              <w:rPr>
                <w:rFonts w:ascii="Times New Roman" w:hAnsi="Times New Roman"/>
                <w:color w:val="000000"/>
                <w:spacing w:val="-2"/>
              </w:rPr>
              <w:t xml:space="preserve"> </w:t>
            </w:r>
            <w:r w:rsidRPr="007F758B">
              <w:rPr>
                <w:rFonts w:ascii="Times New Roman" w:hAnsi="Times New Roman"/>
              </w:rPr>
              <w:t xml:space="preserve">zwalnia obywateli z konieczności indywidualnej aktualizacji rejestrów w przypadku </w:t>
            </w:r>
            <w:r>
              <w:rPr>
                <w:rFonts w:ascii="Times New Roman" w:hAnsi="Times New Roman"/>
              </w:rPr>
              <w:t xml:space="preserve">wprowadzenia </w:t>
            </w:r>
            <w:r w:rsidRPr="007F758B">
              <w:rPr>
                <w:rFonts w:ascii="Times New Roman" w:hAnsi="Times New Roman"/>
              </w:rPr>
              <w:t>niezależnych od nich zmian adresu</w:t>
            </w:r>
            <w:r>
              <w:rPr>
                <w:rFonts w:ascii="Times New Roman" w:hAnsi="Times New Roman"/>
              </w:rPr>
              <w:t xml:space="preserve">, </w:t>
            </w:r>
            <w:r w:rsidRPr="007F758B">
              <w:rPr>
                <w:rFonts w:ascii="Times New Roman" w:hAnsi="Times New Roman"/>
              </w:rPr>
              <w:t>wynikających ze zmian w podziale terytorialnym oraz nazewnictwie miejscowości i ulic.</w:t>
            </w:r>
          </w:p>
        </w:tc>
      </w:tr>
      <w:bookmarkEnd w:id="17"/>
      <w:tr w:rsidR="00B040FC" w:rsidRPr="008B4FE6" w14:paraId="5D05F2E7" w14:textId="77777777" w:rsidTr="00AC17BB">
        <w:trPr>
          <w:gridAfter w:val="1"/>
          <w:wAfter w:w="10" w:type="dxa"/>
          <w:trHeight w:val="142"/>
        </w:trPr>
        <w:tc>
          <w:tcPr>
            <w:tcW w:w="2668" w:type="dxa"/>
            <w:gridSpan w:val="4"/>
            <w:shd w:val="clear" w:color="auto" w:fill="auto"/>
          </w:tcPr>
          <w:p w14:paraId="62AF05E6" w14:textId="7E274274" w:rsidR="00B040FC" w:rsidRPr="008B4FE6"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Podmioty gospodarki narodowej, prowadzące działalność objętą podklasą PKD 93.29.Z, zarejestrowane w Krajowym Rejestrze Urzędowym Podmiotów Gospodarki Narodowej – REGON.</w:t>
            </w:r>
          </w:p>
        </w:tc>
        <w:tc>
          <w:tcPr>
            <w:tcW w:w="2292" w:type="dxa"/>
            <w:gridSpan w:val="8"/>
            <w:shd w:val="clear" w:color="auto" w:fill="auto"/>
          </w:tcPr>
          <w:p w14:paraId="4F393408" w14:textId="12E06A6F" w:rsidR="00B040FC" w:rsidRPr="00396299" w:rsidRDefault="007F2646" w:rsidP="00396299">
            <w:pPr>
              <w:spacing w:line="240" w:lineRule="auto"/>
              <w:rPr>
                <w:rFonts w:ascii="Times New Roman" w:hAnsi="Times New Roman"/>
                <w:color w:val="000000"/>
                <w:spacing w:val="-2"/>
              </w:rPr>
            </w:pPr>
            <w:r>
              <w:rPr>
                <w:rFonts w:ascii="Times New Roman" w:hAnsi="Times New Roman"/>
                <w:color w:val="000000"/>
                <w:spacing w:val="-2"/>
              </w:rPr>
              <w:t xml:space="preserve">50 003 </w:t>
            </w:r>
            <w:r w:rsidRPr="007F758B">
              <w:rPr>
                <w:rFonts w:ascii="Times New Roman" w:hAnsi="Times New Roman"/>
                <w:color w:val="000000"/>
                <w:spacing w:val="-2"/>
              </w:rPr>
              <w:t>podmiotów zarejestrowanych</w:t>
            </w:r>
            <w:r>
              <w:rPr>
                <w:rFonts w:ascii="Times New Roman" w:hAnsi="Times New Roman"/>
                <w:color w:val="000000"/>
                <w:spacing w:val="-2"/>
              </w:rPr>
              <w:t xml:space="preserve"> w rejestrze REGON (w tym za pośrednictwem CEIDG i KRS)</w:t>
            </w:r>
            <w:r w:rsidR="00396299">
              <w:rPr>
                <w:rFonts w:ascii="Times New Roman" w:hAnsi="Times New Roman"/>
                <w:color w:val="000000"/>
                <w:spacing w:val="-2"/>
              </w:rPr>
              <w:t>.</w:t>
            </w:r>
          </w:p>
        </w:tc>
        <w:tc>
          <w:tcPr>
            <w:tcW w:w="2996" w:type="dxa"/>
            <w:gridSpan w:val="11"/>
            <w:shd w:val="clear" w:color="auto" w:fill="auto"/>
          </w:tcPr>
          <w:p w14:paraId="608DF83D" w14:textId="00DCC181" w:rsidR="00B040FC" w:rsidRPr="00B37C80"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Krajowy Rejestr Urzędowy Podmiotów Gospodarki Narodowej (REGON), wg stanu na dzień </w:t>
            </w:r>
            <w:r w:rsidR="00396299">
              <w:rPr>
                <w:rFonts w:ascii="Times New Roman" w:hAnsi="Times New Roman"/>
                <w:color w:val="000000"/>
                <w:spacing w:val="-2"/>
              </w:rPr>
              <w:t>31</w:t>
            </w:r>
            <w:r w:rsidRPr="0075011B">
              <w:rPr>
                <w:rFonts w:ascii="Times New Roman" w:hAnsi="Times New Roman"/>
                <w:color w:val="000000"/>
                <w:spacing w:val="-2"/>
              </w:rPr>
              <w:t xml:space="preserve"> </w:t>
            </w:r>
            <w:r w:rsidR="00396299">
              <w:rPr>
                <w:rFonts w:ascii="Times New Roman" w:hAnsi="Times New Roman"/>
                <w:color w:val="000000"/>
                <w:spacing w:val="-2"/>
              </w:rPr>
              <w:t>sierpnia</w:t>
            </w:r>
            <w:r>
              <w:rPr>
                <w:rFonts w:ascii="Times New Roman" w:hAnsi="Times New Roman"/>
                <w:color w:val="000000"/>
                <w:spacing w:val="-2"/>
              </w:rPr>
              <w:t xml:space="preserve"> </w:t>
            </w:r>
            <w:r w:rsidRPr="00626E1E">
              <w:rPr>
                <w:rFonts w:ascii="Times New Roman" w:hAnsi="Times New Roman"/>
                <w:color w:val="000000"/>
                <w:spacing w:val="-2"/>
              </w:rPr>
              <w:t>202</w:t>
            </w:r>
            <w:r>
              <w:rPr>
                <w:rFonts w:ascii="Times New Roman" w:hAnsi="Times New Roman"/>
                <w:color w:val="000000"/>
                <w:spacing w:val="-2"/>
              </w:rPr>
              <w:t>4</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50BE9E31" w14:textId="30C80BCB" w:rsidR="00B040FC" w:rsidRDefault="00B040FC" w:rsidP="00B040FC">
            <w:pPr>
              <w:spacing w:line="240" w:lineRule="auto"/>
              <w:rPr>
                <w:rFonts w:ascii="Times New Roman" w:hAnsi="Times New Roman"/>
                <w:color w:val="000000"/>
                <w:spacing w:val="-2"/>
              </w:rPr>
            </w:pPr>
            <w:r w:rsidRPr="00305551">
              <w:rPr>
                <w:rFonts w:ascii="Times New Roman" w:hAnsi="Times New Roman"/>
                <w:color w:val="000000"/>
                <w:spacing w:val="-2"/>
              </w:rPr>
              <w:t xml:space="preserve">Wprowadzone zmiany będą miały wpływ na podmioty </w:t>
            </w:r>
            <w:r w:rsidRPr="00305551">
              <w:rPr>
                <w:rFonts w:ascii="Times New Roman" w:hAnsi="Times New Roman"/>
                <w:color w:val="000000"/>
                <w:spacing w:val="-2"/>
              </w:rPr>
              <w:br/>
              <w:t xml:space="preserve">gospodarki narodowej, których przeważający lub </w:t>
            </w:r>
            <w:r w:rsidR="007F2646">
              <w:rPr>
                <w:rFonts w:ascii="Times New Roman" w:hAnsi="Times New Roman"/>
                <w:color w:val="000000"/>
                <w:spacing w:val="-2"/>
              </w:rPr>
              <w:t>pozostały</w:t>
            </w:r>
            <w:r w:rsidRPr="00305551">
              <w:rPr>
                <w:rFonts w:ascii="Times New Roman" w:hAnsi="Times New Roman"/>
                <w:color w:val="000000"/>
                <w:spacing w:val="-2"/>
              </w:rPr>
              <w:t xml:space="preserve"> rodzaj działalności</w:t>
            </w:r>
            <w:r w:rsidR="007F2646">
              <w:rPr>
                <w:rFonts w:ascii="Times New Roman" w:hAnsi="Times New Roman"/>
                <w:color w:val="000000"/>
                <w:spacing w:val="-2"/>
              </w:rPr>
              <w:t xml:space="preserve"> </w:t>
            </w:r>
            <w:r w:rsidRPr="00305551">
              <w:rPr>
                <w:rFonts w:ascii="Times New Roman" w:hAnsi="Times New Roman"/>
                <w:color w:val="000000"/>
                <w:spacing w:val="-2"/>
              </w:rPr>
              <w:t>mieści się w zakresie klasy PKD 93.29, dotychczasowej podklasie 93.29.Z.</w:t>
            </w:r>
          </w:p>
          <w:p w14:paraId="41791420" w14:textId="05792EC9" w:rsidR="007F2646" w:rsidRPr="00B37C80" w:rsidRDefault="007F2646" w:rsidP="00B040FC">
            <w:pPr>
              <w:spacing w:line="240" w:lineRule="auto"/>
              <w:rPr>
                <w:rFonts w:ascii="Times New Roman" w:hAnsi="Times New Roman"/>
                <w:color w:val="000000"/>
                <w:spacing w:val="-2"/>
              </w:rPr>
            </w:pPr>
          </w:p>
        </w:tc>
      </w:tr>
      <w:tr w:rsidR="00B040FC" w:rsidRPr="008B4FE6" w14:paraId="42211854" w14:textId="77777777" w:rsidTr="00AC17BB">
        <w:trPr>
          <w:gridAfter w:val="1"/>
          <w:wAfter w:w="10" w:type="dxa"/>
          <w:trHeight w:val="142"/>
        </w:trPr>
        <w:tc>
          <w:tcPr>
            <w:tcW w:w="2668" w:type="dxa"/>
            <w:gridSpan w:val="4"/>
            <w:shd w:val="clear" w:color="auto" w:fill="auto"/>
          </w:tcPr>
          <w:p w14:paraId="48447B9B" w14:textId="77777777"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Krajowy Rejestr Sądowy</w:t>
            </w:r>
          </w:p>
        </w:tc>
        <w:tc>
          <w:tcPr>
            <w:tcW w:w="2292" w:type="dxa"/>
            <w:gridSpan w:val="8"/>
            <w:shd w:val="clear" w:color="auto" w:fill="auto"/>
          </w:tcPr>
          <w:p w14:paraId="0646D489"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w:t>
            </w:r>
          </w:p>
        </w:tc>
        <w:tc>
          <w:tcPr>
            <w:tcW w:w="2996" w:type="dxa"/>
            <w:gridSpan w:val="11"/>
            <w:shd w:val="clear" w:color="auto" w:fill="auto"/>
          </w:tcPr>
          <w:p w14:paraId="66543C79"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vMerge w:val="restart"/>
            <w:shd w:val="clear" w:color="auto" w:fill="auto"/>
          </w:tcPr>
          <w:p w14:paraId="48A0CA58" w14:textId="676E2F68" w:rsidR="00B040FC" w:rsidRPr="002123E8" w:rsidRDefault="00B040FC" w:rsidP="00B040FC">
            <w:pPr>
              <w:pStyle w:val="Akapitzlist"/>
              <w:numPr>
                <w:ilvl w:val="0"/>
                <w:numId w:val="25"/>
              </w:numPr>
              <w:spacing w:line="240" w:lineRule="auto"/>
              <w:rPr>
                <w:rFonts w:ascii="Times New Roman" w:hAnsi="Times New Roman"/>
                <w:color w:val="000000"/>
                <w:spacing w:val="-2"/>
              </w:rPr>
            </w:pPr>
            <w:r w:rsidRPr="002123E8">
              <w:rPr>
                <w:rFonts w:ascii="Times New Roman" w:hAnsi="Times New Roman"/>
                <w:color w:val="000000"/>
                <w:spacing w:val="-2"/>
              </w:rPr>
              <w:t>Częściowe zautomatyzowanie aktualizacji danych dotyczących przedmiotu działalności w Krajowym Rejestrze Sądowym</w:t>
            </w:r>
            <w:r w:rsidR="007F2646">
              <w:rPr>
                <w:rFonts w:ascii="Times New Roman" w:hAnsi="Times New Roman"/>
                <w:color w:val="000000"/>
                <w:spacing w:val="-2"/>
              </w:rPr>
              <w:t xml:space="preserve">, co </w:t>
            </w:r>
            <w:r w:rsidR="007F2646">
              <w:rPr>
                <w:rFonts w:ascii="Times New Roman" w:hAnsi="Times New Roman"/>
                <w:color w:val="000000"/>
                <w:spacing w:val="-2"/>
              </w:rPr>
              <w:lastRenderedPageBreak/>
              <w:t xml:space="preserve">usprawni i przyspieszy aktualizację </w:t>
            </w:r>
            <w:r w:rsidR="007F2646" w:rsidRPr="002123E8">
              <w:rPr>
                <w:rFonts w:ascii="Times New Roman" w:hAnsi="Times New Roman"/>
                <w:color w:val="000000"/>
                <w:spacing w:val="-2"/>
              </w:rPr>
              <w:t>w Krajowym Rejestrze Sądowym</w:t>
            </w:r>
            <w:r w:rsidR="007F2646">
              <w:rPr>
                <w:rFonts w:ascii="Times New Roman" w:hAnsi="Times New Roman"/>
                <w:color w:val="000000"/>
                <w:spacing w:val="-2"/>
              </w:rPr>
              <w:t xml:space="preserve"> danych dotyczących przedmiotu działalności danego podmiotu.</w:t>
            </w:r>
          </w:p>
          <w:p w14:paraId="5B7F6A62" w14:textId="0DFA8564" w:rsidR="007F2646" w:rsidRPr="007F2646" w:rsidRDefault="00B040FC" w:rsidP="007F2646">
            <w:pPr>
              <w:pStyle w:val="Akapitzlist"/>
              <w:numPr>
                <w:ilvl w:val="0"/>
                <w:numId w:val="25"/>
              </w:numPr>
              <w:spacing w:line="240" w:lineRule="auto"/>
              <w:rPr>
                <w:rFonts w:ascii="Times New Roman" w:hAnsi="Times New Roman"/>
                <w:color w:val="000000"/>
                <w:spacing w:val="-2"/>
              </w:rPr>
            </w:pPr>
            <w:r w:rsidRPr="002123E8">
              <w:rPr>
                <w:rFonts w:ascii="Times New Roman" w:hAnsi="Times New Roman"/>
                <w:color w:val="000000"/>
                <w:spacing w:val="-2"/>
              </w:rPr>
              <w:t>Zmniejszenie liczby spraw w sądach rejestrowych.</w:t>
            </w:r>
          </w:p>
        </w:tc>
      </w:tr>
      <w:tr w:rsidR="00B040FC" w:rsidRPr="008B4FE6" w14:paraId="76DD7C86" w14:textId="77777777" w:rsidTr="00AC17BB">
        <w:trPr>
          <w:gridAfter w:val="1"/>
          <w:wAfter w:w="10" w:type="dxa"/>
          <w:trHeight w:val="142"/>
        </w:trPr>
        <w:tc>
          <w:tcPr>
            <w:tcW w:w="2668" w:type="dxa"/>
            <w:gridSpan w:val="4"/>
            <w:shd w:val="clear" w:color="auto" w:fill="auto"/>
          </w:tcPr>
          <w:p w14:paraId="0AAF297B" w14:textId="77777777" w:rsidR="00B040FC" w:rsidRPr="00305551" w:rsidRDefault="00B040FC" w:rsidP="00B040FC">
            <w:pPr>
              <w:spacing w:line="240" w:lineRule="auto"/>
              <w:rPr>
                <w:rFonts w:ascii="Times New Roman" w:hAnsi="Times New Roman"/>
                <w:color w:val="000000"/>
                <w:spacing w:val="-2"/>
              </w:rPr>
            </w:pPr>
            <w:r w:rsidRPr="00366F74">
              <w:rPr>
                <w:rFonts w:ascii="Times New Roman" w:hAnsi="Times New Roman"/>
              </w:rPr>
              <w:t>Wydziały gospodarcze sądów rejonowych odpowiadających za rejestrację w KRS</w:t>
            </w:r>
          </w:p>
        </w:tc>
        <w:tc>
          <w:tcPr>
            <w:tcW w:w="2292" w:type="dxa"/>
            <w:gridSpan w:val="8"/>
            <w:shd w:val="clear" w:color="auto" w:fill="auto"/>
          </w:tcPr>
          <w:p w14:paraId="7CD71ACA" w14:textId="19117D03" w:rsidR="00B040FC" w:rsidRDefault="00B040FC" w:rsidP="00B040FC">
            <w:pPr>
              <w:spacing w:line="240" w:lineRule="auto"/>
              <w:rPr>
                <w:rFonts w:ascii="Times New Roman" w:hAnsi="Times New Roman"/>
                <w:color w:val="000000"/>
                <w:spacing w:val="-2"/>
              </w:rPr>
            </w:pPr>
            <w:r w:rsidRPr="00366F74">
              <w:rPr>
                <w:rFonts w:ascii="Times New Roman" w:hAnsi="Times New Roman"/>
              </w:rPr>
              <w:t>27 wydziałów</w:t>
            </w:r>
          </w:p>
        </w:tc>
        <w:tc>
          <w:tcPr>
            <w:tcW w:w="2996" w:type="dxa"/>
            <w:gridSpan w:val="11"/>
            <w:shd w:val="clear" w:color="auto" w:fill="auto"/>
          </w:tcPr>
          <w:p w14:paraId="632B9FAE"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Ministerstwo Sprawiedliwości </w:t>
            </w:r>
          </w:p>
        </w:tc>
        <w:tc>
          <w:tcPr>
            <w:tcW w:w="2981" w:type="dxa"/>
            <w:gridSpan w:val="6"/>
            <w:vMerge/>
            <w:shd w:val="clear" w:color="auto" w:fill="auto"/>
          </w:tcPr>
          <w:p w14:paraId="1B99D06C" w14:textId="77777777" w:rsidR="00B040FC" w:rsidRPr="00305551" w:rsidRDefault="00B040FC" w:rsidP="00B040FC">
            <w:pPr>
              <w:spacing w:line="240" w:lineRule="auto"/>
              <w:rPr>
                <w:rFonts w:ascii="Times New Roman" w:hAnsi="Times New Roman"/>
                <w:color w:val="000000"/>
                <w:spacing w:val="-2"/>
              </w:rPr>
            </w:pPr>
          </w:p>
        </w:tc>
      </w:tr>
      <w:tr w:rsidR="00B040FC" w:rsidRPr="008B4FE6" w14:paraId="30B272D9" w14:textId="77777777" w:rsidTr="00AC17BB">
        <w:trPr>
          <w:gridAfter w:val="1"/>
          <w:wAfter w:w="10" w:type="dxa"/>
          <w:trHeight w:val="142"/>
        </w:trPr>
        <w:tc>
          <w:tcPr>
            <w:tcW w:w="2668" w:type="dxa"/>
            <w:gridSpan w:val="4"/>
            <w:shd w:val="clear" w:color="auto" w:fill="auto"/>
          </w:tcPr>
          <w:p w14:paraId="29FF10D9" w14:textId="7A09E919" w:rsidR="00B040FC" w:rsidRPr="00305551" w:rsidRDefault="00B040FC" w:rsidP="00B040FC">
            <w:pPr>
              <w:spacing w:line="240" w:lineRule="auto"/>
              <w:rPr>
                <w:rFonts w:ascii="Times New Roman" w:hAnsi="Times New Roman"/>
                <w:color w:val="000000"/>
                <w:spacing w:val="-2"/>
              </w:rPr>
            </w:pPr>
            <w:r>
              <w:rPr>
                <w:rFonts w:ascii="Times New Roman" w:hAnsi="Times New Roman"/>
                <w:color w:val="000000"/>
                <w:spacing w:val="-2"/>
              </w:rPr>
              <w:t>Przedsiębiorcy – podmioty wpisane do KRS</w:t>
            </w:r>
          </w:p>
        </w:tc>
        <w:tc>
          <w:tcPr>
            <w:tcW w:w="2292" w:type="dxa"/>
            <w:gridSpan w:val="8"/>
            <w:shd w:val="clear" w:color="auto" w:fill="auto"/>
          </w:tcPr>
          <w:p w14:paraId="6E309396" w14:textId="62BFF606" w:rsidR="00B040FC" w:rsidRDefault="00396299" w:rsidP="00B040FC">
            <w:pPr>
              <w:spacing w:line="240" w:lineRule="auto"/>
              <w:rPr>
                <w:rFonts w:ascii="Times New Roman" w:hAnsi="Times New Roman"/>
                <w:color w:val="000000"/>
                <w:spacing w:val="-2"/>
              </w:rPr>
            </w:pPr>
            <w:r>
              <w:rPr>
                <w:rFonts w:ascii="Times New Roman" w:hAnsi="Times New Roman"/>
                <w:color w:val="000000"/>
                <w:spacing w:val="-2"/>
              </w:rPr>
              <w:t>712</w:t>
            </w:r>
            <w:r w:rsidR="00C8640B">
              <w:rPr>
                <w:rFonts w:ascii="Times New Roman" w:hAnsi="Times New Roman"/>
                <w:color w:val="000000"/>
                <w:spacing w:val="-2"/>
              </w:rPr>
              <w:t xml:space="preserve"> </w:t>
            </w:r>
            <w:r>
              <w:rPr>
                <w:rFonts w:ascii="Times New Roman" w:hAnsi="Times New Roman"/>
                <w:color w:val="000000"/>
                <w:spacing w:val="-2"/>
              </w:rPr>
              <w:t>211</w:t>
            </w:r>
          </w:p>
        </w:tc>
        <w:tc>
          <w:tcPr>
            <w:tcW w:w="2996" w:type="dxa"/>
            <w:gridSpan w:val="11"/>
            <w:shd w:val="clear" w:color="auto" w:fill="auto"/>
          </w:tcPr>
          <w:p w14:paraId="45F15C85" w14:textId="054E51CC" w:rsidR="00B040FC" w:rsidRDefault="00C8640B" w:rsidP="00B040FC">
            <w:pPr>
              <w:spacing w:line="240" w:lineRule="auto"/>
              <w:rPr>
                <w:rFonts w:ascii="Times New Roman" w:hAnsi="Times New Roman"/>
                <w:color w:val="000000"/>
                <w:spacing w:val="-2"/>
              </w:rPr>
            </w:pPr>
            <w:r>
              <w:rPr>
                <w:rFonts w:ascii="Times New Roman" w:hAnsi="Times New Roman"/>
                <w:color w:val="000000"/>
                <w:spacing w:val="-2"/>
              </w:rPr>
              <w:t xml:space="preserve">Liczba podmiotów na koniec </w:t>
            </w:r>
            <w:r w:rsidR="00396299">
              <w:rPr>
                <w:rFonts w:ascii="Times New Roman" w:hAnsi="Times New Roman"/>
                <w:color w:val="000000"/>
                <w:spacing w:val="-2"/>
              </w:rPr>
              <w:t>lipca</w:t>
            </w:r>
            <w:bookmarkStart w:id="18" w:name="_GoBack"/>
            <w:bookmarkEnd w:id="18"/>
            <w:r>
              <w:rPr>
                <w:rFonts w:ascii="Times New Roman" w:hAnsi="Times New Roman"/>
                <w:color w:val="000000"/>
                <w:spacing w:val="-2"/>
              </w:rPr>
              <w:t xml:space="preserve"> 2024 r., na podstawie: „Sprawozdanie o stanie Krajowego Rejestru Sądowego”</w:t>
            </w:r>
          </w:p>
        </w:tc>
        <w:tc>
          <w:tcPr>
            <w:tcW w:w="2981" w:type="dxa"/>
            <w:gridSpan w:val="6"/>
            <w:shd w:val="clear" w:color="auto" w:fill="auto"/>
          </w:tcPr>
          <w:p w14:paraId="79864E38" w14:textId="162F5791" w:rsidR="00C8640B" w:rsidRPr="003E7DAA" w:rsidRDefault="00C8640B" w:rsidP="00C8640B">
            <w:pPr>
              <w:pStyle w:val="Akapitzlist"/>
              <w:numPr>
                <w:ilvl w:val="0"/>
                <w:numId w:val="26"/>
              </w:numPr>
              <w:spacing w:line="240" w:lineRule="auto"/>
              <w:rPr>
                <w:rFonts w:ascii="Times New Roman" w:hAnsi="Times New Roman"/>
                <w:color w:val="000000"/>
                <w:spacing w:val="-2"/>
              </w:rPr>
            </w:pPr>
            <w:r w:rsidRPr="003E7DAA">
              <w:rPr>
                <w:rFonts w:ascii="Times New Roman" w:hAnsi="Times New Roman"/>
                <w:color w:val="000000"/>
                <w:spacing w:val="-2"/>
              </w:rPr>
              <w:t>Częściowe zautomatyzowanie aktualizacji danych dotyczących przedmiotu działalności w Krajowym Rejestrze Sądowym</w:t>
            </w:r>
            <w:r>
              <w:rPr>
                <w:rFonts w:ascii="Times New Roman" w:hAnsi="Times New Roman"/>
                <w:color w:val="000000"/>
                <w:spacing w:val="-2"/>
              </w:rPr>
              <w:t>, co usprawni i przyspieszy</w:t>
            </w:r>
            <w:r w:rsidRPr="003E7DAA">
              <w:rPr>
                <w:rFonts w:ascii="Times New Roman" w:hAnsi="Times New Roman"/>
                <w:color w:val="000000"/>
                <w:spacing w:val="-2"/>
              </w:rPr>
              <w:t xml:space="preserve"> aktualizację w Krajowym Rejestrze Sądowym danych dotyczących przedmiotu działalności danego podmiotu</w:t>
            </w:r>
            <w:r>
              <w:rPr>
                <w:rFonts w:ascii="Times New Roman" w:hAnsi="Times New Roman"/>
                <w:color w:val="000000"/>
                <w:spacing w:val="-2"/>
              </w:rPr>
              <w:t>.</w:t>
            </w:r>
          </w:p>
          <w:p w14:paraId="7773CDFE" w14:textId="5D9882C2" w:rsidR="00C8640B" w:rsidRPr="00C8640B" w:rsidRDefault="00C8640B" w:rsidP="00C8640B">
            <w:pPr>
              <w:pStyle w:val="Akapitzlist"/>
              <w:numPr>
                <w:ilvl w:val="0"/>
                <w:numId w:val="26"/>
              </w:numPr>
              <w:spacing w:line="240" w:lineRule="auto"/>
              <w:rPr>
                <w:rFonts w:ascii="Times New Roman" w:hAnsi="Times New Roman"/>
                <w:color w:val="000000"/>
                <w:spacing w:val="-2"/>
              </w:rPr>
            </w:pPr>
            <w:r>
              <w:rPr>
                <w:rFonts w:ascii="Times New Roman" w:hAnsi="Times New Roman"/>
                <w:color w:val="000000"/>
                <w:spacing w:val="-2"/>
              </w:rPr>
              <w:t xml:space="preserve">Obowiązek </w:t>
            </w:r>
            <w:r w:rsidRPr="003E7DAA">
              <w:rPr>
                <w:rFonts w:ascii="Times New Roman" w:hAnsi="Times New Roman"/>
                <w:color w:val="000000"/>
                <w:spacing w:val="-2"/>
              </w:rPr>
              <w:t>złożeni</w:t>
            </w:r>
            <w:r>
              <w:rPr>
                <w:rFonts w:ascii="Times New Roman" w:hAnsi="Times New Roman"/>
                <w:color w:val="000000"/>
                <w:spacing w:val="-2"/>
              </w:rPr>
              <w:t xml:space="preserve">a </w:t>
            </w:r>
            <w:r w:rsidRPr="003E7DAA">
              <w:rPr>
                <w:rFonts w:ascii="Times New Roman" w:hAnsi="Times New Roman"/>
                <w:color w:val="000000"/>
                <w:spacing w:val="-2"/>
              </w:rPr>
              <w:t>wniosku do sądu rejestrowego w celu aktualizacji kodu i opisu przedmiotu działalności</w:t>
            </w:r>
            <w:r>
              <w:rPr>
                <w:rFonts w:ascii="Times New Roman" w:hAnsi="Times New Roman"/>
                <w:color w:val="000000"/>
                <w:spacing w:val="-2"/>
              </w:rPr>
              <w:t xml:space="preserve"> </w:t>
            </w:r>
            <w:r w:rsidRPr="003E7DAA">
              <w:rPr>
                <w:rFonts w:ascii="Times New Roman" w:hAnsi="Times New Roman"/>
                <w:color w:val="000000"/>
                <w:spacing w:val="-2"/>
              </w:rPr>
              <w:t>w przypadku, gdy zmiana klasyfikacji spowoduje wykreślenie z Krajowego Rejestru Sądowego przedmiotu przeważającej działalności podmiotu.</w:t>
            </w:r>
          </w:p>
        </w:tc>
      </w:tr>
      <w:tr w:rsidR="00B040FC" w:rsidRPr="008B4FE6" w14:paraId="0B148BE3" w14:textId="77777777" w:rsidTr="00AC17BB">
        <w:trPr>
          <w:gridAfter w:val="1"/>
          <w:wAfter w:w="10" w:type="dxa"/>
          <w:trHeight w:val="142"/>
        </w:trPr>
        <w:tc>
          <w:tcPr>
            <w:tcW w:w="2668" w:type="dxa"/>
            <w:gridSpan w:val="4"/>
            <w:shd w:val="clear" w:color="auto" w:fill="auto"/>
          </w:tcPr>
          <w:p w14:paraId="39C76213" w14:textId="54C01EC4"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Posłowie, senatorowie, posłowie do Parlamentu Europejskiego</w:t>
            </w:r>
          </w:p>
        </w:tc>
        <w:tc>
          <w:tcPr>
            <w:tcW w:w="2292" w:type="dxa"/>
            <w:gridSpan w:val="8"/>
            <w:shd w:val="clear" w:color="auto" w:fill="auto"/>
          </w:tcPr>
          <w:p w14:paraId="32FE271F" w14:textId="4EF6951C"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460 posłów,</w:t>
            </w:r>
          </w:p>
          <w:p w14:paraId="561F7743"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100 senatorów,</w:t>
            </w:r>
          </w:p>
          <w:p w14:paraId="310A52D0" w14:textId="0BEAD17C"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52 posłów do Parlamentu Europejskiego</w:t>
            </w:r>
          </w:p>
        </w:tc>
        <w:tc>
          <w:tcPr>
            <w:tcW w:w="2996" w:type="dxa"/>
            <w:gridSpan w:val="11"/>
            <w:shd w:val="clear" w:color="auto" w:fill="auto"/>
          </w:tcPr>
          <w:p w14:paraId="7417BC38" w14:textId="3B22E5AA"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Informacja ogólnodostępna</w:t>
            </w:r>
          </w:p>
        </w:tc>
        <w:tc>
          <w:tcPr>
            <w:tcW w:w="2981" w:type="dxa"/>
            <w:gridSpan w:val="6"/>
            <w:shd w:val="clear" w:color="auto" w:fill="auto"/>
          </w:tcPr>
          <w:p w14:paraId="30CE4347"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 xml:space="preserve">Obowiązek zgłoszenia wpisu do rejestru REGON w kategorii obejmującej inne osoby fizyczne prowadzące działalność na własny rachunek – w związku z prowadzeniem </w:t>
            </w:r>
          </w:p>
          <w:p w14:paraId="4D9C9532" w14:textId="73F7D83A" w:rsidR="00B040FC" w:rsidRDefault="00B040FC" w:rsidP="00B040FC">
            <w:pPr>
              <w:spacing w:line="240" w:lineRule="auto"/>
              <w:rPr>
                <w:rFonts w:ascii="Times New Roman" w:hAnsi="Times New Roman"/>
                <w:color w:val="000000"/>
                <w:spacing w:val="-2"/>
              </w:rPr>
            </w:pPr>
            <w:r>
              <w:rPr>
                <w:rFonts w:ascii="Times New Roman" w:hAnsi="Times New Roman"/>
                <w:color w:val="000000"/>
                <w:spacing w:val="-2"/>
              </w:rPr>
              <w:t>biura poselskiego, biura senatorskiego, biura posła do Parlamentu Europejskiego.</w:t>
            </w:r>
          </w:p>
        </w:tc>
      </w:tr>
      <w:tr w:rsidR="00CE6289" w:rsidRPr="008B4FE6" w14:paraId="5D84A959" w14:textId="77777777" w:rsidTr="00AC17BB">
        <w:trPr>
          <w:gridAfter w:val="1"/>
          <w:wAfter w:w="10" w:type="dxa"/>
          <w:trHeight w:val="142"/>
        </w:trPr>
        <w:tc>
          <w:tcPr>
            <w:tcW w:w="2668" w:type="dxa"/>
            <w:gridSpan w:val="4"/>
            <w:shd w:val="clear" w:color="auto" w:fill="auto"/>
          </w:tcPr>
          <w:p w14:paraId="6B97CBEE" w14:textId="4D3D64D1" w:rsidR="00CE6289" w:rsidRDefault="00CE6289" w:rsidP="00B040FC">
            <w:pPr>
              <w:spacing w:line="240" w:lineRule="auto"/>
              <w:rPr>
                <w:rFonts w:ascii="Times New Roman" w:hAnsi="Times New Roman"/>
                <w:color w:val="000000"/>
                <w:spacing w:val="-2"/>
              </w:rPr>
            </w:pPr>
            <w:bookmarkStart w:id="19" w:name="_Hlk176945851"/>
            <w:r>
              <w:rPr>
                <w:rFonts w:ascii="Times New Roman" w:hAnsi="Times New Roman"/>
                <w:color w:val="000000"/>
                <w:spacing w:val="-2"/>
              </w:rPr>
              <w:t>Osoby fizyczne prowadzące indywidualne gospodarstwa rolne lub działalności polegające na produkcji wyrobów lub świadczeniu usług na własne potrzeby</w:t>
            </w:r>
          </w:p>
        </w:tc>
        <w:tc>
          <w:tcPr>
            <w:tcW w:w="2292" w:type="dxa"/>
            <w:gridSpan w:val="8"/>
            <w:shd w:val="clear" w:color="auto" w:fill="auto"/>
          </w:tcPr>
          <w:p w14:paraId="3977477F" w14:textId="7E0B1F0E"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Liczba trudna do oszacowania – do rejestru REGON wpisanych jest 1,86 mln indywidualnych gospodarstw rolnych</w:t>
            </w:r>
            <w:r w:rsidR="007E536D">
              <w:rPr>
                <w:rFonts w:ascii="Times New Roman" w:hAnsi="Times New Roman"/>
                <w:color w:val="000000"/>
                <w:spacing w:val="-2"/>
              </w:rPr>
              <w:t>.</w:t>
            </w:r>
          </w:p>
        </w:tc>
        <w:tc>
          <w:tcPr>
            <w:tcW w:w="2996" w:type="dxa"/>
            <w:gridSpan w:val="11"/>
            <w:shd w:val="clear" w:color="auto" w:fill="auto"/>
          </w:tcPr>
          <w:p w14:paraId="2FFEAB7A" w14:textId="4F59CB64"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Krajowy Rejestr Urzędowy Podmiotów Gospodarki Narodowej (REGON), wg stanu na dzień 31</w:t>
            </w:r>
            <w:r w:rsidRPr="0075011B">
              <w:rPr>
                <w:rFonts w:ascii="Times New Roman" w:hAnsi="Times New Roman"/>
                <w:color w:val="000000"/>
                <w:spacing w:val="-2"/>
              </w:rPr>
              <w:t xml:space="preserve"> </w:t>
            </w:r>
            <w:r>
              <w:rPr>
                <w:rFonts w:ascii="Times New Roman" w:hAnsi="Times New Roman"/>
                <w:color w:val="000000"/>
                <w:spacing w:val="-2"/>
              </w:rPr>
              <w:t xml:space="preserve">sierpnia </w:t>
            </w:r>
            <w:r w:rsidRPr="00626E1E">
              <w:rPr>
                <w:rFonts w:ascii="Times New Roman" w:hAnsi="Times New Roman"/>
                <w:color w:val="000000"/>
                <w:spacing w:val="-2"/>
              </w:rPr>
              <w:t>202</w:t>
            </w:r>
            <w:r>
              <w:rPr>
                <w:rFonts w:ascii="Times New Roman" w:hAnsi="Times New Roman"/>
                <w:color w:val="000000"/>
                <w:spacing w:val="-2"/>
              </w:rPr>
              <w:t>4</w:t>
            </w:r>
            <w:r w:rsidRPr="00626E1E">
              <w:rPr>
                <w:rFonts w:ascii="Times New Roman" w:hAnsi="Times New Roman"/>
                <w:color w:val="000000"/>
                <w:spacing w:val="-2"/>
              </w:rPr>
              <w:t xml:space="preserve"> r.</w:t>
            </w:r>
            <w:r>
              <w:rPr>
                <w:rFonts w:ascii="Times New Roman" w:hAnsi="Times New Roman"/>
                <w:color w:val="000000"/>
                <w:spacing w:val="-2"/>
              </w:rPr>
              <w:t xml:space="preserve"> </w:t>
            </w:r>
            <w:r w:rsidRPr="009C592A">
              <w:rPr>
                <w:rFonts w:ascii="Times New Roman" w:hAnsi="Times New Roman"/>
                <w:spacing w:val="-2"/>
              </w:rPr>
              <w:t>– źródło GUS</w:t>
            </w:r>
          </w:p>
        </w:tc>
        <w:tc>
          <w:tcPr>
            <w:tcW w:w="2981" w:type="dxa"/>
            <w:gridSpan w:val="6"/>
            <w:shd w:val="clear" w:color="auto" w:fill="auto"/>
          </w:tcPr>
          <w:p w14:paraId="58054714" w14:textId="30897545" w:rsidR="00CE6289" w:rsidRDefault="00511F93" w:rsidP="00B040FC">
            <w:pPr>
              <w:spacing w:line="240" w:lineRule="auto"/>
              <w:rPr>
                <w:rFonts w:ascii="Times New Roman" w:hAnsi="Times New Roman"/>
                <w:color w:val="000000"/>
                <w:spacing w:val="-2"/>
              </w:rPr>
            </w:pPr>
            <w:r>
              <w:rPr>
                <w:rFonts w:ascii="Times New Roman" w:hAnsi="Times New Roman"/>
                <w:color w:val="000000"/>
                <w:spacing w:val="-2"/>
              </w:rPr>
              <w:t>Obowiązek zgłoszenia wykreślenia wpisu w rejestrze REGON w kategorii obejmującej inne osoby fizyczne prowadzące działalność na własny rachunek i osoby prowadzące indywidualne gospodarstwa rolne</w:t>
            </w:r>
            <w:r w:rsidR="000D3D1B">
              <w:rPr>
                <w:rFonts w:ascii="Times New Roman" w:hAnsi="Times New Roman"/>
                <w:color w:val="000000"/>
                <w:spacing w:val="-2"/>
              </w:rPr>
              <w:t xml:space="preserve"> – jeżeli nie będą spełniać </w:t>
            </w:r>
            <w:r w:rsidR="000D3D1B" w:rsidRPr="00AF52FC">
              <w:rPr>
                <w:rFonts w:ascii="Times New Roman" w:hAnsi="Times New Roman"/>
              </w:rPr>
              <w:t>definicj</w:t>
            </w:r>
            <w:r w:rsidR="000D3D1B">
              <w:rPr>
                <w:rFonts w:ascii="Times New Roman" w:hAnsi="Times New Roman"/>
              </w:rPr>
              <w:t xml:space="preserve">i </w:t>
            </w:r>
            <w:r w:rsidR="000D3D1B" w:rsidRPr="00AF52FC">
              <w:rPr>
                <w:rFonts w:ascii="Times New Roman" w:hAnsi="Times New Roman"/>
              </w:rPr>
              <w:t>osoby fizycznej prowadzącej działalność gospodarczą, o której mowa w art. 2 pkt 11b ustawy o statystyce publicznej, w znaczeniu przyjętym w projektowanej ustawie</w:t>
            </w:r>
            <w:r w:rsidR="000D3D1B">
              <w:rPr>
                <w:rFonts w:ascii="Times New Roman" w:hAnsi="Times New Roman"/>
              </w:rPr>
              <w:t>.</w:t>
            </w:r>
          </w:p>
        </w:tc>
      </w:tr>
      <w:bookmarkEnd w:id="19"/>
      <w:tr w:rsidR="00B040FC" w:rsidRPr="008B4FE6" w14:paraId="2698DBCB" w14:textId="77777777" w:rsidTr="00AC17BB">
        <w:trPr>
          <w:gridAfter w:val="1"/>
          <w:wAfter w:w="10" w:type="dxa"/>
          <w:trHeight w:val="302"/>
        </w:trPr>
        <w:tc>
          <w:tcPr>
            <w:tcW w:w="10937" w:type="dxa"/>
            <w:gridSpan w:val="29"/>
            <w:shd w:val="clear" w:color="auto" w:fill="99CCFF"/>
            <w:vAlign w:val="center"/>
          </w:tcPr>
          <w:p w14:paraId="3743296C" w14:textId="77777777" w:rsidR="00B040FC" w:rsidRPr="008B4FE6" w:rsidRDefault="00B040FC" w:rsidP="00B040FC">
            <w:pPr>
              <w:numPr>
                <w:ilvl w:val="0"/>
                <w:numId w:val="30"/>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Informacje na temat</w:t>
            </w:r>
            <w:r>
              <w:rPr>
                <w:rFonts w:ascii="Times New Roman" w:hAnsi="Times New Roman"/>
                <w:b/>
                <w:color w:val="000000"/>
              </w:rPr>
              <w:t xml:space="preserve"> zakresu, czasu trwania i podsumowanie wyników </w:t>
            </w:r>
            <w:r w:rsidRPr="008B4FE6">
              <w:rPr>
                <w:rFonts w:ascii="Times New Roman" w:hAnsi="Times New Roman"/>
                <w:b/>
                <w:color w:val="000000"/>
              </w:rPr>
              <w:t>konsultacji</w:t>
            </w:r>
          </w:p>
        </w:tc>
      </w:tr>
      <w:tr w:rsidR="00B040FC" w:rsidRPr="008B4FE6" w14:paraId="61FA881B" w14:textId="77777777" w:rsidTr="00AC17BB">
        <w:trPr>
          <w:gridAfter w:val="1"/>
          <w:wAfter w:w="10" w:type="dxa"/>
          <w:trHeight w:val="557"/>
        </w:trPr>
        <w:tc>
          <w:tcPr>
            <w:tcW w:w="10937" w:type="dxa"/>
            <w:gridSpan w:val="29"/>
            <w:shd w:val="clear" w:color="auto" w:fill="FFFFFF"/>
          </w:tcPr>
          <w:p w14:paraId="21D1202B" w14:textId="77777777" w:rsidR="005F67B3" w:rsidRPr="00643D6B" w:rsidRDefault="005F67B3" w:rsidP="005F67B3">
            <w:pPr>
              <w:pStyle w:val="Default"/>
              <w:spacing w:line="240" w:lineRule="exact"/>
              <w:jc w:val="both"/>
              <w:rPr>
                <w:rFonts w:ascii="Times New Roman" w:hAnsi="Times New Roman" w:cs="Times New Roman"/>
                <w:sz w:val="22"/>
                <w:szCs w:val="22"/>
              </w:rPr>
            </w:pPr>
            <w:bookmarkStart w:id="20" w:name="_Hlk176784385"/>
            <w:bookmarkStart w:id="21" w:name="_Hlk100745463"/>
            <w:r w:rsidRPr="00643D6B">
              <w:rPr>
                <w:rFonts w:ascii="Times New Roman" w:hAnsi="Times New Roman" w:cs="Times New Roman"/>
                <w:sz w:val="22"/>
                <w:szCs w:val="22"/>
              </w:rPr>
              <w:t xml:space="preserve">Projekt ustawy o zmianie ustawy o statystyce publicznej oraz niektórych innych ustaw (UD12) stanowi kontynuację i efekt prac nad projektem ustawy o zmianie ustawy o statystyce publicznej, </w:t>
            </w:r>
            <w:r w:rsidRPr="00643D6B">
              <w:rPr>
                <w:rFonts w:ascii="Times New Roman" w:eastAsia="Times New Roman" w:hAnsi="Times New Roman" w:cs="Times New Roman"/>
                <w:color w:val="333333"/>
                <w:sz w:val="22"/>
                <w:szCs w:val="22"/>
              </w:rPr>
              <w:t xml:space="preserve">oznaczonym jako UD474 </w:t>
            </w:r>
            <w:r w:rsidRPr="00643D6B">
              <w:rPr>
                <w:rFonts w:ascii="Times New Roman" w:hAnsi="Times New Roman" w:cs="Times New Roman"/>
                <w:sz w:val="22"/>
                <w:szCs w:val="22"/>
              </w:rPr>
              <w:t xml:space="preserve">w Wykazie </w:t>
            </w:r>
            <w:r w:rsidRPr="00643D6B">
              <w:rPr>
                <w:rFonts w:ascii="Times New Roman" w:hAnsi="Times New Roman" w:cs="Times New Roman"/>
                <w:color w:val="333333"/>
                <w:sz w:val="22"/>
                <w:szCs w:val="22"/>
              </w:rPr>
              <w:t>prac legislacyjnych i programowych Rady Ministrów obowiązującym do dnia 27 listopada 2023 r.</w:t>
            </w:r>
            <w:r w:rsidRPr="00643D6B">
              <w:rPr>
                <w:rFonts w:ascii="Times New Roman" w:eastAsia="Times New Roman" w:hAnsi="Times New Roman" w:cs="Times New Roman"/>
                <w:color w:val="333333"/>
                <w:sz w:val="22"/>
                <w:szCs w:val="22"/>
              </w:rPr>
              <w:t xml:space="preserve"> Projekt ten </w:t>
            </w:r>
            <w:r w:rsidRPr="00643D6B">
              <w:rPr>
                <w:rFonts w:ascii="Times New Roman" w:hAnsi="Times New Roman" w:cs="Times New Roman"/>
                <w:sz w:val="22"/>
                <w:szCs w:val="22"/>
              </w:rPr>
              <w:t xml:space="preserve">został w styczniu </w:t>
            </w:r>
            <w:r w:rsidRPr="00643D6B">
              <w:rPr>
                <w:rFonts w:ascii="Times New Roman" w:hAnsi="Times New Roman" w:cs="Times New Roman"/>
                <w:sz w:val="22"/>
                <w:szCs w:val="22"/>
              </w:rPr>
              <w:lastRenderedPageBreak/>
              <w:t xml:space="preserve">2023 r. skierowany do uzgodnień międzyresortowych, opiniowania i konsultacji publicznych. Uwagi zgłoszone w trakcie tego opiniowania przez Głównego Geodetę Kraju oraz Prezesa Urzędu Ochrony Danych Osobowych, a także późniejsze ustalenia w trybie roboczym z tymi organami, zostały uwzględnione w procedowanym obecnie projekcie ustawy o zmianie ustawy o statystyce publicznej oraz niektórych innych ustaw (UD12). </w:t>
            </w:r>
          </w:p>
          <w:p w14:paraId="6ECBCA6A" w14:textId="77777777" w:rsidR="005F67B3" w:rsidRPr="006B1625" w:rsidRDefault="005F67B3" w:rsidP="005F67B3">
            <w:pPr>
              <w:spacing w:before="120"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Projekt ustawy (oznaczony jako UD474) został również w styczniu 2023 r. przekazany do zaopiniowania reprezentatywnym organizacjom pracodawców wchodzącym w skład Rady Dialogu Społecznego, tj. następującym podmiotom: </w:t>
            </w:r>
          </w:p>
          <w:p w14:paraId="1B213893"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Pracodawcy Rzeczypospolitej Polskiej;</w:t>
            </w:r>
          </w:p>
          <w:p w14:paraId="648420D0"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Konfederacja „Lewiatan”;</w:t>
            </w:r>
          </w:p>
          <w:p w14:paraId="3BEBBB5B"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Rzemiosła Polskiego;</w:t>
            </w:r>
          </w:p>
          <w:p w14:paraId="5D7F6C32"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Pracodawców Business Centre Club;</w:t>
            </w:r>
          </w:p>
          <w:p w14:paraId="7C66A7B5"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Przedsiębiorców i Pracodawców;</w:t>
            </w:r>
          </w:p>
          <w:p w14:paraId="093CBA07" w14:textId="77777777" w:rsidR="005F67B3" w:rsidRPr="006B1625" w:rsidRDefault="005F67B3" w:rsidP="005F67B3">
            <w:pPr>
              <w:pStyle w:val="Akapitzlist"/>
              <w:numPr>
                <w:ilvl w:val="0"/>
                <w:numId w:val="5"/>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Federacja Przedsiębiorców Polskich.</w:t>
            </w:r>
          </w:p>
          <w:p w14:paraId="79B947FA" w14:textId="77777777" w:rsidR="005F67B3" w:rsidRPr="006B1625" w:rsidRDefault="005F67B3" w:rsidP="005F67B3">
            <w:p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Żadna ze ww. organizacji pracodawców nie zgłosiła uwag do projektowanej ustawy.</w:t>
            </w:r>
          </w:p>
          <w:p w14:paraId="540B2CD1" w14:textId="77777777" w:rsidR="005F67B3" w:rsidRPr="006B1625" w:rsidRDefault="005F67B3" w:rsidP="005F67B3">
            <w:pPr>
              <w:spacing w:before="120" w:line="240" w:lineRule="exact"/>
              <w:jc w:val="both"/>
              <w:rPr>
                <w:rFonts w:ascii="Times New Roman" w:hAnsi="Times New Roman"/>
              </w:rPr>
            </w:pPr>
            <w:r w:rsidRPr="006B1625">
              <w:rPr>
                <w:rFonts w:ascii="Times New Roman" w:hAnsi="Times New Roman"/>
              </w:rPr>
              <w:t xml:space="preserve">Ponadto projekt ustawy </w:t>
            </w:r>
            <w:r w:rsidRPr="006B1625">
              <w:rPr>
                <w:rFonts w:ascii="Times New Roman" w:eastAsia="Times New Roman" w:hAnsi="Times New Roman"/>
                <w:color w:val="333333"/>
                <w:lang w:eastAsia="pl-PL"/>
              </w:rPr>
              <w:t xml:space="preserve">(oznaczony jako UD474) </w:t>
            </w:r>
            <w:r w:rsidRPr="006B1625">
              <w:rPr>
                <w:rFonts w:ascii="Times New Roman" w:hAnsi="Times New Roman"/>
              </w:rPr>
              <w:t xml:space="preserve">został </w:t>
            </w:r>
            <w:r w:rsidRPr="006B1625">
              <w:rPr>
                <w:rFonts w:ascii="Times New Roman" w:eastAsia="Times New Roman" w:hAnsi="Times New Roman"/>
                <w:color w:val="333333"/>
                <w:lang w:eastAsia="pl-PL"/>
              </w:rPr>
              <w:t xml:space="preserve">w styczniu 2023 r. </w:t>
            </w:r>
            <w:r w:rsidRPr="006B1625">
              <w:rPr>
                <w:rFonts w:ascii="Times New Roman" w:hAnsi="Times New Roman"/>
              </w:rPr>
              <w:t>skierowany do zaopiniowania przez Komisję Wspólną Rządu i Samorządu Terytorialnego. Komisja nie zgłosiła uwag do projektowanej ustawy.</w:t>
            </w:r>
          </w:p>
          <w:p w14:paraId="4BC33673" w14:textId="77777777" w:rsidR="005F67B3" w:rsidRPr="006B1625" w:rsidRDefault="005F67B3" w:rsidP="005F67B3">
            <w:pPr>
              <w:pStyle w:val="Akapitzlist"/>
              <w:spacing w:before="120" w:line="240" w:lineRule="exact"/>
              <w:ind w:left="0"/>
              <w:jc w:val="both"/>
              <w:rPr>
                <w:rFonts w:ascii="Times New Roman" w:eastAsia="Times New Roman" w:hAnsi="Times New Roman"/>
                <w:color w:val="333333"/>
                <w:lang w:eastAsia="pl-PL"/>
              </w:rPr>
            </w:pPr>
            <w:r w:rsidRPr="006B1625">
              <w:rPr>
                <w:rFonts w:ascii="Times New Roman" w:hAnsi="Times New Roman"/>
              </w:rPr>
              <w:t>Procedowany obecnie projekt ustawy o zmianie ustawy o statystyce publicznej oraz niektórych innych ustaw (UD12) został dnia 20 lutego 2024 r. przekazany do ponownego za</w:t>
            </w:r>
            <w:r w:rsidRPr="006B1625">
              <w:rPr>
                <w:rFonts w:ascii="Times New Roman" w:eastAsia="Times New Roman" w:hAnsi="Times New Roman"/>
                <w:color w:val="333333"/>
                <w:lang w:eastAsia="pl-PL"/>
              </w:rPr>
              <w:t>opiniowania i konsultacji publicznych następującym podmiotom:</w:t>
            </w:r>
          </w:p>
          <w:bookmarkEnd w:id="20"/>
          <w:p w14:paraId="1B0CC288" w14:textId="77777777" w:rsidR="005F67B3" w:rsidRPr="006B1625" w:rsidRDefault="005F67B3" w:rsidP="005F67B3">
            <w:pPr>
              <w:widowControl w:val="0"/>
              <w:numPr>
                <w:ilvl w:val="0"/>
                <w:numId w:val="4"/>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Polskie Towarzystwo Statystyczne;</w:t>
            </w:r>
          </w:p>
          <w:p w14:paraId="538F8C55" w14:textId="77777777" w:rsidR="005F67B3" w:rsidRPr="006B1625" w:rsidRDefault="005F67B3" w:rsidP="005F67B3">
            <w:pPr>
              <w:widowControl w:val="0"/>
              <w:numPr>
                <w:ilvl w:val="0"/>
                <w:numId w:val="4"/>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Instytut Statystyki Kościoła Katolickiego;</w:t>
            </w:r>
          </w:p>
          <w:p w14:paraId="45078A2C" w14:textId="77777777" w:rsidR="005F67B3" w:rsidRPr="006B1625" w:rsidRDefault="005F67B3" w:rsidP="005F67B3">
            <w:pPr>
              <w:widowControl w:val="0"/>
              <w:numPr>
                <w:ilvl w:val="0"/>
                <w:numId w:val="4"/>
              </w:numPr>
              <w:adjustRightInd w:val="0"/>
              <w:spacing w:line="240" w:lineRule="exact"/>
              <w:jc w:val="both"/>
              <w:textAlignment w:val="baseline"/>
              <w:rPr>
                <w:rFonts w:ascii="Times New Roman" w:hAnsi="Times New Roman"/>
                <w:szCs w:val="19"/>
                <w:lang w:eastAsia="pl-PL"/>
              </w:rPr>
            </w:pPr>
            <w:r w:rsidRPr="006B1625">
              <w:rPr>
                <w:rFonts w:ascii="Times New Roman" w:hAnsi="Times New Roman"/>
                <w:szCs w:val="19"/>
                <w:lang w:eastAsia="pl-PL"/>
              </w:rPr>
              <w:t>Rządowa Rada Ludnościowa;</w:t>
            </w:r>
          </w:p>
          <w:p w14:paraId="4D4C8609" w14:textId="77777777"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Krajowa Izba Gospodarcza;</w:t>
            </w:r>
          </w:p>
          <w:p w14:paraId="0BBEEF20" w14:textId="77777777"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Polska Rada Biznesu;</w:t>
            </w:r>
          </w:p>
          <w:p w14:paraId="36E848A9" w14:textId="77777777"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Prezes Urzędu Ochrony Danych Osobowych;</w:t>
            </w:r>
          </w:p>
          <w:p w14:paraId="0838516A" w14:textId="77777777"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Geodeta Kraju;</w:t>
            </w:r>
          </w:p>
          <w:p w14:paraId="73981710" w14:textId="5ADE7092"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Główny Inspektor Nadzoru Budowlanego</w:t>
            </w:r>
            <w:r w:rsidR="0010406C">
              <w:rPr>
                <w:rFonts w:ascii="Times New Roman" w:hAnsi="Times New Roman"/>
                <w:szCs w:val="19"/>
                <w:lang w:eastAsia="pl-PL"/>
              </w:rPr>
              <w:t>;</w:t>
            </w:r>
          </w:p>
          <w:p w14:paraId="2CB9AC90" w14:textId="40C67F83"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Sejmu Rzeczypospolitej Polskiej</w:t>
            </w:r>
            <w:r w:rsidR="0010406C">
              <w:rPr>
                <w:rFonts w:ascii="Times New Roman" w:hAnsi="Times New Roman"/>
                <w:szCs w:val="19"/>
                <w:lang w:eastAsia="pl-PL"/>
              </w:rPr>
              <w:t>;</w:t>
            </w:r>
          </w:p>
          <w:p w14:paraId="6A1DCB94" w14:textId="77777777" w:rsidR="005F67B3" w:rsidRPr="006B1625" w:rsidRDefault="005F67B3" w:rsidP="005F67B3">
            <w:pPr>
              <w:numPr>
                <w:ilvl w:val="0"/>
                <w:numId w:val="4"/>
              </w:numPr>
              <w:spacing w:line="240" w:lineRule="exact"/>
              <w:jc w:val="both"/>
              <w:rPr>
                <w:rFonts w:ascii="Times New Roman" w:hAnsi="Times New Roman"/>
                <w:szCs w:val="19"/>
                <w:lang w:eastAsia="pl-PL"/>
              </w:rPr>
            </w:pPr>
            <w:r w:rsidRPr="006B1625">
              <w:rPr>
                <w:rFonts w:ascii="Times New Roman" w:hAnsi="Times New Roman"/>
                <w:szCs w:val="19"/>
                <w:lang w:eastAsia="pl-PL"/>
              </w:rPr>
              <w:t>Kancelaria Senatu Rzeczypospolitej Polskiej</w:t>
            </w:r>
          </w:p>
          <w:p w14:paraId="1417E09C" w14:textId="77777777" w:rsidR="005F67B3" w:rsidRPr="006B1625" w:rsidRDefault="005F67B3" w:rsidP="005F67B3">
            <w:pPr>
              <w:pStyle w:val="Akapitzlist"/>
              <w:spacing w:line="240" w:lineRule="exact"/>
              <w:ind w:left="0"/>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z 21-dniowym terminem zgłaszania ewentualnych uwag.</w:t>
            </w:r>
          </w:p>
          <w:p w14:paraId="73106D1A" w14:textId="77777777" w:rsidR="005F67B3" w:rsidRPr="006B1625" w:rsidRDefault="005F67B3" w:rsidP="005F67B3">
            <w:pPr>
              <w:spacing w:before="120"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Projekt ustawy (UD12) został również ponownie przekazany do zaopiniowania reprezentatywnym organizacjom pracodawców wchodzącym w skład Rady Dialogu Społecznego, tj. następującym podmiotom: </w:t>
            </w:r>
          </w:p>
          <w:p w14:paraId="583673A2"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Pracodawcy Rzeczypospolitej Polskiej;</w:t>
            </w:r>
          </w:p>
          <w:p w14:paraId="3BFEEAFD"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Konfederacja „Lewiatan”;</w:t>
            </w:r>
          </w:p>
          <w:p w14:paraId="3D89BD48"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Rzemiosła Polskiego;</w:t>
            </w:r>
          </w:p>
          <w:p w14:paraId="682F5709"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Pracodawców Business Centre Club;</w:t>
            </w:r>
          </w:p>
          <w:p w14:paraId="7B2AD2FA"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Związek Przedsiębiorców i Pracodawców;</w:t>
            </w:r>
          </w:p>
          <w:p w14:paraId="34ECB170" w14:textId="77777777" w:rsidR="005F67B3" w:rsidRPr="006B1625" w:rsidRDefault="005F67B3" w:rsidP="005F67B3">
            <w:pPr>
              <w:pStyle w:val="Akapitzlist"/>
              <w:numPr>
                <w:ilvl w:val="0"/>
                <w:numId w:val="33"/>
              </w:num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Federacja Przedsiębiorców Polskich</w:t>
            </w:r>
          </w:p>
          <w:p w14:paraId="775FEFD3" w14:textId="77777777" w:rsidR="005F67B3" w:rsidRPr="006B1625" w:rsidRDefault="005F67B3" w:rsidP="005F67B3">
            <w:pPr>
              <w:spacing w:line="240" w:lineRule="exact"/>
              <w:jc w:val="both"/>
              <w:rPr>
                <w:rFonts w:ascii="Times New Roman" w:eastAsia="Times New Roman" w:hAnsi="Times New Roman"/>
                <w:color w:val="333333"/>
                <w:lang w:eastAsia="pl-PL"/>
              </w:rPr>
            </w:pPr>
            <w:r w:rsidRPr="006B1625">
              <w:rPr>
                <w:rFonts w:ascii="Times New Roman" w:eastAsia="Times New Roman" w:hAnsi="Times New Roman"/>
                <w:color w:val="333333"/>
                <w:lang w:eastAsia="pl-PL"/>
              </w:rPr>
              <w:t xml:space="preserve">– z 21-dniowym terminem zgłaszania ewentualnych uwag. </w:t>
            </w:r>
          </w:p>
          <w:p w14:paraId="36805F33" w14:textId="77777777" w:rsidR="005F67B3" w:rsidRPr="006B1625" w:rsidRDefault="005F67B3" w:rsidP="005F67B3">
            <w:pPr>
              <w:spacing w:before="120" w:line="240" w:lineRule="exact"/>
              <w:jc w:val="both"/>
              <w:rPr>
                <w:rFonts w:ascii="Times New Roman" w:hAnsi="Times New Roman"/>
              </w:rPr>
            </w:pPr>
            <w:bookmarkStart w:id="22" w:name="_Hlk176775595"/>
            <w:r w:rsidRPr="006B1625">
              <w:rPr>
                <w:rFonts w:ascii="Times New Roman" w:eastAsia="Times New Roman" w:hAnsi="Times New Roman"/>
                <w:color w:val="333333"/>
                <w:lang w:eastAsia="pl-PL"/>
              </w:rPr>
              <w:t>Projekt ustawy (UD12) został również przekazany do zaopiniowania Radzie Dialogu Społecznego – z 30-dniowym terminem zgłaszania ewentualnych uwag.</w:t>
            </w:r>
          </w:p>
          <w:p w14:paraId="75D0F094" w14:textId="77777777" w:rsidR="005F67B3" w:rsidRPr="006B1625" w:rsidRDefault="005F67B3" w:rsidP="005F67B3">
            <w:pPr>
              <w:spacing w:before="120" w:line="240" w:lineRule="exact"/>
              <w:jc w:val="both"/>
              <w:rPr>
                <w:rFonts w:ascii="Times New Roman" w:hAnsi="Times New Roman"/>
              </w:rPr>
            </w:pPr>
            <w:r w:rsidRPr="006B1625">
              <w:rPr>
                <w:rFonts w:ascii="Times New Roman" w:hAnsi="Times New Roman"/>
              </w:rPr>
              <w:t xml:space="preserve">Z uwagi na fakt, że przedmiotowa regulacja nie odnosi się do spraw objętych zadaniami związków zawodowych, </w:t>
            </w:r>
            <w:r w:rsidRPr="006B1625">
              <w:rPr>
                <w:rFonts w:ascii="Times New Roman" w:hAnsi="Times New Roman"/>
              </w:rPr>
              <w:br/>
              <w:t xml:space="preserve">nie przekazano projektu do zaopiniowania tym podmiotom. </w:t>
            </w:r>
          </w:p>
          <w:p w14:paraId="6BAA61C9" w14:textId="77777777" w:rsidR="005F67B3" w:rsidRPr="006B1625" w:rsidRDefault="005F67B3" w:rsidP="005F67B3">
            <w:pPr>
              <w:spacing w:before="120" w:line="240" w:lineRule="exact"/>
              <w:jc w:val="both"/>
              <w:rPr>
                <w:rFonts w:ascii="Times New Roman" w:hAnsi="Times New Roman"/>
              </w:rPr>
            </w:pPr>
            <w:r w:rsidRPr="006B1625">
              <w:rPr>
                <w:rFonts w:ascii="Times New Roman" w:hAnsi="Times New Roman"/>
              </w:rPr>
              <w:t>Uwagi zgłoszone w trakcie uzgodnień międzyresortowych i opiniowania wraz ze stanowiskiem Głównego Urzędu Statystycznego wobec tych uwag zawarto w zestawieniu uwag, załączonym do obecnej wersji projektu ustawy.</w:t>
            </w:r>
          </w:p>
          <w:p w14:paraId="45772F23" w14:textId="6744C501" w:rsidR="00AE7CB1" w:rsidRPr="008119AC" w:rsidRDefault="00AE7CB1" w:rsidP="00AE7CB1">
            <w:pPr>
              <w:spacing w:before="120" w:line="240" w:lineRule="exact"/>
              <w:jc w:val="both"/>
              <w:rPr>
                <w:rFonts w:ascii="Times New Roman" w:hAnsi="Times New Roman"/>
                <w:color w:val="000000"/>
                <w:spacing w:val="-2"/>
              </w:rPr>
            </w:pPr>
            <w:r w:rsidRPr="008119AC">
              <w:rPr>
                <w:rFonts w:ascii="Times New Roman" w:hAnsi="Times New Roman"/>
                <w:color w:val="000000"/>
                <w:spacing w:val="-2"/>
              </w:rPr>
              <w:t xml:space="preserve">W trakcie konsultacji publicznych nie zgłoszono żadnych uwag do projektu ustawy. </w:t>
            </w:r>
            <w:bookmarkStart w:id="23" w:name="_Hlk176934385"/>
          </w:p>
          <w:bookmarkEnd w:id="23"/>
          <w:p w14:paraId="085824D0" w14:textId="7777777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Żadna z</w:t>
            </w:r>
            <w:r>
              <w:rPr>
                <w:rFonts w:ascii="Times New Roman" w:eastAsia="Times New Roman" w:hAnsi="Times New Roman"/>
                <w:color w:val="333333"/>
                <w:lang w:eastAsia="pl-PL"/>
              </w:rPr>
              <w:t xml:space="preserve"> </w:t>
            </w:r>
            <w:r w:rsidRPr="008119AC">
              <w:rPr>
                <w:rFonts w:ascii="Times New Roman" w:eastAsia="Times New Roman" w:hAnsi="Times New Roman"/>
                <w:color w:val="333333"/>
                <w:lang w:eastAsia="pl-PL"/>
              </w:rPr>
              <w:t>ww. organizacji pracodawców nie zgłosiła uwag do projektu ustawy.</w:t>
            </w:r>
          </w:p>
          <w:p w14:paraId="388903E6" w14:textId="4F43CA0F" w:rsidR="00AE7CB1"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eastAsia="Times New Roman" w:hAnsi="Times New Roman"/>
                <w:color w:val="333333"/>
                <w:lang w:eastAsia="pl-PL"/>
              </w:rPr>
              <w:t>Rada Dialogu Społecznego nie zgłosiła uwag do projektu ustawy.</w:t>
            </w:r>
          </w:p>
          <w:p w14:paraId="76AB8853" w14:textId="5446B817" w:rsidR="00AE7CB1" w:rsidRPr="008119AC" w:rsidRDefault="00AE7CB1" w:rsidP="00AE7CB1">
            <w:pPr>
              <w:spacing w:line="240" w:lineRule="exact"/>
              <w:ind w:left="-34"/>
              <w:jc w:val="both"/>
              <w:rPr>
                <w:rFonts w:ascii="Times New Roman" w:eastAsia="Times New Roman" w:hAnsi="Times New Roman"/>
                <w:color w:val="333333"/>
                <w:lang w:eastAsia="pl-PL"/>
              </w:rPr>
            </w:pPr>
            <w:r w:rsidRPr="008119AC">
              <w:rPr>
                <w:rFonts w:ascii="Times New Roman" w:hAnsi="Times New Roman"/>
                <w:color w:val="000000"/>
                <w:spacing w:val="-2"/>
              </w:rPr>
              <w:t>Podsumowanie konsultacji zostało przedstawione w załączonym do projektu raporcie z konsultacji.</w:t>
            </w:r>
          </w:p>
          <w:p w14:paraId="21840D2F" w14:textId="4722D320" w:rsidR="00B040FC" w:rsidRPr="00AE7CB1" w:rsidRDefault="00AE7CB1" w:rsidP="005F67B3">
            <w:pPr>
              <w:spacing w:before="120" w:line="240" w:lineRule="exact"/>
              <w:jc w:val="both"/>
              <w:rPr>
                <w:rFonts w:ascii="Times New Roman" w:hAnsi="Times New Roman"/>
              </w:rPr>
            </w:pPr>
            <w:r w:rsidRPr="008119AC">
              <w:rPr>
                <w:rFonts w:ascii="Times New Roman" w:hAnsi="Times New Roman"/>
              </w:rPr>
              <w:t xml:space="preserve">Zgodnie z art. 5 ustawy z dnia 7 lipca 2005 r. o działalności lobbingowej w procesie stanowienia prawa (Dz. U. z 2017 r. poz. 248), projekt ustawy został zamieszczony w Biuletynie Informacji Publicznej na stronie podmiotowej Głównego Urzędu Statystycznego w zakładce </w:t>
            </w:r>
            <w:r w:rsidRPr="008119AC">
              <w:rPr>
                <w:rFonts w:ascii="Times New Roman" w:hAnsi="Times New Roman"/>
                <w:i/>
              </w:rPr>
              <w:t>Projektowanie aktów prawnych</w:t>
            </w:r>
            <w:r w:rsidRPr="008119AC">
              <w:rPr>
                <w:rFonts w:ascii="Times New Roman" w:hAnsi="Times New Roman"/>
              </w:rPr>
              <w:t xml:space="preserve"> oraz na stronie podmiotowej Rządowego Centrum Legislacji w zakładce </w:t>
            </w:r>
            <w:r w:rsidRPr="008119AC">
              <w:rPr>
                <w:rFonts w:ascii="Times New Roman" w:hAnsi="Times New Roman"/>
                <w:i/>
              </w:rPr>
              <w:t>Rządowy Proces Legislacyjny</w:t>
            </w:r>
            <w:r w:rsidRPr="008119AC">
              <w:rPr>
                <w:rFonts w:ascii="Times New Roman" w:hAnsi="Times New Roman"/>
              </w:rPr>
              <w:t>. Nie zgłoszono zainteresowania pracami nad projektem ustawy w trybie art. 7 ustawy z dnia 7 lipca 2005 r. o działalności lobbingowej w procesie stanowienia prawa.</w:t>
            </w:r>
            <w:bookmarkEnd w:id="22"/>
          </w:p>
        </w:tc>
      </w:tr>
      <w:bookmarkEnd w:id="21"/>
      <w:tr w:rsidR="00B040FC" w:rsidRPr="008B4FE6" w14:paraId="53BBED6B" w14:textId="77777777" w:rsidTr="00AC17BB">
        <w:trPr>
          <w:gridAfter w:val="1"/>
          <w:wAfter w:w="10" w:type="dxa"/>
          <w:trHeight w:val="363"/>
        </w:trPr>
        <w:tc>
          <w:tcPr>
            <w:tcW w:w="10937" w:type="dxa"/>
            <w:gridSpan w:val="29"/>
            <w:shd w:val="clear" w:color="auto" w:fill="99CCFF"/>
            <w:vAlign w:val="center"/>
          </w:tcPr>
          <w:p w14:paraId="63447150" w14:textId="77777777" w:rsidR="00B040FC" w:rsidRPr="008B4FE6" w:rsidRDefault="00B040FC" w:rsidP="00B040FC">
            <w:pPr>
              <w:numPr>
                <w:ilvl w:val="0"/>
                <w:numId w:val="30"/>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Wpływ na sektor finansów publicznych</w:t>
            </w:r>
          </w:p>
        </w:tc>
      </w:tr>
      <w:tr w:rsidR="00AC17BB" w:rsidRPr="008B4FE6" w14:paraId="19F98CE7" w14:textId="77777777" w:rsidTr="00B81765">
        <w:trPr>
          <w:trHeight w:val="142"/>
        </w:trPr>
        <w:tc>
          <w:tcPr>
            <w:tcW w:w="2014" w:type="dxa"/>
            <w:gridSpan w:val="2"/>
            <w:vMerge w:val="restart"/>
            <w:shd w:val="clear" w:color="auto" w:fill="FFFFFF"/>
          </w:tcPr>
          <w:p w14:paraId="43641202" w14:textId="77777777" w:rsidR="00AC17BB" w:rsidRPr="00C53F26" w:rsidRDefault="00AC17BB" w:rsidP="00AC17BB">
            <w:pPr>
              <w:spacing w:before="40" w:after="40"/>
              <w:rPr>
                <w:rFonts w:ascii="Times New Roman" w:hAnsi="Times New Roman"/>
                <w:i/>
                <w:color w:val="000000"/>
                <w:sz w:val="21"/>
                <w:szCs w:val="21"/>
              </w:rPr>
            </w:pPr>
            <w:r w:rsidRPr="006F78C4">
              <w:rPr>
                <w:rFonts w:ascii="Times New Roman" w:hAnsi="Times New Roman"/>
                <w:color w:val="000000"/>
                <w:sz w:val="21"/>
                <w:szCs w:val="21"/>
              </w:rPr>
              <w:t>(</w:t>
            </w:r>
            <w:r w:rsidRPr="00A45F94">
              <w:rPr>
                <w:rFonts w:ascii="Times New Roman" w:hAnsi="Times New Roman"/>
                <w:color w:val="000000"/>
                <w:sz w:val="18"/>
                <w:szCs w:val="18"/>
              </w:rPr>
              <w:t>ceny stałe z 202</w:t>
            </w:r>
            <w:r>
              <w:rPr>
                <w:rFonts w:ascii="Times New Roman" w:hAnsi="Times New Roman"/>
                <w:color w:val="000000"/>
                <w:sz w:val="18"/>
                <w:szCs w:val="18"/>
              </w:rPr>
              <w:t>4</w:t>
            </w:r>
            <w:r w:rsidRPr="00A45F94">
              <w:rPr>
                <w:rFonts w:ascii="Times New Roman" w:hAnsi="Times New Roman"/>
                <w:color w:val="000000"/>
                <w:sz w:val="18"/>
                <w:szCs w:val="18"/>
              </w:rPr>
              <w:t xml:space="preserve"> r.)</w:t>
            </w:r>
          </w:p>
        </w:tc>
        <w:tc>
          <w:tcPr>
            <w:tcW w:w="8933" w:type="dxa"/>
            <w:gridSpan w:val="28"/>
            <w:shd w:val="clear" w:color="auto" w:fill="FFFFFF"/>
          </w:tcPr>
          <w:p w14:paraId="7113A6F9" w14:textId="77777777" w:rsidR="00AC17BB" w:rsidRPr="00C53F26" w:rsidRDefault="00AC17BB" w:rsidP="00AC17BB">
            <w:pPr>
              <w:spacing w:before="40" w:after="40" w:line="240" w:lineRule="auto"/>
              <w:jc w:val="center"/>
              <w:rPr>
                <w:rFonts w:ascii="Times New Roman" w:hAnsi="Times New Roman"/>
                <w:i/>
                <w:color w:val="000000"/>
                <w:spacing w:val="-2"/>
                <w:sz w:val="21"/>
                <w:szCs w:val="21"/>
              </w:rPr>
            </w:pPr>
            <w:r w:rsidRPr="00C53F26">
              <w:rPr>
                <w:rFonts w:ascii="Times New Roman" w:hAnsi="Times New Roman"/>
                <w:color w:val="000000"/>
                <w:sz w:val="21"/>
                <w:szCs w:val="21"/>
              </w:rPr>
              <w:t>Skutki w okresie 10 lat od wejścia w życie zmian [</w:t>
            </w:r>
            <w:r>
              <w:rPr>
                <w:rFonts w:ascii="Times New Roman" w:hAnsi="Times New Roman"/>
                <w:color w:val="000000"/>
                <w:sz w:val="21"/>
                <w:szCs w:val="21"/>
              </w:rPr>
              <w:t xml:space="preserve">mln </w:t>
            </w:r>
            <w:r w:rsidRPr="00C53F26">
              <w:rPr>
                <w:rFonts w:ascii="Times New Roman" w:hAnsi="Times New Roman"/>
                <w:color w:val="000000"/>
                <w:sz w:val="21"/>
                <w:szCs w:val="21"/>
              </w:rPr>
              <w:t>zł]</w:t>
            </w:r>
          </w:p>
        </w:tc>
      </w:tr>
      <w:tr w:rsidR="00AC17BB" w:rsidRPr="008B4FE6" w14:paraId="525FCADA" w14:textId="77777777" w:rsidTr="00B81765">
        <w:trPr>
          <w:trHeight w:val="142"/>
        </w:trPr>
        <w:tc>
          <w:tcPr>
            <w:tcW w:w="2014" w:type="dxa"/>
            <w:gridSpan w:val="2"/>
            <w:vMerge/>
            <w:shd w:val="clear" w:color="auto" w:fill="FFFFFF"/>
          </w:tcPr>
          <w:p w14:paraId="159F49DF" w14:textId="77777777" w:rsidR="00AC17BB" w:rsidRPr="00C53F26" w:rsidRDefault="00AC17BB" w:rsidP="00AC17BB">
            <w:pPr>
              <w:spacing w:before="40" w:after="40" w:line="240" w:lineRule="auto"/>
              <w:rPr>
                <w:rFonts w:ascii="Times New Roman" w:hAnsi="Times New Roman"/>
                <w:i/>
                <w:color w:val="000000"/>
                <w:sz w:val="21"/>
                <w:szCs w:val="21"/>
              </w:rPr>
            </w:pPr>
          </w:p>
        </w:tc>
        <w:tc>
          <w:tcPr>
            <w:tcW w:w="709" w:type="dxa"/>
            <w:gridSpan w:val="3"/>
            <w:shd w:val="clear" w:color="auto" w:fill="FFFFFF"/>
          </w:tcPr>
          <w:p w14:paraId="1AE19C39"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0</w:t>
            </w:r>
          </w:p>
          <w:p w14:paraId="5C32F0A0"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5</w:t>
            </w:r>
            <w:r w:rsidRPr="00C013A2">
              <w:rPr>
                <w:rFonts w:ascii="Times New Roman" w:hAnsi="Times New Roman"/>
                <w:color w:val="000000"/>
                <w:sz w:val="18"/>
                <w:szCs w:val="18"/>
              </w:rPr>
              <w:t>)</w:t>
            </w:r>
          </w:p>
        </w:tc>
        <w:tc>
          <w:tcPr>
            <w:tcW w:w="709" w:type="dxa"/>
            <w:shd w:val="clear" w:color="auto" w:fill="FFFFFF"/>
          </w:tcPr>
          <w:p w14:paraId="294613A0"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w:t>
            </w:r>
          </w:p>
          <w:p w14:paraId="006BB161"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6</w:t>
            </w:r>
            <w:r w:rsidRPr="00C013A2">
              <w:rPr>
                <w:rFonts w:ascii="Times New Roman" w:hAnsi="Times New Roman"/>
                <w:color w:val="000000"/>
                <w:sz w:val="18"/>
                <w:szCs w:val="18"/>
              </w:rPr>
              <w:t>)</w:t>
            </w:r>
          </w:p>
        </w:tc>
        <w:tc>
          <w:tcPr>
            <w:tcW w:w="708" w:type="dxa"/>
            <w:gridSpan w:val="3"/>
            <w:shd w:val="clear" w:color="auto" w:fill="FFFFFF"/>
          </w:tcPr>
          <w:p w14:paraId="3E8077F5"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2</w:t>
            </w:r>
          </w:p>
          <w:p w14:paraId="6186C1CD"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7</w:t>
            </w:r>
            <w:r w:rsidRPr="00C013A2">
              <w:rPr>
                <w:rFonts w:ascii="Times New Roman" w:hAnsi="Times New Roman"/>
                <w:color w:val="000000"/>
                <w:sz w:val="18"/>
                <w:szCs w:val="18"/>
              </w:rPr>
              <w:t>)</w:t>
            </w:r>
          </w:p>
        </w:tc>
        <w:tc>
          <w:tcPr>
            <w:tcW w:w="709" w:type="dxa"/>
            <w:gridSpan w:val="2"/>
            <w:shd w:val="clear" w:color="auto" w:fill="FFFFFF"/>
          </w:tcPr>
          <w:p w14:paraId="09C5CBF0"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3</w:t>
            </w:r>
          </w:p>
          <w:p w14:paraId="042D7056"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8</w:t>
            </w:r>
            <w:r w:rsidRPr="00C013A2">
              <w:rPr>
                <w:rFonts w:ascii="Times New Roman" w:hAnsi="Times New Roman"/>
                <w:color w:val="000000"/>
                <w:sz w:val="18"/>
                <w:szCs w:val="18"/>
              </w:rPr>
              <w:t>)</w:t>
            </w:r>
          </w:p>
        </w:tc>
        <w:tc>
          <w:tcPr>
            <w:tcW w:w="709" w:type="dxa"/>
            <w:gridSpan w:val="3"/>
            <w:shd w:val="clear" w:color="auto" w:fill="FFFFFF"/>
          </w:tcPr>
          <w:p w14:paraId="5E3B44EB"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4</w:t>
            </w:r>
          </w:p>
          <w:p w14:paraId="22CFD59F"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(202</w:t>
            </w:r>
            <w:r>
              <w:rPr>
                <w:rFonts w:ascii="Times New Roman" w:hAnsi="Times New Roman"/>
                <w:color w:val="000000"/>
                <w:sz w:val="18"/>
                <w:szCs w:val="18"/>
              </w:rPr>
              <w:t>9</w:t>
            </w:r>
            <w:r w:rsidRPr="00C013A2">
              <w:rPr>
                <w:rFonts w:ascii="Times New Roman" w:hAnsi="Times New Roman"/>
                <w:color w:val="000000"/>
                <w:sz w:val="18"/>
                <w:szCs w:val="18"/>
              </w:rPr>
              <w:t>)</w:t>
            </w:r>
          </w:p>
        </w:tc>
        <w:tc>
          <w:tcPr>
            <w:tcW w:w="709" w:type="dxa"/>
            <w:gridSpan w:val="2"/>
            <w:shd w:val="clear" w:color="auto" w:fill="FFFFFF"/>
          </w:tcPr>
          <w:p w14:paraId="1A42FDF8"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5</w:t>
            </w:r>
          </w:p>
          <w:p w14:paraId="1715D85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30</w:t>
            </w:r>
            <w:r w:rsidRPr="00C013A2">
              <w:rPr>
                <w:rFonts w:ascii="Times New Roman" w:hAnsi="Times New Roman"/>
                <w:color w:val="000000"/>
                <w:sz w:val="18"/>
                <w:szCs w:val="18"/>
              </w:rPr>
              <w:t>)</w:t>
            </w:r>
          </w:p>
        </w:tc>
        <w:tc>
          <w:tcPr>
            <w:tcW w:w="708" w:type="dxa"/>
            <w:gridSpan w:val="3"/>
            <w:shd w:val="clear" w:color="auto" w:fill="FFFFFF"/>
          </w:tcPr>
          <w:p w14:paraId="3C18E210"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6</w:t>
            </w:r>
          </w:p>
          <w:p w14:paraId="21A54799"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w:t>
            </w:r>
            <w:r>
              <w:rPr>
                <w:rFonts w:ascii="Times New Roman" w:hAnsi="Times New Roman"/>
                <w:color w:val="000000"/>
                <w:sz w:val="18"/>
                <w:szCs w:val="18"/>
              </w:rPr>
              <w:t>31</w:t>
            </w:r>
            <w:r w:rsidRPr="00C013A2">
              <w:rPr>
                <w:rFonts w:ascii="Times New Roman" w:hAnsi="Times New Roman"/>
                <w:color w:val="000000"/>
                <w:sz w:val="18"/>
                <w:szCs w:val="18"/>
              </w:rPr>
              <w:t>)</w:t>
            </w:r>
          </w:p>
        </w:tc>
        <w:tc>
          <w:tcPr>
            <w:tcW w:w="709" w:type="dxa"/>
            <w:gridSpan w:val="3"/>
            <w:shd w:val="clear" w:color="auto" w:fill="FFFFFF"/>
          </w:tcPr>
          <w:p w14:paraId="5CB86C82"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7</w:t>
            </w:r>
          </w:p>
          <w:p w14:paraId="2A278C59"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2</w:t>
            </w:r>
            <w:r w:rsidRPr="00C013A2">
              <w:rPr>
                <w:rFonts w:ascii="Times New Roman" w:hAnsi="Times New Roman"/>
                <w:color w:val="000000"/>
                <w:sz w:val="18"/>
                <w:szCs w:val="18"/>
              </w:rPr>
              <w:t>)</w:t>
            </w:r>
          </w:p>
        </w:tc>
        <w:tc>
          <w:tcPr>
            <w:tcW w:w="851" w:type="dxa"/>
            <w:gridSpan w:val="2"/>
            <w:shd w:val="clear" w:color="auto" w:fill="FFFFFF"/>
          </w:tcPr>
          <w:p w14:paraId="4A3FF2FF"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8</w:t>
            </w:r>
          </w:p>
          <w:p w14:paraId="1259F11D"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3</w:t>
            </w:r>
            <w:r w:rsidRPr="00C013A2">
              <w:rPr>
                <w:rFonts w:ascii="Times New Roman" w:hAnsi="Times New Roman"/>
                <w:color w:val="000000"/>
                <w:sz w:val="18"/>
                <w:szCs w:val="18"/>
              </w:rPr>
              <w:t>)</w:t>
            </w:r>
          </w:p>
        </w:tc>
        <w:tc>
          <w:tcPr>
            <w:tcW w:w="708" w:type="dxa"/>
            <w:gridSpan w:val="2"/>
            <w:shd w:val="clear" w:color="auto" w:fill="FFFFFF"/>
          </w:tcPr>
          <w:p w14:paraId="1F839C29"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9</w:t>
            </w:r>
          </w:p>
          <w:p w14:paraId="170A9455"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4</w:t>
            </w:r>
            <w:r w:rsidRPr="00C013A2">
              <w:rPr>
                <w:rFonts w:ascii="Times New Roman" w:hAnsi="Times New Roman"/>
                <w:color w:val="000000"/>
                <w:sz w:val="18"/>
                <w:szCs w:val="18"/>
              </w:rPr>
              <w:t>)</w:t>
            </w:r>
          </w:p>
        </w:tc>
        <w:tc>
          <w:tcPr>
            <w:tcW w:w="709" w:type="dxa"/>
            <w:gridSpan w:val="2"/>
            <w:shd w:val="clear" w:color="auto" w:fill="FFFFFF"/>
          </w:tcPr>
          <w:p w14:paraId="0BE946A4" w14:textId="77777777" w:rsidR="00AC17BB" w:rsidRPr="00C013A2" w:rsidRDefault="00AC17BB" w:rsidP="00AC17BB">
            <w:pPr>
              <w:spacing w:line="240" w:lineRule="auto"/>
              <w:jc w:val="center"/>
              <w:rPr>
                <w:rFonts w:ascii="Times New Roman" w:hAnsi="Times New Roman"/>
                <w:color w:val="000000"/>
                <w:sz w:val="18"/>
                <w:szCs w:val="18"/>
              </w:rPr>
            </w:pPr>
            <w:r w:rsidRPr="00C013A2">
              <w:rPr>
                <w:rFonts w:ascii="Times New Roman" w:hAnsi="Times New Roman"/>
                <w:color w:val="000000"/>
                <w:sz w:val="18"/>
                <w:szCs w:val="18"/>
              </w:rPr>
              <w:t>10</w:t>
            </w:r>
          </w:p>
          <w:p w14:paraId="0F47B92E" w14:textId="77777777" w:rsidR="00AC17BB" w:rsidRPr="00F11439" w:rsidRDefault="00AC17BB" w:rsidP="00AC17BB">
            <w:pPr>
              <w:spacing w:line="240" w:lineRule="auto"/>
              <w:jc w:val="center"/>
              <w:rPr>
                <w:rFonts w:ascii="Times New Roman" w:hAnsi="Times New Roman"/>
                <w:color w:val="000000"/>
                <w:sz w:val="12"/>
                <w:szCs w:val="12"/>
              </w:rPr>
            </w:pPr>
            <w:r w:rsidRPr="00C013A2">
              <w:rPr>
                <w:rFonts w:ascii="Times New Roman" w:hAnsi="Times New Roman"/>
                <w:color w:val="000000"/>
                <w:sz w:val="18"/>
                <w:szCs w:val="18"/>
              </w:rPr>
              <w:t>(203</w:t>
            </w:r>
            <w:r>
              <w:rPr>
                <w:rFonts w:ascii="Times New Roman" w:hAnsi="Times New Roman"/>
                <w:color w:val="000000"/>
                <w:sz w:val="18"/>
                <w:szCs w:val="18"/>
              </w:rPr>
              <w:t>5</w:t>
            </w:r>
            <w:r w:rsidRPr="00C013A2">
              <w:rPr>
                <w:rFonts w:ascii="Times New Roman" w:hAnsi="Times New Roman"/>
                <w:color w:val="000000"/>
                <w:sz w:val="18"/>
                <w:szCs w:val="18"/>
              </w:rPr>
              <w:t>)</w:t>
            </w:r>
          </w:p>
        </w:tc>
        <w:tc>
          <w:tcPr>
            <w:tcW w:w="995" w:type="dxa"/>
            <w:gridSpan w:val="2"/>
            <w:shd w:val="clear" w:color="auto" w:fill="FFFFFF"/>
          </w:tcPr>
          <w:p w14:paraId="4D97C4A5" w14:textId="77777777" w:rsidR="00AC17BB" w:rsidRPr="00F11439" w:rsidRDefault="00AC17BB" w:rsidP="00AC17BB">
            <w:pPr>
              <w:spacing w:before="40" w:after="40" w:line="240" w:lineRule="auto"/>
              <w:jc w:val="center"/>
              <w:rPr>
                <w:rFonts w:ascii="Times New Roman" w:hAnsi="Times New Roman"/>
                <w:i/>
                <w:color w:val="000000"/>
                <w:spacing w:val="-2"/>
                <w:sz w:val="12"/>
                <w:szCs w:val="12"/>
              </w:rPr>
            </w:pPr>
            <w:r w:rsidRPr="00C013A2">
              <w:rPr>
                <w:rFonts w:ascii="Times New Roman" w:hAnsi="Times New Roman"/>
                <w:i/>
                <w:color w:val="000000"/>
                <w:spacing w:val="-2"/>
                <w:sz w:val="18"/>
                <w:szCs w:val="18"/>
              </w:rPr>
              <w:t>Łącznie (0-10)</w:t>
            </w:r>
          </w:p>
        </w:tc>
      </w:tr>
      <w:tr w:rsidR="00AC17BB" w:rsidRPr="008B4FE6" w14:paraId="229B4E21" w14:textId="77777777" w:rsidTr="00B81765">
        <w:trPr>
          <w:trHeight w:val="321"/>
        </w:trPr>
        <w:tc>
          <w:tcPr>
            <w:tcW w:w="2014" w:type="dxa"/>
            <w:gridSpan w:val="2"/>
            <w:shd w:val="clear" w:color="auto" w:fill="FFFFFF"/>
            <w:vAlign w:val="center"/>
          </w:tcPr>
          <w:p w14:paraId="3FF5F007"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b/>
                <w:color w:val="000000"/>
                <w:sz w:val="21"/>
                <w:szCs w:val="21"/>
              </w:rPr>
              <w:t>Dochody ogółem</w:t>
            </w:r>
          </w:p>
        </w:tc>
        <w:tc>
          <w:tcPr>
            <w:tcW w:w="709" w:type="dxa"/>
            <w:gridSpan w:val="3"/>
            <w:shd w:val="clear" w:color="auto" w:fill="FFFFFF"/>
            <w:vAlign w:val="center"/>
          </w:tcPr>
          <w:p w14:paraId="5906066C" w14:textId="77777777" w:rsidR="00AC17BB" w:rsidRPr="00741059" w:rsidRDefault="00AC17BB" w:rsidP="00AC17BB">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7313AD2" w14:textId="77777777" w:rsidR="00AC17BB" w:rsidRPr="00741059" w:rsidRDefault="00AC17BB" w:rsidP="00AC17BB">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6AA5F1C"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10F8054"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ABAD11B"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BF4FAA9"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040F6EB"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74D60D2"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E88551E"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F365169"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1DE308A" w14:textId="77777777" w:rsidR="00AC17BB" w:rsidRPr="00741059" w:rsidRDefault="00AC17BB" w:rsidP="00AC17BB">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3F900AA" w14:textId="77777777" w:rsidR="00AC17BB" w:rsidRPr="00C013A2" w:rsidRDefault="00AC17BB" w:rsidP="00AC17BB">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C17BB" w:rsidRPr="008B4FE6" w14:paraId="290505FB" w14:textId="77777777" w:rsidTr="00B81765">
        <w:trPr>
          <w:trHeight w:val="321"/>
        </w:trPr>
        <w:tc>
          <w:tcPr>
            <w:tcW w:w="2014" w:type="dxa"/>
            <w:gridSpan w:val="2"/>
            <w:shd w:val="clear" w:color="auto" w:fill="FFFFFF"/>
            <w:vAlign w:val="center"/>
          </w:tcPr>
          <w:p w14:paraId="3B110FB2"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color w:val="000000"/>
                <w:sz w:val="21"/>
                <w:szCs w:val="21"/>
              </w:rPr>
              <w:lastRenderedPageBreak/>
              <w:t>budżet państwa</w:t>
            </w:r>
          </w:p>
        </w:tc>
        <w:tc>
          <w:tcPr>
            <w:tcW w:w="709" w:type="dxa"/>
            <w:gridSpan w:val="3"/>
            <w:shd w:val="clear" w:color="auto" w:fill="FFFFFF"/>
            <w:vAlign w:val="center"/>
          </w:tcPr>
          <w:p w14:paraId="1893F2F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7EDD86C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388B3A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7E61A1A0"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28276A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20EC480"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6B95488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590D4933"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6DBE0CA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2EF86EC9"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BBEE246"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34FB5552" w14:textId="77777777" w:rsidR="00AC17BB" w:rsidRPr="00C013A2" w:rsidRDefault="00AC17BB" w:rsidP="00AC17BB">
            <w:pPr>
              <w:spacing w:line="240" w:lineRule="auto"/>
              <w:jc w:val="right"/>
              <w:rPr>
                <w:rFonts w:ascii="Times New Roman" w:hAnsi="Times New Roman"/>
                <w:b/>
                <w:bCs/>
                <w:color w:val="000000"/>
                <w:spacing w:val="-2"/>
                <w:sz w:val="18"/>
                <w:szCs w:val="18"/>
              </w:rPr>
            </w:pPr>
            <w:r w:rsidRPr="00E23058">
              <w:rPr>
                <w:rFonts w:ascii="Times New Roman" w:hAnsi="Times New Roman"/>
                <w:b/>
                <w:bCs/>
                <w:color w:val="000000"/>
                <w:sz w:val="18"/>
                <w:szCs w:val="18"/>
              </w:rPr>
              <w:t>0</w:t>
            </w:r>
          </w:p>
        </w:tc>
      </w:tr>
      <w:tr w:rsidR="00AC17BB" w:rsidRPr="008B4FE6" w14:paraId="482AF28E" w14:textId="77777777" w:rsidTr="00B81765">
        <w:trPr>
          <w:trHeight w:val="344"/>
        </w:trPr>
        <w:tc>
          <w:tcPr>
            <w:tcW w:w="2014" w:type="dxa"/>
            <w:gridSpan w:val="2"/>
            <w:shd w:val="clear" w:color="auto" w:fill="FFFFFF"/>
            <w:vAlign w:val="center"/>
          </w:tcPr>
          <w:p w14:paraId="40C323D5"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19427E52"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shd w:val="clear" w:color="auto" w:fill="FFFFFF"/>
            <w:vAlign w:val="center"/>
          </w:tcPr>
          <w:p w14:paraId="26F4BE65"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163901C9"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24062E60"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1C2DCEC0"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2461663B"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3"/>
            <w:shd w:val="clear" w:color="auto" w:fill="FFFFFF"/>
            <w:vAlign w:val="center"/>
          </w:tcPr>
          <w:p w14:paraId="479BAE0A"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3"/>
            <w:shd w:val="clear" w:color="auto" w:fill="FFFFFF"/>
            <w:vAlign w:val="center"/>
          </w:tcPr>
          <w:p w14:paraId="3A708FD9"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851" w:type="dxa"/>
            <w:gridSpan w:val="2"/>
            <w:shd w:val="clear" w:color="auto" w:fill="FFFFFF"/>
            <w:vAlign w:val="center"/>
          </w:tcPr>
          <w:p w14:paraId="0B4B45FC"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8" w:type="dxa"/>
            <w:gridSpan w:val="2"/>
            <w:shd w:val="clear" w:color="auto" w:fill="FFFFFF"/>
            <w:vAlign w:val="center"/>
          </w:tcPr>
          <w:p w14:paraId="61C89954"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709" w:type="dxa"/>
            <w:gridSpan w:val="2"/>
            <w:shd w:val="clear" w:color="auto" w:fill="FFFFFF"/>
            <w:vAlign w:val="center"/>
          </w:tcPr>
          <w:p w14:paraId="67AF21FA"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44B75454" w14:textId="77777777" w:rsidR="00AC17BB" w:rsidRPr="00B65498" w:rsidRDefault="00AC17BB" w:rsidP="00AC17BB">
            <w:pPr>
              <w:spacing w:line="240" w:lineRule="auto"/>
              <w:jc w:val="right"/>
              <w:rPr>
                <w:rFonts w:ascii="Times New Roman" w:hAnsi="Times New Roman"/>
                <w:color w:val="000000"/>
                <w:sz w:val="14"/>
                <w:szCs w:val="14"/>
              </w:rPr>
            </w:pPr>
            <w:r w:rsidRPr="00E23058">
              <w:rPr>
                <w:rFonts w:ascii="Times New Roman" w:hAnsi="Times New Roman"/>
                <w:b/>
                <w:bCs/>
                <w:color w:val="000000"/>
                <w:sz w:val="18"/>
                <w:szCs w:val="18"/>
              </w:rPr>
              <w:t>0</w:t>
            </w:r>
          </w:p>
        </w:tc>
      </w:tr>
      <w:tr w:rsidR="00AC17BB" w:rsidRPr="008B4FE6" w14:paraId="50782FE7" w14:textId="77777777" w:rsidTr="00B81765">
        <w:trPr>
          <w:trHeight w:val="344"/>
        </w:trPr>
        <w:tc>
          <w:tcPr>
            <w:tcW w:w="2014" w:type="dxa"/>
            <w:gridSpan w:val="2"/>
            <w:shd w:val="clear" w:color="auto" w:fill="FFFFFF"/>
            <w:vAlign w:val="center"/>
          </w:tcPr>
          <w:p w14:paraId="32A81BD6"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7640A9F2"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9C49483"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5823922"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FD6BB80"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BE3D194"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DEBD77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BB5824A"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D54221C"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3FAD3BC0"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3DA1BB3"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16591E6"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009ADF61" w14:textId="77777777" w:rsidR="00AC17BB" w:rsidRPr="00C013A2" w:rsidRDefault="00AC17BB" w:rsidP="00AC17BB">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C17BB" w:rsidRPr="008B4FE6" w14:paraId="3F96D043" w14:textId="77777777" w:rsidTr="00B81765">
        <w:trPr>
          <w:trHeight w:val="344"/>
        </w:trPr>
        <w:tc>
          <w:tcPr>
            <w:tcW w:w="2014" w:type="dxa"/>
            <w:gridSpan w:val="2"/>
            <w:shd w:val="clear" w:color="auto" w:fill="FFFFFF"/>
            <w:vAlign w:val="center"/>
          </w:tcPr>
          <w:p w14:paraId="2DD29C71"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b/>
                <w:color w:val="000000"/>
                <w:sz w:val="21"/>
                <w:szCs w:val="21"/>
              </w:rPr>
              <w:t>Wydatki ogółem</w:t>
            </w:r>
          </w:p>
        </w:tc>
        <w:tc>
          <w:tcPr>
            <w:tcW w:w="709" w:type="dxa"/>
            <w:gridSpan w:val="3"/>
            <w:shd w:val="clear" w:color="auto" w:fill="FFFFFF"/>
            <w:vAlign w:val="center"/>
          </w:tcPr>
          <w:p w14:paraId="03C87318" w14:textId="77777777" w:rsidR="00AC17BB" w:rsidRPr="00C013A2" w:rsidRDefault="00AC17BB" w:rsidP="00AC17BB">
            <w:pPr>
              <w:spacing w:line="240" w:lineRule="auto"/>
              <w:jc w:val="right"/>
              <w:rPr>
                <w:rFonts w:ascii="Times New Roman" w:hAnsi="Times New Roman"/>
                <w:color w:val="000000"/>
                <w:sz w:val="18"/>
                <w:szCs w:val="18"/>
              </w:rPr>
            </w:pPr>
            <w:r>
              <w:rPr>
                <w:rFonts w:ascii="Times New Roman" w:hAnsi="Times New Roman"/>
                <w:b/>
                <w:bCs/>
                <w:color w:val="000000"/>
                <w:sz w:val="18"/>
                <w:szCs w:val="18"/>
              </w:rPr>
              <w:t>3,13</w:t>
            </w:r>
          </w:p>
        </w:tc>
        <w:tc>
          <w:tcPr>
            <w:tcW w:w="709" w:type="dxa"/>
            <w:shd w:val="clear" w:color="auto" w:fill="FFFFFF"/>
            <w:vAlign w:val="center"/>
          </w:tcPr>
          <w:p w14:paraId="3BF4239B"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0,3</w:t>
            </w:r>
            <w:r>
              <w:rPr>
                <w:rFonts w:ascii="Times New Roman" w:hAnsi="Times New Roman"/>
                <w:b/>
                <w:color w:val="000000"/>
                <w:sz w:val="18"/>
                <w:szCs w:val="18"/>
              </w:rPr>
              <w:t>3</w:t>
            </w:r>
          </w:p>
        </w:tc>
        <w:tc>
          <w:tcPr>
            <w:tcW w:w="708" w:type="dxa"/>
            <w:gridSpan w:val="3"/>
            <w:shd w:val="clear" w:color="auto" w:fill="FFFFFF"/>
            <w:vAlign w:val="center"/>
          </w:tcPr>
          <w:p w14:paraId="2006BA84"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3D2E1F30"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3"/>
            <w:shd w:val="clear" w:color="auto" w:fill="FFFFFF"/>
            <w:vAlign w:val="center"/>
          </w:tcPr>
          <w:p w14:paraId="2D6F47FC"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21295655"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3"/>
            <w:shd w:val="clear" w:color="auto" w:fill="FFFFFF"/>
            <w:vAlign w:val="center"/>
          </w:tcPr>
          <w:p w14:paraId="49E1AECE"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3"/>
            <w:shd w:val="clear" w:color="auto" w:fill="FFFFFF"/>
            <w:vAlign w:val="center"/>
          </w:tcPr>
          <w:p w14:paraId="71FBE9F4"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851" w:type="dxa"/>
            <w:gridSpan w:val="2"/>
            <w:shd w:val="clear" w:color="auto" w:fill="FFFFFF"/>
            <w:vAlign w:val="center"/>
          </w:tcPr>
          <w:p w14:paraId="684B1CAA"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8" w:type="dxa"/>
            <w:gridSpan w:val="2"/>
            <w:shd w:val="clear" w:color="auto" w:fill="FFFFFF"/>
            <w:vAlign w:val="center"/>
          </w:tcPr>
          <w:p w14:paraId="24979CAC" w14:textId="77777777" w:rsidR="00AC17BB" w:rsidRPr="00C013A2" w:rsidRDefault="00AC17BB" w:rsidP="00AC17BB">
            <w:pPr>
              <w:spacing w:line="240" w:lineRule="auto"/>
              <w:jc w:val="right"/>
              <w:rPr>
                <w:rFonts w:ascii="Times New Roman" w:hAnsi="Times New Roman"/>
                <w:color w:val="000000"/>
                <w:sz w:val="18"/>
                <w:szCs w:val="18"/>
              </w:rPr>
            </w:pPr>
            <w:r w:rsidRPr="001643D1">
              <w:rPr>
                <w:rFonts w:ascii="Times New Roman" w:hAnsi="Times New Roman"/>
                <w:b/>
                <w:color w:val="000000"/>
                <w:sz w:val="18"/>
                <w:szCs w:val="18"/>
              </w:rPr>
              <w:t>0</w:t>
            </w:r>
          </w:p>
        </w:tc>
        <w:tc>
          <w:tcPr>
            <w:tcW w:w="709" w:type="dxa"/>
            <w:gridSpan w:val="2"/>
            <w:shd w:val="clear" w:color="auto" w:fill="FFFFFF"/>
            <w:vAlign w:val="center"/>
          </w:tcPr>
          <w:p w14:paraId="67623013"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3CDB2E95" w14:textId="77777777" w:rsidR="00AC17BB" w:rsidRPr="00C013A2" w:rsidRDefault="00AC17BB" w:rsidP="00AC17BB">
            <w:pPr>
              <w:spacing w:line="240" w:lineRule="auto"/>
              <w:jc w:val="right"/>
              <w:rPr>
                <w:rFonts w:ascii="Times New Roman" w:hAnsi="Times New Roman"/>
                <w:b/>
                <w:bCs/>
                <w:color w:val="000000"/>
                <w:sz w:val="18"/>
                <w:szCs w:val="18"/>
              </w:rPr>
            </w:pPr>
            <w:r>
              <w:rPr>
                <w:rFonts w:ascii="Times New Roman" w:hAnsi="Times New Roman"/>
                <w:b/>
                <w:bCs/>
                <w:color w:val="000000"/>
                <w:sz w:val="18"/>
                <w:szCs w:val="18"/>
              </w:rPr>
              <w:t>3,46</w:t>
            </w:r>
          </w:p>
        </w:tc>
      </w:tr>
      <w:tr w:rsidR="00AC17BB" w:rsidRPr="008B4FE6" w14:paraId="4CB6B539" w14:textId="77777777" w:rsidTr="00B81765">
        <w:trPr>
          <w:trHeight w:val="344"/>
        </w:trPr>
        <w:tc>
          <w:tcPr>
            <w:tcW w:w="2014" w:type="dxa"/>
            <w:gridSpan w:val="2"/>
            <w:shd w:val="clear" w:color="auto" w:fill="FFFFFF"/>
            <w:vAlign w:val="center"/>
          </w:tcPr>
          <w:p w14:paraId="17C074C8"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4D4CD959" w14:textId="77777777" w:rsidR="00AC17BB" w:rsidRPr="00C013A2" w:rsidRDefault="00AC17BB" w:rsidP="00AC17BB">
            <w:pPr>
              <w:spacing w:line="240" w:lineRule="auto"/>
              <w:jc w:val="right"/>
              <w:rPr>
                <w:rFonts w:ascii="Times New Roman" w:hAnsi="Times New Roman"/>
                <w:color w:val="000000"/>
                <w:sz w:val="18"/>
                <w:szCs w:val="18"/>
              </w:rPr>
            </w:pPr>
            <w:r>
              <w:rPr>
                <w:rFonts w:ascii="Times New Roman" w:hAnsi="Times New Roman"/>
                <w:color w:val="000000"/>
                <w:sz w:val="18"/>
                <w:szCs w:val="18"/>
              </w:rPr>
              <w:t>3,13</w:t>
            </w:r>
          </w:p>
        </w:tc>
        <w:tc>
          <w:tcPr>
            <w:tcW w:w="709" w:type="dxa"/>
            <w:shd w:val="clear" w:color="auto" w:fill="FFFFFF"/>
            <w:vAlign w:val="center"/>
          </w:tcPr>
          <w:p w14:paraId="183B0A1E"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r>
              <w:rPr>
                <w:rFonts w:ascii="Times New Roman" w:hAnsi="Times New Roman"/>
                <w:color w:val="000000"/>
                <w:sz w:val="18"/>
                <w:szCs w:val="18"/>
              </w:rPr>
              <w:t>,33</w:t>
            </w:r>
          </w:p>
        </w:tc>
        <w:tc>
          <w:tcPr>
            <w:tcW w:w="708" w:type="dxa"/>
            <w:gridSpan w:val="3"/>
            <w:shd w:val="clear" w:color="auto" w:fill="FFFFFF"/>
            <w:vAlign w:val="center"/>
          </w:tcPr>
          <w:p w14:paraId="2BFFF21F"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4F8653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84F62D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88FC1F9"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E114E90"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8FFD3BC"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096AC30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5FC843B2"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0D9FC4D"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65B0DA61" w14:textId="77777777" w:rsidR="00AC17BB" w:rsidRPr="00C013A2" w:rsidRDefault="00AC17BB" w:rsidP="00AC17BB">
            <w:pPr>
              <w:spacing w:line="240" w:lineRule="auto"/>
              <w:jc w:val="right"/>
              <w:rPr>
                <w:rFonts w:ascii="Times New Roman" w:hAnsi="Times New Roman"/>
                <w:b/>
                <w:bCs/>
                <w:color w:val="000000"/>
                <w:sz w:val="18"/>
                <w:szCs w:val="18"/>
              </w:rPr>
            </w:pPr>
            <w:r w:rsidRPr="001643D1">
              <w:rPr>
                <w:rFonts w:ascii="Times New Roman" w:hAnsi="Times New Roman"/>
                <w:b/>
                <w:bCs/>
                <w:color w:val="000000"/>
                <w:sz w:val="18"/>
                <w:szCs w:val="18"/>
              </w:rPr>
              <w:t>3,46</w:t>
            </w:r>
          </w:p>
        </w:tc>
      </w:tr>
      <w:tr w:rsidR="00AC17BB" w:rsidRPr="008B4FE6" w14:paraId="02F9DBF3" w14:textId="77777777" w:rsidTr="00B81765">
        <w:trPr>
          <w:trHeight w:val="330"/>
        </w:trPr>
        <w:tc>
          <w:tcPr>
            <w:tcW w:w="2014" w:type="dxa"/>
            <w:gridSpan w:val="2"/>
            <w:shd w:val="clear" w:color="auto" w:fill="FFFFFF"/>
            <w:vAlign w:val="center"/>
          </w:tcPr>
          <w:p w14:paraId="18531A76"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472AD0AC" w14:textId="77777777" w:rsidR="00AC17BB" w:rsidRPr="005F038D" w:rsidRDefault="00AC17BB" w:rsidP="00AC17BB">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0942BFA" w14:textId="77777777" w:rsidR="00AC17BB" w:rsidRPr="005F038D" w:rsidRDefault="00AC17BB" w:rsidP="00AC17BB">
            <w:pPr>
              <w:spacing w:line="240" w:lineRule="auto"/>
              <w:jc w:val="right"/>
              <w:rPr>
                <w:rFonts w:ascii="Times New Roman" w:hAnsi="Times New Roman"/>
                <w:b/>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5F67F953"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2D4C762"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27F1D976"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4305C10"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E487D45"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DFAA764"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23F493AD"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8D22059" w14:textId="77777777" w:rsidR="00AC17BB" w:rsidRPr="00C013A2" w:rsidRDefault="00AC17BB" w:rsidP="00AC17BB">
            <w:pPr>
              <w:spacing w:line="240" w:lineRule="auto"/>
              <w:jc w:val="right"/>
              <w:rPr>
                <w:rFonts w:ascii="Times New Roman" w:hAnsi="Times New Roman"/>
                <w:b/>
                <w:bCs/>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302FE1A1" w14:textId="77777777" w:rsidR="00AC17BB" w:rsidRPr="005F038D" w:rsidRDefault="00AC17BB" w:rsidP="00AC17BB">
            <w:pPr>
              <w:spacing w:line="240" w:lineRule="auto"/>
              <w:jc w:val="right"/>
              <w:rPr>
                <w:rFonts w:ascii="Times New Roman" w:hAnsi="Times New Roman"/>
                <w:b/>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37EFBB86" w14:textId="77777777" w:rsidR="00AC17BB" w:rsidRPr="00C013A2" w:rsidRDefault="00AC17BB" w:rsidP="00AC17BB">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C17BB" w:rsidRPr="008B4FE6" w14:paraId="4609E07B" w14:textId="77777777" w:rsidTr="00B81765">
        <w:trPr>
          <w:trHeight w:val="330"/>
        </w:trPr>
        <w:tc>
          <w:tcPr>
            <w:tcW w:w="2014" w:type="dxa"/>
            <w:gridSpan w:val="2"/>
            <w:shd w:val="clear" w:color="auto" w:fill="FFFFFF"/>
            <w:vAlign w:val="center"/>
          </w:tcPr>
          <w:p w14:paraId="4677ABB4"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7802FB9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257AF9F2"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9D378F9"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0D4F446"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44ABF92C"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1482DB5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7B26321C"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35D4646"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2C5DA6B3"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1FD0EE81"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D5A9DA9"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085F2B39" w14:textId="77777777" w:rsidR="00AC17BB" w:rsidRPr="00C013A2" w:rsidRDefault="00AC17BB" w:rsidP="00AC17BB">
            <w:pPr>
              <w:spacing w:line="240" w:lineRule="auto"/>
              <w:jc w:val="right"/>
              <w:rPr>
                <w:rFonts w:ascii="Times New Roman" w:hAnsi="Times New Roman"/>
                <w:color w:val="000000"/>
                <w:sz w:val="18"/>
                <w:szCs w:val="18"/>
              </w:rPr>
            </w:pPr>
            <w:r w:rsidRPr="00E23058">
              <w:rPr>
                <w:rFonts w:ascii="Times New Roman" w:hAnsi="Times New Roman"/>
                <w:b/>
                <w:bCs/>
                <w:color w:val="000000"/>
                <w:sz w:val="18"/>
                <w:szCs w:val="18"/>
              </w:rPr>
              <w:t>0</w:t>
            </w:r>
          </w:p>
        </w:tc>
      </w:tr>
      <w:tr w:rsidR="00AC17BB" w:rsidRPr="008B4FE6" w14:paraId="1B648E78" w14:textId="77777777" w:rsidTr="00B81765">
        <w:trPr>
          <w:trHeight w:val="351"/>
        </w:trPr>
        <w:tc>
          <w:tcPr>
            <w:tcW w:w="2014" w:type="dxa"/>
            <w:gridSpan w:val="2"/>
            <w:shd w:val="clear" w:color="auto" w:fill="FFFFFF"/>
            <w:vAlign w:val="center"/>
          </w:tcPr>
          <w:p w14:paraId="03F5A00F"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b/>
                <w:color w:val="000000"/>
                <w:sz w:val="21"/>
                <w:szCs w:val="21"/>
              </w:rPr>
              <w:t>Saldo ogółem</w:t>
            </w:r>
          </w:p>
        </w:tc>
        <w:tc>
          <w:tcPr>
            <w:tcW w:w="709" w:type="dxa"/>
            <w:gridSpan w:val="3"/>
            <w:shd w:val="clear" w:color="auto" w:fill="FFFFFF"/>
            <w:vAlign w:val="center"/>
          </w:tcPr>
          <w:p w14:paraId="010A1CF8" w14:textId="77777777" w:rsidR="00AC17BB" w:rsidRPr="00B65498" w:rsidRDefault="00AC17BB" w:rsidP="00AC17BB">
            <w:pPr>
              <w:spacing w:line="240" w:lineRule="auto"/>
              <w:jc w:val="right"/>
              <w:rPr>
                <w:rFonts w:ascii="Times New Roman" w:hAnsi="Times New Roman"/>
                <w:color w:val="000000"/>
                <w:sz w:val="14"/>
                <w:szCs w:val="14"/>
              </w:rPr>
            </w:pPr>
            <w:r>
              <w:rPr>
                <w:rFonts w:ascii="Times New Roman" w:hAnsi="Times New Roman"/>
                <w:b/>
                <w:bCs/>
                <w:color w:val="000000"/>
                <w:sz w:val="18"/>
                <w:szCs w:val="18"/>
              </w:rPr>
              <w:t>-3,13</w:t>
            </w:r>
          </w:p>
        </w:tc>
        <w:tc>
          <w:tcPr>
            <w:tcW w:w="709" w:type="dxa"/>
            <w:shd w:val="clear" w:color="auto" w:fill="FFFFFF"/>
            <w:vAlign w:val="center"/>
          </w:tcPr>
          <w:p w14:paraId="7C060E70"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-0,3</w:t>
            </w:r>
            <w:r>
              <w:rPr>
                <w:rFonts w:ascii="Times New Roman" w:hAnsi="Times New Roman"/>
                <w:b/>
                <w:color w:val="000000"/>
                <w:sz w:val="18"/>
                <w:szCs w:val="18"/>
              </w:rPr>
              <w:t>3</w:t>
            </w:r>
          </w:p>
        </w:tc>
        <w:tc>
          <w:tcPr>
            <w:tcW w:w="708" w:type="dxa"/>
            <w:gridSpan w:val="3"/>
            <w:shd w:val="clear" w:color="auto" w:fill="FFFFFF"/>
            <w:vAlign w:val="center"/>
          </w:tcPr>
          <w:p w14:paraId="0F64CF4F"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2971C904"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3"/>
            <w:shd w:val="clear" w:color="auto" w:fill="FFFFFF"/>
            <w:vAlign w:val="center"/>
          </w:tcPr>
          <w:p w14:paraId="0D396497"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6DD4A8EE"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3"/>
            <w:shd w:val="clear" w:color="auto" w:fill="FFFFFF"/>
            <w:vAlign w:val="center"/>
          </w:tcPr>
          <w:p w14:paraId="12619585"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3"/>
            <w:shd w:val="clear" w:color="auto" w:fill="FFFFFF"/>
            <w:vAlign w:val="center"/>
          </w:tcPr>
          <w:p w14:paraId="44B1C7E3"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851" w:type="dxa"/>
            <w:gridSpan w:val="2"/>
            <w:shd w:val="clear" w:color="auto" w:fill="FFFFFF"/>
            <w:vAlign w:val="center"/>
          </w:tcPr>
          <w:p w14:paraId="734E2E9F"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8" w:type="dxa"/>
            <w:gridSpan w:val="2"/>
            <w:shd w:val="clear" w:color="auto" w:fill="FFFFFF"/>
            <w:vAlign w:val="center"/>
          </w:tcPr>
          <w:p w14:paraId="195F7DD4"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709" w:type="dxa"/>
            <w:gridSpan w:val="2"/>
            <w:shd w:val="clear" w:color="auto" w:fill="FFFFFF"/>
            <w:vAlign w:val="center"/>
          </w:tcPr>
          <w:p w14:paraId="7F6AEF6D" w14:textId="77777777" w:rsidR="00AC17BB" w:rsidRPr="00B65498" w:rsidRDefault="00AC17BB" w:rsidP="00AC17BB">
            <w:pPr>
              <w:spacing w:line="240" w:lineRule="auto"/>
              <w:jc w:val="right"/>
              <w:rPr>
                <w:rFonts w:ascii="Times New Roman" w:hAnsi="Times New Roman"/>
                <w:color w:val="000000"/>
                <w:sz w:val="14"/>
                <w:szCs w:val="14"/>
              </w:rPr>
            </w:pPr>
            <w:r w:rsidRPr="001643D1">
              <w:rPr>
                <w:rFonts w:ascii="Times New Roman" w:hAnsi="Times New Roman"/>
                <w:b/>
                <w:color w:val="000000"/>
                <w:sz w:val="18"/>
                <w:szCs w:val="18"/>
              </w:rPr>
              <w:t>0</w:t>
            </w:r>
          </w:p>
        </w:tc>
        <w:tc>
          <w:tcPr>
            <w:tcW w:w="995" w:type="dxa"/>
            <w:gridSpan w:val="2"/>
            <w:shd w:val="clear" w:color="auto" w:fill="FFFFFF"/>
            <w:vAlign w:val="center"/>
          </w:tcPr>
          <w:p w14:paraId="44701864" w14:textId="77777777" w:rsidR="00AC17BB" w:rsidRPr="00B65498" w:rsidRDefault="00AC17BB" w:rsidP="00AC17BB">
            <w:pPr>
              <w:spacing w:line="240" w:lineRule="auto"/>
              <w:jc w:val="right"/>
              <w:rPr>
                <w:rFonts w:ascii="Times New Roman" w:hAnsi="Times New Roman"/>
                <w:color w:val="000000"/>
                <w:sz w:val="14"/>
                <w:szCs w:val="14"/>
              </w:rPr>
            </w:pPr>
            <w:r>
              <w:rPr>
                <w:rFonts w:ascii="Times New Roman" w:hAnsi="Times New Roman"/>
                <w:b/>
                <w:bCs/>
                <w:color w:val="000000"/>
                <w:sz w:val="18"/>
                <w:szCs w:val="18"/>
              </w:rPr>
              <w:t>-3,46</w:t>
            </w:r>
          </w:p>
        </w:tc>
      </w:tr>
      <w:tr w:rsidR="00AC17BB" w:rsidRPr="008B4FE6" w14:paraId="6E20C917" w14:textId="77777777" w:rsidTr="00B81765">
        <w:trPr>
          <w:trHeight w:val="351"/>
        </w:trPr>
        <w:tc>
          <w:tcPr>
            <w:tcW w:w="2014" w:type="dxa"/>
            <w:gridSpan w:val="2"/>
            <w:shd w:val="clear" w:color="auto" w:fill="FFFFFF"/>
            <w:vAlign w:val="center"/>
          </w:tcPr>
          <w:p w14:paraId="7BBA58C6" w14:textId="77777777" w:rsidR="00AC17BB" w:rsidRPr="00C53F26" w:rsidRDefault="00AC17BB" w:rsidP="00AC17BB">
            <w:pPr>
              <w:spacing w:line="240" w:lineRule="auto"/>
              <w:rPr>
                <w:rFonts w:ascii="Times New Roman" w:hAnsi="Times New Roman"/>
                <w:color w:val="000000"/>
                <w:sz w:val="21"/>
                <w:szCs w:val="21"/>
              </w:rPr>
            </w:pPr>
            <w:r w:rsidRPr="00C53F26">
              <w:rPr>
                <w:rFonts w:ascii="Times New Roman" w:hAnsi="Times New Roman"/>
                <w:color w:val="000000"/>
                <w:sz w:val="21"/>
                <w:szCs w:val="21"/>
              </w:rPr>
              <w:t>budżet państwa</w:t>
            </w:r>
          </w:p>
        </w:tc>
        <w:tc>
          <w:tcPr>
            <w:tcW w:w="709" w:type="dxa"/>
            <w:gridSpan w:val="3"/>
            <w:shd w:val="clear" w:color="auto" w:fill="FFFFFF"/>
            <w:vAlign w:val="center"/>
          </w:tcPr>
          <w:p w14:paraId="36EC9333" w14:textId="77777777" w:rsidR="00AC17BB" w:rsidRPr="00C013A2" w:rsidRDefault="00AC17BB" w:rsidP="00AC17BB">
            <w:pPr>
              <w:spacing w:line="240" w:lineRule="auto"/>
              <w:jc w:val="right"/>
              <w:rPr>
                <w:rFonts w:ascii="Times New Roman" w:hAnsi="Times New Roman"/>
                <w:color w:val="000000"/>
                <w:sz w:val="18"/>
                <w:szCs w:val="18"/>
              </w:rPr>
            </w:pPr>
            <w:r>
              <w:rPr>
                <w:rFonts w:ascii="Times New Roman" w:hAnsi="Times New Roman"/>
                <w:color w:val="000000"/>
                <w:sz w:val="18"/>
                <w:szCs w:val="18"/>
              </w:rPr>
              <w:t>-3,13</w:t>
            </w:r>
          </w:p>
        </w:tc>
        <w:tc>
          <w:tcPr>
            <w:tcW w:w="709" w:type="dxa"/>
            <w:shd w:val="clear" w:color="auto" w:fill="FFFFFF"/>
            <w:vAlign w:val="center"/>
          </w:tcPr>
          <w:p w14:paraId="2CD7DB54" w14:textId="77777777" w:rsidR="00AC17BB" w:rsidRPr="00C013A2" w:rsidRDefault="00AC17BB" w:rsidP="00AC17BB">
            <w:pPr>
              <w:spacing w:line="240" w:lineRule="auto"/>
              <w:jc w:val="right"/>
              <w:rPr>
                <w:rFonts w:ascii="Times New Roman" w:hAnsi="Times New Roman"/>
                <w:color w:val="000000"/>
                <w:sz w:val="18"/>
                <w:szCs w:val="18"/>
              </w:rPr>
            </w:pPr>
            <w:r>
              <w:rPr>
                <w:rFonts w:ascii="Times New Roman" w:hAnsi="Times New Roman"/>
                <w:color w:val="000000"/>
                <w:sz w:val="18"/>
                <w:szCs w:val="18"/>
              </w:rPr>
              <w:t>-0,33</w:t>
            </w:r>
          </w:p>
        </w:tc>
        <w:tc>
          <w:tcPr>
            <w:tcW w:w="708" w:type="dxa"/>
            <w:gridSpan w:val="3"/>
            <w:shd w:val="clear" w:color="auto" w:fill="FFFFFF"/>
            <w:vAlign w:val="center"/>
          </w:tcPr>
          <w:p w14:paraId="7005EA26"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DF49C5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C1E2B5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C7186D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3A4FB97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1F8A89EF"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20DA53CB"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72CD4E89"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494ADC06"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7E7AE91" w14:textId="77777777" w:rsidR="00AC17BB" w:rsidRPr="00C013A2" w:rsidRDefault="00AC17BB" w:rsidP="00AC17BB">
            <w:pPr>
              <w:spacing w:line="240" w:lineRule="auto"/>
              <w:jc w:val="right"/>
              <w:rPr>
                <w:rFonts w:ascii="Times New Roman" w:hAnsi="Times New Roman"/>
                <w:b/>
                <w:bCs/>
                <w:color w:val="000000"/>
                <w:sz w:val="18"/>
                <w:szCs w:val="18"/>
              </w:rPr>
            </w:pPr>
            <w:r w:rsidRPr="001643D1">
              <w:rPr>
                <w:rFonts w:ascii="Times New Roman" w:hAnsi="Times New Roman"/>
                <w:b/>
                <w:bCs/>
                <w:color w:val="000000"/>
                <w:sz w:val="18"/>
                <w:szCs w:val="18"/>
              </w:rPr>
              <w:t>-3,46</w:t>
            </w:r>
          </w:p>
        </w:tc>
      </w:tr>
      <w:tr w:rsidR="00AC17BB" w:rsidRPr="008B4FE6" w14:paraId="1BBEE9B1" w14:textId="77777777" w:rsidTr="00B81765">
        <w:trPr>
          <w:trHeight w:val="351"/>
        </w:trPr>
        <w:tc>
          <w:tcPr>
            <w:tcW w:w="2014" w:type="dxa"/>
            <w:gridSpan w:val="2"/>
            <w:shd w:val="clear" w:color="auto" w:fill="FFFFFF"/>
            <w:vAlign w:val="center"/>
          </w:tcPr>
          <w:p w14:paraId="7ACF5E14"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JST</w:t>
            </w:r>
          </w:p>
        </w:tc>
        <w:tc>
          <w:tcPr>
            <w:tcW w:w="709" w:type="dxa"/>
            <w:gridSpan w:val="3"/>
            <w:shd w:val="clear" w:color="auto" w:fill="FFFFFF"/>
            <w:vAlign w:val="center"/>
          </w:tcPr>
          <w:p w14:paraId="005926AC"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772D3C4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1D6E0E3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2243278"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61B0DAF1"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8CC35FA"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2D3F9D46"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C815E04"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0A00CC9F"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5BB6AB54"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09D79EDE"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2FF66CF6" w14:textId="77777777" w:rsidR="00AC17BB" w:rsidRPr="00C013A2" w:rsidRDefault="00AC17BB" w:rsidP="00AC17BB">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AC17BB" w:rsidRPr="008B4FE6" w14:paraId="30070B02" w14:textId="77777777" w:rsidTr="00B81765">
        <w:trPr>
          <w:trHeight w:val="351"/>
        </w:trPr>
        <w:tc>
          <w:tcPr>
            <w:tcW w:w="2014" w:type="dxa"/>
            <w:gridSpan w:val="2"/>
            <w:shd w:val="clear" w:color="auto" w:fill="FFFFFF"/>
            <w:vAlign w:val="center"/>
          </w:tcPr>
          <w:p w14:paraId="0617FA5B" w14:textId="77777777" w:rsidR="00AC17BB" w:rsidRPr="00C53F26" w:rsidRDefault="00AC17BB" w:rsidP="00AC17BB">
            <w:pPr>
              <w:spacing w:line="240" w:lineRule="auto"/>
              <w:rPr>
                <w:rFonts w:ascii="Times New Roman" w:hAnsi="Times New Roman"/>
                <w:color w:val="000000"/>
                <w:sz w:val="21"/>
                <w:szCs w:val="21"/>
              </w:rPr>
            </w:pPr>
            <w:r>
              <w:rPr>
                <w:rFonts w:ascii="Times New Roman" w:hAnsi="Times New Roman"/>
                <w:color w:val="000000"/>
                <w:sz w:val="21"/>
                <w:szCs w:val="21"/>
              </w:rPr>
              <w:t>pozostałe jednostki (oddzielnie)</w:t>
            </w:r>
          </w:p>
        </w:tc>
        <w:tc>
          <w:tcPr>
            <w:tcW w:w="709" w:type="dxa"/>
            <w:gridSpan w:val="3"/>
            <w:shd w:val="clear" w:color="auto" w:fill="FFFFFF"/>
            <w:vAlign w:val="center"/>
          </w:tcPr>
          <w:p w14:paraId="60EC1A5F"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shd w:val="clear" w:color="auto" w:fill="FFFFFF"/>
            <w:vAlign w:val="center"/>
          </w:tcPr>
          <w:p w14:paraId="5CBC99E2"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4A68581B"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2008D7F5"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0E5184CF"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6860B284"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3"/>
            <w:shd w:val="clear" w:color="auto" w:fill="FFFFFF"/>
            <w:vAlign w:val="center"/>
          </w:tcPr>
          <w:p w14:paraId="60AD706E"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3"/>
            <w:shd w:val="clear" w:color="auto" w:fill="FFFFFF"/>
            <w:vAlign w:val="center"/>
          </w:tcPr>
          <w:p w14:paraId="78BF1D2D"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851" w:type="dxa"/>
            <w:gridSpan w:val="2"/>
            <w:shd w:val="clear" w:color="auto" w:fill="FFFFFF"/>
            <w:vAlign w:val="center"/>
          </w:tcPr>
          <w:p w14:paraId="56CF32CB"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8" w:type="dxa"/>
            <w:gridSpan w:val="2"/>
            <w:shd w:val="clear" w:color="auto" w:fill="FFFFFF"/>
            <w:vAlign w:val="center"/>
          </w:tcPr>
          <w:p w14:paraId="65DC81DE" w14:textId="77777777" w:rsidR="00AC17BB" w:rsidRPr="00C013A2" w:rsidRDefault="00AC17BB" w:rsidP="00AC17BB">
            <w:pPr>
              <w:spacing w:line="240" w:lineRule="auto"/>
              <w:jc w:val="right"/>
              <w:rPr>
                <w:rFonts w:ascii="Times New Roman" w:hAnsi="Times New Roman"/>
                <w:color w:val="000000"/>
                <w:sz w:val="18"/>
                <w:szCs w:val="18"/>
              </w:rPr>
            </w:pPr>
            <w:r w:rsidRPr="00CF6F21">
              <w:rPr>
                <w:rFonts w:ascii="Times New Roman" w:hAnsi="Times New Roman"/>
                <w:color w:val="000000"/>
                <w:sz w:val="18"/>
                <w:szCs w:val="18"/>
              </w:rPr>
              <w:t>0</w:t>
            </w:r>
          </w:p>
        </w:tc>
        <w:tc>
          <w:tcPr>
            <w:tcW w:w="709" w:type="dxa"/>
            <w:gridSpan w:val="2"/>
            <w:shd w:val="clear" w:color="auto" w:fill="FFFFFF"/>
            <w:vAlign w:val="center"/>
          </w:tcPr>
          <w:p w14:paraId="576EFF9B" w14:textId="77777777" w:rsidR="00AC17BB" w:rsidRPr="00B65498" w:rsidRDefault="00AC17BB" w:rsidP="00AC17BB">
            <w:pPr>
              <w:spacing w:line="240" w:lineRule="auto"/>
              <w:jc w:val="right"/>
              <w:rPr>
                <w:rFonts w:ascii="Times New Roman" w:hAnsi="Times New Roman"/>
                <w:color w:val="000000"/>
                <w:sz w:val="14"/>
                <w:szCs w:val="14"/>
              </w:rPr>
            </w:pPr>
            <w:r w:rsidRPr="00CF6F21">
              <w:rPr>
                <w:rFonts w:ascii="Times New Roman" w:hAnsi="Times New Roman"/>
                <w:color w:val="000000"/>
                <w:sz w:val="18"/>
                <w:szCs w:val="18"/>
              </w:rPr>
              <w:t>0</w:t>
            </w:r>
          </w:p>
        </w:tc>
        <w:tc>
          <w:tcPr>
            <w:tcW w:w="995" w:type="dxa"/>
            <w:gridSpan w:val="2"/>
            <w:shd w:val="clear" w:color="auto" w:fill="FFFFFF"/>
            <w:vAlign w:val="center"/>
          </w:tcPr>
          <w:p w14:paraId="5850D4F8" w14:textId="77777777" w:rsidR="00AC17BB" w:rsidRPr="00C013A2" w:rsidRDefault="00AC17BB" w:rsidP="00AC17BB">
            <w:pPr>
              <w:spacing w:line="240" w:lineRule="auto"/>
              <w:jc w:val="right"/>
              <w:rPr>
                <w:rFonts w:ascii="Times New Roman" w:hAnsi="Times New Roman"/>
                <w:b/>
                <w:bCs/>
                <w:color w:val="000000"/>
                <w:sz w:val="18"/>
                <w:szCs w:val="18"/>
              </w:rPr>
            </w:pPr>
            <w:r w:rsidRPr="00E23058">
              <w:rPr>
                <w:rFonts w:ascii="Times New Roman" w:hAnsi="Times New Roman"/>
                <w:b/>
                <w:bCs/>
                <w:color w:val="000000"/>
                <w:sz w:val="18"/>
                <w:szCs w:val="18"/>
              </w:rPr>
              <w:t>0</w:t>
            </w:r>
          </w:p>
        </w:tc>
      </w:tr>
      <w:tr w:rsidR="00B040FC" w:rsidRPr="008B4FE6" w14:paraId="09B805A3" w14:textId="77777777" w:rsidTr="00AC17BB">
        <w:trPr>
          <w:gridAfter w:val="1"/>
          <w:wAfter w:w="10" w:type="dxa"/>
          <w:trHeight w:val="348"/>
        </w:trPr>
        <w:tc>
          <w:tcPr>
            <w:tcW w:w="2243" w:type="dxa"/>
            <w:gridSpan w:val="3"/>
            <w:shd w:val="clear" w:color="auto" w:fill="FFFFFF"/>
            <w:vAlign w:val="center"/>
          </w:tcPr>
          <w:p w14:paraId="5BD96E6F" w14:textId="77777777" w:rsidR="00B040FC" w:rsidRPr="00C53F26" w:rsidRDefault="00B040FC" w:rsidP="00B040FC">
            <w:pPr>
              <w:spacing w:line="240" w:lineRule="auto"/>
              <w:rPr>
                <w:rFonts w:ascii="Times New Roman" w:hAnsi="Times New Roman"/>
                <w:color w:val="000000"/>
                <w:sz w:val="21"/>
                <w:szCs w:val="21"/>
              </w:rPr>
            </w:pPr>
            <w:r w:rsidRPr="00C53F26">
              <w:rPr>
                <w:rFonts w:ascii="Times New Roman" w:hAnsi="Times New Roman"/>
                <w:color w:val="000000"/>
                <w:sz w:val="21"/>
                <w:szCs w:val="21"/>
              </w:rPr>
              <w:t xml:space="preserve">Źródła finansowania </w:t>
            </w:r>
          </w:p>
        </w:tc>
        <w:tc>
          <w:tcPr>
            <w:tcW w:w="8694" w:type="dxa"/>
            <w:gridSpan w:val="26"/>
            <w:shd w:val="clear" w:color="auto" w:fill="FFFFFF"/>
            <w:vAlign w:val="center"/>
          </w:tcPr>
          <w:p w14:paraId="611EC24C" w14:textId="6111C6AF" w:rsidR="000D3D1B" w:rsidRDefault="00B81765" w:rsidP="00B81765">
            <w:pPr>
              <w:spacing w:line="240" w:lineRule="auto"/>
              <w:jc w:val="both"/>
              <w:rPr>
                <w:rFonts w:ascii="Times New Roman" w:hAnsi="Times New Roman"/>
                <w:sz w:val="21"/>
                <w:szCs w:val="21"/>
              </w:rPr>
            </w:pPr>
            <w:r w:rsidRPr="00B11078">
              <w:rPr>
                <w:rFonts w:ascii="Times New Roman" w:hAnsi="Times New Roman"/>
                <w:sz w:val="21"/>
                <w:szCs w:val="21"/>
              </w:rPr>
              <w:t xml:space="preserve">Skutki finansowe wynikające z wejścia w życie projektowanych </w:t>
            </w:r>
            <w:r>
              <w:rPr>
                <w:rFonts w:ascii="Times New Roman" w:hAnsi="Times New Roman"/>
                <w:sz w:val="21"/>
                <w:szCs w:val="21"/>
              </w:rPr>
              <w:t xml:space="preserve">rozwiązań w zakresie rejestru REGON, CEIDG i KRS, związane z modyfikacją systemów, wynikającą m.in. ze zmian w klasyfikacji PKD, </w:t>
            </w:r>
            <w:r w:rsidRPr="00B11078">
              <w:rPr>
                <w:rFonts w:ascii="Times New Roman" w:hAnsi="Times New Roman"/>
                <w:sz w:val="21"/>
                <w:szCs w:val="21"/>
              </w:rPr>
              <w:t xml:space="preserve">zostaną sfinansowane </w:t>
            </w:r>
            <w:r>
              <w:rPr>
                <w:rFonts w:ascii="Times New Roman" w:hAnsi="Times New Roman"/>
                <w:sz w:val="21"/>
                <w:szCs w:val="21"/>
              </w:rPr>
              <w:t xml:space="preserve">z budżetu państwa </w:t>
            </w:r>
            <w:r w:rsidRPr="006E49F2">
              <w:rPr>
                <w:rFonts w:ascii="Times New Roman" w:hAnsi="Times New Roman"/>
                <w:sz w:val="21"/>
                <w:szCs w:val="21"/>
              </w:rPr>
              <w:t xml:space="preserve">w ramach </w:t>
            </w:r>
            <w:r>
              <w:rPr>
                <w:rFonts w:ascii="Times New Roman" w:hAnsi="Times New Roman"/>
                <w:sz w:val="21"/>
                <w:szCs w:val="21"/>
              </w:rPr>
              <w:t>środków</w:t>
            </w:r>
            <w:r w:rsidRPr="006E49F2">
              <w:rPr>
                <w:rFonts w:ascii="Times New Roman" w:hAnsi="Times New Roman"/>
                <w:sz w:val="21"/>
                <w:szCs w:val="21"/>
              </w:rPr>
              <w:t xml:space="preserve"> poszczególny</w:t>
            </w:r>
            <w:r>
              <w:rPr>
                <w:rFonts w:ascii="Times New Roman" w:hAnsi="Times New Roman"/>
                <w:sz w:val="21"/>
                <w:szCs w:val="21"/>
              </w:rPr>
              <w:t>ch</w:t>
            </w:r>
            <w:r w:rsidRPr="006E49F2">
              <w:rPr>
                <w:rFonts w:ascii="Times New Roman" w:hAnsi="Times New Roman"/>
                <w:sz w:val="21"/>
                <w:szCs w:val="21"/>
              </w:rPr>
              <w:t xml:space="preserve"> dysponent</w:t>
            </w:r>
            <w:r>
              <w:rPr>
                <w:rFonts w:ascii="Times New Roman" w:hAnsi="Times New Roman"/>
                <w:sz w:val="21"/>
                <w:szCs w:val="21"/>
              </w:rPr>
              <w:t>ów</w:t>
            </w:r>
            <w:r w:rsidRPr="006E49F2">
              <w:rPr>
                <w:rFonts w:ascii="Times New Roman" w:hAnsi="Times New Roman"/>
                <w:sz w:val="21"/>
                <w:szCs w:val="21"/>
              </w:rPr>
              <w:t xml:space="preserve"> prowadzący</w:t>
            </w:r>
            <w:r>
              <w:rPr>
                <w:rFonts w:ascii="Times New Roman" w:hAnsi="Times New Roman"/>
                <w:sz w:val="21"/>
                <w:szCs w:val="21"/>
              </w:rPr>
              <w:t>ch</w:t>
            </w:r>
            <w:r w:rsidRPr="006E49F2">
              <w:rPr>
                <w:rFonts w:ascii="Times New Roman" w:hAnsi="Times New Roman"/>
                <w:sz w:val="21"/>
                <w:szCs w:val="21"/>
              </w:rPr>
              <w:t xml:space="preserve"> rejestry.</w:t>
            </w:r>
            <w:r>
              <w:rPr>
                <w:rFonts w:ascii="Times New Roman" w:hAnsi="Times New Roman"/>
                <w:sz w:val="21"/>
                <w:szCs w:val="21"/>
              </w:rPr>
              <w:t xml:space="preserve"> </w:t>
            </w:r>
            <w:r w:rsidR="000D3D1B" w:rsidRPr="00424E84">
              <w:rPr>
                <w:rFonts w:ascii="Times New Roman" w:hAnsi="Times New Roman"/>
                <w:sz w:val="21"/>
                <w:szCs w:val="21"/>
              </w:rPr>
              <w:t xml:space="preserve">Koszty te nie będą stanowiły podstawy do ubiegania się o dodatkowe środki finansowe z budżetu państwa na ten cel zarówno w roku wejścia w życie proponowanych regulacji jak i w latach następnych. W przypadku rejestru REGON i CEIDG – oszacowano koszty na lata 2025-2026, a w przypadku KRS – na 2025 r. </w:t>
            </w:r>
          </w:p>
          <w:p w14:paraId="654383DF" w14:textId="77777777" w:rsidR="00B81765" w:rsidRDefault="00B81765" w:rsidP="00B81765">
            <w:pPr>
              <w:spacing w:before="120" w:line="240" w:lineRule="auto"/>
              <w:jc w:val="both"/>
              <w:rPr>
                <w:rFonts w:ascii="Times New Roman" w:hAnsi="Times New Roman"/>
                <w:sz w:val="21"/>
                <w:szCs w:val="21"/>
              </w:rPr>
            </w:pPr>
            <w:r>
              <w:rPr>
                <w:rFonts w:ascii="Times New Roman" w:hAnsi="Times New Roman"/>
                <w:sz w:val="21"/>
                <w:szCs w:val="21"/>
              </w:rPr>
              <w:t xml:space="preserve">Źródłem finansowania kosztów dostosowania systemów informatycznych do prowadzenia i udostępniania danych z rejestru TERYT do zmian proponowanych w projekcie ustawy (tj. możliwości oznaczania zmian o jednoznacznym charakterze) będzie </w:t>
            </w:r>
            <w:r w:rsidRPr="00B11078">
              <w:rPr>
                <w:rFonts w:ascii="Times New Roman" w:hAnsi="Times New Roman"/>
                <w:sz w:val="21"/>
                <w:szCs w:val="21"/>
              </w:rPr>
              <w:t>budżet państwa</w:t>
            </w:r>
            <w:r>
              <w:rPr>
                <w:rFonts w:ascii="Times New Roman" w:hAnsi="Times New Roman"/>
                <w:sz w:val="21"/>
                <w:szCs w:val="21"/>
              </w:rPr>
              <w:t xml:space="preserve"> </w:t>
            </w:r>
            <w:r w:rsidRPr="00E83EB9">
              <w:rPr>
                <w:rFonts w:ascii="Times New Roman" w:hAnsi="Times New Roman"/>
                <w:sz w:val="21"/>
                <w:szCs w:val="21"/>
              </w:rPr>
              <w:t xml:space="preserve">w części dotyczącej Głównego Urzędu Statystycznego. </w:t>
            </w:r>
          </w:p>
          <w:p w14:paraId="0B2446AD" w14:textId="7384810F" w:rsidR="00B040FC" w:rsidRPr="00BE020B" w:rsidRDefault="00B81765" w:rsidP="00B81765">
            <w:pPr>
              <w:spacing w:before="120" w:line="240" w:lineRule="exact"/>
              <w:jc w:val="both"/>
              <w:rPr>
                <w:rFonts w:ascii="Times New Roman" w:hAnsi="Times New Roman"/>
              </w:rPr>
            </w:pPr>
            <w:r w:rsidRPr="00B11AB7">
              <w:rPr>
                <w:rFonts w:ascii="Times New Roman" w:hAnsi="Times New Roman"/>
                <w:sz w:val="21"/>
                <w:szCs w:val="21"/>
              </w:rPr>
              <w:t>Źródłem finansowania kosztów związanych z modyfikacją systemów teleinformatycznych służących do prowadzenia rejestrów sądowych</w:t>
            </w:r>
            <w:r>
              <w:rPr>
                <w:rFonts w:ascii="Times New Roman" w:hAnsi="Times New Roman"/>
                <w:sz w:val="21"/>
                <w:szCs w:val="21"/>
              </w:rPr>
              <w:t>, wynikającą ze zmian wprowadzonych w projektowanej ustawie</w:t>
            </w:r>
            <w:r w:rsidRPr="00B11AB7">
              <w:rPr>
                <w:rFonts w:ascii="Times New Roman" w:hAnsi="Times New Roman"/>
                <w:sz w:val="21"/>
                <w:szCs w:val="21"/>
              </w:rPr>
              <w:t xml:space="preserve"> (obejmującą integrację EKW ze słownikiem TERYT oraz modyfikację w zakresie KRS) </w:t>
            </w:r>
            <w:r w:rsidRPr="00B11AB7">
              <w:rPr>
                <w:rFonts w:ascii="Times New Roman" w:hAnsi="Times New Roman"/>
                <w:color w:val="000000"/>
                <w:sz w:val="21"/>
                <w:szCs w:val="21"/>
              </w:rPr>
              <w:t xml:space="preserve">będzie część 15 budżetu państwa, dział 755, rozdział 75502 oraz część 37 budżetu państwa, dział 755, rozdział 75501. Koszty te nie będą stanowiły podstawy do ubiegania się o dodatkowe środki finansowe </w:t>
            </w:r>
            <w:r>
              <w:rPr>
                <w:rFonts w:ascii="Times New Roman" w:hAnsi="Times New Roman"/>
                <w:color w:val="000000"/>
                <w:sz w:val="21"/>
                <w:szCs w:val="21"/>
              </w:rPr>
              <w:br/>
            </w:r>
            <w:r w:rsidRPr="00B11AB7">
              <w:rPr>
                <w:rFonts w:ascii="Times New Roman" w:hAnsi="Times New Roman"/>
                <w:color w:val="000000"/>
                <w:sz w:val="21"/>
                <w:szCs w:val="21"/>
              </w:rPr>
              <w:t>z budżetu państwa na ten cel zarówno w roku wejścia w życie proponowanych regulacji jak i w latach następnych</w:t>
            </w:r>
            <w:r>
              <w:rPr>
                <w:rFonts w:ascii="Times New Roman" w:hAnsi="Times New Roman"/>
                <w:color w:val="000000"/>
                <w:sz w:val="21"/>
                <w:szCs w:val="21"/>
              </w:rPr>
              <w:t xml:space="preserve"> (w tab. pkt 6 OSR w 2025 r. przedstawione zostały maksymalne wydatki związane ze zmianami teleinformatycznymi)</w:t>
            </w:r>
            <w:r w:rsidRPr="00B11AB7">
              <w:rPr>
                <w:rFonts w:ascii="Times New Roman" w:hAnsi="Times New Roman"/>
                <w:color w:val="000000"/>
                <w:sz w:val="21"/>
                <w:szCs w:val="21"/>
              </w:rPr>
              <w:t>.</w:t>
            </w:r>
          </w:p>
        </w:tc>
      </w:tr>
      <w:tr w:rsidR="00B040FC" w:rsidRPr="008B4FE6" w14:paraId="61AC5662" w14:textId="77777777" w:rsidTr="00AC17BB">
        <w:trPr>
          <w:gridAfter w:val="1"/>
          <w:wAfter w:w="10" w:type="dxa"/>
          <w:trHeight w:val="1319"/>
        </w:trPr>
        <w:tc>
          <w:tcPr>
            <w:tcW w:w="2243" w:type="dxa"/>
            <w:gridSpan w:val="3"/>
            <w:shd w:val="clear" w:color="auto" w:fill="FFFFFF"/>
          </w:tcPr>
          <w:p w14:paraId="73BCE6D3" w14:textId="77777777" w:rsidR="00B040FC" w:rsidRPr="00C53F26" w:rsidRDefault="00B040FC" w:rsidP="00B040FC">
            <w:pPr>
              <w:spacing w:line="240" w:lineRule="auto"/>
              <w:rPr>
                <w:rFonts w:ascii="Times New Roman" w:hAnsi="Times New Roman"/>
                <w:color w:val="000000"/>
                <w:sz w:val="21"/>
                <w:szCs w:val="21"/>
              </w:rPr>
            </w:pPr>
            <w:bookmarkStart w:id="24" w:name="_Hlk113638537"/>
            <w:r w:rsidRPr="00301959">
              <w:rPr>
                <w:rFonts w:ascii="Times New Roman" w:hAnsi="Times New Roman"/>
                <w:color w:val="000000"/>
                <w:sz w:val="21"/>
                <w:szCs w:val="21"/>
              </w:rPr>
              <w:t>Dodatkowe informacje, w tym wskazanie źródeł danych i przyjętych do obliczeń założeń</w:t>
            </w:r>
          </w:p>
        </w:tc>
        <w:tc>
          <w:tcPr>
            <w:tcW w:w="8694" w:type="dxa"/>
            <w:gridSpan w:val="26"/>
            <w:shd w:val="clear" w:color="auto" w:fill="FFFFFF"/>
          </w:tcPr>
          <w:p w14:paraId="4A1EA284" w14:textId="77777777" w:rsidR="00F764A4" w:rsidRPr="004A6B9C" w:rsidRDefault="00F764A4" w:rsidP="00F764A4">
            <w:pPr>
              <w:spacing w:line="240" w:lineRule="exact"/>
              <w:jc w:val="both"/>
              <w:rPr>
                <w:rFonts w:ascii="Times New Roman" w:hAnsi="Times New Roman"/>
                <w:color w:val="000000"/>
                <w:sz w:val="21"/>
                <w:szCs w:val="21"/>
              </w:rPr>
            </w:pPr>
            <w:r w:rsidRPr="004A6B9C">
              <w:rPr>
                <w:rFonts w:ascii="Times New Roman" w:hAnsi="Times New Roman"/>
                <w:color w:val="000000"/>
                <w:sz w:val="21"/>
                <w:szCs w:val="21"/>
              </w:rPr>
              <w:t xml:space="preserve">Przyjęcie proponowanych w projektowanej ustawie regulacji w części dotyczącej rejestru </w:t>
            </w:r>
            <w:r w:rsidRPr="004A6B9C">
              <w:rPr>
                <w:rFonts w:ascii="Times New Roman" w:hAnsi="Times New Roman"/>
                <w:sz w:val="21"/>
                <w:szCs w:val="21"/>
              </w:rPr>
              <w:t xml:space="preserve">REGON oraz klasyfikacji PKD </w:t>
            </w:r>
            <w:r w:rsidRPr="004A6B9C">
              <w:rPr>
                <w:rFonts w:ascii="Times New Roman" w:hAnsi="Times New Roman"/>
                <w:color w:val="000000"/>
                <w:sz w:val="21"/>
                <w:szCs w:val="21"/>
              </w:rPr>
              <w:t>– w tym wprowadzenie mechanizmu przeklasyfikowania i automatycznej zmiany – będzie się wiązało z koniecznością poniesienia kosztów na dostosowanie systemów KRS, CEIDG, REGON do wprowadzanych zmian. Koszty te będą występować, jeżeli w przewidzianym okresie przejściowym równoczesnego stosowania dotychczasowej klasyfikacji i nowej albo zmienianej klasyfikacji, w przypadku zmian wprowadzanych w klasyfikacji PKD, podmioty same nie dokonają takiego przeklasyfikowania.</w:t>
            </w:r>
          </w:p>
          <w:p w14:paraId="144D7BF2" w14:textId="77777777" w:rsidR="00F764A4" w:rsidRPr="004A6B9C"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 xml:space="preserve">Przyjmuje się, że w zakresie zmian dotyczących rejestru REGON koszty dostosowania systemów tego rejestru do projektowanych rozwiązań wyniosą około 840.000 zł. Uwzględniono koszty związane </w:t>
            </w:r>
            <w:r w:rsidRPr="004A6B9C">
              <w:rPr>
                <w:rFonts w:ascii="Times New Roman" w:hAnsi="Times New Roman"/>
                <w:sz w:val="21"/>
                <w:szCs w:val="21"/>
              </w:rPr>
              <w:br/>
              <w:t xml:space="preserve">z przeklasyfikowaniem PKD, zmian oprogramowania, integracji z usługą PESEL i NIP (weryfikacja danych), zmiany pojęć, dodania dodatkowych atrybutów, ograniczenia udostępniania informacji </w:t>
            </w:r>
            <w:r w:rsidRPr="004A6B9C">
              <w:rPr>
                <w:rFonts w:ascii="Times New Roman" w:hAnsi="Times New Roman"/>
                <w:sz w:val="21"/>
                <w:szCs w:val="21"/>
              </w:rPr>
              <w:br/>
              <w:t xml:space="preserve">o podmiotach po 10 latach od wykreślenia (ok 200 000 zł) - wyliczenia szacowane były w oparciu o stawkę godzinową 66 PLN dla 2003 r. pomnożoną przez 3000 godzin oraz koszty kontaktu z podmiotami rejestru w zakresie wniosków i zaświadczeń (ok 400 000) – przyjęto minimalną liczbę wydanych zaświadczeń za rok 2023 – 50 000 x 4 zł rocznie oraz dodatkowy kontakt z ok. 100 000 podmiotów  rejestru x 2 zł (ok 200 000 w podziale na 2025 i 2026 r.). </w:t>
            </w:r>
          </w:p>
          <w:p w14:paraId="7B98AC28" w14:textId="77777777" w:rsidR="00F764A4" w:rsidRPr="004A6B9C"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Źródłem finansowania modyfikacji będzie część 58, dział 750, 720 rozdział 75001, 72001.</w:t>
            </w:r>
          </w:p>
          <w:p w14:paraId="2B11720B" w14:textId="7AEBF4E7" w:rsidR="00F764A4" w:rsidRPr="004A6B9C" w:rsidRDefault="00F764A4" w:rsidP="00F764A4">
            <w:pPr>
              <w:spacing w:before="120" w:line="240" w:lineRule="exact"/>
              <w:jc w:val="both"/>
              <w:rPr>
                <w:rFonts w:ascii="Times New Roman" w:hAnsi="Times New Roman"/>
                <w:color w:val="000000"/>
                <w:sz w:val="21"/>
                <w:szCs w:val="21"/>
              </w:rPr>
            </w:pPr>
            <w:r w:rsidRPr="004A6B9C">
              <w:rPr>
                <w:rFonts w:ascii="Times New Roman" w:hAnsi="Times New Roman"/>
                <w:color w:val="000000"/>
                <w:sz w:val="21"/>
                <w:szCs w:val="21"/>
              </w:rPr>
              <w:t xml:space="preserve">Koszty dotyczące przeklasyfikowania i automatycznej zmiany przeważającej i pozostałej działalności podmiotów wpisanych do rejestru REGON, w przypadku zmian wprowadzanych w klasyfikacji PKD, zostaną każdorazowo oszacowane w Ocenie Skutków Regulacji projektu aktu wykonawczego wprowadzającego nową klasyfikację PKD – wydawanego na podstawie art. 40 ust 2 i 3 ustawy </w:t>
            </w:r>
            <w:r>
              <w:rPr>
                <w:rFonts w:ascii="Times New Roman" w:hAnsi="Times New Roman"/>
                <w:color w:val="000000"/>
                <w:sz w:val="21"/>
                <w:szCs w:val="21"/>
              </w:rPr>
              <w:br/>
            </w:r>
            <w:r w:rsidRPr="004A6B9C">
              <w:rPr>
                <w:rFonts w:ascii="Times New Roman" w:hAnsi="Times New Roman"/>
                <w:color w:val="000000"/>
                <w:sz w:val="21"/>
                <w:szCs w:val="21"/>
              </w:rPr>
              <w:t>o statystyce publicznej (w brzmieniu nadanym projektowaną ustawą) – lub zmiany tej klasyfikacji.</w:t>
            </w:r>
          </w:p>
          <w:p w14:paraId="5750DF0B" w14:textId="491F2E30" w:rsidR="00F764A4" w:rsidRPr="004A6B9C"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 xml:space="preserve">Koszt zmian w systemie CEIDG został oszacowany przez Ministerstwo Rozwoju i Technologii </w:t>
            </w:r>
            <w:r>
              <w:rPr>
                <w:rFonts w:ascii="Times New Roman" w:hAnsi="Times New Roman"/>
                <w:sz w:val="21"/>
                <w:szCs w:val="21"/>
              </w:rPr>
              <w:br/>
            </w:r>
            <w:r w:rsidRPr="004A6B9C">
              <w:rPr>
                <w:rFonts w:ascii="Times New Roman" w:hAnsi="Times New Roman"/>
                <w:sz w:val="21"/>
                <w:szCs w:val="21"/>
              </w:rPr>
              <w:t>na około 940.000 zł. (na podstawie uwag zgłoszonych w trakcie uzgodnień międzyresortowych).</w:t>
            </w:r>
          </w:p>
          <w:p w14:paraId="54899B09" w14:textId="204C41F6" w:rsidR="00F764A4" w:rsidRPr="004A6B9C" w:rsidRDefault="00F764A4" w:rsidP="00F764A4">
            <w:pPr>
              <w:spacing w:before="120" w:line="240" w:lineRule="exact"/>
              <w:jc w:val="both"/>
              <w:rPr>
                <w:rFonts w:ascii="Times New Roman" w:hAnsi="Times New Roman"/>
                <w:color w:val="000000"/>
                <w:sz w:val="21"/>
                <w:szCs w:val="21"/>
              </w:rPr>
            </w:pPr>
            <w:r w:rsidRPr="004A6B9C">
              <w:rPr>
                <w:rFonts w:ascii="Times New Roman" w:hAnsi="Times New Roman"/>
                <w:bCs/>
                <w:color w:val="000000"/>
                <w:sz w:val="21"/>
                <w:szCs w:val="21"/>
              </w:rPr>
              <w:lastRenderedPageBreak/>
              <w:t>Koszt zmian oszacowany przez</w:t>
            </w:r>
            <w:r w:rsidRPr="004A6B9C">
              <w:rPr>
                <w:rFonts w:ascii="Times New Roman" w:hAnsi="Times New Roman"/>
                <w:color w:val="000000"/>
                <w:sz w:val="21"/>
                <w:szCs w:val="21"/>
              </w:rPr>
              <w:t xml:space="preserve"> Ministerstwo Sprawiedliwości – skutki finansowe dla części </w:t>
            </w:r>
            <w:r>
              <w:rPr>
                <w:rFonts w:ascii="Times New Roman" w:hAnsi="Times New Roman"/>
                <w:color w:val="000000"/>
                <w:sz w:val="21"/>
                <w:szCs w:val="21"/>
              </w:rPr>
              <w:br/>
            </w:r>
            <w:r w:rsidRPr="004A6B9C">
              <w:rPr>
                <w:rFonts w:ascii="Times New Roman" w:hAnsi="Times New Roman"/>
                <w:color w:val="000000"/>
                <w:sz w:val="21"/>
                <w:szCs w:val="21"/>
              </w:rPr>
              <w:t>15 budżetu państwa – zakres niezbędnych zmian w systemach teleinformatycznych zostanie</w:t>
            </w:r>
            <w:r>
              <w:rPr>
                <w:rFonts w:ascii="Times New Roman" w:hAnsi="Times New Roman"/>
                <w:color w:val="000000"/>
                <w:sz w:val="21"/>
                <w:szCs w:val="21"/>
              </w:rPr>
              <w:t xml:space="preserve"> </w:t>
            </w:r>
            <w:r w:rsidRPr="004A6B9C">
              <w:rPr>
                <w:rFonts w:ascii="Times New Roman" w:hAnsi="Times New Roman"/>
                <w:color w:val="000000"/>
                <w:sz w:val="21"/>
                <w:szCs w:val="21"/>
              </w:rPr>
              <w:t>sfinansowany z budżetu państwa w ramach środków finansowych Ministerstwa Sprawiedliwości. Koszty te zostały oszacowane w maksymalnej wysokości na 1 650 000 zł i obejmują koszty modyfikacji systemów w zakresie integracji: aplikacji EKW (Aplikacji Branżowej oraz SOWKW) ze słownikiem TERYT w wysokości od 520 000 zł do 650 000 zł oraz integracji KRS z rejestrem TERYT (koszt w wysokości od 500.000 PLN do 1.000.000 zł). Ostateczna wartość uzależniona będzie od szczegółowego ostatecznego zakresu realizowanych zmian i oszacowana po zleceniu prac wykonawcom i po dokonaniu przez nich wyceny.</w:t>
            </w:r>
          </w:p>
          <w:p w14:paraId="3E0D93A4" w14:textId="77777777" w:rsidR="00F764A4" w:rsidRPr="004A6B9C"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Zmiany w części dotyczącej rejestru TERYT obejmujące przepisy nakładające na powiatowych inspektorów nadzoru budowlanego obowiązek przekazywania elektronicznych wykazów oddanych do użytku budynków i mieszkań oraz ich ubytków, przepisy nakładające na wójtów (burmistrzów, prezydentów miast) obowiązek przekazywania dla potrzeb rejestru TERYT informacji o zmianach w nazewnictwie ulic i numeracji porządkowej budynków oraz zestawień danych dotyczących obszarów przekazywanych w związku z dokonaną zmianą w podziale terytorialnym, a także zmiany w ustawie Prawo geodezyjne i kartograficzne nakładające na starostów obowiązek przekazywania dla potrzeb rejestru TERYT informacji o zmianach dokonanych w numeracji i przebiegu granic obrębów ewidencyjnych, nie spowodują powstania dodatkowych obowiązków ponad te, które są już obecnie określone w przepisach regulujących funkcjonowanie rejestru TERYT i nie wygenerują dodatkowych kosztów związanych z ich realizacją, w tym nie będą generowały kosztów związanych z przekształceniem systemów teleinformatycznych.</w:t>
            </w:r>
            <w:r w:rsidRPr="004A6B9C">
              <w:rPr>
                <w:rFonts w:ascii="Times New Roman" w:hAnsi="Times New Roman"/>
                <w:iCs/>
                <w:sz w:val="21"/>
                <w:szCs w:val="21"/>
              </w:rPr>
              <w:t xml:space="preserve"> </w:t>
            </w:r>
            <w:r w:rsidRPr="004A6B9C">
              <w:rPr>
                <w:rFonts w:ascii="Times New Roman" w:hAnsi="Times New Roman"/>
                <w:sz w:val="21"/>
                <w:szCs w:val="21"/>
              </w:rPr>
              <w:t>Projektowane zmiany jedynie doprecyzowują i porządkują dotychczasowe regulacje. Dostosowanie rejestru TERYT do zmian określonych w projekcie ustawy będzie skutkowało koniecznością dostosowania systemów informatycznych do prowadzenia i udostępniania danych z rejestru do potrzeb oznaczania zmian o jednoznacznym charakterze. Przewidywane koszty  tego działania szacowane są na ok. 27 tys. zł (400 godzin pomnożone przez stawkę godzinową 66 zł). Działania te zostaną sfinansowane w ramach części budżetowej,  której dysponentem jest Prezes Głównego Urzędu Statystycznego i zostaną zrealizowane w 2026 r.</w:t>
            </w:r>
          </w:p>
          <w:p w14:paraId="29E5DF95" w14:textId="0059D97A" w:rsidR="00F764A4" w:rsidRPr="004A6B9C"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Wypełnienie obowiązku stosowania w innych rejestrach urzędowych i systemach informacyjnych administracji publicznej prowadzonych w systemie teleinformatycznym identyfikatorów rejestru TERYT, wynikającego z proponowanego art. 48a nowelizowanej ustawy, może spowodować koszty po stronie tych rejestrów i systemów, w których omawiane identyfikatory jeszcze nie są stosowane. Przyjmuje się, że ewentualne koszty z tym związane będą się wiązały z dostosowaniem systemów teleinformatycznych jedynie przez te rejestry urzędowe i systemy informacyjne administracji publicznej, które do tej pory nie stosowały identyfikatorów (</w:t>
            </w:r>
            <w:r w:rsidRPr="004A6B9C">
              <w:rPr>
                <w:rFonts w:ascii="Times New Roman" w:hAnsi="Times New Roman"/>
                <w:iCs/>
                <w:sz w:val="21"/>
                <w:szCs w:val="21"/>
              </w:rPr>
              <w:t>dodatkowy nakład pracy)</w:t>
            </w:r>
            <w:r w:rsidRPr="004A6B9C">
              <w:rPr>
                <w:rFonts w:ascii="Times New Roman" w:hAnsi="Times New Roman"/>
                <w:i/>
                <w:sz w:val="21"/>
                <w:szCs w:val="21"/>
              </w:rPr>
              <w:t>.</w:t>
            </w:r>
            <w:r w:rsidRPr="004A6B9C">
              <w:rPr>
                <w:rFonts w:ascii="Times New Roman" w:hAnsi="Times New Roman"/>
                <w:i/>
                <w:color w:val="FF0000"/>
                <w:sz w:val="21"/>
                <w:szCs w:val="21"/>
              </w:rPr>
              <w:t xml:space="preserve"> </w:t>
            </w:r>
            <w:r w:rsidRPr="004A6B9C">
              <w:rPr>
                <w:rFonts w:ascii="Times New Roman" w:hAnsi="Times New Roman"/>
                <w:color w:val="000000"/>
                <w:sz w:val="21"/>
                <w:szCs w:val="21"/>
              </w:rPr>
              <w:t xml:space="preserve">Zgodnie z art. 14 projektowanej ustawy na wprowadzenie tych zmian przewidziano cztery lata od dnia ogłoszenia ustawy. </w:t>
            </w:r>
            <w:r w:rsidRPr="004A6B9C">
              <w:rPr>
                <w:rFonts w:ascii="Times New Roman" w:hAnsi="Times New Roman"/>
                <w:sz w:val="21"/>
                <w:szCs w:val="21"/>
              </w:rPr>
              <w:t xml:space="preserve">Należy jednak zauważyć, że stosownie do przepisów art. 47 ust. 3 ustawy z dnia 29 czerwca 1995 r. o statystyce publicznej oraz § 16 i § 17 rozporządzenia w sprawie rejestru TERYT, obowiązek stosowania identyfikatorów rejestru TERYT i ich aktualizacji w związku z aktualizacją dokonaną w rejestrze TERYT funkcjonuje już w systemie prawa od ponad 20 lat. Zakłada się, że w większości rejestrów urzędowych i systemów informacyjnych administracji publicznej, w których jest to zasadne, stosuje </w:t>
            </w:r>
            <w:r w:rsidR="000D3D1B">
              <w:rPr>
                <w:rFonts w:ascii="Times New Roman" w:hAnsi="Times New Roman"/>
                <w:sz w:val="21"/>
                <w:szCs w:val="21"/>
              </w:rPr>
              <w:t xml:space="preserve">się </w:t>
            </w:r>
            <w:r w:rsidRPr="004A6B9C">
              <w:rPr>
                <w:rFonts w:ascii="Times New Roman" w:hAnsi="Times New Roman"/>
                <w:sz w:val="21"/>
                <w:szCs w:val="21"/>
              </w:rPr>
              <w:t xml:space="preserve">już te identyfikatory. W przypadkach, w których warunek ten nie jest jeszcze spełniony przewiduje się, że ewentualne działania dostosowujące, wynikające z obowiązku stosowania identyfikatorów, zostaną wprowadzone w trybie modernizacji oprogramowania służącego do prowadzenia tych rejestrów. Koszty z tym związane nie są możliwe do oszacowania przez Główny Urząd Statystyczny, a źródło finansowania omawianych wydatków pozostaje w dyspozycji właściwych organów prowadzących te rejestry urzędowe i systemy informacyjne administracji publicznej. </w:t>
            </w:r>
          </w:p>
          <w:p w14:paraId="245B67DD" w14:textId="2AEBF599" w:rsidR="00B040FC" w:rsidRPr="00F764A4" w:rsidRDefault="00F764A4" w:rsidP="00F764A4">
            <w:pPr>
              <w:spacing w:before="120" w:line="240" w:lineRule="exact"/>
              <w:jc w:val="both"/>
              <w:rPr>
                <w:rFonts w:ascii="Times New Roman" w:hAnsi="Times New Roman"/>
                <w:sz w:val="21"/>
                <w:szCs w:val="21"/>
              </w:rPr>
            </w:pPr>
            <w:r w:rsidRPr="004A6B9C">
              <w:rPr>
                <w:rFonts w:ascii="Times New Roman" w:hAnsi="Times New Roman"/>
                <w:sz w:val="21"/>
                <w:szCs w:val="21"/>
              </w:rPr>
              <w:t>Wydatki planowane w ramach projektowanych regulacji, zostaną sfinansowane w ramach limitu wydatków corocznie ustalanych w ustawie budżetowej dla poszczególnych dysponentów części budżetowych i nie będą stanowić podstawy do ubiegania się o dodatkowe środki z budżetu państwa na ten cel, zarówno w roku wejścia w życie proponowanych regulacji, jak i w latach następnych.</w:t>
            </w:r>
          </w:p>
        </w:tc>
      </w:tr>
      <w:bookmarkEnd w:id="24"/>
      <w:tr w:rsidR="00B040FC" w:rsidRPr="008B4FE6" w14:paraId="257AAF97" w14:textId="77777777" w:rsidTr="00AC17BB">
        <w:trPr>
          <w:gridAfter w:val="1"/>
          <w:wAfter w:w="10" w:type="dxa"/>
          <w:trHeight w:val="345"/>
        </w:trPr>
        <w:tc>
          <w:tcPr>
            <w:tcW w:w="10937" w:type="dxa"/>
            <w:gridSpan w:val="29"/>
            <w:shd w:val="clear" w:color="auto" w:fill="99CCFF"/>
          </w:tcPr>
          <w:p w14:paraId="2B7AEA49" w14:textId="77777777" w:rsidR="00B040FC" w:rsidRPr="008B4FE6" w:rsidRDefault="00B040FC" w:rsidP="00B040FC">
            <w:pPr>
              <w:numPr>
                <w:ilvl w:val="0"/>
                <w:numId w:val="30"/>
              </w:numPr>
              <w:spacing w:before="120" w:after="120" w:line="240" w:lineRule="auto"/>
              <w:jc w:val="both"/>
              <w:rPr>
                <w:rFonts w:ascii="Times New Roman" w:hAnsi="Times New Roman"/>
                <w:b/>
                <w:color w:val="000000"/>
                <w:spacing w:val="-2"/>
              </w:rPr>
            </w:pPr>
            <w:r w:rsidRPr="008B4FE6">
              <w:rPr>
                <w:rFonts w:ascii="Times New Roman" w:hAnsi="Times New Roman"/>
                <w:b/>
                <w:color w:val="000000"/>
                <w:spacing w:val="-2"/>
              </w:rPr>
              <w:lastRenderedPageBreak/>
              <w:t xml:space="preserve">Wpływ na </w:t>
            </w:r>
            <w:r w:rsidRPr="008B4FE6">
              <w:rPr>
                <w:rFonts w:ascii="Times New Roman" w:hAnsi="Times New Roman"/>
                <w:b/>
                <w:color w:val="000000"/>
              </w:rPr>
              <w:t>konkurencyjność gospodark</w:t>
            </w:r>
            <w:r>
              <w:rPr>
                <w:rFonts w:ascii="Times New Roman" w:hAnsi="Times New Roman"/>
                <w:b/>
                <w:color w:val="000000"/>
              </w:rPr>
              <w:t>i</w:t>
            </w:r>
            <w:r w:rsidRPr="008B4FE6">
              <w:rPr>
                <w:rFonts w:ascii="Times New Roman" w:hAnsi="Times New Roman"/>
                <w:b/>
                <w:color w:val="000000"/>
              </w:rPr>
              <w:t xml:space="preserve"> </w:t>
            </w:r>
            <w:r>
              <w:rPr>
                <w:rFonts w:ascii="Times New Roman" w:hAnsi="Times New Roman"/>
                <w:b/>
                <w:color w:val="000000"/>
              </w:rPr>
              <w:t>i przedsiębiorczość,</w:t>
            </w:r>
            <w:r w:rsidRPr="008B4FE6">
              <w:rPr>
                <w:rFonts w:ascii="Times New Roman" w:hAnsi="Times New Roman"/>
                <w:b/>
                <w:color w:val="000000"/>
              </w:rPr>
              <w:t xml:space="preserve"> </w:t>
            </w:r>
            <w:r>
              <w:rPr>
                <w:rFonts w:ascii="Times New Roman" w:hAnsi="Times New Roman"/>
                <w:b/>
                <w:color w:val="000000"/>
              </w:rPr>
              <w:t xml:space="preserve">w tym </w:t>
            </w:r>
            <w:r w:rsidRPr="008B4FE6">
              <w:rPr>
                <w:rFonts w:ascii="Times New Roman" w:hAnsi="Times New Roman"/>
                <w:b/>
                <w:color w:val="000000"/>
              </w:rPr>
              <w:t>funkcjonowanie przedsiębi</w:t>
            </w:r>
            <w:r>
              <w:rPr>
                <w:rFonts w:ascii="Times New Roman" w:hAnsi="Times New Roman"/>
                <w:b/>
                <w:color w:val="000000"/>
              </w:rPr>
              <w:t xml:space="preserve">orców oraz na rodzinę, obywateli i gospodarstwa domowe </w:t>
            </w:r>
          </w:p>
        </w:tc>
      </w:tr>
      <w:tr w:rsidR="00B040FC" w:rsidRPr="008B4FE6" w14:paraId="47241718" w14:textId="77777777" w:rsidTr="00AC17BB">
        <w:trPr>
          <w:gridAfter w:val="1"/>
          <w:wAfter w:w="10" w:type="dxa"/>
          <w:trHeight w:val="142"/>
        </w:trPr>
        <w:tc>
          <w:tcPr>
            <w:tcW w:w="10937" w:type="dxa"/>
            <w:gridSpan w:val="29"/>
            <w:shd w:val="clear" w:color="auto" w:fill="FFFFFF"/>
          </w:tcPr>
          <w:p w14:paraId="6EAEE8C1" w14:textId="77777777" w:rsidR="00B040FC" w:rsidRPr="00301959" w:rsidRDefault="00B040FC" w:rsidP="00B040FC">
            <w:pPr>
              <w:spacing w:line="240" w:lineRule="auto"/>
              <w:jc w:val="center"/>
              <w:rPr>
                <w:rFonts w:ascii="Times New Roman" w:hAnsi="Times New Roman"/>
                <w:color w:val="000000"/>
                <w:spacing w:val="-2"/>
                <w:sz w:val="21"/>
                <w:szCs w:val="21"/>
              </w:rPr>
            </w:pPr>
            <w:r>
              <w:rPr>
                <w:rFonts w:ascii="Times New Roman" w:hAnsi="Times New Roman"/>
                <w:color w:val="000000"/>
                <w:spacing w:val="-2"/>
                <w:sz w:val="21"/>
                <w:szCs w:val="21"/>
              </w:rPr>
              <w:t>Skutki</w:t>
            </w:r>
          </w:p>
        </w:tc>
      </w:tr>
      <w:tr w:rsidR="00B040FC" w:rsidRPr="008B4FE6" w14:paraId="69E6ACD1" w14:textId="77777777" w:rsidTr="00AC17BB">
        <w:trPr>
          <w:gridAfter w:val="1"/>
          <w:wAfter w:w="10" w:type="dxa"/>
          <w:trHeight w:val="142"/>
        </w:trPr>
        <w:tc>
          <w:tcPr>
            <w:tcW w:w="3889" w:type="dxa"/>
            <w:gridSpan w:val="8"/>
            <w:shd w:val="clear" w:color="auto" w:fill="FFFFFF"/>
          </w:tcPr>
          <w:p w14:paraId="4E96CB9C"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Czas w latach od wejścia w życie zmian</w:t>
            </w:r>
          </w:p>
        </w:tc>
        <w:tc>
          <w:tcPr>
            <w:tcW w:w="937" w:type="dxa"/>
            <w:gridSpan w:val="2"/>
            <w:shd w:val="clear" w:color="auto" w:fill="FFFFFF"/>
          </w:tcPr>
          <w:p w14:paraId="0A0DFBFD"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0</w:t>
            </w:r>
          </w:p>
        </w:tc>
        <w:tc>
          <w:tcPr>
            <w:tcW w:w="938" w:type="dxa"/>
            <w:gridSpan w:val="5"/>
            <w:shd w:val="clear" w:color="auto" w:fill="FFFFFF"/>
          </w:tcPr>
          <w:p w14:paraId="5588C3FE"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w:t>
            </w:r>
          </w:p>
        </w:tc>
        <w:tc>
          <w:tcPr>
            <w:tcW w:w="938" w:type="dxa"/>
            <w:gridSpan w:val="3"/>
            <w:shd w:val="clear" w:color="auto" w:fill="FFFFFF"/>
          </w:tcPr>
          <w:p w14:paraId="7AD3D21E"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2</w:t>
            </w:r>
          </w:p>
        </w:tc>
        <w:tc>
          <w:tcPr>
            <w:tcW w:w="937" w:type="dxa"/>
            <w:gridSpan w:val="3"/>
            <w:shd w:val="clear" w:color="auto" w:fill="FFFFFF"/>
          </w:tcPr>
          <w:p w14:paraId="2B30C9DA"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3</w:t>
            </w:r>
          </w:p>
        </w:tc>
        <w:tc>
          <w:tcPr>
            <w:tcW w:w="938" w:type="dxa"/>
            <w:gridSpan w:val="4"/>
            <w:shd w:val="clear" w:color="auto" w:fill="FFFFFF"/>
          </w:tcPr>
          <w:p w14:paraId="09BC7AE7"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5</w:t>
            </w:r>
          </w:p>
        </w:tc>
        <w:tc>
          <w:tcPr>
            <w:tcW w:w="938" w:type="dxa"/>
            <w:gridSpan w:val="2"/>
            <w:shd w:val="clear" w:color="auto" w:fill="FFFFFF"/>
          </w:tcPr>
          <w:p w14:paraId="1EC3A711" w14:textId="77777777" w:rsidR="00B040FC" w:rsidRPr="00301959" w:rsidRDefault="00B040FC" w:rsidP="00B040FC">
            <w:pPr>
              <w:spacing w:line="240" w:lineRule="auto"/>
              <w:jc w:val="center"/>
              <w:rPr>
                <w:rFonts w:ascii="Times New Roman" w:hAnsi="Times New Roman"/>
                <w:color w:val="000000"/>
                <w:sz w:val="21"/>
                <w:szCs w:val="21"/>
              </w:rPr>
            </w:pPr>
            <w:r w:rsidRPr="00301959">
              <w:rPr>
                <w:rFonts w:ascii="Times New Roman" w:hAnsi="Times New Roman"/>
                <w:color w:val="000000"/>
                <w:sz w:val="21"/>
                <w:szCs w:val="21"/>
              </w:rPr>
              <w:t>10</w:t>
            </w:r>
          </w:p>
        </w:tc>
        <w:tc>
          <w:tcPr>
            <w:tcW w:w="1422" w:type="dxa"/>
            <w:gridSpan w:val="2"/>
            <w:shd w:val="clear" w:color="auto" w:fill="FFFFFF"/>
          </w:tcPr>
          <w:p w14:paraId="52ED0507" w14:textId="77777777" w:rsidR="00B040FC" w:rsidRPr="001B3460" w:rsidRDefault="00B040FC" w:rsidP="00B040FC">
            <w:pPr>
              <w:spacing w:line="240" w:lineRule="auto"/>
              <w:jc w:val="center"/>
              <w:rPr>
                <w:rFonts w:ascii="Times New Roman" w:hAnsi="Times New Roman"/>
                <w:i/>
                <w:color w:val="000000"/>
                <w:spacing w:val="-2"/>
                <w:sz w:val="21"/>
                <w:szCs w:val="21"/>
              </w:rPr>
            </w:pPr>
            <w:r w:rsidRPr="001B3460">
              <w:rPr>
                <w:rFonts w:ascii="Times New Roman" w:hAnsi="Times New Roman"/>
                <w:i/>
                <w:color w:val="000000"/>
                <w:spacing w:val="-2"/>
                <w:sz w:val="21"/>
                <w:szCs w:val="21"/>
              </w:rPr>
              <w:t>Łącznie</w:t>
            </w:r>
            <w:r w:rsidRPr="001B3460" w:rsidDel="0073273A">
              <w:rPr>
                <w:rFonts w:ascii="Times New Roman" w:hAnsi="Times New Roman"/>
                <w:i/>
                <w:color w:val="000000"/>
                <w:spacing w:val="-2"/>
                <w:sz w:val="21"/>
                <w:szCs w:val="21"/>
              </w:rPr>
              <w:t xml:space="preserve"> </w:t>
            </w:r>
            <w:r w:rsidRPr="001B3460">
              <w:rPr>
                <w:rFonts w:ascii="Times New Roman" w:hAnsi="Times New Roman"/>
                <w:i/>
                <w:color w:val="000000"/>
                <w:spacing w:val="-2"/>
                <w:sz w:val="21"/>
                <w:szCs w:val="21"/>
              </w:rPr>
              <w:t>(0-10)</w:t>
            </w:r>
          </w:p>
        </w:tc>
      </w:tr>
      <w:tr w:rsidR="00B040FC" w:rsidRPr="008B4FE6" w14:paraId="2D37753C" w14:textId="77777777" w:rsidTr="00AC17BB">
        <w:trPr>
          <w:gridAfter w:val="1"/>
          <w:wAfter w:w="10" w:type="dxa"/>
          <w:trHeight w:val="142"/>
        </w:trPr>
        <w:tc>
          <w:tcPr>
            <w:tcW w:w="1596" w:type="dxa"/>
            <w:vMerge w:val="restart"/>
            <w:shd w:val="clear" w:color="auto" w:fill="FFFFFF"/>
          </w:tcPr>
          <w:p w14:paraId="5180AE82" w14:textId="77777777" w:rsidR="00B040FC" w:rsidRDefault="00B040FC" w:rsidP="00B040FC">
            <w:pPr>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pieniężnym</w:t>
            </w:r>
          </w:p>
          <w:p w14:paraId="50B3903C" w14:textId="77777777" w:rsidR="00B040FC" w:rsidRDefault="00B040FC" w:rsidP="00B040FC">
            <w:pPr>
              <w:rPr>
                <w:rFonts w:ascii="Times New Roman" w:hAnsi="Times New Roman"/>
                <w:spacing w:val="-2"/>
                <w:sz w:val="21"/>
                <w:szCs w:val="21"/>
              </w:rPr>
            </w:pPr>
            <w:r>
              <w:rPr>
                <w:rFonts w:ascii="Times New Roman" w:hAnsi="Times New Roman"/>
                <w:spacing w:val="-2"/>
                <w:sz w:val="21"/>
                <w:szCs w:val="21"/>
              </w:rPr>
              <w:t xml:space="preserve">(w mln zł, </w:t>
            </w:r>
          </w:p>
          <w:p w14:paraId="13B133ED" w14:textId="77777777" w:rsidR="00B040FC" w:rsidRPr="00301959" w:rsidRDefault="00B040FC" w:rsidP="00B040FC">
            <w:pPr>
              <w:spacing w:line="240" w:lineRule="auto"/>
              <w:rPr>
                <w:rFonts w:ascii="Times New Roman" w:hAnsi="Times New Roman"/>
                <w:color w:val="000000"/>
                <w:sz w:val="21"/>
                <w:szCs w:val="21"/>
              </w:rPr>
            </w:pPr>
            <w:r>
              <w:rPr>
                <w:rFonts w:ascii="Times New Roman" w:hAnsi="Times New Roman"/>
                <w:spacing w:val="-2"/>
                <w:sz w:val="21"/>
                <w:szCs w:val="21"/>
              </w:rPr>
              <w:lastRenderedPageBreak/>
              <w:t>ceny stałe z …… r.)</w:t>
            </w:r>
          </w:p>
        </w:tc>
        <w:tc>
          <w:tcPr>
            <w:tcW w:w="2293" w:type="dxa"/>
            <w:gridSpan w:val="7"/>
            <w:shd w:val="clear" w:color="auto" w:fill="FFFFFF"/>
          </w:tcPr>
          <w:p w14:paraId="1021D4AE"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lastRenderedPageBreak/>
              <w:t>duże przedsiębiorstwa</w:t>
            </w:r>
          </w:p>
        </w:tc>
        <w:tc>
          <w:tcPr>
            <w:tcW w:w="937" w:type="dxa"/>
            <w:gridSpan w:val="2"/>
            <w:shd w:val="clear" w:color="auto" w:fill="FFFFFF"/>
          </w:tcPr>
          <w:p w14:paraId="7CE8D8EB"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5"/>
            <w:shd w:val="clear" w:color="auto" w:fill="FFFFFF"/>
          </w:tcPr>
          <w:p w14:paraId="0BD6BB0A"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3"/>
            <w:shd w:val="clear" w:color="auto" w:fill="FFFFFF"/>
          </w:tcPr>
          <w:p w14:paraId="47D2384A" w14:textId="77777777" w:rsidR="00B040FC" w:rsidRPr="00B37C80" w:rsidRDefault="00B040FC" w:rsidP="00B040FC">
            <w:pPr>
              <w:spacing w:line="240" w:lineRule="auto"/>
              <w:rPr>
                <w:rFonts w:ascii="Times New Roman" w:hAnsi="Times New Roman"/>
                <w:color w:val="000000"/>
                <w:sz w:val="21"/>
                <w:szCs w:val="21"/>
              </w:rPr>
            </w:pPr>
          </w:p>
        </w:tc>
        <w:tc>
          <w:tcPr>
            <w:tcW w:w="937" w:type="dxa"/>
            <w:gridSpan w:val="3"/>
            <w:shd w:val="clear" w:color="auto" w:fill="FFFFFF"/>
          </w:tcPr>
          <w:p w14:paraId="66C63790"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4"/>
            <w:shd w:val="clear" w:color="auto" w:fill="FFFFFF"/>
          </w:tcPr>
          <w:p w14:paraId="5D4E707E"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2"/>
            <w:shd w:val="clear" w:color="auto" w:fill="FFFFFF"/>
          </w:tcPr>
          <w:p w14:paraId="253E822B" w14:textId="77777777" w:rsidR="00B040FC" w:rsidRPr="00B37C80" w:rsidRDefault="00B040FC" w:rsidP="00B040FC">
            <w:pPr>
              <w:spacing w:line="240" w:lineRule="auto"/>
              <w:rPr>
                <w:rFonts w:ascii="Times New Roman" w:hAnsi="Times New Roman"/>
                <w:color w:val="000000"/>
                <w:sz w:val="21"/>
                <w:szCs w:val="21"/>
              </w:rPr>
            </w:pPr>
          </w:p>
        </w:tc>
        <w:tc>
          <w:tcPr>
            <w:tcW w:w="1422" w:type="dxa"/>
            <w:gridSpan w:val="2"/>
            <w:shd w:val="clear" w:color="auto" w:fill="FFFFFF"/>
          </w:tcPr>
          <w:p w14:paraId="6A1470C7"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3E4293FF" w14:textId="77777777" w:rsidTr="00AC17BB">
        <w:trPr>
          <w:gridAfter w:val="1"/>
          <w:wAfter w:w="10" w:type="dxa"/>
          <w:trHeight w:val="142"/>
        </w:trPr>
        <w:tc>
          <w:tcPr>
            <w:tcW w:w="1596" w:type="dxa"/>
            <w:vMerge/>
            <w:shd w:val="clear" w:color="auto" w:fill="FFFFFF"/>
          </w:tcPr>
          <w:p w14:paraId="43994AB3"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6AD38EF0"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937" w:type="dxa"/>
            <w:gridSpan w:val="2"/>
            <w:shd w:val="clear" w:color="auto" w:fill="FFFFFF"/>
          </w:tcPr>
          <w:p w14:paraId="511F8C31"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5"/>
            <w:shd w:val="clear" w:color="auto" w:fill="FFFFFF"/>
          </w:tcPr>
          <w:p w14:paraId="42520925"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3"/>
            <w:shd w:val="clear" w:color="auto" w:fill="FFFFFF"/>
          </w:tcPr>
          <w:p w14:paraId="6035A602" w14:textId="77777777" w:rsidR="00B040FC" w:rsidRPr="00B37C80" w:rsidRDefault="00B040FC" w:rsidP="00B040FC">
            <w:pPr>
              <w:spacing w:line="240" w:lineRule="auto"/>
              <w:rPr>
                <w:rFonts w:ascii="Times New Roman" w:hAnsi="Times New Roman"/>
                <w:color w:val="000000"/>
                <w:sz w:val="21"/>
                <w:szCs w:val="21"/>
              </w:rPr>
            </w:pPr>
          </w:p>
        </w:tc>
        <w:tc>
          <w:tcPr>
            <w:tcW w:w="937" w:type="dxa"/>
            <w:gridSpan w:val="3"/>
            <w:shd w:val="clear" w:color="auto" w:fill="FFFFFF"/>
          </w:tcPr>
          <w:p w14:paraId="052E8534"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4"/>
            <w:shd w:val="clear" w:color="auto" w:fill="FFFFFF"/>
          </w:tcPr>
          <w:p w14:paraId="64B8D3A3"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2"/>
            <w:shd w:val="clear" w:color="auto" w:fill="FFFFFF"/>
          </w:tcPr>
          <w:p w14:paraId="219BF373" w14:textId="77777777" w:rsidR="00B040FC" w:rsidRPr="00B37C80" w:rsidRDefault="00B040FC" w:rsidP="00B040FC">
            <w:pPr>
              <w:spacing w:line="240" w:lineRule="auto"/>
              <w:rPr>
                <w:rFonts w:ascii="Times New Roman" w:hAnsi="Times New Roman"/>
                <w:color w:val="000000"/>
                <w:sz w:val="21"/>
                <w:szCs w:val="21"/>
              </w:rPr>
            </w:pPr>
          </w:p>
        </w:tc>
        <w:tc>
          <w:tcPr>
            <w:tcW w:w="1422" w:type="dxa"/>
            <w:gridSpan w:val="2"/>
            <w:shd w:val="clear" w:color="auto" w:fill="FFFFFF"/>
          </w:tcPr>
          <w:p w14:paraId="76D75771"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28B0B1C6" w14:textId="77777777" w:rsidTr="00AC17BB">
        <w:trPr>
          <w:gridAfter w:val="1"/>
          <w:wAfter w:w="10" w:type="dxa"/>
          <w:trHeight w:val="142"/>
        </w:trPr>
        <w:tc>
          <w:tcPr>
            <w:tcW w:w="1596" w:type="dxa"/>
            <w:vMerge/>
            <w:shd w:val="clear" w:color="auto" w:fill="FFFFFF"/>
          </w:tcPr>
          <w:p w14:paraId="1B34608D"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4368BC91" w14:textId="77777777" w:rsidR="00B040FC" w:rsidRPr="00301959" w:rsidRDefault="00B040FC" w:rsidP="00B040FC">
            <w:pPr>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p>
        </w:tc>
        <w:tc>
          <w:tcPr>
            <w:tcW w:w="937" w:type="dxa"/>
            <w:gridSpan w:val="2"/>
            <w:shd w:val="clear" w:color="auto" w:fill="FFFFFF"/>
          </w:tcPr>
          <w:p w14:paraId="2416DB1F"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5"/>
            <w:shd w:val="clear" w:color="auto" w:fill="FFFFFF"/>
          </w:tcPr>
          <w:p w14:paraId="1BE102F0"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3"/>
            <w:shd w:val="clear" w:color="auto" w:fill="FFFFFF"/>
          </w:tcPr>
          <w:p w14:paraId="223A8064" w14:textId="77777777" w:rsidR="00B040FC" w:rsidRPr="00B37C80" w:rsidRDefault="00B040FC" w:rsidP="00B040FC">
            <w:pPr>
              <w:spacing w:line="240" w:lineRule="auto"/>
              <w:rPr>
                <w:rFonts w:ascii="Times New Roman" w:hAnsi="Times New Roman"/>
                <w:color w:val="000000"/>
                <w:sz w:val="21"/>
                <w:szCs w:val="21"/>
              </w:rPr>
            </w:pPr>
          </w:p>
        </w:tc>
        <w:tc>
          <w:tcPr>
            <w:tcW w:w="937" w:type="dxa"/>
            <w:gridSpan w:val="3"/>
            <w:shd w:val="clear" w:color="auto" w:fill="FFFFFF"/>
          </w:tcPr>
          <w:p w14:paraId="395C2F94"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4"/>
            <w:shd w:val="clear" w:color="auto" w:fill="FFFFFF"/>
          </w:tcPr>
          <w:p w14:paraId="209A23E6"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2"/>
            <w:shd w:val="clear" w:color="auto" w:fill="FFFFFF"/>
          </w:tcPr>
          <w:p w14:paraId="545FEDF1" w14:textId="77777777" w:rsidR="00B040FC" w:rsidRPr="00B37C80" w:rsidRDefault="00B040FC" w:rsidP="00B040FC">
            <w:pPr>
              <w:spacing w:line="240" w:lineRule="auto"/>
              <w:rPr>
                <w:rFonts w:ascii="Times New Roman" w:hAnsi="Times New Roman"/>
                <w:color w:val="000000"/>
                <w:sz w:val="21"/>
                <w:szCs w:val="21"/>
              </w:rPr>
            </w:pPr>
          </w:p>
        </w:tc>
        <w:tc>
          <w:tcPr>
            <w:tcW w:w="1422" w:type="dxa"/>
            <w:gridSpan w:val="2"/>
            <w:shd w:val="clear" w:color="auto" w:fill="FFFFFF"/>
          </w:tcPr>
          <w:p w14:paraId="7F382A03"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584E804F" w14:textId="77777777" w:rsidTr="00AC17BB">
        <w:trPr>
          <w:gridAfter w:val="1"/>
          <w:wAfter w:w="10" w:type="dxa"/>
          <w:trHeight w:val="142"/>
        </w:trPr>
        <w:tc>
          <w:tcPr>
            <w:tcW w:w="1596" w:type="dxa"/>
            <w:vMerge/>
            <w:shd w:val="clear" w:color="auto" w:fill="FFFFFF"/>
          </w:tcPr>
          <w:p w14:paraId="1DA0B600"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3972D2E6"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937" w:type="dxa"/>
            <w:gridSpan w:val="2"/>
            <w:shd w:val="clear" w:color="auto" w:fill="FFFFFF"/>
          </w:tcPr>
          <w:p w14:paraId="0511A48A"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5"/>
            <w:shd w:val="clear" w:color="auto" w:fill="FFFFFF"/>
          </w:tcPr>
          <w:p w14:paraId="10E1F397"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3"/>
            <w:shd w:val="clear" w:color="auto" w:fill="FFFFFF"/>
          </w:tcPr>
          <w:p w14:paraId="474A96D6" w14:textId="77777777" w:rsidR="00B040FC" w:rsidRPr="00B37C80" w:rsidRDefault="00B040FC" w:rsidP="00B040FC">
            <w:pPr>
              <w:spacing w:line="240" w:lineRule="auto"/>
              <w:rPr>
                <w:rFonts w:ascii="Times New Roman" w:hAnsi="Times New Roman"/>
                <w:color w:val="000000"/>
                <w:sz w:val="21"/>
                <w:szCs w:val="21"/>
              </w:rPr>
            </w:pPr>
          </w:p>
        </w:tc>
        <w:tc>
          <w:tcPr>
            <w:tcW w:w="937" w:type="dxa"/>
            <w:gridSpan w:val="3"/>
            <w:shd w:val="clear" w:color="auto" w:fill="FFFFFF"/>
          </w:tcPr>
          <w:p w14:paraId="13896550"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4"/>
            <w:shd w:val="clear" w:color="auto" w:fill="FFFFFF"/>
          </w:tcPr>
          <w:p w14:paraId="1900722D" w14:textId="77777777" w:rsidR="00B040FC" w:rsidRPr="00B37C80" w:rsidRDefault="00B040FC" w:rsidP="00B040FC">
            <w:pPr>
              <w:spacing w:line="240" w:lineRule="auto"/>
              <w:rPr>
                <w:rFonts w:ascii="Times New Roman" w:hAnsi="Times New Roman"/>
                <w:color w:val="000000"/>
                <w:sz w:val="21"/>
                <w:szCs w:val="21"/>
              </w:rPr>
            </w:pPr>
          </w:p>
        </w:tc>
        <w:tc>
          <w:tcPr>
            <w:tcW w:w="938" w:type="dxa"/>
            <w:gridSpan w:val="2"/>
            <w:shd w:val="clear" w:color="auto" w:fill="FFFFFF"/>
          </w:tcPr>
          <w:p w14:paraId="4128E018" w14:textId="77777777" w:rsidR="00B040FC" w:rsidRPr="00B37C80" w:rsidRDefault="00B040FC" w:rsidP="00B040FC">
            <w:pPr>
              <w:spacing w:line="240" w:lineRule="auto"/>
              <w:rPr>
                <w:rFonts w:ascii="Times New Roman" w:hAnsi="Times New Roman"/>
                <w:color w:val="000000"/>
                <w:sz w:val="21"/>
                <w:szCs w:val="21"/>
              </w:rPr>
            </w:pPr>
          </w:p>
        </w:tc>
        <w:tc>
          <w:tcPr>
            <w:tcW w:w="1422" w:type="dxa"/>
            <w:gridSpan w:val="2"/>
            <w:shd w:val="clear" w:color="auto" w:fill="FFFFFF"/>
          </w:tcPr>
          <w:p w14:paraId="5829D7F4"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7BA9B8A7" w14:textId="77777777" w:rsidTr="00AC17BB">
        <w:trPr>
          <w:gridAfter w:val="1"/>
          <w:wAfter w:w="10" w:type="dxa"/>
          <w:trHeight w:val="142"/>
        </w:trPr>
        <w:tc>
          <w:tcPr>
            <w:tcW w:w="1596" w:type="dxa"/>
            <w:vMerge w:val="restart"/>
            <w:shd w:val="clear" w:color="auto" w:fill="FFFFFF"/>
          </w:tcPr>
          <w:p w14:paraId="569D3A4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W </w:t>
            </w:r>
            <w:r>
              <w:rPr>
                <w:rFonts w:ascii="Times New Roman" w:hAnsi="Times New Roman"/>
                <w:color w:val="000000"/>
                <w:sz w:val="21"/>
                <w:szCs w:val="21"/>
              </w:rPr>
              <w:t>ujęciu</w:t>
            </w:r>
            <w:r w:rsidRPr="00301959">
              <w:rPr>
                <w:rFonts w:ascii="Times New Roman" w:hAnsi="Times New Roman"/>
                <w:color w:val="000000"/>
                <w:sz w:val="21"/>
                <w:szCs w:val="21"/>
              </w:rPr>
              <w:t xml:space="preserve"> niepieniężnym</w:t>
            </w:r>
          </w:p>
        </w:tc>
        <w:tc>
          <w:tcPr>
            <w:tcW w:w="2293" w:type="dxa"/>
            <w:gridSpan w:val="7"/>
            <w:shd w:val="clear" w:color="auto" w:fill="FFFFFF"/>
          </w:tcPr>
          <w:p w14:paraId="68D19EF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duże przedsiębiorstwa</w:t>
            </w:r>
          </w:p>
        </w:tc>
        <w:tc>
          <w:tcPr>
            <w:tcW w:w="7048" w:type="dxa"/>
            <w:gridSpan w:val="21"/>
            <w:shd w:val="clear" w:color="auto" w:fill="FFFFFF"/>
          </w:tcPr>
          <w:p w14:paraId="4CCD5103" w14:textId="77777777" w:rsidR="00B040FC" w:rsidRPr="00651D38" w:rsidRDefault="00B040FC" w:rsidP="00B040FC">
            <w:pPr>
              <w:spacing w:line="240" w:lineRule="auto"/>
              <w:rPr>
                <w:rFonts w:ascii="Times New Roman" w:hAnsi="Times New Roman"/>
                <w:color w:val="000000"/>
                <w:spacing w:val="-2"/>
                <w:sz w:val="20"/>
                <w:szCs w:val="20"/>
              </w:rPr>
            </w:pPr>
            <w:r w:rsidRPr="00C346E9">
              <w:rPr>
                <w:rFonts w:ascii="Times New Roman" w:hAnsi="Times New Roman"/>
                <w:color w:val="000000"/>
                <w:spacing w:val="-2"/>
                <w:sz w:val="20"/>
                <w:szCs w:val="21"/>
              </w:rPr>
              <w:t xml:space="preserve">Projekt nie wpływa bezpośrednio na konkurencyjność gospodarki i przedsiębiorczość, oraz sektor </w:t>
            </w:r>
            <w:r>
              <w:rPr>
                <w:rFonts w:ascii="Times New Roman" w:hAnsi="Times New Roman"/>
                <w:color w:val="000000"/>
                <w:spacing w:val="-2"/>
                <w:sz w:val="20"/>
                <w:szCs w:val="21"/>
              </w:rPr>
              <w:t>dużych</w:t>
            </w:r>
            <w:r w:rsidRPr="00C346E9">
              <w:rPr>
                <w:rFonts w:ascii="Times New Roman" w:hAnsi="Times New Roman"/>
                <w:color w:val="000000"/>
                <w:spacing w:val="-2"/>
                <w:sz w:val="20"/>
                <w:szCs w:val="21"/>
              </w:rPr>
              <w:t xml:space="preserve"> przedsiębiorstw.</w:t>
            </w:r>
          </w:p>
        </w:tc>
      </w:tr>
      <w:tr w:rsidR="00B040FC" w:rsidRPr="008B4FE6" w14:paraId="2E021B94" w14:textId="77777777" w:rsidTr="00AC17BB">
        <w:trPr>
          <w:gridAfter w:val="1"/>
          <w:wAfter w:w="10" w:type="dxa"/>
          <w:trHeight w:val="142"/>
        </w:trPr>
        <w:tc>
          <w:tcPr>
            <w:tcW w:w="1596" w:type="dxa"/>
            <w:vMerge/>
            <w:shd w:val="clear" w:color="auto" w:fill="FFFFFF"/>
          </w:tcPr>
          <w:p w14:paraId="391DD355"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484136A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sektor mikro-, małych i średnich przedsiębiorstw</w:t>
            </w:r>
          </w:p>
        </w:tc>
        <w:tc>
          <w:tcPr>
            <w:tcW w:w="7048" w:type="dxa"/>
            <w:gridSpan w:val="21"/>
            <w:shd w:val="clear" w:color="auto" w:fill="FFFFFF"/>
          </w:tcPr>
          <w:p w14:paraId="5E7F1A74" w14:textId="77777777" w:rsidR="00B040FC" w:rsidRDefault="00B040FC" w:rsidP="00B040FC">
            <w:pPr>
              <w:spacing w:line="240" w:lineRule="auto"/>
              <w:jc w:val="both"/>
              <w:rPr>
                <w:rFonts w:ascii="Times New Roman" w:hAnsi="Times New Roman"/>
                <w:sz w:val="20"/>
                <w:szCs w:val="20"/>
              </w:rPr>
            </w:pPr>
            <w:bookmarkStart w:id="25" w:name="_Hlk148363325"/>
            <w:r w:rsidRPr="00533979">
              <w:rPr>
                <w:rFonts w:ascii="Times New Roman" w:hAnsi="Times New Roman"/>
                <w:color w:val="000000"/>
                <w:spacing w:val="-2"/>
                <w:sz w:val="20"/>
                <w:szCs w:val="20"/>
              </w:rPr>
              <w:t>Projekt pozytywnie wpływa na konkurencyjność gospodarki i przedsiębiorczość oraz sektor mikro-, małych i średnich przedsiębiorstw</w:t>
            </w:r>
            <w:r>
              <w:rPr>
                <w:rFonts w:ascii="Times New Roman" w:hAnsi="Times New Roman"/>
                <w:color w:val="000000"/>
                <w:spacing w:val="-2"/>
                <w:sz w:val="20"/>
                <w:szCs w:val="20"/>
              </w:rPr>
              <w:t>.</w:t>
            </w:r>
            <w:r w:rsidRPr="00533979">
              <w:rPr>
                <w:rFonts w:ascii="Times New Roman" w:hAnsi="Times New Roman"/>
                <w:sz w:val="20"/>
                <w:szCs w:val="20"/>
              </w:rPr>
              <w:t xml:space="preserve"> </w:t>
            </w:r>
          </w:p>
          <w:p w14:paraId="6A0DC9C3" w14:textId="23647A00" w:rsidR="00B040FC" w:rsidRPr="00C02FCF" w:rsidRDefault="00B040FC" w:rsidP="00B040FC">
            <w:pPr>
              <w:spacing w:line="240" w:lineRule="auto"/>
              <w:jc w:val="both"/>
              <w:rPr>
                <w:rFonts w:ascii="Times New Roman" w:hAnsi="Times New Roman"/>
              </w:rPr>
            </w:pPr>
            <w:r>
              <w:rPr>
                <w:rFonts w:ascii="Times New Roman" w:hAnsi="Times New Roman"/>
                <w:sz w:val="20"/>
                <w:szCs w:val="20"/>
              </w:rPr>
              <w:t>Wprowadzenie automatycznej zmiany kodów PKD zmniejszy obciążenia biurokratyczne (brak konieczności składania wniosków o zmianę).</w:t>
            </w:r>
            <w:bookmarkEnd w:id="25"/>
          </w:p>
        </w:tc>
      </w:tr>
      <w:tr w:rsidR="00B040FC" w:rsidRPr="008B4FE6" w14:paraId="7CFC64F0" w14:textId="77777777" w:rsidTr="00AC17BB">
        <w:trPr>
          <w:gridAfter w:val="1"/>
          <w:wAfter w:w="10" w:type="dxa"/>
          <w:trHeight w:val="476"/>
        </w:trPr>
        <w:tc>
          <w:tcPr>
            <w:tcW w:w="1596" w:type="dxa"/>
            <w:vMerge/>
            <w:shd w:val="clear" w:color="auto" w:fill="FFFFFF"/>
          </w:tcPr>
          <w:p w14:paraId="21E8B929"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78141CCD" w14:textId="77777777" w:rsidR="00B040FC" w:rsidRPr="00301959" w:rsidRDefault="00B040FC" w:rsidP="00B040FC">
            <w:pPr>
              <w:tabs>
                <w:tab w:val="right" w:pos="1936"/>
              </w:tabs>
              <w:spacing w:line="240" w:lineRule="auto"/>
              <w:rPr>
                <w:rFonts w:ascii="Times New Roman" w:hAnsi="Times New Roman"/>
                <w:color w:val="000000"/>
                <w:sz w:val="21"/>
                <w:szCs w:val="21"/>
              </w:rPr>
            </w:pPr>
            <w:r>
              <w:rPr>
                <w:rFonts w:ascii="Times New Roman" w:hAnsi="Times New Roman"/>
                <w:sz w:val="21"/>
                <w:szCs w:val="21"/>
              </w:rPr>
              <w:t xml:space="preserve">rodzina, </w:t>
            </w:r>
            <w:r w:rsidRPr="00301959">
              <w:rPr>
                <w:rFonts w:ascii="Times New Roman" w:hAnsi="Times New Roman"/>
                <w:sz w:val="21"/>
                <w:szCs w:val="21"/>
              </w:rPr>
              <w:t>obywatele oraz gospodarstwa domowe</w:t>
            </w:r>
            <w:r w:rsidRPr="00301959">
              <w:rPr>
                <w:rFonts w:ascii="Times New Roman" w:hAnsi="Times New Roman"/>
                <w:color w:val="000000"/>
                <w:sz w:val="21"/>
                <w:szCs w:val="21"/>
              </w:rPr>
              <w:t xml:space="preserve"> </w:t>
            </w:r>
          </w:p>
        </w:tc>
        <w:tc>
          <w:tcPr>
            <w:tcW w:w="7048" w:type="dxa"/>
            <w:gridSpan w:val="21"/>
            <w:shd w:val="clear" w:color="auto" w:fill="FFFFFF"/>
          </w:tcPr>
          <w:p w14:paraId="36A1EC8B" w14:textId="555EBE55" w:rsidR="00B040FC" w:rsidRPr="005C7B6B" w:rsidRDefault="00B040FC" w:rsidP="00B040FC">
            <w:pPr>
              <w:spacing w:line="240" w:lineRule="auto"/>
              <w:jc w:val="both"/>
            </w:pPr>
            <w:bookmarkStart w:id="26" w:name="_Hlk148374040"/>
            <w:r w:rsidRPr="00C346E9">
              <w:rPr>
                <w:rFonts w:ascii="Times New Roman" w:hAnsi="Times New Roman"/>
                <w:color w:val="000000"/>
                <w:spacing w:val="-2"/>
                <w:sz w:val="20"/>
                <w:szCs w:val="21"/>
              </w:rPr>
              <w:t xml:space="preserve">Projekt nie wpływa bezpośrednio na </w:t>
            </w:r>
            <w:r>
              <w:rPr>
                <w:rFonts w:ascii="Times New Roman" w:hAnsi="Times New Roman"/>
                <w:color w:val="000000"/>
                <w:spacing w:val="-2"/>
                <w:sz w:val="20"/>
                <w:szCs w:val="21"/>
              </w:rPr>
              <w:t xml:space="preserve">sytuację ekonomiczną i społeczną </w:t>
            </w:r>
            <w:r w:rsidRPr="00C346E9">
              <w:rPr>
                <w:rFonts w:ascii="Times New Roman" w:hAnsi="Times New Roman"/>
                <w:color w:val="000000"/>
                <w:spacing w:val="-2"/>
                <w:sz w:val="20"/>
                <w:szCs w:val="21"/>
              </w:rPr>
              <w:t xml:space="preserve">rodziny </w:t>
            </w:r>
            <w:r>
              <w:rPr>
                <w:rFonts w:ascii="Times New Roman" w:hAnsi="Times New Roman"/>
                <w:color w:val="000000"/>
                <w:spacing w:val="-2"/>
                <w:sz w:val="20"/>
                <w:szCs w:val="21"/>
              </w:rPr>
              <w:br/>
            </w:r>
            <w:r w:rsidRPr="00C346E9">
              <w:rPr>
                <w:rFonts w:ascii="Times New Roman" w:hAnsi="Times New Roman"/>
                <w:color w:val="000000"/>
                <w:spacing w:val="-2"/>
                <w:sz w:val="20"/>
                <w:szCs w:val="21"/>
              </w:rPr>
              <w:t>i obywateli oraz gospodarstwa domowe.</w:t>
            </w:r>
            <w:bookmarkEnd w:id="26"/>
          </w:p>
        </w:tc>
      </w:tr>
      <w:tr w:rsidR="00B040FC" w:rsidRPr="008B4FE6" w14:paraId="25B1C7A8" w14:textId="77777777" w:rsidTr="00AC17BB">
        <w:trPr>
          <w:gridAfter w:val="1"/>
          <w:wAfter w:w="10" w:type="dxa"/>
          <w:trHeight w:val="240"/>
        </w:trPr>
        <w:tc>
          <w:tcPr>
            <w:tcW w:w="1596" w:type="dxa"/>
            <w:vMerge/>
            <w:shd w:val="clear" w:color="auto" w:fill="FFFFFF"/>
          </w:tcPr>
          <w:p w14:paraId="79B94039"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52E1C06B" w14:textId="77777777" w:rsidR="00B040FC" w:rsidRPr="00746E78" w:rsidRDefault="00B040FC" w:rsidP="00B040FC">
            <w:pPr>
              <w:spacing w:line="240" w:lineRule="auto"/>
            </w:pPr>
            <w:r>
              <w:rPr>
                <w:rFonts w:ascii="Times New Roman" w:hAnsi="Times New Roman"/>
                <w:color w:val="000000"/>
                <w:sz w:val="21"/>
                <w:szCs w:val="21"/>
              </w:rPr>
              <w:t xml:space="preserve">sytuacja ekonomiczna </w:t>
            </w:r>
            <w:r>
              <w:rPr>
                <w:rFonts w:ascii="Times New Roman" w:hAnsi="Times New Roman"/>
                <w:color w:val="000000"/>
                <w:sz w:val="21"/>
                <w:szCs w:val="21"/>
              </w:rPr>
              <w:br/>
              <w:t xml:space="preserve">i społeczna rodziny, </w:t>
            </w:r>
            <w:r>
              <w:rPr>
                <w:rFonts w:ascii="Times New Roman" w:hAnsi="Times New Roman"/>
                <w:color w:val="000000"/>
                <w:sz w:val="21"/>
                <w:szCs w:val="21"/>
              </w:rPr>
              <w:br/>
              <w:t>a także osób niepełnosprawnych oraz osób starszych</w:t>
            </w:r>
          </w:p>
        </w:tc>
        <w:tc>
          <w:tcPr>
            <w:tcW w:w="7048" w:type="dxa"/>
            <w:gridSpan w:val="21"/>
            <w:shd w:val="clear" w:color="auto" w:fill="FFFFFF"/>
          </w:tcPr>
          <w:p w14:paraId="6D1F0833" w14:textId="77777777" w:rsidR="00F95A38" w:rsidRDefault="00B040FC" w:rsidP="00B040FC">
            <w:pPr>
              <w:spacing w:line="240" w:lineRule="auto"/>
              <w:jc w:val="both"/>
              <w:rPr>
                <w:rFonts w:ascii="Times New Roman" w:hAnsi="Times New Roman"/>
                <w:sz w:val="20"/>
                <w:szCs w:val="20"/>
              </w:rPr>
            </w:pPr>
            <w:r>
              <w:rPr>
                <w:rFonts w:ascii="Times New Roman" w:hAnsi="Times New Roman"/>
                <w:sz w:val="20"/>
                <w:szCs w:val="20"/>
              </w:rPr>
              <w:t>Projekt ustawy ma pozytywny wpływ na wymienione obszary.</w:t>
            </w:r>
          </w:p>
          <w:p w14:paraId="3E42D9FE" w14:textId="4F7C83E8" w:rsidR="00B040FC" w:rsidRPr="00F95A38" w:rsidRDefault="00B040FC" w:rsidP="00B040FC">
            <w:pPr>
              <w:spacing w:line="240" w:lineRule="auto"/>
              <w:jc w:val="both"/>
              <w:rPr>
                <w:rFonts w:ascii="Times New Roman" w:hAnsi="Times New Roman"/>
                <w:sz w:val="20"/>
                <w:szCs w:val="20"/>
              </w:rPr>
            </w:pPr>
            <w:r>
              <w:rPr>
                <w:rFonts w:ascii="Times New Roman" w:hAnsi="Times New Roman"/>
                <w:sz w:val="20"/>
                <w:szCs w:val="20"/>
              </w:rPr>
              <w:t>P</w:t>
            </w:r>
            <w:r w:rsidRPr="00E4204A">
              <w:rPr>
                <w:rFonts w:ascii="Times New Roman" w:hAnsi="Times New Roman"/>
                <w:sz w:val="20"/>
                <w:szCs w:val="20"/>
              </w:rPr>
              <w:t>oprzez wprowadzenie automatycznej zmiany klasyfikacji PKD</w:t>
            </w:r>
            <w:r>
              <w:rPr>
                <w:rFonts w:ascii="Times New Roman" w:hAnsi="Times New Roman"/>
                <w:sz w:val="20"/>
                <w:szCs w:val="20"/>
              </w:rPr>
              <w:t xml:space="preserve"> w rejestrze CEIDG</w:t>
            </w:r>
            <w:r w:rsidRPr="00E4204A">
              <w:rPr>
                <w:rFonts w:ascii="Times New Roman" w:hAnsi="Times New Roman"/>
                <w:sz w:val="20"/>
                <w:szCs w:val="20"/>
              </w:rPr>
              <w:t>,</w:t>
            </w:r>
            <w:r>
              <w:rPr>
                <w:rFonts w:ascii="Times New Roman" w:hAnsi="Times New Roman"/>
                <w:sz w:val="20"/>
                <w:szCs w:val="20"/>
              </w:rPr>
              <w:t xml:space="preserve"> KRS, REGON</w:t>
            </w:r>
            <w:r w:rsidR="00F95A38">
              <w:rPr>
                <w:rFonts w:ascii="Times New Roman" w:hAnsi="Times New Roman"/>
                <w:sz w:val="20"/>
                <w:szCs w:val="20"/>
              </w:rPr>
              <w:t xml:space="preserve">, </w:t>
            </w:r>
            <w:r>
              <w:rPr>
                <w:rFonts w:ascii="Times New Roman" w:hAnsi="Times New Roman"/>
                <w:sz w:val="20"/>
                <w:szCs w:val="20"/>
              </w:rPr>
              <w:t xml:space="preserve">podmioty, w tym przedsiębiorcy, nie będą musiały </w:t>
            </w:r>
            <w:r w:rsidRPr="00E4204A">
              <w:rPr>
                <w:rFonts w:ascii="Times New Roman" w:hAnsi="Times New Roman"/>
                <w:sz w:val="20"/>
                <w:szCs w:val="20"/>
              </w:rPr>
              <w:t>składa</w:t>
            </w:r>
            <w:r>
              <w:rPr>
                <w:rFonts w:ascii="Times New Roman" w:hAnsi="Times New Roman"/>
                <w:sz w:val="20"/>
                <w:szCs w:val="20"/>
              </w:rPr>
              <w:t>ć</w:t>
            </w:r>
            <w:r w:rsidRPr="00E4204A">
              <w:rPr>
                <w:rFonts w:ascii="Times New Roman" w:hAnsi="Times New Roman"/>
                <w:sz w:val="20"/>
                <w:szCs w:val="20"/>
              </w:rPr>
              <w:t xml:space="preserve"> wniosków o zmianę</w:t>
            </w:r>
            <w:r>
              <w:rPr>
                <w:rFonts w:ascii="Times New Roman" w:hAnsi="Times New Roman"/>
                <w:sz w:val="20"/>
                <w:szCs w:val="20"/>
              </w:rPr>
              <w:t xml:space="preserve">, co mogłoby być szczególnie uciążliwe w przypadku </w:t>
            </w:r>
            <w:r w:rsidRPr="00750A40">
              <w:rPr>
                <w:rFonts w:ascii="Times New Roman" w:hAnsi="Times New Roman"/>
                <w:sz w:val="20"/>
                <w:szCs w:val="20"/>
              </w:rPr>
              <w:t>os</w:t>
            </w:r>
            <w:r>
              <w:rPr>
                <w:rFonts w:ascii="Times New Roman" w:hAnsi="Times New Roman"/>
                <w:sz w:val="20"/>
                <w:szCs w:val="20"/>
              </w:rPr>
              <w:t xml:space="preserve">ób </w:t>
            </w:r>
            <w:r w:rsidRPr="00750A40">
              <w:rPr>
                <w:rFonts w:ascii="Times New Roman" w:hAnsi="Times New Roman"/>
                <w:sz w:val="20"/>
                <w:szCs w:val="20"/>
              </w:rPr>
              <w:t>starsz</w:t>
            </w:r>
            <w:r>
              <w:rPr>
                <w:rFonts w:ascii="Times New Roman" w:hAnsi="Times New Roman"/>
                <w:sz w:val="20"/>
                <w:szCs w:val="20"/>
              </w:rPr>
              <w:t>ych</w:t>
            </w:r>
            <w:r w:rsidRPr="00750A40">
              <w:rPr>
                <w:rFonts w:ascii="Times New Roman" w:hAnsi="Times New Roman"/>
                <w:sz w:val="20"/>
                <w:szCs w:val="20"/>
              </w:rPr>
              <w:t xml:space="preserve"> </w:t>
            </w:r>
            <w:r>
              <w:rPr>
                <w:rFonts w:ascii="Times New Roman" w:hAnsi="Times New Roman"/>
                <w:sz w:val="20"/>
                <w:szCs w:val="20"/>
              </w:rPr>
              <w:br/>
              <w:t>lub</w:t>
            </w:r>
            <w:r w:rsidRPr="00750A40">
              <w:rPr>
                <w:rFonts w:ascii="Times New Roman" w:hAnsi="Times New Roman"/>
                <w:sz w:val="20"/>
                <w:szCs w:val="20"/>
              </w:rPr>
              <w:t xml:space="preserve"> niepełnosprawn</w:t>
            </w:r>
            <w:r>
              <w:rPr>
                <w:rFonts w:ascii="Times New Roman" w:hAnsi="Times New Roman"/>
                <w:sz w:val="20"/>
                <w:szCs w:val="20"/>
              </w:rPr>
              <w:t>ych.</w:t>
            </w:r>
          </w:p>
        </w:tc>
      </w:tr>
      <w:tr w:rsidR="00B040FC" w:rsidRPr="008B4FE6" w14:paraId="0815E898" w14:textId="77777777" w:rsidTr="00AC17BB">
        <w:trPr>
          <w:gridAfter w:val="1"/>
          <w:wAfter w:w="10" w:type="dxa"/>
          <w:trHeight w:val="142"/>
        </w:trPr>
        <w:tc>
          <w:tcPr>
            <w:tcW w:w="1596" w:type="dxa"/>
            <w:vMerge w:val="restart"/>
            <w:shd w:val="clear" w:color="auto" w:fill="FFFFFF"/>
          </w:tcPr>
          <w:p w14:paraId="30453E7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Niemierzalne</w:t>
            </w:r>
          </w:p>
        </w:tc>
        <w:tc>
          <w:tcPr>
            <w:tcW w:w="2293" w:type="dxa"/>
            <w:gridSpan w:val="7"/>
            <w:shd w:val="clear" w:color="auto" w:fill="FFFFFF"/>
          </w:tcPr>
          <w:p w14:paraId="6B7A2B2D"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48D75648"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76C9715A" w14:textId="77777777" w:rsidTr="00AC17BB">
        <w:trPr>
          <w:gridAfter w:val="1"/>
          <w:wAfter w:w="10" w:type="dxa"/>
          <w:trHeight w:val="142"/>
        </w:trPr>
        <w:tc>
          <w:tcPr>
            <w:tcW w:w="1596" w:type="dxa"/>
            <w:vMerge/>
            <w:shd w:val="clear" w:color="auto" w:fill="FFFFFF"/>
          </w:tcPr>
          <w:p w14:paraId="4B88B9ED" w14:textId="77777777" w:rsidR="00B040FC" w:rsidRPr="00301959" w:rsidRDefault="00B040FC" w:rsidP="00B040FC">
            <w:pPr>
              <w:spacing w:line="240" w:lineRule="auto"/>
              <w:rPr>
                <w:rFonts w:ascii="Times New Roman" w:hAnsi="Times New Roman"/>
                <w:color w:val="000000"/>
                <w:sz w:val="21"/>
                <w:szCs w:val="21"/>
              </w:rPr>
            </w:pPr>
          </w:p>
        </w:tc>
        <w:tc>
          <w:tcPr>
            <w:tcW w:w="2293" w:type="dxa"/>
            <w:gridSpan w:val="7"/>
            <w:shd w:val="clear" w:color="auto" w:fill="FFFFFF"/>
          </w:tcPr>
          <w:p w14:paraId="5751A777"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fldChar w:fldCharType="begin">
                <w:ffData>
                  <w:name w:val=""/>
                  <w:enabled/>
                  <w:calcOnExit/>
                  <w:exitMacro w:val="UpdateHeader"/>
                  <w:helpText w:type="text" w:val="Wpisz na jaką grupę docelową będzie miała wpływ projektowana regulacja. Możesz zawężić zakres grupy przez doprecyzowanie: np &quot;małe i średnie przedsiębiorstwa rozliczające się metodą kasową z podatku VAT&quot;"/>
                  <w:statusText w:type="text" w:val="Wpisz na jaką grupę docelową będzie miała wpływ projektowana regulacja"/>
                  <w:textInput>
                    <w:default w:val="(dodaj/usuń)"/>
                    <w:maxLength w:val="1000"/>
                  </w:textInput>
                </w:ffData>
              </w:fldChar>
            </w:r>
            <w:r w:rsidRPr="00301959">
              <w:rPr>
                <w:rFonts w:ascii="Times New Roman" w:hAnsi="Times New Roman"/>
                <w:color w:val="000000"/>
                <w:sz w:val="21"/>
                <w:szCs w:val="21"/>
              </w:rPr>
              <w:instrText xml:space="preserve"> FORMTEXT </w:instrText>
            </w:r>
            <w:r w:rsidRPr="00301959">
              <w:rPr>
                <w:rFonts w:ascii="Times New Roman" w:hAnsi="Times New Roman"/>
                <w:color w:val="000000"/>
                <w:sz w:val="21"/>
                <w:szCs w:val="21"/>
              </w:rPr>
            </w:r>
            <w:r w:rsidRPr="00301959">
              <w:rPr>
                <w:rFonts w:ascii="Times New Roman" w:hAnsi="Times New Roman"/>
                <w:color w:val="000000"/>
                <w:sz w:val="21"/>
                <w:szCs w:val="21"/>
              </w:rPr>
              <w:fldChar w:fldCharType="separate"/>
            </w:r>
            <w:r w:rsidRPr="00301959">
              <w:rPr>
                <w:rFonts w:ascii="Times New Roman" w:hAnsi="Times New Roman"/>
                <w:noProof/>
                <w:color w:val="000000"/>
                <w:sz w:val="21"/>
                <w:szCs w:val="21"/>
              </w:rPr>
              <w:t>(dodaj/usuń)</w:t>
            </w:r>
            <w:r w:rsidRPr="00301959">
              <w:rPr>
                <w:rFonts w:ascii="Times New Roman" w:hAnsi="Times New Roman"/>
                <w:color w:val="000000"/>
                <w:sz w:val="21"/>
                <w:szCs w:val="21"/>
              </w:rPr>
              <w:fldChar w:fldCharType="end"/>
            </w:r>
          </w:p>
        </w:tc>
        <w:tc>
          <w:tcPr>
            <w:tcW w:w="7048" w:type="dxa"/>
            <w:gridSpan w:val="21"/>
            <w:shd w:val="clear" w:color="auto" w:fill="FFFFFF"/>
          </w:tcPr>
          <w:p w14:paraId="72926F6C" w14:textId="77777777" w:rsidR="00B040FC" w:rsidRPr="00B37C80" w:rsidRDefault="00B040FC" w:rsidP="00B040FC">
            <w:pPr>
              <w:spacing w:line="240" w:lineRule="auto"/>
              <w:rPr>
                <w:rFonts w:ascii="Times New Roman" w:hAnsi="Times New Roman"/>
                <w:color w:val="000000"/>
                <w:spacing w:val="-2"/>
                <w:sz w:val="21"/>
                <w:szCs w:val="21"/>
              </w:rPr>
            </w:pPr>
          </w:p>
        </w:tc>
      </w:tr>
      <w:tr w:rsidR="00B040FC" w:rsidRPr="008B4FE6" w14:paraId="3437BC3E" w14:textId="77777777" w:rsidTr="00AC17BB">
        <w:trPr>
          <w:gridAfter w:val="1"/>
          <w:wAfter w:w="10" w:type="dxa"/>
          <w:trHeight w:val="1266"/>
        </w:trPr>
        <w:tc>
          <w:tcPr>
            <w:tcW w:w="2243" w:type="dxa"/>
            <w:gridSpan w:val="3"/>
            <w:shd w:val="clear" w:color="auto" w:fill="FFFFFF"/>
          </w:tcPr>
          <w:p w14:paraId="290E71EC" w14:textId="77777777" w:rsidR="00B040FC" w:rsidRPr="00301959" w:rsidRDefault="00B040FC" w:rsidP="00B040FC">
            <w:pPr>
              <w:spacing w:line="240" w:lineRule="auto"/>
              <w:rPr>
                <w:rFonts w:ascii="Times New Roman" w:hAnsi="Times New Roman"/>
                <w:color w:val="000000"/>
                <w:sz w:val="21"/>
                <w:szCs w:val="21"/>
              </w:rPr>
            </w:pPr>
            <w:r w:rsidRPr="00301959">
              <w:rPr>
                <w:rFonts w:ascii="Times New Roman" w:hAnsi="Times New Roman"/>
                <w:color w:val="000000"/>
                <w:sz w:val="21"/>
                <w:szCs w:val="21"/>
              </w:rPr>
              <w:t xml:space="preserve">Dodatkowe informacje, w tym wskazanie źródeł danych i przyjętych do obliczeń założeń </w:t>
            </w:r>
          </w:p>
        </w:tc>
        <w:tc>
          <w:tcPr>
            <w:tcW w:w="8694" w:type="dxa"/>
            <w:gridSpan w:val="26"/>
            <w:shd w:val="clear" w:color="auto" w:fill="FFFFFF"/>
            <w:vAlign w:val="center"/>
          </w:tcPr>
          <w:p w14:paraId="2A3537B0" w14:textId="77777777" w:rsidR="00B040FC" w:rsidRPr="00301959" w:rsidRDefault="00B040FC" w:rsidP="00B040FC">
            <w:pPr>
              <w:spacing w:line="240" w:lineRule="auto"/>
              <w:jc w:val="both"/>
              <w:rPr>
                <w:rFonts w:ascii="Times New Roman" w:hAnsi="Times New Roman"/>
                <w:color w:val="000000"/>
                <w:sz w:val="21"/>
                <w:szCs w:val="21"/>
              </w:rPr>
            </w:pPr>
          </w:p>
          <w:p w14:paraId="56A62351" w14:textId="77777777" w:rsidR="00B040FC" w:rsidRPr="00301959" w:rsidRDefault="00B040FC" w:rsidP="00B040FC">
            <w:pPr>
              <w:spacing w:line="240" w:lineRule="auto"/>
              <w:jc w:val="both"/>
              <w:rPr>
                <w:rFonts w:ascii="Times New Roman" w:hAnsi="Times New Roman"/>
                <w:color w:val="000000"/>
                <w:sz w:val="21"/>
                <w:szCs w:val="21"/>
              </w:rPr>
            </w:pPr>
          </w:p>
          <w:p w14:paraId="3EA5C619" w14:textId="77777777" w:rsidR="00B040FC" w:rsidRPr="00301959" w:rsidRDefault="00B040FC" w:rsidP="00B040FC">
            <w:pPr>
              <w:spacing w:line="240" w:lineRule="auto"/>
              <w:jc w:val="both"/>
              <w:rPr>
                <w:rFonts w:ascii="Times New Roman" w:hAnsi="Times New Roman"/>
                <w:color w:val="000000"/>
                <w:sz w:val="21"/>
                <w:szCs w:val="21"/>
              </w:rPr>
            </w:pPr>
          </w:p>
          <w:p w14:paraId="78AD8798" w14:textId="77777777" w:rsidR="00B040FC" w:rsidRPr="00301959" w:rsidRDefault="00B040FC" w:rsidP="00B040FC">
            <w:pPr>
              <w:spacing w:line="240" w:lineRule="auto"/>
              <w:jc w:val="both"/>
              <w:rPr>
                <w:rFonts w:ascii="Times New Roman" w:hAnsi="Times New Roman"/>
                <w:color w:val="000000"/>
                <w:sz w:val="21"/>
                <w:szCs w:val="21"/>
              </w:rPr>
            </w:pPr>
          </w:p>
        </w:tc>
      </w:tr>
      <w:tr w:rsidR="00B040FC" w:rsidRPr="008B4FE6" w14:paraId="252EEFE8" w14:textId="77777777" w:rsidTr="00AC17BB">
        <w:trPr>
          <w:gridAfter w:val="1"/>
          <w:wAfter w:w="10" w:type="dxa"/>
          <w:trHeight w:val="342"/>
        </w:trPr>
        <w:tc>
          <w:tcPr>
            <w:tcW w:w="10937" w:type="dxa"/>
            <w:gridSpan w:val="29"/>
            <w:shd w:val="clear" w:color="auto" w:fill="99CCFF"/>
            <w:vAlign w:val="center"/>
          </w:tcPr>
          <w:p w14:paraId="593D7143" w14:textId="77777777" w:rsidR="00B040FC" w:rsidRPr="008B4FE6" w:rsidRDefault="00B040FC" w:rsidP="00B040FC">
            <w:pPr>
              <w:numPr>
                <w:ilvl w:val="0"/>
                <w:numId w:val="30"/>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color w:val="000000"/>
              </w:rPr>
              <w:t>Zmiana o</w:t>
            </w:r>
            <w:r w:rsidRPr="008B4FE6">
              <w:rPr>
                <w:rFonts w:ascii="Times New Roman" w:hAnsi="Times New Roman"/>
                <w:b/>
                <w:color w:val="000000"/>
              </w:rPr>
              <w:t>bciąże</w:t>
            </w:r>
            <w:r>
              <w:rPr>
                <w:rFonts w:ascii="Times New Roman" w:hAnsi="Times New Roman"/>
                <w:b/>
                <w:color w:val="000000"/>
              </w:rPr>
              <w:t>ń</w:t>
            </w:r>
            <w:r w:rsidRPr="008B4FE6">
              <w:rPr>
                <w:rFonts w:ascii="Times New Roman" w:hAnsi="Times New Roman"/>
                <w:b/>
                <w:color w:val="000000"/>
              </w:rPr>
              <w:t xml:space="preserve"> regulacyjn</w:t>
            </w:r>
            <w:r>
              <w:rPr>
                <w:rFonts w:ascii="Times New Roman" w:hAnsi="Times New Roman"/>
                <w:b/>
                <w:color w:val="000000"/>
              </w:rPr>
              <w:t>ych (w tym obowiązków informacyjnych)</w:t>
            </w:r>
            <w:r w:rsidRPr="008B4FE6">
              <w:rPr>
                <w:rFonts w:ascii="Times New Roman" w:hAnsi="Times New Roman"/>
                <w:b/>
                <w:color w:val="000000"/>
              </w:rPr>
              <w:t xml:space="preserve"> wynikając</w:t>
            </w:r>
            <w:r>
              <w:rPr>
                <w:rFonts w:ascii="Times New Roman" w:hAnsi="Times New Roman"/>
                <w:b/>
                <w:color w:val="000000"/>
              </w:rPr>
              <w:t>ych</w:t>
            </w:r>
            <w:r w:rsidRPr="008B4FE6">
              <w:rPr>
                <w:rFonts w:ascii="Times New Roman" w:hAnsi="Times New Roman"/>
                <w:b/>
                <w:color w:val="000000"/>
              </w:rPr>
              <w:t xml:space="preserve"> z projektu</w:t>
            </w:r>
          </w:p>
        </w:tc>
      </w:tr>
      <w:tr w:rsidR="00B040FC" w:rsidRPr="008B4FE6" w14:paraId="3463D7DA" w14:textId="77777777" w:rsidTr="00AC17BB">
        <w:trPr>
          <w:gridAfter w:val="1"/>
          <w:wAfter w:w="10" w:type="dxa"/>
          <w:trHeight w:val="151"/>
        </w:trPr>
        <w:tc>
          <w:tcPr>
            <w:tcW w:w="10937" w:type="dxa"/>
            <w:gridSpan w:val="29"/>
            <w:shd w:val="clear" w:color="auto" w:fill="FFFFFF"/>
          </w:tcPr>
          <w:p w14:paraId="14B66596"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1A5FDA">
              <w:rPr>
                <w:rFonts w:ascii="Times New Roman" w:hAnsi="Times New Roman"/>
                <w:color w:val="000000"/>
              </w:rPr>
              <w:t xml:space="preserve"> </w:t>
            </w:r>
            <w:r w:rsidRPr="001A5FDA">
              <w:rPr>
                <w:rFonts w:ascii="Times New Roman" w:hAnsi="Times New Roman"/>
                <w:color w:val="000000"/>
                <w:spacing w:val="-2"/>
              </w:rPr>
              <w:t>nie dotyczy</w:t>
            </w:r>
          </w:p>
        </w:tc>
      </w:tr>
      <w:tr w:rsidR="00B040FC" w:rsidRPr="008B4FE6" w14:paraId="38BC6024" w14:textId="77777777" w:rsidTr="00AC17BB">
        <w:trPr>
          <w:gridAfter w:val="1"/>
          <w:wAfter w:w="10" w:type="dxa"/>
          <w:trHeight w:val="946"/>
        </w:trPr>
        <w:tc>
          <w:tcPr>
            <w:tcW w:w="5111" w:type="dxa"/>
            <w:gridSpan w:val="13"/>
            <w:shd w:val="clear" w:color="auto" w:fill="FFFFFF"/>
          </w:tcPr>
          <w:p w14:paraId="755C8E0C" w14:textId="77777777" w:rsidR="00B040FC" w:rsidRDefault="00B040FC" w:rsidP="00B040FC">
            <w:pPr>
              <w:rPr>
                <w:rFonts w:ascii="Times New Roman" w:hAnsi="Times New Roman"/>
                <w:color w:val="000000"/>
                <w:spacing w:val="-2"/>
              </w:rPr>
            </w:pPr>
            <w:r>
              <w:rPr>
                <w:rFonts w:ascii="Times New Roman" w:hAnsi="Times New Roman"/>
                <w:color w:val="000000"/>
                <w:spacing w:val="-2"/>
              </w:rPr>
              <w:t>W</w:t>
            </w:r>
            <w:r w:rsidRPr="00653688">
              <w:rPr>
                <w:rFonts w:ascii="Times New Roman" w:hAnsi="Times New Roman"/>
                <w:color w:val="000000"/>
                <w:spacing w:val="-2"/>
              </w:rPr>
              <w:t xml:space="preserve">prowadzane są </w:t>
            </w:r>
            <w:r>
              <w:rPr>
                <w:rFonts w:ascii="Times New Roman" w:hAnsi="Times New Roman"/>
                <w:color w:val="000000"/>
                <w:spacing w:val="-2"/>
              </w:rPr>
              <w:t>obciążenia</w:t>
            </w:r>
            <w:r w:rsidRPr="00653688">
              <w:rPr>
                <w:rFonts w:ascii="Times New Roman" w:hAnsi="Times New Roman"/>
                <w:color w:val="000000"/>
                <w:spacing w:val="-2"/>
              </w:rPr>
              <w:t xml:space="preserve"> poza bezwzględnie wymaganymi przez UE</w:t>
            </w:r>
            <w:r>
              <w:rPr>
                <w:rFonts w:ascii="Times New Roman" w:hAnsi="Times New Roman"/>
                <w:color w:val="000000"/>
                <w:spacing w:val="-2"/>
              </w:rPr>
              <w:t xml:space="preserve"> </w:t>
            </w:r>
            <w:r w:rsidRPr="008B4FE6">
              <w:rPr>
                <w:rFonts w:ascii="Times New Roman" w:hAnsi="Times New Roman"/>
                <w:color w:val="000000"/>
              </w:rPr>
              <w:t>(szczegóły w odwróconej tabeli zgodności</w:t>
            </w:r>
            <w:r>
              <w:rPr>
                <w:rFonts w:ascii="Times New Roman" w:hAnsi="Times New Roman"/>
                <w:color w:val="000000"/>
              </w:rPr>
              <w:t>).</w:t>
            </w:r>
          </w:p>
        </w:tc>
        <w:tc>
          <w:tcPr>
            <w:tcW w:w="5826" w:type="dxa"/>
            <w:gridSpan w:val="16"/>
            <w:shd w:val="clear" w:color="auto" w:fill="FFFFFF"/>
          </w:tcPr>
          <w:p w14:paraId="7AC269FA"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0F689356"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39E8F2EE" w14:textId="77777777" w:rsidR="00B040FC" w:rsidRDefault="00B040FC" w:rsidP="00B040FC">
            <w:pPr>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tc>
      </w:tr>
      <w:tr w:rsidR="00B040FC" w:rsidRPr="008B4FE6" w14:paraId="166EE943" w14:textId="77777777" w:rsidTr="00AC17BB">
        <w:trPr>
          <w:gridAfter w:val="1"/>
          <w:wAfter w:w="10" w:type="dxa"/>
          <w:trHeight w:val="1245"/>
        </w:trPr>
        <w:tc>
          <w:tcPr>
            <w:tcW w:w="5111" w:type="dxa"/>
            <w:gridSpan w:val="13"/>
            <w:shd w:val="clear" w:color="auto" w:fill="FFFFFF"/>
          </w:tcPr>
          <w:p w14:paraId="2DC10A17" w14:textId="77777777" w:rsidR="00B040FC" w:rsidRPr="008B4FE6" w:rsidRDefault="00B040FC"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dokumentów</w:t>
            </w:r>
            <w:r>
              <w:rPr>
                <w:rFonts w:ascii="Times New Roman" w:hAnsi="Times New Roman"/>
                <w:color w:val="000000"/>
                <w:spacing w:val="-2"/>
              </w:rPr>
              <w:t xml:space="preserve"> </w:t>
            </w:r>
          </w:p>
          <w:p w14:paraId="61ACD2FE" w14:textId="77777777" w:rsidR="00B040FC" w:rsidRPr="008B4FE6" w:rsidRDefault="00B040FC"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zmniejszenie liczby procedur</w:t>
            </w:r>
          </w:p>
          <w:p w14:paraId="3E2754C8" w14:textId="77777777" w:rsidR="00B040FC" w:rsidRDefault="00B040FC"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skrócenie czasu</w:t>
            </w:r>
            <w:r>
              <w:rPr>
                <w:rFonts w:ascii="Times New Roman" w:hAnsi="Times New Roman"/>
                <w:color w:val="000000"/>
                <w:spacing w:val="-2"/>
              </w:rPr>
              <w:t xml:space="preserve"> na załatwienie sprawy</w:t>
            </w:r>
          </w:p>
          <w:p w14:paraId="05EC55D3" w14:textId="77777777" w:rsidR="00B040FC" w:rsidRPr="008B4FE6" w:rsidRDefault="00B040FC" w:rsidP="00B040FC">
            <w:pPr>
              <w:rPr>
                <w:rFonts w:ascii="Times New Roman" w:hAnsi="Times New Roman"/>
                <w:b/>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5826" w:type="dxa"/>
            <w:gridSpan w:val="16"/>
            <w:shd w:val="clear" w:color="auto" w:fill="FFFFFF"/>
          </w:tcPr>
          <w:p w14:paraId="56A538F9"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dokumentów</w:t>
            </w:r>
          </w:p>
          <w:p w14:paraId="1B878093"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zwiększenie liczby procedur</w:t>
            </w:r>
          </w:p>
          <w:p w14:paraId="385C5242"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wydłużenie czasu</w:t>
            </w:r>
            <w:r>
              <w:rPr>
                <w:rFonts w:ascii="Times New Roman" w:hAnsi="Times New Roman"/>
                <w:color w:val="000000"/>
                <w:spacing w:val="-2"/>
              </w:rPr>
              <w:t xml:space="preserve"> na załatwienie sprawy</w:t>
            </w:r>
          </w:p>
          <w:p w14:paraId="48CC730F"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inne:</w:t>
            </w:r>
            <w:r w:rsidRPr="008B4FE6">
              <w:rPr>
                <w:rFonts w:ascii="Times New Roman" w:hAnsi="Times New Roman"/>
                <w:color w:val="000000"/>
              </w:rPr>
              <w:t xml:space="preserv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p w14:paraId="6666F26B" w14:textId="77777777" w:rsidR="00B040FC" w:rsidRPr="008B4FE6" w:rsidRDefault="00B040FC" w:rsidP="00B040FC">
            <w:pPr>
              <w:spacing w:line="240" w:lineRule="auto"/>
              <w:rPr>
                <w:rFonts w:ascii="Times New Roman" w:hAnsi="Times New Roman"/>
                <w:color w:val="000000"/>
              </w:rPr>
            </w:pPr>
          </w:p>
        </w:tc>
      </w:tr>
      <w:tr w:rsidR="00B040FC" w:rsidRPr="008B4FE6" w14:paraId="7368EC54" w14:textId="77777777" w:rsidTr="00AC17BB">
        <w:trPr>
          <w:gridAfter w:val="1"/>
          <w:wAfter w:w="10" w:type="dxa"/>
          <w:trHeight w:val="870"/>
        </w:trPr>
        <w:tc>
          <w:tcPr>
            <w:tcW w:w="5111" w:type="dxa"/>
            <w:gridSpan w:val="13"/>
            <w:shd w:val="clear" w:color="auto" w:fill="FFFFFF"/>
          </w:tcPr>
          <w:p w14:paraId="37F76284" w14:textId="77777777" w:rsidR="00B040FC" w:rsidRPr="008B4FE6" w:rsidRDefault="00B040FC" w:rsidP="00B040FC">
            <w:pPr>
              <w:spacing w:line="240" w:lineRule="auto"/>
              <w:rPr>
                <w:rFonts w:ascii="Times New Roman" w:hAnsi="Times New Roman"/>
                <w:color w:val="000000"/>
              </w:rPr>
            </w:pPr>
            <w:r>
              <w:rPr>
                <w:rFonts w:ascii="Times New Roman" w:hAnsi="Times New Roman"/>
                <w:color w:val="000000"/>
                <w:spacing w:val="-2"/>
              </w:rPr>
              <w:t>W</w:t>
            </w:r>
            <w:r w:rsidRPr="00653688">
              <w:rPr>
                <w:rFonts w:ascii="Times New Roman" w:hAnsi="Times New Roman"/>
                <w:color w:val="000000"/>
                <w:spacing w:val="-2"/>
              </w:rPr>
              <w:t>prowadzane</w:t>
            </w:r>
            <w:r>
              <w:rPr>
                <w:rFonts w:ascii="Times New Roman" w:hAnsi="Times New Roman"/>
                <w:color w:val="000000"/>
                <w:spacing w:val="-2"/>
              </w:rPr>
              <w:t xml:space="preserve"> obciążenia</w:t>
            </w:r>
            <w:r w:rsidRPr="00653688">
              <w:rPr>
                <w:rFonts w:ascii="Times New Roman" w:hAnsi="Times New Roman"/>
                <w:color w:val="000000"/>
                <w:spacing w:val="-2"/>
              </w:rPr>
              <w:t xml:space="preserve"> są </w:t>
            </w:r>
            <w:r>
              <w:rPr>
                <w:rFonts w:ascii="Times New Roman" w:hAnsi="Times New Roman"/>
                <w:color w:val="000000"/>
                <w:spacing w:val="-2"/>
              </w:rPr>
              <w:t xml:space="preserve">przystosowane do ich elektronizacji. </w:t>
            </w:r>
          </w:p>
        </w:tc>
        <w:tc>
          <w:tcPr>
            <w:tcW w:w="5826" w:type="dxa"/>
            <w:gridSpan w:val="16"/>
            <w:shd w:val="clear" w:color="auto" w:fill="FFFFFF"/>
          </w:tcPr>
          <w:p w14:paraId="288B3E1E"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tak</w:t>
            </w:r>
          </w:p>
          <w:p w14:paraId="00DAC86A"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Pr>
                <w:rFonts w:ascii="Times New Roman" w:hAnsi="Times New Roman"/>
                <w:color w:val="000000"/>
              </w:rPr>
              <w:t xml:space="preserve"> nie</w:t>
            </w:r>
          </w:p>
          <w:p w14:paraId="644730DF" w14:textId="77777777" w:rsidR="00B040FC" w:rsidRDefault="00B040FC"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Pr>
                <w:rFonts w:ascii="Times New Roman" w:hAnsi="Times New Roman"/>
                <w:color w:val="000000"/>
              </w:rPr>
              <w:t xml:space="preserve"> nie dotyczy</w:t>
            </w:r>
          </w:p>
          <w:p w14:paraId="1A2AB4DB" w14:textId="77777777" w:rsidR="00B040FC" w:rsidRPr="008B4FE6" w:rsidRDefault="00B040FC" w:rsidP="00B040FC">
            <w:pPr>
              <w:spacing w:line="240" w:lineRule="auto"/>
              <w:rPr>
                <w:rFonts w:ascii="Times New Roman" w:hAnsi="Times New Roman"/>
                <w:color w:val="000000"/>
              </w:rPr>
            </w:pPr>
          </w:p>
        </w:tc>
      </w:tr>
      <w:tr w:rsidR="00B040FC" w:rsidRPr="008B4FE6" w14:paraId="0C8F0611" w14:textId="77777777" w:rsidTr="00E962FF">
        <w:trPr>
          <w:gridAfter w:val="1"/>
          <w:wAfter w:w="10" w:type="dxa"/>
          <w:trHeight w:val="557"/>
        </w:trPr>
        <w:tc>
          <w:tcPr>
            <w:tcW w:w="10937" w:type="dxa"/>
            <w:gridSpan w:val="29"/>
            <w:shd w:val="clear" w:color="auto" w:fill="FFFFFF"/>
          </w:tcPr>
          <w:p w14:paraId="1B3F4A41" w14:textId="77777777" w:rsidR="00B040FC" w:rsidRDefault="00B040FC" w:rsidP="00B040FC">
            <w:pPr>
              <w:spacing w:line="240" w:lineRule="auto"/>
              <w:jc w:val="both"/>
              <w:rPr>
                <w:rFonts w:ascii="Times New Roman" w:hAnsi="Times New Roman"/>
                <w:color w:val="000000"/>
              </w:rPr>
            </w:pPr>
            <w:r>
              <w:rPr>
                <w:rFonts w:ascii="Times New Roman" w:hAnsi="Times New Roman"/>
                <w:color w:val="000000"/>
              </w:rPr>
              <w:t>Komentarz:</w:t>
            </w:r>
          </w:p>
          <w:p w14:paraId="66105D47" w14:textId="77777777" w:rsidR="00B040FC" w:rsidRDefault="00B040FC" w:rsidP="00B040FC">
            <w:pPr>
              <w:spacing w:line="240" w:lineRule="auto"/>
              <w:jc w:val="both"/>
              <w:rPr>
                <w:rFonts w:ascii="Times New Roman" w:hAnsi="Times New Roman"/>
                <w:color w:val="000000"/>
              </w:rPr>
            </w:pPr>
          </w:p>
          <w:p w14:paraId="5E01BEA2" w14:textId="4A724525" w:rsidR="00E27F3C" w:rsidRDefault="00E27F3C" w:rsidP="00E27F3C">
            <w:pPr>
              <w:spacing w:line="240" w:lineRule="exact"/>
              <w:jc w:val="both"/>
              <w:rPr>
                <w:rFonts w:ascii="Times New Roman" w:hAnsi="Times New Roman"/>
                <w:color w:val="000000"/>
              </w:rPr>
            </w:pPr>
            <w:r>
              <w:rPr>
                <w:rFonts w:ascii="Times New Roman" w:hAnsi="Times New Roman"/>
                <w:color w:val="000000"/>
              </w:rPr>
              <w:t xml:space="preserve">Rozwiązania zawarte w art. 1 pkt 8, art. 5, art. 6, art. </w:t>
            </w:r>
            <w:r w:rsidR="00F95A38">
              <w:rPr>
                <w:rFonts w:ascii="Times New Roman" w:hAnsi="Times New Roman"/>
                <w:color w:val="000000"/>
              </w:rPr>
              <w:t>12</w:t>
            </w:r>
            <w:r>
              <w:rPr>
                <w:rFonts w:ascii="Times New Roman" w:hAnsi="Times New Roman"/>
                <w:color w:val="000000"/>
              </w:rPr>
              <w:t xml:space="preserve"> i art. </w:t>
            </w:r>
            <w:r w:rsidR="00F95A38">
              <w:rPr>
                <w:rFonts w:ascii="Times New Roman" w:hAnsi="Times New Roman"/>
                <w:color w:val="000000"/>
              </w:rPr>
              <w:t>13</w:t>
            </w:r>
            <w:r>
              <w:rPr>
                <w:rFonts w:ascii="Times New Roman" w:hAnsi="Times New Roman"/>
                <w:color w:val="000000"/>
              </w:rPr>
              <w:t xml:space="preserve"> projektu ustawy, umożliwiające automatyczną zmianę kodu PKD w CEIDG, KRS lub rejestrze REGON na nowy lub zmieniony kod PKD, są korzystne dla przedsiębiorców, ponieważ wpływają na zmniejszenie dla nich obciążeń regulacyjnych, gwarantując jednocześnie zachowanie wszelkich uprawnień wynikających z przepisów prawa.</w:t>
            </w:r>
          </w:p>
          <w:p w14:paraId="03FB2AAA" w14:textId="2B67F349" w:rsidR="00E27F3C" w:rsidRPr="001B614C" w:rsidRDefault="00E27F3C" w:rsidP="00E27F3C">
            <w:pPr>
              <w:spacing w:before="120" w:line="240" w:lineRule="exact"/>
              <w:jc w:val="both"/>
              <w:rPr>
                <w:rFonts w:ascii="Times New Roman" w:hAnsi="Times New Roman"/>
              </w:rPr>
            </w:pPr>
            <w:r w:rsidRPr="001B614C">
              <w:rPr>
                <w:rFonts w:ascii="Times New Roman" w:hAnsi="Times New Roman"/>
              </w:rPr>
              <w:t xml:space="preserve">Rozwiązania zawarte w art. 1 pkt </w:t>
            </w:r>
            <w:r w:rsidR="00F95A38">
              <w:rPr>
                <w:rFonts w:ascii="Times New Roman" w:hAnsi="Times New Roman"/>
              </w:rPr>
              <w:t>20</w:t>
            </w:r>
            <w:r w:rsidRPr="001B614C">
              <w:rPr>
                <w:rFonts w:ascii="Times New Roman" w:hAnsi="Times New Roman"/>
              </w:rPr>
              <w:t xml:space="preserve"> projektu ustawy (art. 47</w:t>
            </w:r>
            <w:r w:rsidR="00F95A38">
              <w:rPr>
                <w:rFonts w:ascii="Times New Roman" w:hAnsi="Times New Roman"/>
              </w:rPr>
              <w:t xml:space="preserve">h i 47j </w:t>
            </w:r>
            <w:r>
              <w:rPr>
                <w:rFonts w:ascii="Times New Roman" w:hAnsi="Times New Roman"/>
              </w:rPr>
              <w:t>ustawy o statystyce publicznej</w:t>
            </w:r>
            <w:r w:rsidRPr="001B614C">
              <w:rPr>
                <w:rFonts w:ascii="Times New Roman" w:hAnsi="Times New Roman"/>
              </w:rPr>
              <w:t>) oraz w art. 3 projektu ustawy dotyczące obowiązku przekazywania przez powiatowych inspektorów nadzoru budowlanego, organy gmin oraz starostów informacji niezbędnych do aktualizacji rejestru TERYT są aktualnie  uregulowane w § 11</w:t>
            </w:r>
            <w:r>
              <w:rPr>
                <w:rFonts w:ascii="Times New Roman" w:hAnsi="Times New Roman"/>
              </w:rPr>
              <w:t xml:space="preserve"> i</w:t>
            </w:r>
            <w:r w:rsidRPr="001B614C">
              <w:rPr>
                <w:rFonts w:ascii="Times New Roman" w:hAnsi="Times New Roman"/>
              </w:rPr>
              <w:t> 12 rozporządzenia w sprawie rejestru TERYT. Przeniesienie tych przepisów z poziomu rozporządzenia do ustawy nie powoduje dodatkowych obciążeń administracyjnych dla ww. organów ponad te, które są już obecnie realizowane.</w:t>
            </w:r>
          </w:p>
          <w:p w14:paraId="1CD75971" w14:textId="1C478DC8" w:rsidR="00F95A38" w:rsidRPr="00F95A38" w:rsidRDefault="00E27F3C" w:rsidP="00F95A38">
            <w:pPr>
              <w:spacing w:before="120" w:after="120" w:line="240" w:lineRule="exact"/>
              <w:jc w:val="both"/>
              <w:rPr>
                <w:rFonts w:ascii="Times New Roman" w:hAnsi="Times New Roman"/>
              </w:rPr>
            </w:pPr>
            <w:r w:rsidRPr="001B614C">
              <w:rPr>
                <w:rFonts w:ascii="Times New Roman" w:hAnsi="Times New Roman"/>
              </w:rPr>
              <w:t xml:space="preserve">Rozwiązanie zawarte w art. 1 pkt </w:t>
            </w:r>
            <w:r w:rsidR="00F95A38">
              <w:rPr>
                <w:rFonts w:ascii="Times New Roman" w:hAnsi="Times New Roman"/>
              </w:rPr>
              <w:t>22</w:t>
            </w:r>
            <w:r w:rsidRPr="001B614C">
              <w:rPr>
                <w:rFonts w:ascii="Times New Roman" w:hAnsi="Times New Roman"/>
              </w:rPr>
              <w:t xml:space="preserve"> projektu ustawy (</w:t>
            </w:r>
            <w:r>
              <w:rPr>
                <w:rFonts w:ascii="Times New Roman" w:hAnsi="Times New Roman"/>
              </w:rPr>
              <w:t xml:space="preserve">dodanie </w:t>
            </w:r>
            <w:r w:rsidRPr="001B614C">
              <w:rPr>
                <w:rFonts w:ascii="Times New Roman" w:hAnsi="Times New Roman"/>
              </w:rPr>
              <w:t>art. 48a</w:t>
            </w:r>
            <w:r>
              <w:rPr>
                <w:rFonts w:ascii="Times New Roman" w:hAnsi="Times New Roman"/>
              </w:rPr>
              <w:t xml:space="preserve"> ustawy o statystyce publicznej</w:t>
            </w:r>
            <w:r w:rsidRPr="001B614C">
              <w:rPr>
                <w:rFonts w:ascii="Times New Roman" w:hAnsi="Times New Roman"/>
              </w:rPr>
              <w:t>) dotyczące stosowania identyfikatorów rejestru TERYT przez inne rejestry urzędowe i systemy informacyjne administracji publicznej prowadzone w systemie teleinformatycznym, może spowodować dodatkowe obciążenia w przypadku tych rejestrów, które pomimo ciążącego na nich obowiązku (wynikającego z aktualnie obowiązujących przepisów ustawy o statystyce publicznej i rozporządzenia w sprawie rejestru TERYT), do chwili obecnej tych identyfikatorów nie stosują.</w:t>
            </w:r>
          </w:p>
        </w:tc>
      </w:tr>
      <w:tr w:rsidR="00B040FC" w:rsidRPr="008B4FE6" w14:paraId="20E8CFA9" w14:textId="77777777" w:rsidTr="00AC17BB">
        <w:trPr>
          <w:gridAfter w:val="1"/>
          <w:wAfter w:w="10" w:type="dxa"/>
          <w:trHeight w:val="142"/>
        </w:trPr>
        <w:tc>
          <w:tcPr>
            <w:tcW w:w="10937" w:type="dxa"/>
            <w:gridSpan w:val="29"/>
            <w:shd w:val="clear" w:color="auto" w:fill="99CCFF"/>
          </w:tcPr>
          <w:p w14:paraId="65E86EA0" w14:textId="77777777" w:rsidR="00B040FC" w:rsidRPr="008B4FE6" w:rsidRDefault="00B040FC" w:rsidP="00B040FC">
            <w:pPr>
              <w:numPr>
                <w:ilvl w:val="0"/>
                <w:numId w:val="30"/>
              </w:numPr>
              <w:spacing w:before="60" w:after="60" w:line="240" w:lineRule="auto"/>
              <w:jc w:val="both"/>
              <w:rPr>
                <w:rFonts w:ascii="Times New Roman" w:hAnsi="Times New Roman"/>
                <w:b/>
                <w:color w:val="000000"/>
              </w:rPr>
            </w:pPr>
            <w:r w:rsidRPr="008B4FE6">
              <w:rPr>
                <w:rFonts w:ascii="Times New Roman" w:hAnsi="Times New Roman"/>
                <w:b/>
                <w:color w:val="000000"/>
              </w:rPr>
              <w:t xml:space="preserve">Wpływ na rynek pracy </w:t>
            </w:r>
          </w:p>
        </w:tc>
      </w:tr>
      <w:tr w:rsidR="00B040FC" w:rsidRPr="008B4FE6" w14:paraId="48E6EA7F" w14:textId="77777777" w:rsidTr="00AC17BB">
        <w:trPr>
          <w:gridAfter w:val="1"/>
          <w:wAfter w:w="10" w:type="dxa"/>
          <w:trHeight w:val="142"/>
        </w:trPr>
        <w:tc>
          <w:tcPr>
            <w:tcW w:w="10937" w:type="dxa"/>
            <w:gridSpan w:val="29"/>
            <w:shd w:val="clear" w:color="auto" w:fill="auto"/>
          </w:tcPr>
          <w:p w14:paraId="1E735093" w14:textId="77DA7C6B" w:rsidR="00764941" w:rsidRPr="0097176D" w:rsidRDefault="00B040FC" w:rsidP="00B040FC">
            <w:pPr>
              <w:spacing w:before="120" w:after="120" w:line="240" w:lineRule="auto"/>
              <w:jc w:val="both"/>
              <w:rPr>
                <w:rFonts w:ascii="Times New Roman" w:hAnsi="Times New Roman"/>
                <w:color w:val="000000"/>
              </w:rPr>
            </w:pPr>
            <w:r w:rsidRPr="00A55A60">
              <w:rPr>
                <w:rFonts w:ascii="Times New Roman" w:hAnsi="Times New Roman"/>
                <w:color w:val="000000"/>
              </w:rPr>
              <w:t xml:space="preserve">Projekt </w:t>
            </w:r>
            <w:r>
              <w:rPr>
                <w:rFonts w:ascii="Times New Roman" w:hAnsi="Times New Roman"/>
                <w:color w:val="000000"/>
              </w:rPr>
              <w:t>ustawy</w:t>
            </w:r>
            <w:r w:rsidRPr="00A55A60">
              <w:rPr>
                <w:rFonts w:ascii="Times New Roman" w:hAnsi="Times New Roman"/>
                <w:color w:val="000000"/>
              </w:rPr>
              <w:t xml:space="preserve"> będzie miał pozytywny wpływ na rynek pracy</w:t>
            </w:r>
            <w:r>
              <w:rPr>
                <w:rFonts w:ascii="Times New Roman" w:hAnsi="Times New Roman"/>
                <w:color w:val="000000"/>
              </w:rPr>
              <w:t xml:space="preserve">, stanowiąc zamknięcie działań legislacyjnych rozpoczętych </w:t>
            </w:r>
            <w:r w:rsidRPr="00083913">
              <w:rPr>
                <w:rFonts w:ascii="Times New Roman" w:hAnsi="Times New Roman"/>
              </w:rPr>
              <w:t>rozporządzeniem Rady Ministrów z dnia 24 czerwca 2020 r. zmieniającym rozporządzenie w sprawie Polskiej Klasyfikacji Działalności (PKD)</w:t>
            </w:r>
            <w:r>
              <w:rPr>
                <w:rFonts w:ascii="Times New Roman" w:hAnsi="Times New Roman"/>
                <w:color w:val="000000"/>
              </w:rPr>
              <w:t xml:space="preserve"> – w tym zakresie  należy projektowaną ustawę </w:t>
            </w:r>
            <w:r w:rsidRPr="00A55A60">
              <w:rPr>
                <w:rFonts w:ascii="Times New Roman" w:hAnsi="Times New Roman"/>
                <w:color w:val="000000"/>
              </w:rPr>
              <w:t xml:space="preserve">uznać za uzupełnienie prowadzonych od marca 2020 </w:t>
            </w:r>
            <w:r w:rsidRPr="00A55A60">
              <w:rPr>
                <w:rFonts w:ascii="Times New Roman" w:hAnsi="Times New Roman"/>
                <w:color w:val="000000"/>
              </w:rPr>
              <w:lastRenderedPageBreak/>
              <w:t>r. działań legislacyjnych państwa na rzecz minimalizacji negatywnego wpływu pandemii COVID-19 na przedsiębiorczość i rynek pracy.</w:t>
            </w:r>
          </w:p>
        </w:tc>
      </w:tr>
      <w:tr w:rsidR="00B040FC" w:rsidRPr="008B4FE6" w14:paraId="01C38266" w14:textId="77777777" w:rsidTr="00AC17BB">
        <w:trPr>
          <w:gridAfter w:val="1"/>
          <w:wAfter w:w="10" w:type="dxa"/>
          <w:trHeight w:val="142"/>
        </w:trPr>
        <w:tc>
          <w:tcPr>
            <w:tcW w:w="10937" w:type="dxa"/>
            <w:gridSpan w:val="29"/>
            <w:shd w:val="clear" w:color="auto" w:fill="99CCFF"/>
          </w:tcPr>
          <w:p w14:paraId="5DBEF4D5" w14:textId="77777777" w:rsidR="00B040FC" w:rsidRPr="008B4FE6" w:rsidRDefault="00B040FC" w:rsidP="00B040FC">
            <w:pPr>
              <w:numPr>
                <w:ilvl w:val="0"/>
                <w:numId w:val="30"/>
              </w:numPr>
              <w:spacing w:before="60" w:after="60" w:line="240" w:lineRule="auto"/>
              <w:jc w:val="both"/>
              <w:rPr>
                <w:rFonts w:ascii="Times New Roman" w:hAnsi="Times New Roman"/>
                <w:b/>
                <w:color w:val="000000"/>
              </w:rPr>
            </w:pPr>
            <w:r w:rsidRPr="008B4FE6">
              <w:rPr>
                <w:rFonts w:ascii="Times New Roman" w:hAnsi="Times New Roman"/>
                <w:b/>
                <w:color w:val="000000"/>
              </w:rPr>
              <w:lastRenderedPageBreak/>
              <w:t>Wpływ na pozostałe obszary</w:t>
            </w:r>
          </w:p>
        </w:tc>
      </w:tr>
      <w:tr w:rsidR="00B040FC" w:rsidRPr="008B4FE6" w14:paraId="02D56FEA" w14:textId="77777777" w:rsidTr="00AC17BB">
        <w:trPr>
          <w:gridAfter w:val="1"/>
          <w:wAfter w:w="10" w:type="dxa"/>
          <w:trHeight w:val="1031"/>
        </w:trPr>
        <w:tc>
          <w:tcPr>
            <w:tcW w:w="3547" w:type="dxa"/>
            <w:gridSpan w:val="7"/>
            <w:shd w:val="clear" w:color="auto" w:fill="FFFFFF"/>
          </w:tcPr>
          <w:p w14:paraId="446E2F90" w14:textId="77777777" w:rsidR="00B040FC" w:rsidRPr="008B4FE6" w:rsidRDefault="00B040FC" w:rsidP="00B040FC">
            <w:pPr>
              <w:spacing w:line="240" w:lineRule="auto"/>
              <w:rPr>
                <w:rFonts w:ascii="Times New Roman" w:hAnsi="Times New Roman"/>
                <w:color w:val="000000"/>
              </w:rPr>
            </w:pPr>
          </w:p>
          <w:p w14:paraId="52237D1B"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środowisko naturalne</w:t>
            </w:r>
          </w:p>
          <w:p w14:paraId="368364D4"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rPr>
              <w:t>sytuacja i rozwój regionalny</w:t>
            </w:r>
          </w:p>
          <w:p w14:paraId="69BFE1B2" w14:textId="02F4E707" w:rsidR="00B040FC" w:rsidRPr="00BF6667" w:rsidRDefault="00764941" w:rsidP="00B040FC">
            <w:pPr>
              <w:spacing w:line="240" w:lineRule="auto"/>
              <w:rPr>
                <w:rFonts w:ascii="Times New Roman" w:hAnsi="Times New Roman"/>
                <w:color w:val="000000"/>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D93C2B">
              <w:rPr>
                <w:rFonts w:ascii="Times New Roman" w:hAnsi="Times New Roman"/>
                <w:spacing w:val="-2"/>
              </w:rPr>
              <w:t>sądy powszechne, administracyjne lub wojskowe</w:t>
            </w:r>
          </w:p>
        </w:tc>
        <w:tc>
          <w:tcPr>
            <w:tcW w:w="3687" w:type="dxa"/>
            <w:gridSpan w:val="13"/>
            <w:shd w:val="clear" w:color="auto" w:fill="FFFFFF"/>
          </w:tcPr>
          <w:p w14:paraId="01424ADA" w14:textId="77777777" w:rsidR="00B040FC" w:rsidRPr="008B4FE6" w:rsidRDefault="00B040FC" w:rsidP="00B040FC">
            <w:pPr>
              <w:spacing w:line="240" w:lineRule="auto"/>
              <w:rPr>
                <w:rFonts w:ascii="Times New Roman" w:hAnsi="Times New Roman"/>
                <w:color w:val="000000"/>
              </w:rPr>
            </w:pPr>
          </w:p>
          <w:p w14:paraId="673E30DC" w14:textId="77777777" w:rsidR="00B040FC" w:rsidRPr="008B4FE6" w:rsidRDefault="00B040FC" w:rsidP="00B040FC">
            <w:pPr>
              <w:spacing w:line="240" w:lineRule="auto"/>
              <w:rPr>
                <w:rFonts w:ascii="Times New Roman" w:hAnsi="Times New Roman"/>
                <w:color w:val="000000"/>
                <w:spacing w:val="-2"/>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demografia</w:t>
            </w:r>
          </w:p>
          <w:p w14:paraId="57E55372" w14:textId="77777777" w:rsidR="00B040FC"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rPr>
              <w:t>mienie państwowe</w:t>
            </w:r>
          </w:p>
          <w:p w14:paraId="13BF1475"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sidRPr="008B4FE6">
              <w:rPr>
                <w:rFonts w:ascii="Times New Roman" w:hAnsi="Times New Roman"/>
                <w:color w:val="000000"/>
                <w:spacing w:val="-2"/>
              </w:rPr>
              <w:t xml:space="preserve">inne: </w:t>
            </w:r>
            <w:r w:rsidRPr="008B4FE6">
              <w:rPr>
                <w:rFonts w:ascii="Times New Roman" w:hAnsi="Times New Roman"/>
                <w:color w:val="000000"/>
              </w:rPr>
              <w:fldChar w:fldCharType="begin">
                <w:ffData>
                  <w:name w:val=""/>
                  <w:enabled/>
                  <w:calcOnExit w:val="0"/>
                  <w:helpText w:type="text" w:val="W przypadku wyboru Upoważnienie ustawowe, Strategia lub Inne wpisz dokładnie źródła tj. jaka ustawa, tytuł strategii i jaki inny dokument"/>
                  <w:statusText w:type="text" w:val="W przypadku wyboru Upoważnienie ustawowe, Strategia lub Inne wpisz dokładnie źródła tj. jaka ustawa, tytuł strategii i jaki inny dokument"/>
                  <w:textInput/>
                </w:ffData>
              </w:fldChar>
            </w:r>
            <w:r w:rsidRPr="008B4FE6">
              <w:rPr>
                <w:rFonts w:ascii="Times New Roman" w:hAnsi="Times New Roman"/>
                <w:color w:val="000000"/>
              </w:rPr>
              <w:instrText xml:space="preserve"> FORMTEXT </w:instrText>
            </w:r>
            <w:r w:rsidRPr="008B4FE6">
              <w:rPr>
                <w:rFonts w:ascii="Times New Roman" w:hAnsi="Times New Roman"/>
                <w:color w:val="000000"/>
              </w:rPr>
            </w:r>
            <w:r w:rsidRPr="008B4FE6">
              <w:rPr>
                <w:rFonts w:ascii="Times New Roman" w:hAnsi="Times New Roman"/>
                <w:color w:val="000000"/>
              </w:rPr>
              <w:fldChar w:fldCharType="separate"/>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noProof/>
                <w:color w:val="000000"/>
              </w:rPr>
              <w:t> </w:t>
            </w:r>
            <w:r w:rsidRPr="008B4FE6">
              <w:rPr>
                <w:rFonts w:ascii="Times New Roman" w:hAnsi="Times New Roman"/>
                <w:color w:val="000000"/>
              </w:rPr>
              <w:fldChar w:fldCharType="end"/>
            </w:r>
          </w:p>
        </w:tc>
        <w:tc>
          <w:tcPr>
            <w:tcW w:w="3703" w:type="dxa"/>
            <w:gridSpan w:val="9"/>
            <w:shd w:val="clear" w:color="auto" w:fill="FFFFFF"/>
          </w:tcPr>
          <w:p w14:paraId="24809064" w14:textId="77777777" w:rsidR="00B040FC" w:rsidRPr="008B4FE6" w:rsidRDefault="00B040FC" w:rsidP="00B040FC">
            <w:pPr>
              <w:spacing w:line="240" w:lineRule="auto"/>
              <w:rPr>
                <w:rFonts w:ascii="Times New Roman" w:hAnsi="Times New Roman"/>
                <w:color w:val="000000"/>
              </w:rPr>
            </w:pPr>
          </w:p>
          <w:p w14:paraId="73301588" w14:textId="5B1F43CA" w:rsidR="00B040FC" w:rsidRDefault="00764941" w:rsidP="00B040FC">
            <w:pPr>
              <w:spacing w:line="240" w:lineRule="auto"/>
              <w:rPr>
                <w:rFonts w:ascii="Times New Roman" w:hAnsi="Times New Roman"/>
                <w:color w:val="000000"/>
                <w:spacing w:val="-2"/>
              </w:rPr>
            </w:pPr>
            <w:r>
              <w:rPr>
                <w:rFonts w:ascii="Times New Roman" w:hAnsi="Times New Roman"/>
                <w:color w:val="000000"/>
              </w:rPr>
              <w:fldChar w:fldCharType="begin">
                <w:ffData>
                  <w:name w:val=""/>
                  <w:enabled/>
                  <w:calcOnExit w:val="0"/>
                  <w:checkBox>
                    <w:sizeAuto/>
                    <w:default w:val="1"/>
                  </w:checkBox>
                </w:ffData>
              </w:fldChar>
            </w:r>
            <w:r>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Pr>
                <w:rFonts w:ascii="Times New Roman" w:hAnsi="Times New Roman"/>
                <w:color w:val="000000"/>
              </w:rPr>
              <w:fldChar w:fldCharType="end"/>
            </w:r>
            <w:r w:rsidR="00B040FC" w:rsidRPr="008B4FE6">
              <w:rPr>
                <w:rFonts w:ascii="Times New Roman" w:hAnsi="Times New Roman"/>
                <w:color w:val="000000"/>
                <w:sz w:val="20"/>
                <w:szCs w:val="20"/>
              </w:rPr>
              <w:t xml:space="preserve"> </w:t>
            </w:r>
            <w:r w:rsidR="00B040FC" w:rsidRPr="008B4FE6">
              <w:rPr>
                <w:rFonts w:ascii="Times New Roman" w:hAnsi="Times New Roman"/>
                <w:color w:val="000000"/>
                <w:spacing w:val="-2"/>
              </w:rPr>
              <w:t>informatyzacja</w:t>
            </w:r>
          </w:p>
          <w:p w14:paraId="16B6EE02"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fldChar w:fldCharType="begin">
                <w:ffData>
                  <w:name w:val="Wybór1"/>
                  <w:enabled/>
                  <w:calcOnExit w:val="0"/>
                  <w:checkBox>
                    <w:sizeAuto/>
                    <w:default w:val="0"/>
                  </w:checkBox>
                </w:ffData>
              </w:fldChar>
            </w:r>
            <w:r w:rsidRPr="008B4FE6">
              <w:rPr>
                <w:rFonts w:ascii="Times New Roman" w:hAnsi="Times New Roman"/>
                <w:color w:val="000000"/>
              </w:rPr>
              <w:instrText xml:space="preserve"> FORMCHECKBOX </w:instrText>
            </w:r>
            <w:r w:rsidR="00121A6B">
              <w:rPr>
                <w:rFonts w:ascii="Times New Roman" w:hAnsi="Times New Roman"/>
                <w:color w:val="000000"/>
              </w:rPr>
            </w:r>
            <w:r w:rsidR="00121A6B">
              <w:rPr>
                <w:rFonts w:ascii="Times New Roman" w:hAnsi="Times New Roman"/>
                <w:color w:val="000000"/>
              </w:rPr>
              <w:fldChar w:fldCharType="separate"/>
            </w:r>
            <w:r w:rsidRPr="008B4FE6">
              <w:rPr>
                <w:rFonts w:ascii="Times New Roman" w:hAnsi="Times New Roman"/>
                <w:color w:val="000000"/>
              </w:rPr>
              <w:fldChar w:fldCharType="end"/>
            </w:r>
            <w:r w:rsidRPr="008B4FE6">
              <w:rPr>
                <w:rFonts w:ascii="Times New Roman" w:hAnsi="Times New Roman"/>
                <w:color w:val="000000"/>
                <w:sz w:val="20"/>
                <w:szCs w:val="20"/>
              </w:rPr>
              <w:t xml:space="preserve"> </w:t>
            </w:r>
            <w:r>
              <w:rPr>
                <w:rFonts w:ascii="Times New Roman" w:hAnsi="Times New Roman"/>
                <w:color w:val="000000"/>
                <w:spacing w:val="-2"/>
              </w:rPr>
              <w:t>zdrowie</w:t>
            </w:r>
          </w:p>
        </w:tc>
      </w:tr>
      <w:tr w:rsidR="00B040FC" w:rsidRPr="008B4FE6" w14:paraId="7082F095" w14:textId="77777777" w:rsidTr="00AC17BB">
        <w:trPr>
          <w:gridAfter w:val="1"/>
          <w:wAfter w:w="10" w:type="dxa"/>
          <w:trHeight w:val="843"/>
        </w:trPr>
        <w:tc>
          <w:tcPr>
            <w:tcW w:w="2243" w:type="dxa"/>
            <w:gridSpan w:val="3"/>
            <w:shd w:val="clear" w:color="auto" w:fill="FFFFFF"/>
            <w:vAlign w:val="center"/>
          </w:tcPr>
          <w:p w14:paraId="5133056D" w14:textId="77777777" w:rsidR="00B040FC" w:rsidRPr="008B4FE6" w:rsidRDefault="00B040FC" w:rsidP="00B040FC">
            <w:pPr>
              <w:spacing w:line="240" w:lineRule="auto"/>
              <w:rPr>
                <w:rFonts w:ascii="Times New Roman" w:hAnsi="Times New Roman"/>
                <w:color w:val="000000"/>
              </w:rPr>
            </w:pPr>
            <w:r w:rsidRPr="008B4FE6">
              <w:rPr>
                <w:rFonts w:ascii="Times New Roman" w:hAnsi="Times New Roman"/>
                <w:color w:val="000000"/>
              </w:rPr>
              <w:t>Omówienie wpływu</w:t>
            </w:r>
          </w:p>
        </w:tc>
        <w:tc>
          <w:tcPr>
            <w:tcW w:w="8694" w:type="dxa"/>
            <w:gridSpan w:val="26"/>
            <w:shd w:val="clear" w:color="auto" w:fill="FFFFFF"/>
            <w:vAlign w:val="center"/>
          </w:tcPr>
          <w:p w14:paraId="0763C52E" w14:textId="77777777" w:rsidR="00D46318" w:rsidRPr="00D675CC" w:rsidRDefault="00D46318" w:rsidP="00D46318">
            <w:pPr>
              <w:spacing w:line="240" w:lineRule="exact"/>
              <w:jc w:val="both"/>
              <w:rPr>
                <w:rFonts w:ascii="Times New Roman" w:hAnsi="Times New Roman"/>
                <w:lang w:eastAsia="pl-PL"/>
              </w:rPr>
            </w:pPr>
            <w:r w:rsidRPr="00A61612">
              <w:rPr>
                <w:rFonts w:ascii="Times New Roman" w:hAnsi="Times New Roman"/>
              </w:rPr>
              <w:t xml:space="preserve">Zakłada się, że </w:t>
            </w:r>
            <w:r w:rsidRPr="00D675CC">
              <w:rPr>
                <w:rFonts w:ascii="Times New Roman" w:hAnsi="Times New Roman"/>
                <w:lang w:eastAsia="pl-PL"/>
              </w:rPr>
              <w:t xml:space="preserve">rozwiązania </w:t>
            </w:r>
            <w:r>
              <w:rPr>
                <w:rFonts w:ascii="Times New Roman" w:hAnsi="Times New Roman"/>
                <w:lang w:eastAsia="pl-PL"/>
              </w:rPr>
              <w:t xml:space="preserve">zawarte w </w:t>
            </w:r>
            <w:r w:rsidRPr="00D675CC">
              <w:rPr>
                <w:rFonts w:ascii="Times New Roman" w:hAnsi="Times New Roman"/>
                <w:lang w:eastAsia="pl-PL"/>
              </w:rPr>
              <w:t>projektowane</w:t>
            </w:r>
            <w:r>
              <w:rPr>
                <w:rFonts w:ascii="Times New Roman" w:hAnsi="Times New Roman"/>
                <w:lang w:eastAsia="pl-PL"/>
              </w:rPr>
              <w:t>j ustawie</w:t>
            </w:r>
            <w:r w:rsidRPr="00D675CC">
              <w:rPr>
                <w:rFonts w:ascii="Times New Roman" w:hAnsi="Times New Roman"/>
                <w:lang w:eastAsia="pl-PL"/>
              </w:rPr>
              <w:t xml:space="preserve"> w zakresie rejestru TERYT będą miały pozytywny wpływ na poprawę jakości danych adresowych zgromadzonych w innych rejestrach urzędowych i systemach informacyjnych administracji publicznej. Podtrzymanie obowiązku stosowania identyfikatorów rejestru TERYT przyczyni się do eliminacji błędów powstających przy rejestracji danych </w:t>
            </w:r>
            <w:r w:rsidRPr="00EA3DD3">
              <w:rPr>
                <w:rFonts w:ascii="Times New Roman" w:hAnsi="Times New Roman"/>
                <w:lang w:eastAsia="pl-PL"/>
              </w:rPr>
              <w:t>dotyczących jednostek podziału terytorialnego, miejscowości i ulic, a ustawowe doprecyzowanie obowiązku ich aktualizacji przyczyni się do utrzymania ich w aktualności. Stosowanie projektowanych regulacji stworzy warunki dla skutecznej integracji dan</w:t>
            </w:r>
            <w:r w:rsidRPr="00D675CC">
              <w:rPr>
                <w:rFonts w:ascii="Times New Roman" w:hAnsi="Times New Roman"/>
                <w:lang w:eastAsia="pl-PL"/>
              </w:rPr>
              <w:t>ych pochodzących z różnych rejestrów urzędowych i systemów informacyjnych administracji publicznej oraz innych źródeł stosujących identyfikatory rejestru TERYT.</w:t>
            </w:r>
          </w:p>
          <w:p w14:paraId="19902C43" w14:textId="4D5ABD03" w:rsidR="00D46318" w:rsidRPr="00A61612" w:rsidRDefault="00D46318" w:rsidP="00D46318">
            <w:pPr>
              <w:spacing w:before="120" w:line="240" w:lineRule="exact"/>
              <w:jc w:val="both"/>
              <w:rPr>
                <w:rFonts w:ascii="Times New Roman" w:hAnsi="Times New Roman"/>
              </w:rPr>
            </w:pPr>
            <w:r w:rsidRPr="00A61612">
              <w:rPr>
                <w:rFonts w:ascii="Times New Roman" w:hAnsi="Times New Roman"/>
              </w:rPr>
              <w:t>Ponadto, projektowane regulacje dotyczące rozszerzenia zakresu danych udostępnianych za pośrednictwem usług sieciowych</w:t>
            </w:r>
            <w:r>
              <w:rPr>
                <w:rFonts w:ascii="Times New Roman" w:hAnsi="Times New Roman"/>
              </w:rPr>
              <w:t xml:space="preserve">, </w:t>
            </w:r>
            <w:r w:rsidRPr="00A61612">
              <w:rPr>
                <w:rFonts w:ascii="Times New Roman" w:hAnsi="Times New Roman"/>
              </w:rPr>
              <w:t>zwiększ</w:t>
            </w:r>
            <w:r>
              <w:rPr>
                <w:rFonts w:ascii="Times New Roman" w:hAnsi="Times New Roman"/>
              </w:rPr>
              <w:t>ą</w:t>
            </w:r>
            <w:r w:rsidRPr="00A61612">
              <w:rPr>
                <w:rFonts w:ascii="Times New Roman" w:hAnsi="Times New Roman"/>
              </w:rPr>
              <w:t xml:space="preserve"> poziom automatyzacji pozyskiwania danych </w:t>
            </w:r>
            <w:r>
              <w:rPr>
                <w:rFonts w:ascii="Times New Roman" w:hAnsi="Times New Roman"/>
              </w:rPr>
              <w:br/>
              <w:t xml:space="preserve">z </w:t>
            </w:r>
            <w:r w:rsidRPr="00A61612">
              <w:rPr>
                <w:rFonts w:ascii="Times New Roman" w:hAnsi="Times New Roman"/>
              </w:rPr>
              <w:t>rejestru TERYT</w:t>
            </w:r>
            <w:r>
              <w:rPr>
                <w:rFonts w:ascii="Times New Roman" w:hAnsi="Times New Roman"/>
              </w:rPr>
              <w:t>.</w:t>
            </w:r>
          </w:p>
          <w:p w14:paraId="4AFEC2CE" w14:textId="77777777" w:rsidR="00D46318" w:rsidRPr="00A61612" w:rsidRDefault="00D46318" w:rsidP="00D46318">
            <w:pPr>
              <w:spacing w:before="120" w:line="240" w:lineRule="exact"/>
              <w:jc w:val="both"/>
              <w:rPr>
                <w:rFonts w:ascii="Times New Roman" w:hAnsi="Times New Roman"/>
              </w:rPr>
            </w:pPr>
            <w:r w:rsidRPr="00A61612">
              <w:rPr>
                <w:rFonts w:ascii="Times New Roman" w:hAnsi="Times New Roman"/>
              </w:rPr>
              <w:t>Zakłada się, że poszerzenie zakresu danych pobieranych elektronicznie i aktualizowanych automatycznie będzie miało pozytywny wpływ na poprawę jakości danych gromadzonych w rejestrze REGON oraz innych bazach i rejestrach korzystających z zasobów rejestru REGON.</w:t>
            </w:r>
          </w:p>
          <w:p w14:paraId="2D6400E4" w14:textId="2FF461DA" w:rsidR="00B040FC" w:rsidRPr="00D46318" w:rsidRDefault="00D46318" w:rsidP="00D46318">
            <w:pPr>
              <w:spacing w:before="120" w:line="240" w:lineRule="exact"/>
              <w:jc w:val="both"/>
              <w:rPr>
                <w:rFonts w:ascii="Times New Roman" w:hAnsi="Times New Roman"/>
                <w:sz w:val="21"/>
                <w:szCs w:val="21"/>
              </w:rPr>
            </w:pPr>
            <w:r w:rsidRPr="00A61612">
              <w:rPr>
                <w:rFonts w:ascii="Times New Roman" w:hAnsi="Times New Roman"/>
              </w:rPr>
              <w:t>Zakłada się usprawnienie oraz przyspieszenie aktualizacji w Krajowym Rejestrze Sądowym danych dotyczących przedmiotu działalności, z</w:t>
            </w:r>
            <w:r>
              <w:rPr>
                <w:rFonts w:ascii="Times New Roman" w:hAnsi="Times New Roman"/>
              </w:rPr>
              <w:t>mniej</w:t>
            </w:r>
            <w:r w:rsidRPr="00A61612">
              <w:rPr>
                <w:rFonts w:ascii="Times New Roman" w:hAnsi="Times New Roman"/>
              </w:rPr>
              <w:t>szenie liczby spraw w wydziałach gospodarczych sądów rejonowych odpowiadających za rejestrację w KRS.</w:t>
            </w:r>
          </w:p>
        </w:tc>
      </w:tr>
      <w:tr w:rsidR="00B040FC" w:rsidRPr="008B4FE6" w14:paraId="48039B96" w14:textId="77777777" w:rsidTr="00AC17BB">
        <w:trPr>
          <w:gridAfter w:val="1"/>
          <w:wAfter w:w="10" w:type="dxa"/>
          <w:trHeight w:val="142"/>
        </w:trPr>
        <w:tc>
          <w:tcPr>
            <w:tcW w:w="10937" w:type="dxa"/>
            <w:gridSpan w:val="29"/>
            <w:shd w:val="clear" w:color="auto" w:fill="99CCFF"/>
          </w:tcPr>
          <w:p w14:paraId="6A548873" w14:textId="77777777" w:rsidR="00B040FC" w:rsidRPr="00627221" w:rsidRDefault="00B040FC" w:rsidP="00B040FC">
            <w:pPr>
              <w:numPr>
                <w:ilvl w:val="0"/>
                <w:numId w:val="30"/>
              </w:numPr>
              <w:spacing w:before="60" w:after="60" w:line="240" w:lineRule="auto"/>
              <w:ind w:left="318" w:hanging="284"/>
              <w:jc w:val="both"/>
              <w:rPr>
                <w:rFonts w:ascii="Times New Roman" w:hAnsi="Times New Roman"/>
                <w:b/>
              </w:rPr>
            </w:pPr>
            <w:r>
              <w:rPr>
                <w:rFonts w:ascii="Times New Roman" w:hAnsi="Times New Roman"/>
                <w:b/>
                <w:spacing w:val="-2"/>
                <w:sz w:val="21"/>
                <w:szCs w:val="21"/>
              </w:rPr>
              <w:t>Planowane w</w:t>
            </w:r>
            <w:r w:rsidRPr="00627221">
              <w:rPr>
                <w:rFonts w:ascii="Times New Roman" w:hAnsi="Times New Roman"/>
                <w:b/>
                <w:spacing w:val="-2"/>
                <w:sz w:val="21"/>
                <w:szCs w:val="21"/>
              </w:rPr>
              <w:t>ykonani</w:t>
            </w:r>
            <w:r>
              <w:rPr>
                <w:rFonts w:ascii="Times New Roman" w:hAnsi="Times New Roman"/>
                <w:b/>
                <w:spacing w:val="-2"/>
                <w:sz w:val="21"/>
                <w:szCs w:val="21"/>
              </w:rPr>
              <w:t>e</w:t>
            </w:r>
            <w:r w:rsidRPr="00627221">
              <w:rPr>
                <w:rFonts w:ascii="Times New Roman" w:hAnsi="Times New Roman"/>
                <w:b/>
                <w:spacing w:val="-2"/>
                <w:sz w:val="21"/>
                <w:szCs w:val="21"/>
              </w:rPr>
              <w:t xml:space="preserve"> przepisów aktu prawnego</w:t>
            </w:r>
          </w:p>
        </w:tc>
      </w:tr>
      <w:tr w:rsidR="00B040FC" w:rsidRPr="008B4FE6" w14:paraId="11374832" w14:textId="77777777" w:rsidTr="00AC17BB">
        <w:trPr>
          <w:gridAfter w:val="1"/>
          <w:wAfter w:w="10" w:type="dxa"/>
          <w:trHeight w:val="142"/>
        </w:trPr>
        <w:tc>
          <w:tcPr>
            <w:tcW w:w="10937" w:type="dxa"/>
            <w:gridSpan w:val="29"/>
            <w:shd w:val="clear" w:color="auto" w:fill="FFFFFF"/>
          </w:tcPr>
          <w:p w14:paraId="02AD3273" w14:textId="77777777" w:rsidR="00D46318" w:rsidRPr="007A08A4" w:rsidRDefault="00D46318" w:rsidP="00D46318">
            <w:pPr>
              <w:spacing w:line="240" w:lineRule="exact"/>
              <w:jc w:val="both"/>
              <w:rPr>
                <w:rFonts w:ascii="Times New Roman" w:hAnsi="Times New Roman"/>
              </w:rPr>
            </w:pPr>
            <w:bookmarkStart w:id="27" w:name="_Hlk148363993"/>
            <w:r w:rsidRPr="007A08A4">
              <w:rPr>
                <w:rFonts w:ascii="Times New Roman" w:hAnsi="Times New Roman"/>
              </w:rPr>
              <w:t xml:space="preserve">W art. 21 proponuje się, aby projektowana ustawa weszła w życie po upływie 14 dni od dnia </w:t>
            </w:r>
            <w:r w:rsidRPr="007A08A4">
              <w:rPr>
                <w:rFonts w:ascii="Times New Roman" w:hAnsi="Times New Roman"/>
              </w:rPr>
              <w:br/>
              <w:t>jej ogłoszenia, z wyjątkiem:</w:t>
            </w:r>
          </w:p>
          <w:p w14:paraId="49752252" w14:textId="77777777" w:rsidR="00D46318" w:rsidRPr="007A08A4" w:rsidRDefault="00D46318" w:rsidP="00D46318">
            <w:pPr>
              <w:pStyle w:val="Akapitzlist"/>
              <w:numPr>
                <w:ilvl w:val="0"/>
                <w:numId w:val="9"/>
              </w:numPr>
              <w:spacing w:line="240" w:lineRule="exact"/>
              <w:ind w:left="714" w:hanging="357"/>
              <w:jc w:val="both"/>
              <w:rPr>
                <w:rFonts w:ascii="Times New Roman" w:hAnsi="Times New Roman"/>
              </w:rPr>
            </w:pPr>
            <w:r w:rsidRPr="007A08A4">
              <w:rPr>
                <w:rFonts w:ascii="Times New Roman" w:hAnsi="Times New Roman"/>
              </w:rPr>
              <w:t>niektórych zmian wprowadzanych w ustawie o statystyce publicznej dotyczących prowadzenia rejestru REGON – wejdą one w życie po upływie 12 miesięcy od dnia ogłoszenia;</w:t>
            </w:r>
          </w:p>
          <w:p w14:paraId="2DB274A4" w14:textId="77777777" w:rsidR="00D46318" w:rsidRPr="007A08A4" w:rsidRDefault="00D46318" w:rsidP="00D46318">
            <w:pPr>
              <w:pStyle w:val="Akapitzlist"/>
              <w:numPr>
                <w:ilvl w:val="0"/>
                <w:numId w:val="9"/>
              </w:numPr>
              <w:spacing w:line="240" w:lineRule="exact"/>
              <w:ind w:left="714" w:hanging="357"/>
              <w:jc w:val="both"/>
              <w:rPr>
                <w:rFonts w:ascii="Times New Roman" w:hAnsi="Times New Roman"/>
              </w:rPr>
            </w:pPr>
            <w:r w:rsidRPr="007A08A4">
              <w:rPr>
                <w:rFonts w:ascii="Times New Roman" w:hAnsi="Times New Roman"/>
              </w:rPr>
              <w:t>niektórych zmian wprowadzanych w ustawie o statystyce publicznej dotyczących prowadzenia rejestru TERYT – wejdą one w życie po upływie 18 miesięcy od dnia ogłoszenia;</w:t>
            </w:r>
          </w:p>
          <w:p w14:paraId="323181AF" w14:textId="77777777" w:rsidR="00D46318" w:rsidRPr="007A08A4" w:rsidRDefault="00D46318" w:rsidP="00D46318">
            <w:pPr>
              <w:pStyle w:val="Akapitzlist"/>
              <w:numPr>
                <w:ilvl w:val="0"/>
                <w:numId w:val="9"/>
              </w:numPr>
              <w:spacing w:line="240" w:lineRule="exact"/>
              <w:jc w:val="both"/>
              <w:rPr>
                <w:rFonts w:ascii="Times New Roman" w:hAnsi="Times New Roman"/>
              </w:rPr>
            </w:pPr>
            <w:r w:rsidRPr="007A08A4">
              <w:rPr>
                <w:rFonts w:ascii="Times New Roman" w:hAnsi="Times New Roman"/>
              </w:rPr>
              <w:t>zmian wprowadzanych w ustawie z dnia 17 maja 1989 r. –  Prawo geodezyjne i kartograficzne – wejdą one w życie po upływie 18 miesięcy od dnia ogłoszenia;</w:t>
            </w:r>
          </w:p>
          <w:p w14:paraId="3048E2B4" w14:textId="77777777" w:rsidR="00D46318" w:rsidRPr="007A08A4" w:rsidRDefault="00D46318" w:rsidP="00D46318">
            <w:pPr>
              <w:pStyle w:val="Akapitzlist"/>
              <w:numPr>
                <w:ilvl w:val="0"/>
                <w:numId w:val="9"/>
              </w:numPr>
              <w:spacing w:line="240" w:lineRule="exact"/>
              <w:ind w:left="714" w:hanging="357"/>
              <w:contextualSpacing w:val="0"/>
              <w:jc w:val="both"/>
              <w:rPr>
                <w:rFonts w:ascii="Times New Roman" w:hAnsi="Times New Roman"/>
              </w:rPr>
            </w:pPr>
            <w:r w:rsidRPr="007A08A4">
              <w:rPr>
                <w:rFonts w:ascii="Times New Roman" w:hAnsi="Times New Roman"/>
              </w:rPr>
              <w:t>zmian wprowadzanych w ustawie o KRS – wejdą one w życie z dniem 31 grudnia 2025 r.</w:t>
            </w:r>
          </w:p>
          <w:p w14:paraId="772DDBD8" w14:textId="77777777" w:rsidR="00D46318" w:rsidRPr="007A08A4" w:rsidRDefault="00D46318" w:rsidP="00D46318">
            <w:pPr>
              <w:spacing w:before="120" w:line="240" w:lineRule="exact"/>
              <w:jc w:val="both"/>
              <w:rPr>
                <w:rFonts w:ascii="Times New Roman" w:hAnsi="Times New Roman"/>
              </w:rPr>
            </w:pPr>
            <w:r w:rsidRPr="007A08A4">
              <w:rPr>
                <w:rFonts w:ascii="Times New Roman" w:hAnsi="Times New Roman"/>
              </w:rPr>
              <w:t>Rozwiązanie takie pozwoli na zrealizowanie:</w:t>
            </w:r>
          </w:p>
          <w:p w14:paraId="3557E01C" w14:textId="77777777" w:rsidR="00D46318" w:rsidRPr="007A08A4" w:rsidRDefault="00D46318" w:rsidP="00D46318">
            <w:pPr>
              <w:pStyle w:val="Akapitzlist"/>
              <w:numPr>
                <w:ilvl w:val="0"/>
                <w:numId w:val="44"/>
              </w:numPr>
              <w:spacing w:line="240" w:lineRule="exact"/>
              <w:ind w:left="714" w:hanging="357"/>
              <w:jc w:val="both"/>
              <w:rPr>
                <w:rFonts w:ascii="Times New Roman" w:hAnsi="Times New Roman"/>
              </w:rPr>
            </w:pPr>
            <w:r w:rsidRPr="007A08A4">
              <w:rPr>
                <w:rFonts w:ascii="Times New Roman" w:hAnsi="Times New Roman"/>
              </w:rPr>
              <w:t xml:space="preserve">w ciągu 12 miesięcy od dnia ogłoszenia projektowanej ustawy działań takich jak: </w:t>
            </w:r>
          </w:p>
          <w:p w14:paraId="073D68B8" w14:textId="77777777" w:rsidR="00D46318" w:rsidRPr="007A08A4" w:rsidRDefault="00D46318" w:rsidP="00D46318">
            <w:pPr>
              <w:pStyle w:val="Akapitzlist"/>
              <w:numPr>
                <w:ilvl w:val="0"/>
                <w:numId w:val="42"/>
              </w:numPr>
              <w:spacing w:line="240" w:lineRule="exact"/>
              <w:jc w:val="both"/>
              <w:rPr>
                <w:rFonts w:ascii="Times New Roman" w:hAnsi="Times New Roman"/>
              </w:rPr>
            </w:pPr>
            <w:r w:rsidRPr="007A08A4">
              <w:rPr>
                <w:rFonts w:ascii="Times New Roman" w:hAnsi="Times New Roman"/>
              </w:rPr>
              <w:t>rozszerzenie zakresu informacyjnego rejestru REGON (m.in. o adres do doręczeń, informacje o jednostce lokalnej);</w:t>
            </w:r>
          </w:p>
          <w:p w14:paraId="59E70673" w14:textId="77777777" w:rsidR="00D46318" w:rsidRPr="007A08A4" w:rsidRDefault="00D46318" w:rsidP="00D46318">
            <w:pPr>
              <w:pStyle w:val="Akapitzlist"/>
              <w:numPr>
                <w:ilvl w:val="0"/>
                <w:numId w:val="42"/>
              </w:numPr>
              <w:spacing w:line="240" w:lineRule="exact"/>
              <w:jc w:val="both"/>
              <w:rPr>
                <w:rFonts w:ascii="Times New Roman" w:hAnsi="Times New Roman"/>
              </w:rPr>
            </w:pPr>
            <w:r w:rsidRPr="007A08A4">
              <w:rPr>
                <w:rFonts w:ascii="Times New Roman" w:hAnsi="Times New Roman"/>
              </w:rPr>
              <w:t>wprowadzenie zmian w oprogramowaniu, mających na celu rozszerzenie zakresu danych pobieranych elektronicznie (np. z rejestru PESEL, CRP KEP);</w:t>
            </w:r>
          </w:p>
          <w:p w14:paraId="0EEF5F0B" w14:textId="77777777" w:rsidR="00D46318" w:rsidRPr="007A08A4" w:rsidRDefault="00D46318" w:rsidP="00D46318">
            <w:pPr>
              <w:pStyle w:val="Akapitzlist"/>
              <w:numPr>
                <w:ilvl w:val="0"/>
                <w:numId w:val="42"/>
              </w:numPr>
              <w:spacing w:line="240" w:lineRule="exact"/>
              <w:jc w:val="both"/>
              <w:rPr>
                <w:rFonts w:ascii="Times New Roman" w:hAnsi="Times New Roman"/>
              </w:rPr>
            </w:pPr>
            <w:r w:rsidRPr="007A08A4">
              <w:rPr>
                <w:rFonts w:ascii="Times New Roman" w:hAnsi="Times New Roman"/>
              </w:rPr>
              <w:t>dostosowanie baz danych rejestru REGON do wprowadzanych zmian;</w:t>
            </w:r>
          </w:p>
          <w:p w14:paraId="101DE6BE" w14:textId="77777777" w:rsidR="00D46318" w:rsidRPr="007A08A4" w:rsidRDefault="00D46318" w:rsidP="00D46318">
            <w:pPr>
              <w:pStyle w:val="Akapitzlist"/>
              <w:numPr>
                <w:ilvl w:val="0"/>
                <w:numId w:val="42"/>
              </w:numPr>
              <w:spacing w:line="240" w:lineRule="exact"/>
              <w:jc w:val="both"/>
              <w:rPr>
                <w:rFonts w:ascii="Times New Roman" w:hAnsi="Times New Roman"/>
              </w:rPr>
            </w:pPr>
            <w:r w:rsidRPr="007A08A4">
              <w:rPr>
                <w:rFonts w:ascii="Times New Roman" w:hAnsi="Times New Roman"/>
              </w:rPr>
              <w:t>wydanie nowego rozporządzenia w sprawie rejestru REGON, dostosowanego do zmian wprowadzanych projektowaną ustawą;</w:t>
            </w:r>
          </w:p>
          <w:p w14:paraId="6629ADE9" w14:textId="77777777" w:rsidR="00D46318" w:rsidRPr="007A08A4" w:rsidRDefault="00D46318" w:rsidP="00D46318">
            <w:pPr>
              <w:pStyle w:val="Akapitzlist"/>
              <w:numPr>
                <w:ilvl w:val="0"/>
                <w:numId w:val="44"/>
              </w:numPr>
              <w:spacing w:line="240" w:lineRule="exact"/>
              <w:jc w:val="both"/>
              <w:rPr>
                <w:rFonts w:ascii="Times New Roman" w:hAnsi="Times New Roman"/>
              </w:rPr>
            </w:pPr>
            <w:r w:rsidRPr="007A08A4">
              <w:rPr>
                <w:rFonts w:ascii="Times New Roman" w:hAnsi="Times New Roman"/>
              </w:rPr>
              <w:t>w ciągu 18 miesięcy od dnia ogłoszenia projektowanej ustawy działań takich jak:</w:t>
            </w:r>
          </w:p>
          <w:p w14:paraId="6801A7E5" w14:textId="77777777" w:rsidR="00D46318" w:rsidRPr="007A08A4" w:rsidRDefault="00D46318" w:rsidP="00D46318">
            <w:pPr>
              <w:pStyle w:val="Akapitzlist"/>
              <w:numPr>
                <w:ilvl w:val="0"/>
                <w:numId w:val="43"/>
              </w:numPr>
              <w:spacing w:line="240" w:lineRule="exact"/>
              <w:jc w:val="both"/>
              <w:rPr>
                <w:rFonts w:ascii="Times New Roman" w:hAnsi="Times New Roman"/>
              </w:rPr>
            </w:pPr>
            <w:r w:rsidRPr="007A08A4">
              <w:rPr>
                <w:rFonts w:ascii="Times New Roman" w:hAnsi="Times New Roman"/>
              </w:rPr>
              <w:t>wprowadzenie koniecznych zmian organizacyjno-technicznych dotyczących rejestru TERYT;</w:t>
            </w:r>
          </w:p>
          <w:p w14:paraId="2292FDBF" w14:textId="77777777" w:rsidR="00D46318" w:rsidRPr="007A08A4" w:rsidRDefault="00D46318" w:rsidP="00D46318">
            <w:pPr>
              <w:pStyle w:val="Akapitzlist"/>
              <w:numPr>
                <w:ilvl w:val="0"/>
                <w:numId w:val="43"/>
              </w:numPr>
              <w:spacing w:line="240" w:lineRule="exact"/>
              <w:ind w:left="1434" w:hanging="357"/>
              <w:jc w:val="both"/>
              <w:rPr>
                <w:rFonts w:ascii="Times New Roman" w:hAnsi="Times New Roman"/>
              </w:rPr>
            </w:pPr>
            <w:r w:rsidRPr="007A08A4">
              <w:rPr>
                <w:rFonts w:ascii="Times New Roman" w:hAnsi="Times New Roman"/>
              </w:rPr>
              <w:t xml:space="preserve">wydanie nowego rozporządzenia w sprawie rejestru TERYT, dostosowanego do zmian wprowadzanych projektowaną ustawą. </w:t>
            </w:r>
          </w:p>
          <w:p w14:paraId="4D74B457" w14:textId="08E1BB36" w:rsidR="00B040FC" w:rsidRPr="00396C7F" w:rsidRDefault="00D46318" w:rsidP="00D46318">
            <w:pPr>
              <w:spacing w:before="120" w:line="240" w:lineRule="exact"/>
              <w:jc w:val="both"/>
              <w:rPr>
                <w:rFonts w:ascii="Times New Roman" w:hAnsi="Times New Roman"/>
              </w:rPr>
            </w:pPr>
            <w:r w:rsidRPr="007A08A4">
              <w:rPr>
                <w:rFonts w:ascii="Times New Roman" w:hAnsi="Times New Roman"/>
              </w:rPr>
              <w:t>Termin wejścia w życie zmian w ustawie o KRS został ustalony w toku uzgodnień Głównego Urzędu Statystycznego z Ministerstwem Sprawiedliwości.</w:t>
            </w:r>
          </w:p>
        </w:tc>
      </w:tr>
      <w:bookmarkEnd w:id="27"/>
      <w:tr w:rsidR="00B040FC" w:rsidRPr="008B4FE6" w14:paraId="00C8F24B" w14:textId="77777777" w:rsidTr="00AC17BB">
        <w:trPr>
          <w:gridAfter w:val="1"/>
          <w:wAfter w:w="10" w:type="dxa"/>
          <w:trHeight w:val="142"/>
        </w:trPr>
        <w:tc>
          <w:tcPr>
            <w:tcW w:w="10937" w:type="dxa"/>
            <w:gridSpan w:val="29"/>
            <w:shd w:val="clear" w:color="auto" w:fill="99CCFF"/>
          </w:tcPr>
          <w:p w14:paraId="10D970CC" w14:textId="77777777" w:rsidR="00B040FC" w:rsidRPr="008B4FE6" w:rsidRDefault="00B040FC" w:rsidP="00B040FC">
            <w:pPr>
              <w:numPr>
                <w:ilvl w:val="0"/>
                <w:numId w:val="30"/>
              </w:numPr>
              <w:spacing w:before="60" w:after="60" w:line="240" w:lineRule="auto"/>
              <w:ind w:left="318" w:hanging="284"/>
              <w:jc w:val="both"/>
              <w:rPr>
                <w:rFonts w:ascii="Times New Roman" w:hAnsi="Times New Roman"/>
                <w:b/>
                <w:color w:val="000000"/>
              </w:rPr>
            </w:pPr>
            <w:r w:rsidRPr="008B4FE6">
              <w:rPr>
                <w:rFonts w:ascii="Times New Roman" w:hAnsi="Times New Roman"/>
                <w:b/>
                <w:color w:val="000000"/>
              </w:rPr>
              <w:t xml:space="preserve"> </w:t>
            </w:r>
            <w:r>
              <w:rPr>
                <w:rFonts w:ascii="Times New Roman" w:hAnsi="Times New Roman"/>
                <w:b/>
                <w:spacing w:val="-2"/>
                <w:sz w:val="21"/>
                <w:szCs w:val="21"/>
              </w:rPr>
              <w:t xml:space="preserve">W jaki sposób i kiedy </w:t>
            </w:r>
            <w:r w:rsidRPr="0063060B">
              <w:rPr>
                <w:rFonts w:ascii="Times New Roman" w:hAnsi="Times New Roman"/>
                <w:b/>
                <w:spacing w:val="-2"/>
                <w:sz w:val="21"/>
                <w:szCs w:val="21"/>
              </w:rPr>
              <w:t xml:space="preserve">nastąpi ewaluacja efektów projektu </w:t>
            </w:r>
            <w:r>
              <w:rPr>
                <w:rFonts w:ascii="Times New Roman" w:hAnsi="Times New Roman"/>
                <w:b/>
                <w:spacing w:val="-2"/>
                <w:sz w:val="21"/>
                <w:szCs w:val="21"/>
              </w:rPr>
              <w:t>oraz</w:t>
            </w:r>
            <w:r w:rsidRPr="0063060B">
              <w:rPr>
                <w:rFonts w:ascii="Times New Roman" w:hAnsi="Times New Roman"/>
                <w:b/>
                <w:spacing w:val="-2"/>
                <w:sz w:val="21"/>
                <w:szCs w:val="21"/>
              </w:rPr>
              <w:t xml:space="preserve"> jakie mierniki zostaną zastosowane</w:t>
            </w:r>
            <w:r>
              <w:rPr>
                <w:rFonts w:ascii="Times New Roman" w:hAnsi="Times New Roman"/>
                <w:b/>
                <w:spacing w:val="-2"/>
                <w:sz w:val="21"/>
                <w:szCs w:val="21"/>
              </w:rPr>
              <w:t>?</w:t>
            </w:r>
          </w:p>
        </w:tc>
      </w:tr>
      <w:tr w:rsidR="00B040FC" w:rsidRPr="008B4FE6" w14:paraId="0B06F024" w14:textId="77777777" w:rsidTr="00AC17BB">
        <w:trPr>
          <w:gridAfter w:val="1"/>
          <w:wAfter w:w="10" w:type="dxa"/>
          <w:trHeight w:val="588"/>
        </w:trPr>
        <w:tc>
          <w:tcPr>
            <w:tcW w:w="10937" w:type="dxa"/>
            <w:gridSpan w:val="29"/>
            <w:shd w:val="clear" w:color="auto" w:fill="FFFFFF"/>
          </w:tcPr>
          <w:p w14:paraId="3803D2DB" w14:textId="77777777" w:rsidR="00B040FC" w:rsidRPr="00B37C80" w:rsidRDefault="00B040FC" w:rsidP="00B040FC">
            <w:pPr>
              <w:spacing w:line="240" w:lineRule="auto"/>
              <w:jc w:val="both"/>
              <w:rPr>
                <w:rFonts w:ascii="Times New Roman" w:hAnsi="Times New Roman"/>
                <w:color w:val="000000"/>
                <w:spacing w:val="-2"/>
              </w:rPr>
            </w:pPr>
          </w:p>
          <w:p w14:paraId="05BCEA77" w14:textId="77777777" w:rsidR="00B040FC" w:rsidRPr="00B37C80" w:rsidRDefault="00B040FC" w:rsidP="00B040FC">
            <w:pPr>
              <w:spacing w:line="240" w:lineRule="auto"/>
              <w:jc w:val="both"/>
              <w:rPr>
                <w:rFonts w:ascii="Times New Roman" w:hAnsi="Times New Roman"/>
                <w:color w:val="000000"/>
                <w:spacing w:val="-2"/>
              </w:rPr>
            </w:pPr>
            <w:r>
              <w:rPr>
                <w:rFonts w:ascii="Times New Roman" w:hAnsi="Times New Roman"/>
                <w:color w:val="000000"/>
                <w:spacing w:val="-2"/>
              </w:rPr>
              <w:t>Nie planuje się ewaluacji efektów projektu.</w:t>
            </w:r>
          </w:p>
          <w:p w14:paraId="3B7B7A13" w14:textId="77777777" w:rsidR="00B040FC" w:rsidRPr="00B37C80" w:rsidRDefault="00B040FC" w:rsidP="00B040FC">
            <w:pPr>
              <w:spacing w:line="240" w:lineRule="auto"/>
              <w:jc w:val="both"/>
              <w:rPr>
                <w:rFonts w:ascii="Times New Roman" w:hAnsi="Times New Roman"/>
                <w:color w:val="000000"/>
                <w:spacing w:val="-2"/>
              </w:rPr>
            </w:pPr>
          </w:p>
        </w:tc>
      </w:tr>
      <w:tr w:rsidR="00B040FC" w:rsidRPr="008B4FE6" w14:paraId="76F5CC1E" w14:textId="77777777" w:rsidTr="00AC17BB">
        <w:trPr>
          <w:gridAfter w:val="1"/>
          <w:wAfter w:w="10" w:type="dxa"/>
          <w:trHeight w:val="142"/>
        </w:trPr>
        <w:tc>
          <w:tcPr>
            <w:tcW w:w="10937" w:type="dxa"/>
            <w:gridSpan w:val="29"/>
            <w:shd w:val="clear" w:color="auto" w:fill="99CCFF"/>
          </w:tcPr>
          <w:p w14:paraId="24374243" w14:textId="77777777" w:rsidR="00B040FC" w:rsidRPr="008B4FE6" w:rsidRDefault="00B040FC" w:rsidP="00B040FC">
            <w:pPr>
              <w:numPr>
                <w:ilvl w:val="0"/>
                <w:numId w:val="30"/>
              </w:numPr>
              <w:spacing w:before="60" w:after="60" w:line="240" w:lineRule="auto"/>
              <w:ind w:left="318" w:hanging="284"/>
              <w:jc w:val="both"/>
              <w:rPr>
                <w:rFonts w:ascii="Times New Roman" w:hAnsi="Times New Roman"/>
                <w:b/>
                <w:color w:val="000000"/>
                <w:spacing w:val="-2"/>
              </w:rPr>
            </w:pPr>
            <w:r w:rsidRPr="008B4FE6">
              <w:rPr>
                <w:rFonts w:ascii="Times New Roman" w:hAnsi="Times New Roman"/>
                <w:b/>
                <w:color w:val="000000"/>
                <w:spacing w:val="-2"/>
              </w:rPr>
              <w:t xml:space="preserve">Załączniki </w:t>
            </w:r>
            <w:r w:rsidRPr="0063060B">
              <w:rPr>
                <w:rFonts w:ascii="Times New Roman" w:hAnsi="Times New Roman"/>
                <w:b/>
                <w:spacing w:val="-2"/>
                <w:sz w:val="21"/>
                <w:szCs w:val="21"/>
              </w:rPr>
              <w:t>(</w:t>
            </w:r>
            <w:r>
              <w:rPr>
                <w:rFonts w:ascii="Times New Roman" w:hAnsi="Times New Roman"/>
                <w:b/>
                <w:spacing w:val="-2"/>
                <w:sz w:val="21"/>
                <w:szCs w:val="21"/>
              </w:rPr>
              <w:t xml:space="preserve">istotne </w:t>
            </w:r>
            <w:r w:rsidRPr="0063060B">
              <w:rPr>
                <w:rFonts w:ascii="Times New Roman" w:hAnsi="Times New Roman"/>
                <w:b/>
                <w:spacing w:val="-2"/>
                <w:sz w:val="21"/>
                <w:szCs w:val="21"/>
              </w:rPr>
              <w:t>dokumenty źródłowe,</w:t>
            </w:r>
            <w:r>
              <w:rPr>
                <w:rFonts w:ascii="Times New Roman" w:hAnsi="Times New Roman"/>
                <w:b/>
                <w:spacing w:val="-2"/>
                <w:sz w:val="21"/>
                <w:szCs w:val="21"/>
              </w:rPr>
              <w:t xml:space="preserve"> badania, analizy itp.</w:t>
            </w:r>
            <w:r w:rsidRPr="008B4FE6">
              <w:rPr>
                <w:rFonts w:ascii="Times New Roman" w:hAnsi="Times New Roman"/>
                <w:b/>
                <w:color w:val="000000"/>
                <w:spacing w:val="-2"/>
              </w:rPr>
              <w:t xml:space="preserve">) </w:t>
            </w:r>
          </w:p>
        </w:tc>
      </w:tr>
      <w:tr w:rsidR="00B040FC" w:rsidRPr="008B4FE6" w14:paraId="090EDE38" w14:textId="77777777" w:rsidTr="00AC17BB">
        <w:trPr>
          <w:gridAfter w:val="1"/>
          <w:wAfter w:w="10" w:type="dxa"/>
          <w:trHeight w:val="142"/>
        </w:trPr>
        <w:tc>
          <w:tcPr>
            <w:tcW w:w="10937" w:type="dxa"/>
            <w:gridSpan w:val="29"/>
            <w:shd w:val="clear" w:color="auto" w:fill="FFFFFF"/>
          </w:tcPr>
          <w:p w14:paraId="4EA49B8D" w14:textId="77777777" w:rsidR="00B040FC" w:rsidRPr="00B37C80" w:rsidRDefault="00B040FC" w:rsidP="00B040FC">
            <w:pPr>
              <w:spacing w:line="240" w:lineRule="auto"/>
              <w:jc w:val="both"/>
              <w:rPr>
                <w:rFonts w:ascii="Times New Roman" w:hAnsi="Times New Roman"/>
                <w:i/>
                <w:color w:val="000000"/>
                <w:spacing w:val="-2"/>
                <w:sz w:val="18"/>
                <w:szCs w:val="18"/>
              </w:rPr>
            </w:pPr>
          </w:p>
          <w:p w14:paraId="1BF0456B" w14:textId="77777777" w:rsidR="00B040FC" w:rsidRDefault="00B040FC" w:rsidP="00B040FC">
            <w:pPr>
              <w:spacing w:line="240" w:lineRule="auto"/>
              <w:jc w:val="both"/>
              <w:rPr>
                <w:rFonts w:ascii="Times New Roman" w:hAnsi="Times New Roman"/>
                <w:color w:val="000000"/>
                <w:spacing w:val="-2"/>
              </w:rPr>
            </w:pPr>
          </w:p>
          <w:p w14:paraId="6BA3E180" w14:textId="77777777" w:rsidR="00B040FC" w:rsidRPr="00B37C80" w:rsidRDefault="00B040FC" w:rsidP="00B040FC">
            <w:pPr>
              <w:spacing w:line="240" w:lineRule="auto"/>
              <w:jc w:val="both"/>
              <w:rPr>
                <w:rFonts w:ascii="Times New Roman" w:hAnsi="Times New Roman"/>
                <w:color w:val="000000"/>
                <w:spacing w:val="-2"/>
              </w:rPr>
            </w:pPr>
          </w:p>
        </w:tc>
      </w:tr>
    </w:tbl>
    <w:p w14:paraId="1A6FC16B" w14:textId="77777777" w:rsidR="006176ED" w:rsidRPr="00522D94" w:rsidRDefault="006176ED" w:rsidP="003374CB">
      <w:pPr>
        <w:pStyle w:val="Nagwek1"/>
        <w:rPr>
          <w:rFonts w:ascii="Times New Roman" w:hAnsi="Times New Roman"/>
          <w:sz w:val="20"/>
          <w:szCs w:val="20"/>
        </w:rPr>
      </w:pPr>
    </w:p>
    <w:sectPr w:rsidR="006176ED" w:rsidRPr="00522D94" w:rsidSect="00725DE7">
      <w:footerReference w:type="default" r:id="rId16"/>
      <w:pgSz w:w="11906" w:h="16838"/>
      <w:pgMar w:top="568" w:right="707" w:bottom="568" w:left="720" w:header="708" w:footer="29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4A2C77" w14:textId="77777777" w:rsidR="00121A6B" w:rsidRDefault="00121A6B" w:rsidP="00044739">
      <w:pPr>
        <w:spacing w:line="240" w:lineRule="auto"/>
      </w:pPr>
      <w:r>
        <w:separator/>
      </w:r>
    </w:p>
  </w:endnote>
  <w:endnote w:type="continuationSeparator" w:id="0">
    <w:p w14:paraId="5FC2C76C" w14:textId="77777777" w:rsidR="00121A6B" w:rsidRDefault="00121A6B" w:rsidP="00044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Fira Sans">
    <w:panose1 w:val="020B0503050000020004"/>
    <w:charset w:val="EE"/>
    <w:family w:val="swiss"/>
    <w:pitch w:val="variable"/>
    <w:sig w:usb0="600002FF" w:usb1="02000001"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94D77" w14:textId="77777777" w:rsidR="00E962FF" w:rsidRPr="002A55D1" w:rsidRDefault="00E962FF">
    <w:pPr>
      <w:pStyle w:val="Stopka"/>
      <w:jc w:val="center"/>
      <w:rPr>
        <w:rFonts w:ascii="Times New Roman" w:hAnsi="Times New Roman"/>
        <w:sz w:val="20"/>
      </w:rPr>
    </w:pPr>
    <w:r w:rsidRPr="002A55D1">
      <w:rPr>
        <w:rFonts w:ascii="Times New Roman" w:hAnsi="Times New Roman"/>
        <w:sz w:val="20"/>
      </w:rPr>
      <w:fldChar w:fldCharType="begin"/>
    </w:r>
    <w:r w:rsidRPr="002A55D1">
      <w:rPr>
        <w:rFonts w:ascii="Times New Roman" w:hAnsi="Times New Roman"/>
        <w:sz w:val="20"/>
      </w:rPr>
      <w:instrText>PAGE   \* MERGEFORMAT</w:instrText>
    </w:r>
    <w:r w:rsidRPr="002A55D1">
      <w:rPr>
        <w:rFonts w:ascii="Times New Roman" w:hAnsi="Times New Roman"/>
        <w:sz w:val="20"/>
      </w:rPr>
      <w:fldChar w:fldCharType="separate"/>
    </w:r>
    <w:r>
      <w:rPr>
        <w:rFonts w:ascii="Times New Roman" w:hAnsi="Times New Roman"/>
        <w:noProof/>
        <w:sz w:val="20"/>
      </w:rPr>
      <w:t>13</w:t>
    </w:r>
    <w:r w:rsidRPr="002A55D1">
      <w:rPr>
        <w:rFonts w:ascii="Times New Roman" w:hAnsi="Times New Roman"/>
        <w:sz w:val="20"/>
      </w:rPr>
      <w:fldChar w:fldCharType="end"/>
    </w:r>
  </w:p>
  <w:p w14:paraId="2C9D8FF2" w14:textId="77777777" w:rsidR="00E962FF" w:rsidRDefault="00E962F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658F4" w14:textId="77777777" w:rsidR="00121A6B" w:rsidRDefault="00121A6B" w:rsidP="00044739">
      <w:pPr>
        <w:spacing w:line="240" w:lineRule="auto"/>
      </w:pPr>
      <w:r>
        <w:separator/>
      </w:r>
    </w:p>
  </w:footnote>
  <w:footnote w:type="continuationSeparator" w:id="0">
    <w:p w14:paraId="0D718FA4" w14:textId="77777777" w:rsidR="00121A6B" w:rsidRDefault="00121A6B" w:rsidP="00044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6368F"/>
    <w:multiLevelType w:val="hybridMultilevel"/>
    <w:tmpl w:val="7C8A5D56"/>
    <w:lvl w:ilvl="0" w:tplc="7506C8C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07FE3C6E"/>
    <w:multiLevelType w:val="hybridMultilevel"/>
    <w:tmpl w:val="9F9A829A"/>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8C523F5"/>
    <w:multiLevelType w:val="hybridMultilevel"/>
    <w:tmpl w:val="27FEC802"/>
    <w:lvl w:ilvl="0" w:tplc="D59A02A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CFC44B1"/>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B5EDF"/>
    <w:multiLevelType w:val="hybridMultilevel"/>
    <w:tmpl w:val="AA3E7A12"/>
    <w:lvl w:ilvl="0" w:tplc="427278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21A1F69"/>
    <w:multiLevelType w:val="hybridMultilevel"/>
    <w:tmpl w:val="9356F3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724C16"/>
    <w:multiLevelType w:val="hybridMultilevel"/>
    <w:tmpl w:val="682E3E3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4C801F3"/>
    <w:multiLevelType w:val="hybridMultilevel"/>
    <w:tmpl w:val="5B08CACC"/>
    <w:lvl w:ilvl="0" w:tplc="BB52A86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85D4B0A"/>
    <w:multiLevelType w:val="hybridMultilevel"/>
    <w:tmpl w:val="1BF83C34"/>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9" w15:restartNumberingAfterBreak="0">
    <w:nsid w:val="18CE4F1C"/>
    <w:multiLevelType w:val="hybridMultilevel"/>
    <w:tmpl w:val="78C6BC0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AEE6233"/>
    <w:multiLevelType w:val="hybridMultilevel"/>
    <w:tmpl w:val="F60CC4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134D15"/>
    <w:multiLevelType w:val="hybridMultilevel"/>
    <w:tmpl w:val="A7D2B1EA"/>
    <w:lvl w:ilvl="0" w:tplc="CAA4996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2DA4332"/>
    <w:multiLevelType w:val="hybridMultilevel"/>
    <w:tmpl w:val="2CE6DC7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13" w15:restartNumberingAfterBreak="0">
    <w:nsid w:val="2303514C"/>
    <w:multiLevelType w:val="hybridMultilevel"/>
    <w:tmpl w:val="41246CB8"/>
    <w:lvl w:ilvl="0" w:tplc="04150011">
      <w:start w:val="1"/>
      <w:numFmt w:val="decimal"/>
      <w:lvlText w:val="%1)"/>
      <w:lvlJc w:val="left"/>
      <w:pPr>
        <w:ind w:left="1593" w:hanging="360"/>
      </w:pPr>
    </w:lvl>
    <w:lvl w:ilvl="1" w:tplc="04150019" w:tentative="1">
      <w:start w:val="1"/>
      <w:numFmt w:val="lowerLetter"/>
      <w:lvlText w:val="%2."/>
      <w:lvlJc w:val="left"/>
      <w:pPr>
        <w:ind w:left="2313" w:hanging="360"/>
      </w:pPr>
    </w:lvl>
    <w:lvl w:ilvl="2" w:tplc="0415001B" w:tentative="1">
      <w:start w:val="1"/>
      <w:numFmt w:val="lowerRoman"/>
      <w:lvlText w:val="%3."/>
      <w:lvlJc w:val="right"/>
      <w:pPr>
        <w:ind w:left="3033" w:hanging="180"/>
      </w:pPr>
    </w:lvl>
    <w:lvl w:ilvl="3" w:tplc="0415000F" w:tentative="1">
      <w:start w:val="1"/>
      <w:numFmt w:val="decimal"/>
      <w:lvlText w:val="%4."/>
      <w:lvlJc w:val="left"/>
      <w:pPr>
        <w:ind w:left="3753" w:hanging="360"/>
      </w:pPr>
    </w:lvl>
    <w:lvl w:ilvl="4" w:tplc="04150019" w:tentative="1">
      <w:start w:val="1"/>
      <w:numFmt w:val="lowerLetter"/>
      <w:lvlText w:val="%5."/>
      <w:lvlJc w:val="left"/>
      <w:pPr>
        <w:ind w:left="4473" w:hanging="360"/>
      </w:pPr>
    </w:lvl>
    <w:lvl w:ilvl="5" w:tplc="0415001B" w:tentative="1">
      <w:start w:val="1"/>
      <w:numFmt w:val="lowerRoman"/>
      <w:lvlText w:val="%6."/>
      <w:lvlJc w:val="right"/>
      <w:pPr>
        <w:ind w:left="5193" w:hanging="180"/>
      </w:pPr>
    </w:lvl>
    <w:lvl w:ilvl="6" w:tplc="0415000F" w:tentative="1">
      <w:start w:val="1"/>
      <w:numFmt w:val="decimal"/>
      <w:lvlText w:val="%7."/>
      <w:lvlJc w:val="left"/>
      <w:pPr>
        <w:ind w:left="5913" w:hanging="360"/>
      </w:pPr>
    </w:lvl>
    <w:lvl w:ilvl="7" w:tplc="04150019" w:tentative="1">
      <w:start w:val="1"/>
      <w:numFmt w:val="lowerLetter"/>
      <w:lvlText w:val="%8."/>
      <w:lvlJc w:val="left"/>
      <w:pPr>
        <w:ind w:left="6633" w:hanging="360"/>
      </w:pPr>
    </w:lvl>
    <w:lvl w:ilvl="8" w:tplc="0415001B" w:tentative="1">
      <w:start w:val="1"/>
      <w:numFmt w:val="lowerRoman"/>
      <w:lvlText w:val="%9."/>
      <w:lvlJc w:val="right"/>
      <w:pPr>
        <w:ind w:left="7353" w:hanging="180"/>
      </w:pPr>
    </w:lvl>
  </w:abstractNum>
  <w:abstractNum w:abstractNumId="14" w15:restartNumberingAfterBreak="0">
    <w:nsid w:val="29BF48C1"/>
    <w:multiLevelType w:val="hybridMultilevel"/>
    <w:tmpl w:val="FFBA2516"/>
    <w:lvl w:ilvl="0" w:tplc="75FCA71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B285432"/>
    <w:multiLevelType w:val="hybridMultilevel"/>
    <w:tmpl w:val="7792860A"/>
    <w:lvl w:ilvl="0" w:tplc="04150017">
      <w:start w:val="1"/>
      <w:numFmt w:val="lowerLetter"/>
      <w:lvlText w:val="%1)"/>
      <w:lvlJc w:val="left"/>
      <w:pPr>
        <w:ind w:left="1776" w:hanging="36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6" w15:restartNumberingAfterBreak="0">
    <w:nsid w:val="2C0E4666"/>
    <w:multiLevelType w:val="hybridMultilevel"/>
    <w:tmpl w:val="EF507C30"/>
    <w:lvl w:ilvl="0" w:tplc="037055AE">
      <w:start w:val="2"/>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2EDB5339"/>
    <w:multiLevelType w:val="hybridMultilevel"/>
    <w:tmpl w:val="05783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2966269"/>
    <w:multiLevelType w:val="hybridMultilevel"/>
    <w:tmpl w:val="46CA22A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15:restartNumberingAfterBreak="0">
    <w:nsid w:val="38567F1E"/>
    <w:multiLevelType w:val="hybridMultilevel"/>
    <w:tmpl w:val="1B668240"/>
    <w:lvl w:ilvl="0" w:tplc="AC3E704E">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92A41E7"/>
    <w:multiLevelType w:val="hybridMultilevel"/>
    <w:tmpl w:val="1F5C7EEA"/>
    <w:lvl w:ilvl="0" w:tplc="680E46FE">
      <w:start w:val="1"/>
      <w:numFmt w:val="decimal"/>
      <w:lvlText w:val="%1."/>
      <w:lvlJc w:val="left"/>
      <w:pPr>
        <w:tabs>
          <w:tab w:val="num" w:pos="360"/>
        </w:tabs>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4E0AAA"/>
    <w:multiLevelType w:val="hybridMultilevel"/>
    <w:tmpl w:val="79C2763A"/>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2" w15:restartNumberingAfterBreak="0">
    <w:nsid w:val="3DE1240A"/>
    <w:multiLevelType w:val="hybridMultilevel"/>
    <w:tmpl w:val="8ACE8840"/>
    <w:lvl w:ilvl="0" w:tplc="05528F16">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3F2C401E"/>
    <w:multiLevelType w:val="hybridMultilevel"/>
    <w:tmpl w:val="FC283100"/>
    <w:lvl w:ilvl="0" w:tplc="05528F16">
      <w:start w:val="1"/>
      <w:numFmt w:val="bullet"/>
      <w:lvlText w:val=""/>
      <w:lvlJc w:val="left"/>
      <w:pPr>
        <w:ind w:left="873" w:hanging="360"/>
      </w:pPr>
      <w:rPr>
        <w:rFonts w:ascii="Symbol" w:hAnsi="Symbol" w:hint="default"/>
      </w:rPr>
    </w:lvl>
    <w:lvl w:ilvl="1" w:tplc="04150003" w:tentative="1">
      <w:start w:val="1"/>
      <w:numFmt w:val="bullet"/>
      <w:lvlText w:val="o"/>
      <w:lvlJc w:val="left"/>
      <w:pPr>
        <w:ind w:left="1593" w:hanging="360"/>
      </w:pPr>
      <w:rPr>
        <w:rFonts w:ascii="Courier New" w:hAnsi="Courier New" w:cs="Courier New" w:hint="default"/>
      </w:rPr>
    </w:lvl>
    <w:lvl w:ilvl="2" w:tplc="04150005" w:tentative="1">
      <w:start w:val="1"/>
      <w:numFmt w:val="bullet"/>
      <w:lvlText w:val=""/>
      <w:lvlJc w:val="left"/>
      <w:pPr>
        <w:ind w:left="2313" w:hanging="360"/>
      </w:pPr>
      <w:rPr>
        <w:rFonts w:ascii="Wingdings" w:hAnsi="Wingdings" w:hint="default"/>
      </w:rPr>
    </w:lvl>
    <w:lvl w:ilvl="3" w:tplc="04150001" w:tentative="1">
      <w:start w:val="1"/>
      <w:numFmt w:val="bullet"/>
      <w:lvlText w:val=""/>
      <w:lvlJc w:val="left"/>
      <w:pPr>
        <w:ind w:left="3033" w:hanging="360"/>
      </w:pPr>
      <w:rPr>
        <w:rFonts w:ascii="Symbol" w:hAnsi="Symbol" w:hint="default"/>
      </w:rPr>
    </w:lvl>
    <w:lvl w:ilvl="4" w:tplc="04150003" w:tentative="1">
      <w:start w:val="1"/>
      <w:numFmt w:val="bullet"/>
      <w:lvlText w:val="o"/>
      <w:lvlJc w:val="left"/>
      <w:pPr>
        <w:ind w:left="3753" w:hanging="360"/>
      </w:pPr>
      <w:rPr>
        <w:rFonts w:ascii="Courier New" w:hAnsi="Courier New" w:cs="Courier New" w:hint="default"/>
      </w:rPr>
    </w:lvl>
    <w:lvl w:ilvl="5" w:tplc="04150005" w:tentative="1">
      <w:start w:val="1"/>
      <w:numFmt w:val="bullet"/>
      <w:lvlText w:val=""/>
      <w:lvlJc w:val="left"/>
      <w:pPr>
        <w:ind w:left="4473" w:hanging="360"/>
      </w:pPr>
      <w:rPr>
        <w:rFonts w:ascii="Wingdings" w:hAnsi="Wingdings" w:hint="default"/>
      </w:rPr>
    </w:lvl>
    <w:lvl w:ilvl="6" w:tplc="04150001" w:tentative="1">
      <w:start w:val="1"/>
      <w:numFmt w:val="bullet"/>
      <w:lvlText w:val=""/>
      <w:lvlJc w:val="left"/>
      <w:pPr>
        <w:ind w:left="5193" w:hanging="360"/>
      </w:pPr>
      <w:rPr>
        <w:rFonts w:ascii="Symbol" w:hAnsi="Symbol" w:hint="default"/>
      </w:rPr>
    </w:lvl>
    <w:lvl w:ilvl="7" w:tplc="04150003" w:tentative="1">
      <w:start w:val="1"/>
      <w:numFmt w:val="bullet"/>
      <w:lvlText w:val="o"/>
      <w:lvlJc w:val="left"/>
      <w:pPr>
        <w:ind w:left="5913" w:hanging="360"/>
      </w:pPr>
      <w:rPr>
        <w:rFonts w:ascii="Courier New" w:hAnsi="Courier New" w:cs="Courier New" w:hint="default"/>
      </w:rPr>
    </w:lvl>
    <w:lvl w:ilvl="8" w:tplc="04150005" w:tentative="1">
      <w:start w:val="1"/>
      <w:numFmt w:val="bullet"/>
      <w:lvlText w:val=""/>
      <w:lvlJc w:val="left"/>
      <w:pPr>
        <w:ind w:left="6633" w:hanging="360"/>
      </w:pPr>
      <w:rPr>
        <w:rFonts w:ascii="Wingdings" w:hAnsi="Wingdings" w:hint="default"/>
      </w:rPr>
    </w:lvl>
  </w:abstractNum>
  <w:abstractNum w:abstractNumId="24" w15:restartNumberingAfterBreak="0">
    <w:nsid w:val="44BD4290"/>
    <w:multiLevelType w:val="hybridMultilevel"/>
    <w:tmpl w:val="919C9E36"/>
    <w:lvl w:ilvl="0" w:tplc="97949B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08544C"/>
    <w:multiLevelType w:val="hybridMultilevel"/>
    <w:tmpl w:val="72A6E4CA"/>
    <w:lvl w:ilvl="0" w:tplc="05528F16">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B9273D9"/>
    <w:multiLevelType w:val="hybridMultilevel"/>
    <w:tmpl w:val="24AAD2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D06218E"/>
    <w:multiLevelType w:val="hybridMultilevel"/>
    <w:tmpl w:val="D6EE1A22"/>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540A5B86"/>
    <w:multiLevelType w:val="hybridMultilevel"/>
    <w:tmpl w:val="F1BC7EDC"/>
    <w:lvl w:ilvl="0" w:tplc="05528F1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50B43C4"/>
    <w:multiLevelType w:val="hybridMultilevel"/>
    <w:tmpl w:val="2D2442B2"/>
    <w:lvl w:ilvl="0" w:tplc="B816A66C">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9D8013F"/>
    <w:multiLevelType w:val="hybridMultilevel"/>
    <w:tmpl w:val="F738E5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28614A"/>
    <w:multiLevelType w:val="hybridMultilevel"/>
    <w:tmpl w:val="4CCE0E6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61304830"/>
    <w:multiLevelType w:val="hybridMultilevel"/>
    <w:tmpl w:val="F846217C"/>
    <w:lvl w:ilvl="0" w:tplc="A5760D0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F81A19"/>
    <w:multiLevelType w:val="hybridMultilevel"/>
    <w:tmpl w:val="D422C2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E227A8"/>
    <w:multiLevelType w:val="hybridMultilevel"/>
    <w:tmpl w:val="2D8EE68C"/>
    <w:lvl w:ilvl="0" w:tplc="6962492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6ABF6822"/>
    <w:multiLevelType w:val="hybridMultilevel"/>
    <w:tmpl w:val="41E0AC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B061E80"/>
    <w:multiLevelType w:val="hybridMultilevel"/>
    <w:tmpl w:val="F2EE25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6BE57E14"/>
    <w:multiLevelType w:val="hybridMultilevel"/>
    <w:tmpl w:val="247859F6"/>
    <w:lvl w:ilvl="0" w:tplc="D59A02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281A90"/>
    <w:multiLevelType w:val="hybridMultilevel"/>
    <w:tmpl w:val="69704E1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7024643F"/>
    <w:multiLevelType w:val="hybridMultilevel"/>
    <w:tmpl w:val="41F0F704"/>
    <w:lvl w:ilvl="0" w:tplc="05528F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A92E75"/>
    <w:multiLevelType w:val="hybridMultilevel"/>
    <w:tmpl w:val="D6121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F750BB"/>
    <w:multiLevelType w:val="hybridMultilevel"/>
    <w:tmpl w:val="DE6C9058"/>
    <w:lvl w:ilvl="0" w:tplc="F24855DA">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C6A4791"/>
    <w:multiLevelType w:val="hybridMultilevel"/>
    <w:tmpl w:val="79FC4FCE"/>
    <w:lvl w:ilvl="0" w:tplc="3ACC29AC">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E474D91"/>
    <w:multiLevelType w:val="hybridMultilevel"/>
    <w:tmpl w:val="A886CE7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2"/>
  </w:num>
  <w:num w:numId="3">
    <w:abstractNumId w:val="34"/>
  </w:num>
  <w:num w:numId="4">
    <w:abstractNumId w:val="17"/>
  </w:num>
  <w:num w:numId="5">
    <w:abstractNumId w:val="3"/>
  </w:num>
  <w:num w:numId="6">
    <w:abstractNumId w:val="40"/>
  </w:num>
  <w:num w:numId="7">
    <w:abstractNumId w:val="26"/>
  </w:num>
  <w:num w:numId="8">
    <w:abstractNumId w:val="9"/>
  </w:num>
  <w:num w:numId="9">
    <w:abstractNumId w:val="30"/>
  </w:num>
  <w:num w:numId="10">
    <w:abstractNumId w:val="5"/>
  </w:num>
  <w:num w:numId="11">
    <w:abstractNumId w:val="18"/>
  </w:num>
  <w:num w:numId="12">
    <w:abstractNumId w:val="7"/>
  </w:num>
  <w:num w:numId="13">
    <w:abstractNumId w:val="24"/>
  </w:num>
  <w:num w:numId="14">
    <w:abstractNumId w:val="21"/>
  </w:num>
  <w:num w:numId="15">
    <w:abstractNumId w:val="8"/>
  </w:num>
  <w:num w:numId="16">
    <w:abstractNumId w:val="12"/>
  </w:num>
  <w:num w:numId="17">
    <w:abstractNumId w:val="13"/>
  </w:num>
  <w:num w:numId="18">
    <w:abstractNumId w:val="23"/>
  </w:num>
  <w:num w:numId="19">
    <w:abstractNumId w:val="32"/>
  </w:num>
  <w:num w:numId="20">
    <w:abstractNumId w:val="31"/>
  </w:num>
  <w:num w:numId="21">
    <w:abstractNumId w:val="15"/>
  </w:num>
  <w:num w:numId="22">
    <w:abstractNumId w:val="11"/>
  </w:num>
  <w:num w:numId="23">
    <w:abstractNumId w:val="42"/>
  </w:num>
  <w:num w:numId="24">
    <w:abstractNumId w:val="43"/>
  </w:num>
  <w:num w:numId="25">
    <w:abstractNumId w:val="25"/>
  </w:num>
  <w:num w:numId="26">
    <w:abstractNumId w:val="22"/>
  </w:num>
  <w:num w:numId="27">
    <w:abstractNumId w:val="19"/>
  </w:num>
  <w:num w:numId="28">
    <w:abstractNumId w:val="0"/>
  </w:num>
  <w:num w:numId="29">
    <w:abstractNumId w:val="28"/>
  </w:num>
  <w:num w:numId="30">
    <w:abstractNumId w:val="36"/>
  </w:num>
  <w:num w:numId="31">
    <w:abstractNumId w:val="35"/>
  </w:num>
  <w:num w:numId="32">
    <w:abstractNumId w:val="37"/>
  </w:num>
  <w:num w:numId="33">
    <w:abstractNumId w:val="33"/>
  </w:num>
  <w:num w:numId="34">
    <w:abstractNumId w:val="1"/>
  </w:num>
  <w:num w:numId="35">
    <w:abstractNumId w:val="4"/>
  </w:num>
  <w:num w:numId="36">
    <w:abstractNumId w:val="27"/>
  </w:num>
  <w:num w:numId="37">
    <w:abstractNumId w:val="16"/>
  </w:num>
  <w:num w:numId="38">
    <w:abstractNumId w:val="29"/>
  </w:num>
  <w:num w:numId="39">
    <w:abstractNumId w:val="39"/>
  </w:num>
  <w:num w:numId="40">
    <w:abstractNumId w:val="10"/>
  </w:num>
  <w:num w:numId="41">
    <w:abstractNumId w:val="41"/>
  </w:num>
  <w:num w:numId="42">
    <w:abstractNumId w:val="38"/>
  </w:num>
  <w:num w:numId="43">
    <w:abstractNumId w:val="6"/>
  </w:num>
  <w:num w:numId="44">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removePersonalInformation/>
  <w:removeDateAndTime/>
  <w:proofState w:spelling="clean"/>
  <w:documentProtection w:edit="forms" w:formatting="1" w:enforcement="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6CB"/>
    <w:rsid w:val="000008E5"/>
    <w:rsid w:val="000015EE"/>
    <w:rsid w:val="00002203"/>
    <w:rsid w:val="000022D5"/>
    <w:rsid w:val="00004C6A"/>
    <w:rsid w:val="0000537D"/>
    <w:rsid w:val="00012D11"/>
    <w:rsid w:val="00013EB5"/>
    <w:rsid w:val="00015B3C"/>
    <w:rsid w:val="00023836"/>
    <w:rsid w:val="0002522F"/>
    <w:rsid w:val="00025E58"/>
    <w:rsid w:val="00032B32"/>
    <w:rsid w:val="000350EA"/>
    <w:rsid w:val="000351B6"/>
    <w:rsid w:val="000356A9"/>
    <w:rsid w:val="000370E6"/>
    <w:rsid w:val="0003722A"/>
    <w:rsid w:val="000421E2"/>
    <w:rsid w:val="00044138"/>
    <w:rsid w:val="00044739"/>
    <w:rsid w:val="00051637"/>
    <w:rsid w:val="00056681"/>
    <w:rsid w:val="000648A7"/>
    <w:rsid w:val="0006618B"/>
    <w:rsid w:val="000670C0"/>
    <w:rsid w:val="00071B99"/>
    <w:rsid w:val="000756E5"/>
    <w:rsid w:val="000760D4"/>
    <w:rsid w:val="0007704E"/>
    <w:rsid w:val="00080EC8"/>
    <w:rsid w:val="000944AC"/>
    <w:rsid w:val="00094CB9"/>
    <w:rsid w:val="00094F2C"/>
    <w:rsid w:val="000956B2"/>
    <w:rsid w:val="000969E7"/>
    <w:rsid w:val="000A23DE"/>
    <w:rsid w:val="000A3007"/>
    <w:rsid w:val="000A4020"/>
    <w:rsid w:val="000B54FB"/>
    <w:rsid w:val="000C14AF"/>
    <w:rsid w:val="000C29B0"/>
    <w:rsid w:val="000C76FC"/>
    <w:rsid w:val="000C770F"/>
    <w:rsid w:val="000D1D28"/>
    <w:rsid w:val="000D237A"/>
    <w:rsid w:val="000D38FC"/>
    <w:rsid w:val="000D3D1B"/>
    <w:rsid w:val="000D4D90"/>
    <w:rsid w:val="000D6CF9"/>
    <w:rsid w:val="000E136A"/>
    <w:rsid w:val="000E2D10"/>
    <w:rsid w:val="000F2E6E"/>
    <w:rsid w:val="000F2ED1"/>
    <w:rsid w:val="000F3204"/>
    <w:rsid w:val="00100876"/>
    <w:rsid w:val="0010406C"/>
    <w:rsid w:val="0010548B"/>
    <w:rsid w:val="001072D1"/>
    <w:rsid w:val="001108F1"/>
    <w:rsid w:val="0011185D"/>
    <w:rsid w:val="00117017"/>
    <w:rsid w:val="00121A6B"/>
    <w:rsid w:val="00130E8E"/>
    <w:rsid w:val="0013216E"/>
    <w:rsid w:val="001401B5"/>
    <w:rsid w:val="001408D8"/>
    <w:rsid w:val="001422B9"/>
    <w:rsid w:val="0014665F"/>
    <w:rsid w:val="00147719"/>
    <w:rsid w:val="00151902"/>
    <w:rsid w:val="00153464"/>
    <w:rsid w:val="001541B3"/>
    <w:rsid w:val="00155B15"/>
    <w:rsid w:val="001625BE"/>
    <w:rsid w:val="00163CCE"/>
    <w:rsid w:val="001643A4"/>
    <w:rsid w:val="001727BB"/>
    <w:rsid w:val="00172BAF"/>
    <w:rsid w:val="00172F5D"/>
    <w:rsid w:val="00175729"/>
    <w:rsid w:val="00180D25"/>
    <w:rsid w:val="0018318D"/>
    <w:rsid w:val="0018572C"/>
    <w:rsid w:val="00187E79"/>
    <w:rsid w:val="00187F0D"/>
    <w:rsid w:val="001900F4"/>
    <w:rsid w:val="00192CC5"/>
    <w:rsid w:val="001956A7"/>
    <w:rsid w:val="001A118A"/>
    <w:rsid w:val="001A1489"/>
    <w:rsid w:val="001A27F4"/>
    <w:rsid w:val="001A2D95"/>
    <w:rsid w:val="001A4DE5"/>
    <w:rsid w:val="001B2133"/>
    <w:rsid w:val="001B3460"/>
    <w:rsid w:val="001B4CA1"/>
    <w:rsid w:val="001B75D8"/>
    <w:rsid w:val="001C1060"/>
    <w:rsid w:val="001C360D"/>
    <w:rsid w:val="001C3C63"/>
    <w:rsid w:val="001C4E08"/>
    <w:rsid w:val="001C559F"/>
    <w:rsid w:val="001D2CB7"/>
    <w:rsid w:val="001D3AE2"/>
    <w:rsid w:val="001D4732"/>
    <w:rsid w:val="001D65CD"/>
    <w:rsid w:val="001D6A3C"/>
    <w:rsid w:val="001D6D51"/>
    <w:rsid w:val="001E23B7"/>
    <w:rsid w:val="001F4529"/>
    <w:rsid w:val="001F653A"/>
    <w:rsid w:val="001F6979"/>
    <w:rsid w:val="00202BC6"/>
    <w:rsid w:val="00205141"/>
    <w:rsid w:val="0020516B"/>
    <w:rsid w:val="002053E9"/>
    <w:rsid w:val="00210FBC"/>
    <w:rsid w:val="002123E8"/>
    <w:rsid w:val="0021288F"/>
    <w:rsid w:val="00213559"/>
    <w:rsid w:val="00213EFD"/>
    <w:rsid w:val="002149AA"/>
    <w:rsid w:val="002172F1"/>
    <w:rsid w:val="0021795D"/>
    <w:rsid w:val="00223C7B"/>
    <w:rsid w:val="00224AB1"/>
    <w:rsid w:val="0022687A"/>
    <w:rsid w:val="00230728"/>
    <w:rsid w:val="00230A50"/>
    <w:rsid w:val="00234040"/>
    <w:rsid w:val="002340E6"/>
    <w:rsid w:val="00235CD2"/>
    <w:rsid w:val="00240770"/>
    <w:rsid w:val="00241E20"/>
    <w:rsid w:val="00246ED3"/>
    <w:rsid w:val="00247A78"/>
    <w:rsid w:val="00247D8B"/>
    <w:rsid w:val="002523AC"/>
    <w:rsid w:val="00254DED"/>
    <w:rsid w:val="00255619"/>
    <w:rsid w:val="00255DAD"/>
    <w:rsid w:val="00256108"/>
    <w:rsid w:val="00260F33"/>
    <w:rsid w:val="002613BD"/>
    <w:rsid w:val="0026184A"/>
    <w:rsid w:val="002624F1"/>
    <w:rsid w:val="00263A61"/>
    <w:rsid w:val="0026720B"/>
    <w:rsid w:val="00270C81"/>
    <w:rsid w:val="00271558"/>
    <w:rsid w:val="00274862"/>
    <w:rsid w:val="0028044A"/>
    <w:rsid w:val="00280760"/>
    <w:rsid w:val="00282D72"/>
    <w:rsid w:val="002833C6"/>
    <w:rsid w:val="00283402"/>
    <w:rsid w:val="0029059F"/>
    <w:rsid w:val="00290FD6"/>
    <w:rsid w:val="002914AF"/>
    <w:rsid w:val="002917E5"/>
    <w:rsid w:val="00291827"/>
    <w:rsid w:val="00294259"/>
    <w:rsid w:val="00295B03"/>
    <w:rsid w:val="002A2C81"/>
    <w:rsid w:val="002A2E8A"/>
    <w:rsid w:val="002A55D1"/>
    <w:rsid w:val="002A7EF5"/>
    <w:rsid w:val="002B3D1A"/>
    <w:rsid w:val="002B5E53"/>
    <w:rsid w:val="002C106F"/>
    <w:rsid w:val="002C27D0"/>
    <w:rsid w:val="002C2C9B"/>
    <w:rsid w:val="002D17D6"/>
    <w:rsid w:val="002D18D7"/>
    <w:rsid w:val="002D21CE"/>
    <w:rsid w:val="002D2D32"/>
    <w:rsid w:val="002E3DA3"/>
    <w:rsid w:val="002E450F"/>
    <w:rsid w:val="002E6B38"/>
    <w:rsid w:val="002E6D63"/>
    <w:rsid w:val="002E6E2B"/>
    <w:rsid w:val="002F500B"/>
    <w:rsid w:val="00300991"/>
    <w:rsid w:val="0030189E"/>
    <w:rsid w:val="00301959"/>
    <w:rsid w:val="00305B8A"/>
    <w:rsid w:val="00313EF3"/>
    <w:rsid w:val="00314041"/>
    <w:rsid w:val="00322559"/>
    <w:rsid w:val="003234D6"/>
    <w:rsid w:val="00323D0A"/>
    <w:rsid w:val="00331BF9"/>
    <w:rsid w:val="0033495E"/>
    <w:rsid w:val="00334A79"/>
    <w:rsid w:val="00334D8D"/>
    <w:rsid w:val="0033547F"/>
    <w:rsid w:val="003358D3"/>
    <w:rsid w:val="00337345"/>
    <w:rsid w:val="003374CB"/>
    <w:rsid w:val="0033792B"/>
    <w:rsid w:val="00337DD2"/>
    <w:rsid w:val="003404D1"/>
    <w:rsid w:val="00343ACC"/>
    <w:rsid w:val="003443FF"/>
    <w:rsid w:val="00344AF8"/>
    <w:rsid w:val="003468AB"/>
    <w:rsid w:val="00355808"/>
    <w:rsid w:val="00362C7E"/>
    <w:rsid w:val="00363309"/>
    <w:rsid w:val="00363601"/>
    <w:rsid w:val="00376AC9"/>
    <w:rsid w:val="00386328"/>
    <w:rsid w:val="00393032"/>
    <w:rsid w:val="00393F45"/>
    <w:rsid w:val="00394B69"/>
    <w:rsid w:val="00395CD9"/>
    <w:rsid w:val="00396299"/>
    <w:rsid w:val="00396C7F"/>
    <w:rsid w:val="00397078"/>
    <w:rsid w:val="003A6953"/>
    <w:rsid w:val="003B6083"/>
    <w:rsid w:val="003B6758"/>
    <w:rsid w:val="003C16F0"/>
    <w:rsid w:val="003C3838"/>
    <w:rsid w:val="003C5847"/>
    <w:rsid w:val="003D0681"/>
    <w:rsid w:val="003D12F6"/>
    <w:rsid w:val="003D1426"/>
    <w:rsid w:val="003E2F4E"/>
    <w:rsid w:val="003E720A"/>
    <w:rsid w:val="003F67BE"/>
    <w:rsid w:val="00403E6E"/>
    <w:rsid w:val="004129B4"/>
    <w:rsid w:val="00417EF0"/>
    <w:rsid w:val="00421986"/>
    <w:rsid w:val="00422181"/>
    <w:rsid w:val="004244A8"/>
    <w:rsid w:val="00425F72"/>
    <w:rsid w:val="00427736"/>
    <w:rsid w:val="00434E23"/>
    <w:rsid w:val="00437E89"/>
    <w:rsid w:val="004406BF"/>
    <w:rsid w:val="00441787"/>
    <w:rsid w:val="00444F2D"/>
    <w:rsid w:val="00447415"/>
    <w:rsid w:val="00451E0D"/>
    <w:rsid w:val="00452034"/>
    <w:rsid w:val="00455FA6"/>
    <w:rsid w:val="00463A70"/>
    <w:rsid w:val="00466B92"/>
    <w:rsid w:val="00466C70"/>
    <w:rsid w:val="004702C9"/>
    <w:rsid w:val="00472E45"/>
    <w:rsid w:val="00473058"/>
    <w:rsid w:val="00473FEA"/>
    <w:rsid w:val="0047579D"/>
    <w:rsid w:val="00475D4E"/>
    <w:rsid w:val="00480BB9"/>
    <w:rsid w:val="00481D37"/>
    <w:rsid w:val="00483262"/>
    <w:rsid w:val="00484107"/>
    <w:rsid w:val="00485707"/>
    <w:rsid w:val="00485CC5"/>
    <w:rsid w:val="00487DFA"/>
    <w:rsid w:val="0049343F"/>
    <w:rsid w:val="00495697"/>
    <w:rsid w:val="004964FC"/>
    <w:rsid w:val="004975D6"/>
    <w:rsid w:val="004A0AC7"/>
    <w:rsid w:val="004A145E"/>
    <w:rsid w:val="004A1F15"/>
    <w:rsid w:val="004A2A81"/>
    <w:rsid w:val="004A2AE8"/>
    <w:rsid w:val="004A5B72"/>
    <w:rsid w:val="004A7BD7"/>
    <w:rsid w:val="004C15C2"/>
    <w:rsid w:val="004C36D8"/>
    <w:rsid w:val="004C6A0C"/>
    <w:rsid w:val="004D1248"/>
    <w:rsid w:val="004D1E3C"/>
    <w:rsid w:val="004D3A3D"/>
    <w:rsid w:val="004D4169"/>
    <w:rsid w:val="004D6E14"/>
    <w:rsid w:val="004E3D63"/>
    <w:rsid w:val="004E6D8D"/>
    <w:rsid w:val="004F104C"/>
    <w:rsid w:val="004F17B6"/>
    <w:rsid w:val="004F1FF0"/>
    <w:rsid w:val="004F358A"/>
    <w:rsid w:val="004F4755"/>
    <w:rsid w:val="004F4CBF"/>
    <w:rsid w:val="004F4E17"/>
    <w:rsid w:val="0050082F"/>
    <w:rsid w:val="00500C56"/>
    <w:rsid w:val="00501713"/>
    <w:rsid w:val="00506568"/>
    <w:rsid w:val="00511F93"/>
    <w:rsid w:val="0051270B"/>
    <w:rsid w:val="0051551B"/>
    <w:rsid w:val="005162BA"/>
    <w:rsid w:val="00520C57"/>
    <w:rsid w:val="00522D94"/>
    <w:rsid w:val="00525D95"/>
    <w:rsid w:val="00533979"/>
    <w:rsid w:val="00533D89"/>
    <w:rsid w:val="00536564"/>
    <w:rsid w:val="0054339A"/>
    <w:rsid w:val="00544597"/>
    <w:rsid w:val="00544FFE"/>
    <w:rsid w:val="00546C5E"/>
    <w:rsid w:val="005473F5"/>
    <w:rsid w:val="005477E7"/>
    <w:rsid w:val="00552794"/>
    <w:rsid w:val="00563199"/>
    <w:rsid w:val="00564874"/>
    <w:rsid w:val="00567963"/>
    <w:rsid w:val="0057009A"/>
    <w:rsid w:val="0057070D"/>
    <w:rsid w:val="00571260"/>
    <w:rsid w:val="0057189C"/>
    <w:rsid w:val="00573FC1"/>
    <w:rsid w:val="005741EE"/>
    <w:rsid w:val="00575862"/>
    <w:rsid w:val="0057668E"/>
    <w:rsid w:val="0058777E"/>
    <w:rsid w:val="00595E83"/>
    <w:rsid w:val="00596235"/>
    <w:rsid w:val="00596530"/>
    <w:rsid w:val="005967F3"/>
    <w:rsid w:val="0059785A"/>
    <w:rsid w:val="005A06DF"/>
    <w:rsid w:val="005A21C5"/>
    <w:rsid w:val="005A5527"/>
    <w:rsid w:val="005A5738"/>
    <w:rsid w:val="005A5AE6"/>
    <w:rsid w:val="005B1206"/>
    <w:rsid w:val="005B1B2B"/>
    <w:rsid w:val="005B37E8"/>
    <w:rsid w:val="005B4D21"/>
    <w:rsid w:val="005B5DE3"/>
    <w:rsid w:val="005B7291"/>
    <w:rsid w:val="005C0056"/>
    <w:rsid w:val="005C6B6A"/>
    <w:rsid w:val="005C7B6B"/>
    <w:rsid w:val="005D61D6"/>
    <w:rsid w:val="005E0D13"/>
    <w:rsid w:val="005E395C"/>
    <w:rsid w:val="005E5047"/>
    <w:rsid w:val="005E70F0"/>
    <w:rsid w:val="005E7205"/>
    <w:rsid w:val="005E7371"/>
    <w:rsid w:val="005F116C"/>
    <w:rsid w:val="005F2131"/>
    <w:rsid w:val="005F2FE5"/>
    <w:rsid w:val="005F67B3"/>
    <w:rsid w:val="00605EF6"/>
    <w:rsid w:val="00606455"/>
    <w:rsid w:val="00607AE7"/>
    <w:rsid w:val="0061043A"/>
    <w:rsid w:val="00613BA8"/>
    <w:rsid w:val="00614929"/>
    <w:rsid w:val="00616511"/>
    <w:rsid w:val="006176ED"/>
    <w:rsid w:val="00617876"/>
    <w:rsid w:val="006202F3"/>
    <w:rsid w:val="006203A7"/>
    <w:rsid w:val="0062097A"/>
    <w:rsid w:val="00621DA6"/>
    <w:rsid w:val="00623CFE"/>
    <w:rsid w:val="00626E1E"/>
    <w:rsid w:val="00627221"/>
    <w:rsid w:val="00627EE8"/>
    <w:rsid w:val="006316FA"/>
    <w:rsid w:val="006370D2"/>
    <w:rsid w:val="0064074F"/>
    <w:rsid w:val="00641F55"/>
    <w:rsid w:val="00645E4A"/>
    <w:rsid w:val="00646AAC"/>
    <w:rsid w:val="00653688"/>
    <w:rsid w:val="00655A93"/>
    <w:rsid w:val="0066013A"/>
    <w:rsid w:val="0066091B"/>
    <w:rsid w:val="006660E9"/>
    <w:rsid w:val="00667249"/>
    <w:rsid w:val="00667558"/>
    <w:rsid w:val="00671523"/>
    <w:rsid w:val="00672853"/>
    <w:rsid w:val="00674F79"/>
    <w:rsid w:val="00675257"/>
    <w:rsid w:val="006754EF"/>
    <w:rsid w:val="00675897"/>
    <w:rsid w:val="00676C8D"/>
    <w:rsid w:val="00676F1F"/>
    <w:rsid w:val="00677381"/>
    <w:rsid w:val="00677414"/>
    <w:rsid w:val="006832CF"/>
    <w:rsid w:val="0068601E"/>
    <w:rsid w:val="00686EDE"/>
    <w:rsid w:val="00691D81"/>
    <w:rsid w:val="0069486B"/>
    <w:rsid w:val="006A23EA"/>
    <w:rsid w:val="006A4904"/>
    <w:rsid w:val="006A4D06"/>
    <w:rsid w:val="006A548F"/>
    <w:rsid w:val="006A5DC7"/>
    <w:rsid w:val="006A701A"/>
    <w:rsid w:val="006B58EF"/>
    <w:rsid w:val="006B64DC"/>
    <w:rsid w:val="006B7A91"/>
    <w:rsid w:val="006C38C4"/>
    <w:rsid w:val="006C4225"/>
    <w:rsid w:val="006D2BE6"/>
    <w:rsid w:val="006D46C4"/>
    <w:rsid w:val="006D4704"/>
    <w:rsid w:val="006D5F4D"/>
    <w:rsid w:val="006D6A2D"/>
    <w:rsid w:val="006E1E18"/>
    <w:rsid w:val="006E31CE"/>
    <w:rsid w:val="006E34D3"/>
    <w:rsid w:val="006F1435"/>
    <w:rsid w:val="006F78C4"/>
    <w:rsid w:val="00700EFE"/>
    <w:rsid w:val="007024B3"/>
    <w:rsid w:val="007031A0"/>
    <w:rsid w:val="00705A29"/>
    <w:rsid w:val="00707498"/>
    <w:rsid w:val="00711A65"/>
    <w:rsid w:val="00714133"/>
    <w:rsid w:val="00714DA4"/>
    <w:rsid w:val="007156C5"/>
    <w:rsid w:val="007158B2"/>
    <w:rsid w:val="00716081"/>
    <w:rsid w:val="00722B48"/>
    <w:rsid w:val="00724164"/>
    <w:rsid w:val="007258EA"/>
    <w:rsid w:val="00725DE7"/>
    <w:rsid w:val="0072636A"/>
    <w:rsid w:val="00726B44"/>
    <w:rsid w:val="00730ABE"/>
    <w:rsid w:val="007318DD"/>
    <w:rsid w:val="00733167"/>
    <w:rsid w:val="00733D6A"/>
    <w:rsid w:val="00740D2C"/>
    <w:rsid w:val="00744BF9"/>
    <w:rsid w:val="00746E78"/>
    <w:rsid w:val="0075011B"/>
    <w:rsid w:val="00750A40"/>
    <w:rsid w:val="00752623"/>
    <w:rsid w:val="007534B9"/>
    <w:rsid w:val="00760F1F"/>
    <w:rsid w:val="0076423E"/>
    <w:rsid w:val="007646CB"/>
    <w:rsid w:val="00764941"/>
    <w:rsid w:val="00764D38"/>
    <w:rsid w:val="0076658F"/>
    <w:rsid w:val="0077040A"/>
    <w:rsid w:val="00772D64"/>
    <w:rsid w:val="007742B3"/>
    <w:rsid w:val="00792609"/>
    <w:rsid w:val="00792887"/>
    <w:rsid w:val="007943E2"/>
    <w:rsid w:val="00794F2C"/>
    <w:rsid w:val="0079517C"/>
    <w:rsid w:val="00796460"/>
    <w:rsid w:val="00797944"/>
    <w:rsid w:val="007A3BC7"/>
    <w:rsid w:val="007A525A"/>
    <w:rsid w:val="007A5AC4"/>
    <w:rsid w:val="007A7465"/>
    <w:rsid w:val="007B0FDD"/>
    <w:rsid w:val="007B275E"/>
    <w:rsid w:val="007B4802"/>
    <w:rsid w:val="007B6668"/>
    <w:rsid w:val="007B6B33"/>
    <w:rsid w:val="007C122A"/>
    <w:rsid w:val="007C2701"/>
    <w:rsid w:val="007C58A9"/>
    <w:rsid w:val="007C60EB"/>
    <w:rsid w:val="007D2192"/>
    <w:rsid w:val="007E536D"/>
    <w:rsid w:val="007F0021"/>
    <w:rsid w:val="007F2646"/>
    <w:rsid w:val="007F2F52"/>
    <w:rsid w:val="007F799C"/>
    <w:rsid w:val="00801F71"/>
    <w:rsid w:val="0080268D"/>
    <w:rsid w:val="00803530"/>
    <w:rsid w:val="0080452A"/>
    <w:rsid w:val="00805F28"/>
    <w:rsid w:val="0080749F"/>
    <w:rsid w:val="00811D46"/>
    <w:rsid w:val="008125B0"/>
    <w:rsid w:val="008144CB"/>
    <w:rsid w:val="00821717"/>
    <w:rsid w:val="00822664"/>
    <w:rsid w:val="00824210"/>
    <w:rsid w:val="008263C0"/>
    <w:rsid w:val="00831094"/>
    <w:rsid w:val="00841422"/>
    <w:rsid w:val="00841D3B"/>
    <w:rsid w:val="0084314C"/>
    <w:rsid w:val="00843171"/>
    <w:rsid w:val="008575C3"/>
    <w:rsid w:val="0086192E"/>
    <w:rsid w:val="00863D28"/>
    <w:rsid w:val="008648C3"/>
    <w:rsid w:val="00865994"/>
    <w:rsid w:val="008722C7"/>
    <w:rsid w:val="00880F26"/>
    <w:rsid w:val="008869BE"/>
    <w:rsid w:val="008915BE"/>
    <w:rsid w:val="008934A9"/>
    <w:rsid w:val="008951CB"/>
    <w:rsid w:val="00896797"/>
    <w:rsid w:val="00896C2E"/>
    <w:rsid w:val="00897970"/>
    <w:rsid w:val="008A5095"/>
    <w:rsid w:val="008A608F"/>
    <w:rsid w:val="008B0667"/>
    <w:rsid w:val="008B0950"/>
    <w:rsid w:val="008B1A9A"/>
    <w:rsid w:val="008B4710"/>
    <w:rsid w:val="008B4FE6"/>
    <w:rsid w:val="008B6C37"/>
    <w:rsid w:val="008C4E39"/>
    <w:rsid w:val="008C5074"/>
    <w:rsid w:val="008D3CA9"/>
    <w:rsid w:val="008D5EB1"/>
    <w:rsid w:val="008E0E7A"/>
    <w:rsid w:val="008E18F7"/>
    <w:rsid w:val="008E1E10"/>
    <w:rsid w:val="008E291B"/>
    <w:rsid w:val="008E3D0E"/>
    <w:rsid w:val="008E4F2F"/>
    <w:rsid w:val="008E74B0"/>
    <w:rsid w:val="008F0D5A"/>
    <w:rsid w:val="009008A8"/>
    <w:rsid w:val="009027DE"/>
    <w:rsid w:val="009063B0"/>
    <w:rsid w:val="00907106"/>
    <w:rsid w:val="00907CF5"/>
    <w:rsid w:val="009107FD"/>
    <w:rsid w:val="0091137C"/>
    <w:rsid w:val="00911567"/>
    <w:rsid w:val="00917AAE"/>
    <w:rsid w:val="009251A9"/>
    <w:rsid w:val="00927F7F"/>
    <w:rsid w:val="00930699"/>
    <w:rsid w:val="00930A2D"/>
    <w:rsid w:val="00931F69"/>
    <w:rsid w:val="00932641"/>
    <w:rsid w:val="00934123"/>
    <w:rsid w:val="0093673F"/>
    <w:rsid w:val="00955774"/>
    <w:rsid w:val="009560B5"/>
    <w:rsid w:val="00962D9B"/>
    <w:rsid w:val="009703D6"/>
    <w:rsid w:val="0097176D"/>
    <w:rsid w:val="0097181B"/>
    <w:rsid w:val="00974DF4"/>
    <w:rsid w:val="00976DC5"/>
    <w:rsid w:val="009818C7"/>
    <w:rsid w:val="00982DD4"/>
    <w:rsid w:val="009841E5"/>
    <w:rsid w:val="0098479F"/>
    <w:rsid w:val="00984A8A"/>
    <w:rsid w:val="009857B6"/>
    <w:rsid w:val="00985A8D"/>
    <w:rsid w:val="00986610"/>
    <w:rsid w:val="0098776F"/>
    <w:rsid w:val="009877DC"/>
    <w:rsid w:val="00991F96"/>
    <w:rsid w:val="00995BB9"/>
    <w:rsid w:val="00996F0A"/>
    <w:rsid w:val="009A13C9"/>
    <w:rsid w:val="009A1D86"/>
    <w:rsid w:val="009A7DAB"/>
    <w:rsid w:val="009B049C"/>
    <w:rsid w:val="009B04AB"/>
    <w:rsid w:val="009B11C8"/>
    <w:rsid w:val="009B1B1F"/>
    <w:rsid w:val="009B2944"/>
    <w:rsid w:val="009B2BCF"/>
    <w:rsid w:val="009B2FF8"/>
    <w:rsid w:val="009B5BA3"/>
    <w:rsid w:val="009C592A"/>
    <w:rsid w:val="009D0027"/>
    <w:rsid w:val="009D0655"/>
    <w:rsid w:val="009D3EDA"/>
    <w:rsid w:val="009D7087"/>
    <w:rsid w:val="009E1819"/>
    <w:rsid w:val="009E1E98"/>
    <w:rsid w:val="009E3ABE"/>
    <w:rsid w:val="009E3C4B"/>
    <w:rsid w:val="009F0637"/>
    <w:rsid w:val="009F0EA3"/>
    <w:rsid w:val="009F62A6"/>
    <w:rsid w:val="009F674F"/>
    <w:rsid w:val="009F799E"/>
    <w:rsid w:val="00A00B3E"/>
    <w:rsid w:val="00A02020"/>
    <w:rsid w:val="00A056CB"/>
    <w:rsid w:val="00A07A29"/>
    <w:rsid w:val="00A1032B"/>
    <w:rsid w:val="00A10FF1"/>
    <w:rsid w:val="00A1213E"/>
    <w:rsid w:val="00A1506B"/>
    <w:rsid w:val="00A15584"/>
    <w:rsid w:val="00A17CB2"/>
    <w:rsid w:val="00A23191"/>
    <w:rsid w:val="00A25802"/>
    <w:rsid w:val="00A318F1"/>
    <w:rsid w:val="00A319C0"/>
    <w:rsid w:val="00A32899"/>
    <w:rsid w:val="00A33560"/>
    <w:rsid w:val="00A35D7A"/>
    <w:rsid w:val="00A364E4"/>
    <w:rsid w:val="00A371A5"/>
    <w:rsid w:val="00A403A8"/>
    <w:rsid w:val="00A47BDF"/>
    <w:rsid w:val="00A51CD7"/>
    <w:rsid w:val="00A52ADB"/>
    <w:rsid w:val="00A533E8"/>
    <w:rsid w:val="00A542D9"/>
    <w:rsid w:val="00A567F6"/>
    <w:rsid w:val="00A5686C"/>
    <w:rsid w:val="00A56E64"/>
    <w:rsid w:val="00A624C3"/>
    <w:rsid w:val="00A6641C"/>
    <w:rsid w:val="00A7331B"/>
    <w:rsid w:val="00A767D2"/>
    <w:rsid w:val="00A77616"/>
    <w:rsid w:val="00A805DA"/>
    <w:rsid w:val="00A811B4"/>
    <w:rsid w:val="00A87CDE"/>
    <w:rsid w:val="00A92BAF"/>
    <w:rsid w:val="00A94737"/>
    <w:rsid w:val="00A94BA3"/>
    <w:rsid w:val="00A96192"/>
    <w:rsid w:val="00A96CBA"/>
    <w:rsid w:val="00AA1BDD"/>
    <w:rsid w:val="00AA4B86"/>
    <w:rsid w:val="00AB1ACD"/>
    <w:rsid w:val="00AB277F"/>
    <w:rsid w:val="00AB4099"/>
    <w:rsid w:val="00AB449A"/>
    <w:rsid w:val="00AC17BB"/>
    <w:rsid w:val="00AC49FD"/>
    <w:rsid w:val="00AC4FA5"/>
    <w:rsid w:val="00AC6558"/>
    <w:rsid w:val="00AD14F9"/>
    <w:rsid w:val="00AD35D6"/>
    <w:rsid w:val="00AD58C5"/>
    <w:rsid w:val="00AE36C4"/>
    <w:rsid w:val="00AE472C"/>
    <w:rsid w:val="00AE4970"/>
    <w:rsid w:val="00AE5375"/>
    <w:rsid w:val="00AE6CF8"/>
    <w:rsid w:val="00AE7CB1"/>
    <w:rsid w:val="00AF4242"/>
    <w:rsid w:val="00AF4844"/>
    <w:rsid w:val="00AF4CAC"/>
    <w:rsid w:val="00B03E0D"/>
    <w:rsid w:val="00B040FC"/>
    <w:rsid w:val="00B054F8"/>
    <w:rsid w:val="00B15B07"/>
    <w:rsid w:val="00B2219A"/>
    <w:rsid w:val="00B27D76"/>
    <w:rsid w:val="00B357A4"/>
    <w:rsid w:val="00B3581B"/>
    <w:rsid w:val="00B36B81"/>
    <w:rsid w:val="00B36FEE"/>
    <w:rsid w:val="00B37C80"/>
    <w:rsid w:val="00B4136D"/>
    <w:rsid w:val="00B5092B"/>
    <w:rsid w:val="00B5194E"/>
    <w:rsid w:val="00B51AF5"/>
    <w:rsid w:val="00B531FC"/>
    <w:rsid w:val="00B55347"/>
    <w:rsid w:val="00B56517"/>
    <w:rsid w:val="00B572A0"/>
    <w:rsid w:val="00B57E5E"/>
    <w:rsid w:val="00B61F37"/>
    <w:rsid w:val="00B65498"/>
    <w:rsid w:val="00B6627B"/>
    <w:rsid w:val="00B75F86"/>
    <w:rsid w:val="00B7770F"/>
    <w:rsid w:val="00B77A89"/>
    <w:rsid w:val="00B77B27"/>
    <w:rsid w:val="00B8134E"/>
    <w:rsid w:val="00B81765"/>
    <w:rsid w:val="00B81B55"/>
    <w:rsid w:val="00B84613"/>
    <w:rsid w:val="00B87AF0"/>
    <w:rsid w:val="00B9037B"/>
    <w:rsid w:val="00B910BD"/>
    <w:rsid w:val="00B914D3"/>
    <w:rsid w:val="00B93834"/>
    <w:rsid w:val="00B96469"/>
    <w:rsid w:val="00BA0DA2"/>
    <w:rsid w:val="00BA2981"/>
    <w:rsid w:val="00BA42EE"/>
    <w:rsid w:val="00BA48F9"/>
    <w:rsid w:val="00BA7B09"/>
    <w:rsid w:val="00BB0DCA"/>
    <w:rsid w:val="00BB2666"/>
    <w:rsid w:val="00BB6B80"/>
    <w:rsid w:val="00BC3773"/>
    <w:rsid w:val="00BC381A"/>
    <w:rsid w:val="00BC3A19"/>
    <w:rsid w:val="00BD0962"/>
    <w:rsid w:val="00BD1EED"/>
    <w:rsid w:val="00BE020B"/>
    <w:rsid w:val="00BF0DA2"/>
    <w:rsid w:val="00BF109C"/>
    <w:rsid w:val="00BF26B1"/>
    <w:rsid w:val="00BF34FA"/>
    <w:rsid w:val="00BF6667"/>
    <w:rsid w:val="00C004B6"/>
    <w:rsid w:val="00C02FCF"/>
    <w:rsid w:val="00C047A7"/>
    <w:rsid w:val="00C05DE5"/>
    <w:rsid w:val="00C24009"/>
    <w:rsid w:val="00C27C51"/>
    <w:rsid w:val="00C31E58"/>
    <w:rsid w:val="00C33027"/>
    <w:rsid w:val="00C373FA"/>
    <w:rsid w:val="00C37667"/>
    <w:rsid w:val="00C435DB"/>
    <w:rsid w:val="00C43A6E"/>
    <w:rsid w:val="00C44D73"/>
    <w:rsid w:val="00C50B42"/>
    <w:rsid w:val="00C516FF"/>
    <w:rsid w:val="00C52BFA"/>
    <w:rsid w:val="00C53D1D"/>
    <w:rsid w:val="00C53F26"/>
    <w:rsid w:val="00C540BC"/>
    <w:rsid w:val="00C55772"/>
    <w:rsid w:val="00C55D58"/>
    <w:rsid w:val="00C56DD1"/>
    <w:rsid w:val="00C57D77"/>
    <w:rsid w:val="00C64F7D"/>
    <w:rsid w:val="00C67309"/>
    <w:rsid w:val="00C7614E"/>
    <w:rsid w:val="00C77BF1"/>
    <w:rsid w:val="00C77EBC"/>
    <w:rsid w:val="00C80D60"/>
    <w:rsid w:val="00C82FBD"/>
    <w:rsid w:val="00C85267"/>
    <w:rsid w:val="00C8640B"/>
    <w:rsid w:val="00C8721B"/>
    <w:rsid w:val="00C91988"/>
    <w:rsid w:val="00C9372C"/>
    <w:rsid w:val="00C9470E"/>
    <w:rsid w:val="00C95CEB"/>
    <w:rsid w:val="00CA1054"/>
    <w:rsid w:val="00CA4026"/>
    <w:rsid w:val="00CA63EB"/>
    <w:rsid w:val="00CA69F1"/>
    <w:rsid w:val="00CA7CF2"/>
    <w:rsid w:val="00CB6991"/>
    <w:rsid w:val="00CC6194"/>
    <w:rsid w:val="00CC6305"/>
    <w:rsid w:val="00CC78A5"/>
    <w:rsid w:val="00CD0516"/>
    <w:rsid w:val="00CD756B"/>
    <w:rsid w:val="00CE2CAA"/>
    <w:rsid w:val="00CE3696"/>
    <w:rsid w:val="00CE44D1"/>
    <w:rsid w:val="00CE6289"/>
    <w:rsid w:val="00CE734F"/>
    <w:rsid w:val="00CF112E"/>
    <w:rsid w:val="00CF161D"/>
    <w:rsid w:val="00CF5F4F"/>
    <w:rsid w:val="00D0152E"/>
    <w:rsid w:val="00D14686"/>
    <w:rsid w:val="00D178A0"/>
    <w:rsid w:val="00D218DC"/>
    <w:rsid w:val="00D23947"/>
    <w:rsid w:val="00D24E56"/>
    <w:rsid w:val="00D31608"/>
    <w:rsid w:val="00D31643"/>
    <w:rsid w:val="00D31AEB"/>
    <w:rsid w:val="00D32ECD"/>
    <w:rsid w:val="00D361E4"/>
    <w:rsid w:val="00D42A8F"/>
    <w:rsid w:val="00D42E40"/>
    <w:rsid w:val="00D439F6"/>
    <w:rsid w:val="00D44734"/>
    <w:rsid w:val="00D459C6"/>
    <w:rsid w:val="00D46318"/>
    <w:rsid w:val="00D46A13"/>
    <w:rsid w:val="00D50729"/>
    <w:rsid w:val="00D50C19"/>
    <w:rsid w:val="00D52359"/>
    <w:rsid w:val="00D5379E"/>
    <w:rsid w:val="00D623CC"/>
    <w:rsid w:val="00D62643"/>
    <w:rsid w:val="00D64C0F"/>
    <w:rsid w:val="00D656E1"/>
    <w:rsid w:val="00D72EFE"/>
    <w:rsid w:val="00D74045"/>
    <w:rsid w:val="00D7438F"/>
    <w:rsid w:val="00D75724"/>
    <w:rsid w:val="00D76227"/>
    <w:rsid w:val="00D76F51"/>
    <w:rsid w:val="00D77277"/>
    <w:rsid w:val="00D77DF1"/>
    <w:rsid w:val="00D86AFF"/>
    <w:rsid w:val="00D93C2B"/>
    <w:rsid w:val="00D95A44"/>
    <w:rsid w:val="00D95D16"/>
    <w:rsid w:val="00D97C76"/>
    <w:rsid w:val="00DA7414"/>
    <w:rsid w:val="00DB02B4"/>
    <w:rsid w:val="00DB1316"/>
    <w:rsid w:val="00DB195A"/>
    <w:rsid w:val="00DB3C40"/>
    <w:rsid w:val="00DB538D"/>
    <w:rsid w:val="00DB7ED7"/>
    <w:rsid w:val="00DC275C"/>
    <w:rsid w:val="00DC4B0D"/>
    <w:rsid w:val="00DC6E8B"/>
    <w:rsid w:val="00DC7FE1"/>
    <w:rsid w:val="00DD3F3F"/>
    <w:rsid w:val="00DD5572"/>
    <w:rsid w:val="00DE4AB3"/>
    <w:rsid w:val="00DE4DF2"/>
    <w:rsid w:val="00DE5D80"/>
    <w:rsid w:val="00DE6AD1"/>
    <w:rsid w:val="00DF58CD"/>
    <w:rsid w:val="00DF65DE"/>
    <w:rsid w:val="00E019A5"/>
    <w:rsid w:val="00E02B72"/>
    <w:rsid w:val="00E02EC8"/>
    <w:rsid w:val="00E037F5"/>
    <w:rsid w:val="00E0415C"/>
    <w:rsid w:val="00E04ECB"/>
    <w:rsid w:val="00E05A09"/>
    <w:rsid w:val="00E06CA1"/>
    <w:rsid w:val="00E06F45"/>
    <w:rsid w:val="00E13369"/>
    <w:rsid w:val="00E14B97"/>
    <w:rsid w:val="00E16AA5"/>
    <w:rsid w:val="00E16F02"/>
    <w:rsid w:val="00E172B8"/>
    <w:rsid w:val="00E17FB4"/>
    <w:rsid w:val="00E20B75"/>
    <w:rsid w:val="00E214F2"/>
    <w:rsid w:val="00E2371E"/>
    <w:rsid w:val="00E24BD7"/>
    <w:rsid w:val="00E26523"/>
    <w:rsid w:val="00E26809"/>
    <w:rsid w:val="00E27F3C"/>
    <w:rsid w:val="00E3412D"/>
    <w:rsid w:val="00E57322"/>
    <w:rsid w:val="00E6230B"/>
    <w:rsid w:val="00E628CB"/>
    <w:rsid w:val="00E62AD9"/>
    <w:rsid w:val="00E638C8"/>
    <w:rsid w:val="00E63B59"/>
    <w:rsid w:val="00E6710E"/>
    <w:rsid w:val="00E7509B"/>
    <w:rsid w:val="00E7601D"/>
    <w:rsid w:val="00E761A3"/>
    <w:rsid w:val="00E86590"/>
    <w:rsid w:val="00E86FB7"/>
    <w:rsid w:val="00E907FF"/>
    <w:rsid w:val="00E962FF"/>
    <w:rsid w:val="00E973F6"/>
    <w:rsid w:val="00E977F4"/>
    <w:rsid w:val="00EA1AA4"/>
    <w:rsid w:val="00EA42D1"/>
    <w:rsid w:val="00EA42EF"/>
    <w:rsid w:val="00EB1002"/>
    <w:rsid w:val="00EB2DD1"/>
    <w:rsid w:val="00EB6B37"/>
    <w:rsid w:val="00EC29FE"/>
    <w:rsid w:val="00EC390B"/>
    <w:rsid w:val="00EC3C70"/>
    <w:rsid w:val="00ED3A3D"/>
    <w:rsid w:val="00ED538A"/>
    <w:rsid w:val="00ED6FBC"/>
    <w:rsid w:val="00EE2F16"/>
    <w:rsid w:val="00EE3861"/>
    <w:rsid w:val="00EF2E73"/>
    <w:rsid w:val="00EF619D"/>
    <w:rsid w:val="00EF7683"/>
    <w:rsid w:val="00EF7A2D"/>
    <w:rsid w:val="00F016F6"/>
    <w:rsid w:val="00F0464F"/>
    <w:rsid w:val="00F04F8D"/>
    <w:rsid w:val="00F06B20"/>
    <w:rsid w:val="00F10AD0"/>
    <w:rsid w:val="00F116CC"/>
    <w:rsid w:val="00F12BD1"/>
    <w:rsid w:val="00F14EC4"/>
    <w:rsid w:val="00F15327"/>
    <w:rsid w:val="00F168CF"/>
    <w:rsid w:val="00F2555C"/>
    <w:rsid w:val="00F31DF3"/>
    <w:rsid w:val="00F33AE5"/>
    <w:rsid w:val="00F3597D"/>
    <w:rsid w:val="00F422BC"/>
    <w:rsid w:val="00F4376D"/>
    <w:rsid w:val="00F45399"/>
    <w:rsid w:val="00F465D0"/>
    <w:rsid w:val="00F465EA"/>
    <w:rsid w:val="00F54C76"/>
    <w:rsid w:val="00F54E7B"/>
    <w:rsid w:val="00F55A88"/>
    <w:rsid w:val="00F63951"/>
    <w:rsid w:val="00F63E14"/>
    <w:rsid w:val="00F65089"/>
    <w:rsid w:val="00F6560A"/>
    <w:rsid w:val="00F709EA"/>
    <w:rsid w:val="00F74005"/>
    <w:rsid w:val="00F740CC"/>
    <w:rsid w:val="00F764A4"/>
    <w:rsid w:val="00F76884"/>
    <w:rsid w:val="00F802B1"/>
    <w:rsid w:val="00F81405"/>
    <w:rsid w:val="00F83D24"/>
    <w:rsid w:val="00F83DD9"/>
    <w:rsid w:val="00F83F40"/>
    <w:rsid w:val="00F85186"/>
    <w:rsid w:val="00F87460"/>
    <w:rsid w:val="00F876F8"/>
    <w:rsid w:val="00F93188"/>
    <w:rsid w:val="00F93ED3"/>
    <w:rsid w:val="00F9511E"/>
    <w:rsid w:val="00F95A38"/>
    <w:rsid w:val="00FA117A"/>
    <w:rsid w:val="00FA67CC"/>
    <w:rsid w:val="00FB1A5F"/>
    <w:rsid w:val="00FB386A"/>
    <w:rsid w:val="00FB4343"/>
    <w:rsid w:val="00FC0786"/>
    <w:rsid w:val="00FC4109"/>
    <w:rsid w:val="00FC49EF"/>
    <w:rsid w:val="00FC665C"/>
    <w:rsid w:val="00FD2A5A"/>
    <w:rsid w:val="00FD4E08"/>
    <w:rsid w:val="00FE1032"/>
    <w:rsid w:val="00FE14B4"/>
    <w:rsid w:val="00FE2EE5"/>
    <w:rsid w:val="00FE3199"/>
    <w:rsid w:val="00FE36E2"/>
    <w:rsid w:val="00FF11AD"/>
    <w:rsid w:val="00FF2971"/>
    <w:rsid w:val="00FF34D4"/>
    <w:rsid w:val="00FF78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ADE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623CFE"/>
    <w:pPr>
      <w:spacing w:line="276" w:lineRule="auto"/>
    </w:pPr>
    <w:rPr>
      <w:sz w:val="22"/>
      <w:szCs w:val="22"/>
      <w:lang w:eastAsia="en-US"/>
    </w:rPr>
  </w:style>
  <w:style w:type="paragraph" w:styleId="Nagwek1">
    <w:name w:val="heading 1"/>
    <w:basedOn w:val="Normalny"/>
    <w:next w:val="Normalny"/>
    <w:qFormat/>
    <w:locked/>
    <w:rsid w:val="006176ED"/>
    <w:pPr>
      <w:keepNext/>
      <w:spacing w:before="240" w:after="60" w:line="240" w:lineRule="auto"/>
      <w:outlineLvl w:val="0"/>
    </w:pPr>
    <w:rPr>
      <w:rFonts w:ascii="Arial" w:eastAsia="Times New Roman" w:hAnsi="Arial" w:cs="Arial"/>
      <w:b/>
      <w:bCs/>
      <w:kern w:val="32"/>
      <w:sz w:val="32"/>
      <w:szCs w:val="32"/>
      <w:lang w:eastAsia="pl-PL"/>
    </w:rPr>
  </w:style>
  <w:style w:type="paragraph" w:styleId="Nagwek3">
    <w:name w:val="heading 3"/>
    <w:basedOn w:val="Normalny"/>
    <w:next w:val="Normalny"/>
    <w:qFormat/>
    <w:locked/>
    <w:rsid w:val="00522D94"/>
    <w:pPr>
      <w:keepNext/>
      <w:spacing w:before="240" w:after="60" w:line="240" w:lineRule="auto"/>
      <w:outlineLvl w:val="2"/>
    </w:pPr>
    <w:rPr>
      <w:rFonts w:ascii="Arial" w:eastAsia="Times New Roman" w:hAnsi="Arial" w:cs="Arial"/>
      <w:b/>
      <w:bCs/>
      <w:sz w:val="26"/>
      <w:szCs w:val="2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99"/>
    <w:rsid w:val="00764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4702C9"/>
    <w:pPr>
      <w:spacing w:line="240" w:lineRule="auto"/>
    </w:pPr>
    <w:rPr>
      <w:rFonts w:ascii="Tahoma" w:hAnsi="Tahoma" w:cs="Tahoma"/>
      <w:sz w:val="16"/>
      <w:szCs w:val="16"/>
    </w:rPr>
  </w:style>
  <w:style w:type="character" w:customStyle="1" w:styleId="TekstdymkaZnak">
    <w:name w:val="Tekst dymka Znak"/>
    <w:link w:val="Tekstdymka"/>
    <w:uiPriority w:val="99"/>
    <w:semiHidden/>
    <w:locked/>
    <w:rsid w:val="004702C9"/>
    <w:rPr>
      <w:rFonts w:ascii="Tahoma" w:hAnsi="Tahoma" w:cs="Tahoma"/>
      <w:sz w:val="16"/>
      <w:szCs w:val="16"/>
    </w:rPr>
  </w:style>
  <w:style w:type="paragraph" w:styleId="Nagwek">
    <w:name w:val="header"/>
    <w:basedOn w:val="Normalny"/>
    <w:link w:val="NagwekZnak"/>
    <w:uiPriority w:val="99"/>
    <w:unhideWhenUsed/>
    <w:rsid w:val="00044739"/>
    <w:pPr>
      <w:tabs>
        <w:tab w:val="center" w:pos="4536"/>
        <w:tab w:val="right" w:pos="9072"/>
      </w:tabs>
      <w:spacing w:line="240" w:lineRule="auto"/>
    </w:pPr>
  </w:style>
  <w:style w:type="character" w:customStyle="1" w:styleId="NagwekZnak">
    <w:name w:val="Nagłówek Znak"/>
    <w:link w:val="Nagwek"/>
    <w:uiPriority w:val="99"/>
    <w:rsid w:val="00044739"/>
    <w:rPr>
      <w:lang w:eastAsia="en-US"/>
    </w:rPr>
  </w:style>
  <w:style w:type="paragraph" w:styleId="Stopka">
    <w:name w:val="footer"/>
    <w:basedOn w:val="Normalny"/>
    <w:link w:val="StopkaZnak"/>
    <w:uiPriority w:val="99"/>
    <w:unhideWhenUsed/>
    <w:rsid w:val="00044739"/>
    <w:pPr>
      <w:tabs>
        <w:tab w:val="center" w:pos="4536"/>
        <w:tab w:val="right" w:pos="9072"/>
      </w:tabs>
      <w:spacing w:line="240" w:lineRule="auto"/>
    </w:pPr>
  </w:style>
  <w:style w:type="character" w:customStyle="1" w:styleId="StopkaZnak">
    <w:name w:val="Stopka Znak"/>
    <w:link w:val="Stopka"/>
    <w:uiPriority w:val="99"/>
    <w:rsid w:val="00044739"/>
    <w:rPr>
      <w:lang w:eastAsia="en-US"/>
    </w:rPr>
  </w:style>
  <w:style w:type="paragraph" w:styleId="Tekstprzypisukocowego">
    <w:name w:val="endnote text"/>
    <w:basedOn w:val="Normalny"/>
    <w:link w:val="TekstprzypisukocowegoZnak"/>
    <w:uiPriority w:val="99"/>
    <w:semiHidden/>
    <w:unhideWhenUsed/>
    <w:rsid w:val="00DF58CD"/>
    <w:pPr>
      <w:spacing w:line="240" w:lineRule="auto"/>
    </w:pPr>
    <w:rPr>
      <w:sz w:val="20"/>
      <w:szCs w:val="20"/>
    </w:rPr>
  </w:style>
  <w:style w:type="character" w:customStyle="1" w:styleId="TekstprzypisukocowegoZnak">
    <w:name w:val="Tekst przypisu końcowego Znak"/>
    <w:link w:val="Tekstprzypisukocowego"/>
    <w:uiPriority w:val="99"/>
    <w:semiHidden/>
    <w:rsid w:val="00DF58CD"/>
    <w:rPr>
      <w:sz w:val="20"/>
      <w:szCs w:val="20"/>
      <w:lang w:eastAsia="en-US"/>
    </w:rPr>
  </w:style>
  <w:style w:type="character" w:styleId="Odwoanieprzypisukocowego">
    <w:name w:val="endnote reference"/>
    <w:uiPriority w:val="99"/>
    <w:semiHidden/>
    <w:unhideWhenUsed/>
    <w:rsid w:val="00DF58CD"/>
    <w:rPr>
      <w:vertAlign w:val="superscript"/>
    </w:rPr>
  </w:style>
  <w:style w:type="paragraph" w:styleId="Akapitzlist">
    <w:name w:val="List Paragraph"/>
    <w:aliases w:val="Wyliczanie,List Paragraph,BulletC,Listaszerű bekezdés1,List Paragraph à moi,Dot pt,F5 List Paragraph,Numbered Para 1,No Spacing1,List Paragraph Char Char Char,Indicator Text,Bullet Points,MAIN CONTENT,IFCL - List Paragraph"/>
    <w:basedOn w:val="Normalny"/>
    <w:link w:val="AkapitzlistZnak"/>
    <w:uiPriority w:val="34"/>
    <w:qFormat/>
    <w:rsid w:val="00397078"/>
    <w:pPr>
      <w:ind w:left="720"/>
      <w:contextualSpacing/>
    </w:pPr>
  </w:style>
  <w:style w:type="character" w:styleId="Odwoaniedokomentarza">
    <w:name w:val="annotation reference"/>
    <w:uiPriority w:val="99"/>
    <w:semiHidden/>
    <w:unhideWhenUsed/>
    <w:rsid w:val="00A17CB2"/>
    <w:rPr>
      <w:sz w:val="16"/>
      <w:szCs w:val="16"/>
    </w:rPr>
  </w:style>
  <w:style w:type="paragraph" w:styleId="Tekstkomentarza">
    <w:name w:val="annotation text"/>
    <w:basedOn w:val="Normalny"/>
    <w:link w:val="TekstkomentarzaZnak"/>
    <w:uiPriority w:val="99"/>
    <w:semiHidden/>
    <w:unhideWhenUsed/>
    <w:rsid w:val="00A17CB2"/>
    <w:rPr>
      <w:sz w:val="20"/>
      <w:szCs w:val="20"/>
    </w:rPr>
  </w:style>
  <w:style w:type="character" w:customStyle="1" w:styleId="TekstkomentarzaZnak">
    <w:name w:val="Tekst komentarza Znak"/>
    <w:link w:val="Tekstkomentarza"/>
    <w:uiPriority w:val="99"/>
    <w:semiHidden/>
    <w:rsid w:val="00A17CB2"/>
    <w:rPr>
      <w:lang w:eastAsia="en-US"/>
    </w:rPr>
  </w:style>
  <w:style w:type="paragraph" w:styleId="Tematkomentarza">
    <w:name w:val="annotation subject"/>
    <w:basedOn w:val="Tekstkomentarza"/>
    <w:next w:val="Tekstkomentarza"/>
    <w:link w:val="TematkomentarzaZnak"/>
    <w:uiPriority w:val="99"/>
    <w:semiHidden/>
    <w:unhideWhenUsed/>
    <w:rsid w:val="00A17CB2"/>
    <w:rPr>
      <w:b/>
      <w:bCs/>
    </w:rPr>
  </w:style>
  <w:style w:type="character" w:customStyle="1" w:styleId="TematkomentarzaZnak">
    <w:name w:val="Temat komentarza Znak"/>
    <w:link w:val="Tematkomentarza"/>
    <w:uiPriority w:val="99"/>
    <w:semiHidden/>
    <w:rsid w:val="00A17CB2"/>
    <w:rPr>
      <w:b/>
      <w:bCs/>
      <w:lang w:eastAsia="en-US"/>
    </w:rPr>
  </w:style>
  <w:style w:type="paragraph" w:styleId="Tekstprzypisudolnego">
    <w:name w:val="footnote text"/>
    <w:basedOn w:val="Normalny"/>
    <w:link w:val="TekstprzypisudolnegoZnak"/>
    <w:uiPriority w:val="99"/>
    <w:semiHidden/>
    <w:unhideWhenUsed/>
    <w:rsid w:val="00C047A7"/>
    <w:rPr>
      <w:sz w:val="20"/>
      <w:szCs w:val="20"/>
    </w:rPr>
  </w:style>
  <w:style w:type="character" w:customStyle="1" w:styleId="TekstprzypisudolnegoZnak">
    <w:name w:val="Tekst przypisu dolnego Znak"/>
    <w:link w:val="Tekstprzypisudolnego"/>
    <w:uiPriority w:val="99"/>
    <w:semiHidden/>
    <w:rsid w:val="00C047A7"/>
    <w:rPr>
      <w:lang w:eastAsia="en-US"/>
    </w:rPr>
  </w:style>
  <w:style w:type="character" w:styleId="Odwoanieprzypisudolnego">
    <w:name w:val="footnote reference"/>
    <w:uiPriority w:val="99"/>
    <w:semiHidden/>
    <w:unhideWhenUsed/>
    <w:rsid w:val="00C047A7"/>
    <w:rPr>
      <w:vertAlign w:val="superscript"/>
    </w:rPr>
  </w:style>
  <w:style w:type="character" w:styleId="Hipercze">
    <w:name w:val="Hyperlink"/>
    <w:uiPriority w:val="99"/>
    <w:unhideWhenUsed/>
    <w:rsid w:val="0072636A"/>
    <w:rPr>
      <w:color w:val="0000FF"/>
      <w:u w:val="single"/>
    </w:rPr>
  </w:style>
  <w:style w:type="character" w:styleId="UyteHipercze">
    <w:name w:val="FollowedHyperlink"/>
    <w:uiPriority w:val="99"/>
    <w:semiHidden/>
    <w:unhideWhenUsed/>
    <w:rsid w:val="00801F71"/>
    <w:rPr>
      <w:color w:val="800080"/>
      <w:u w:val="single"/>
    </w:rPr>
  </w:style>
  <w:style w:type="character" w:customStyle="1" w:styleId="AkapitzlistZnak">
    <w:name w:val="Akapit z listą Znak"/>
    <w:aliases w:val="Wyliczanie Znak,List Paragraph Znak,BulletC Znak,Listaszerű bekezdés1 Znak,List Paragraph à moi Znak,Dot pt Znak,F5 List Paragraph Znak,Numbered Para 1 Znak,No Spacing1 Znak,List Paragraph Char Char Char Znak,Indicator Text Znak"/>
    <w:basedOn w:val="Domylnaczcionkaakapitu"/>
    <w:link w:val="Akapitzlist"/>
    <w:uiPriority w:val="34"/>
    <w:rsid w:val="00230A50"/>
    <w:rPr>
      <w:sz w:val="22"/>
      <w:szCs w:val="22"/>
      <w:lang w:eastAsia="en-US"/>
    </w:rPr>
  </w:style>
  <w:style w:type="paragraph" w:customStyle="1" w:styleId="ARTartustawynprozporzdzenia">
    <w:name w:val="ART(§) – art. ustawy (§ np. rozporządzenia)"/>
    <w:uiPriority w:val="11"/>
    <w:qFormat/>
    <w:rsid w:val="0066013A"/>
    <w:pPr>
      <w:suppressAutoHyphens/>
      <w:autoSpaceDE w:val="0"/>
      <w:autoSpaceDN w:val="0"/>
      <w:adjustRightInd w:val="0"/>
      <w:spacing w:before="120" w:line="360" w:lineRule="auto"/>
      <w:ind w:firstLine="510"/>
      <w:jc w:val="both"/>
    </w:pPr>
    <w:rPr>
      <w:rFonts w:ascii="Times" w:eastAsiaTheme="minorEastAsia" w:hAnsi="Times" w:cs="Arial"/>
      <w:sz w:val="24"/>
    </w:rPr>
  </w:style>
  <w:style w:type="paragraph" w:customStyle="1" w:styleId="CZWSPPKTczwsplnapunktw">
    <w:name w:val="CZ_WSP_PKT – część wspólna punktów"/>
    <w:basedOn w:val="Normalny"/>
    <w:next w:val="Normalny"/>
    <w:uiPriority w:val="16"/>
    <w:qFormat/>
    <w:rsid w:val="0066013A"/>
    <w:pPr>
      <w:spacing w:line="360" w:lineRule="auto"/>
      <w:jc w:val="both"/>
    </w:pPr>
    <w:rPr>
      <w:rFonts w:ascii="Times" w:eastAsiaTheme="minorEastAsia" w:hAnsi="Times" w:cs="Arial"/>
      <w:bCs/>
      <w:sz w:val="24"/>
      <w:szCs w:val="20"/>
      <w:lang w:eastAsia="pl-PL"/>
    </w:rPr>
  </w:style>
  <w:style w:type="character" w:customStyle="1" w:styleId="Nierozpoznanawzmianka1">
    <w:name w:val="Nierozpoznana wzmianka1"/>
    <w:basedOn w:val="Domylnaczcionkaakapitu"/>
    <w:uiPriority w:val="99"/>
    <w:semiHidden/>
    <w:unhideWhenUsed/>
    <w:rsid w:val="00F93ED3"/>
    <w:rPr>
      <w:color w:val="605E5C"/>
      <w:shd w:val="clear" w:color="auto" w:fill="E1DFDD"/>
    </w:rPr>
  </w:style>
  <w:style w:type="paragraph" w:customStyle="1" w:styleId="ZARTzmartartykuempunktem">
    <w:name w:val="Z/ART(§) – zm. art. (§) artykułem (punktem)"/>
    <w:basedOn w:val="Normalny"/>
    <w:uiPriority w:val="30"/>
    <w:qFormat/>
    <w:rsid w:val="007C60EB"/>
    <w:pPr>
      <w:suppressAutoHyphens/>
      <w:autoSpaceDE w:val="0"/>
      <w:autoSpaceDN w:val="0"/>
      <w:adjustRightInd w:val="0"/>
      <w:spacing w:line="360" w:lineRule="auto"/>
      <w:ind w:left="510" w:firstLine="510"/>
      <w:jc w:val="both"/>
    </w:pPr>
    <w:rPr>
      <w:rFonts w:ascii="Times" w:eastAsiaTheme="minorEastAsia" w:hAnsi="Times" w:cs="Arial"/>
      <w:sz w:val="24"/>
      <w:szCs w:val="20"/>
      <w:lang w:eastAsia="pl-PL"/>
    </w:rPr>
  </w:style>
  <w:style w:type="paragraph" w:customStyle="1" w:styleId="ZPKTzmpktartykuempunktem">
    <w:name w:val="Z/PKT – zm. pkt artykułem (punktem)"/>
    <w:basedOn w:val="Normalny"/>
    <w:uiPriority w:val="31"/>
    <w:qFormat/>
    <w:rsid w:val="007C60EB"/>
    <w:pPr>
      <w:spacing w:line="360" w:lineRule="auto"/>
      <w:ind w:left="1020" w:hanging="510"/>
      <w:jc w:val="both"/>
    </w:pPr>
    <w:rPr>
      <w:rFonts w:ascii="Times" w:eastAsiaTheme="minorEastAsia" w:hAnsi="Times" w:cs="Arial"/>
      <w:bCs/>
      <w:sz w:val="24"/>
      <w:szCs w:val="20"/>
      <w:lang w:eastAsia="pl-PL"/>
    </w:rPr>
  </w:style>
  <w:style w:type="character" w:customStyle="1" w:styleId="cf01">
    <w:name w:val="cf01"/>
    <w:basedOn w:val="Domylnaczcionkaakapitu"/>
    <w:rsid w:val="007C60EB"/>
    <w:rPr>
      <w:rFonts w:ascii="Segoe UI" w:hAnsi="Segoe UI" w:cs="Segoe UI" w:hint="default"/>
      <w:sz w:val="18"/>
      <w:szCs w:val="18"/>
    </w:rPr>
  </w:style>
  <w:style w:type="paragraph" w:customStyle="1" w:styleId="PKTpunkt">
    <w:name w:val="PKT – punkt"/>
    <w:uiPriority w:val="13"/>
    <w:qFormat/>
    <w:rsid w:val="00263A61"/>
    <w:pPr>
      <w:spacing w:line="360" w:lineRule="auto"/>
      <w:ind w:left="510" w:hanging="510"/>
      <w:jc w:val="both"/>
    </w:pPr>
    <w:rPr>
      <w:rFonts w:ascii="Times" w:eastAsiaTheme="minorEastAsia" w:hAnsi="Times" w:cs="Arial"/>
      <w:bCs/>
      <w:sz w:val="24"/>
    </w:rPr>
  </w:style>
  <w:style w:type="paragraph" w:customStyle="1" w:styleId="ZUSTzmustartykuempunktem">
    <w:name w:val="Z/UST(§) – zm. ust. (§) artykułem (punktem)"/>
    <w:basedOn w:val="ZARTzmartartykuempunktem"/>
    <w:uiPriority w:val="30"/>
    <w:qFormat/>
    <w:rsid w:val="00263A61"/>
  </w:style>
  <w:style w:type="paragraph" w:customStyle="1" w:styleId="Default">
    <w:name w:val="Default"/>
    <w:rsid w:val="00D656E1"/>
    <w:pPr>
      <w:autoSpaceDE w:val="0"/>
      <w:autoSpaceDN w:val="0"/>
      <w:adjustRightInd w:val="0"/>
    </w:pPr>
    <w:rPr>
      <w:rFonts w:ascii="Fira Sans" w:eastAsiaTheme="minorHAnsi" w:hAnsi="Fira Sans" w:cs="Fira Sans"/>
      <w:color w:val="000000"/>
      <w:sz w:val="24"/>
      <w:szCs w:val="24"/>
      <w:lang w:eastAsia="en-US"/>
    </w:rPr>
  </w:style>
  <w:style w:type="paragraph" w:customStyle="1" w:styleId="ZLITPKTzmpktliter">
    <w:name w:val="Z_LIT/PKT – zm. pkt literą"/>
    <w:basedOn w:val="PKTpunkt"/>
    <w:uiPriority w:val="47"/>
    <w:qFormat/>
    <w:rsid w:val="00D656E1"/>
    <w:pPr>
      <w:ind w:left="1497"/>
    </w:pPr>
  </w:style>
  <w:style w:type="character" w:styleId="Nierozpoznanawzmianka">
    <w:name w:val="Unresolved Mention"/>
    <w:basedOn w:val="Domylnaczcionkaakapitu"/>
    <w:uiPriority w:val="99"/>
    <w:semiHidden/>
    <w:unhideWhenUsed/>
    <w:rsid w:val="00AC4F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0433">
      <w:bodyDiv w:val="1"/>
      <w:marLeft w:val="0"/>
      <w:marRight w:val="0"/>
      <w:marTop w:val="0"/>
      <w:marBottom w:val="0"/>
      <w:divBdr>
        <w:top w:val="none" w:sz="0" w:space="0" w:color="auto"/>
        <w:left w:val="none" w:sz="0" w:space="0" w:color="auto"/>
        <w:bottom w:val="none" w:sz="0" w:space="0" w:color="auto"/>
        <w:right w:val="none" w:sz="0" w:space="0" w:color="auto"/>
      </w:divBdr>
    </w:div>
    <w:div w:id="203905230">
      <w:bodyDiv w:val="1"/>
      <w:marLeft w:val="0"/>
      <w:marRight w:val="0"/>
      <w:marTop w:val="0"/>
      <w:marBottom w:val="0"/>
      <w:divBdr>
        <w:top w:val="none" w:sz="0" w:space="0" w:color="auto"/>
        <w:left w:val="none" w:sz="0" w:space="0" w:color="auto"/>
        <w:bottom w:val="none" w:sz="0" w:space="0" w:color="auto"/>
        <w:right w:val="none" w:sz="0" w:space="0" w:color="auto"/>
      </w:divBdr>
    </w:div>
    <w:div w:id="557935918">
      <w:bodyDiv w:val="1"/>
      <w:marLeft w:val="0"/>
      <w:marRight w:val="0"/>
      <w:marTop w:val="0"/>
      <w:marBottom w:val="0"/>
      <w:divBdr>
        <w:top w:val="none" w:sz="0" w:space="0" w:color="auto"/>
        <w:left w:val="none" w:sz="0" w:space="0" w:color="auto"/>
        <w:bottom w:val="none" w:sz="0" w:space="0" w:color="auto"/>
        <w:right w:val="none" w:sz="0" w:space="0" w:color="auto"/>
      </w:divBdr>
    </w:div>
    <w:div w:id="589629821">
      <w:bodyDiv w:val="1"/>
      <w:marLeft w:val="0"/>
      <w:marRight w:val="0"/>
      <w:marTop w:val="0"/>
      <w:marBottom w:val="0"/>
      <w:divBdr>
        <w:top w:val="none" w:sz="0" w:space="0" w:color="auto"/>
        <w:left w:val="none" w:sz="0" w:space="0" w:color="auto"/>
        <w:bottom w:val="none" w:sz="0" w:space="0" w:color="auto"/>
        <w:right w:val="none" w:sz="0" w:space="0" w:color="auto"/>
      </w:divBdr>
    </w:div>
    <w:div w:id="832917754">
      <w:bodyDiv w:val="1"/>
      <w:marLeft w:val="0"/>
      <w:marRight w:val="0"/>
      <w:marTop w:val="0"/>
      <w:marBottom w:val="0"/>
      <w:divBdr>
        <w:top w:val="none" w:sz="0" w:space="0" w:color="auto"/>
        <w:left w:val="none" w:sz="0" w:space="0" w:color="auto"/>
        <w:bottom w:val="none" w:sz="0" w:space="0" w:color="auto"/>
        <w:right w:val="none" w:sz="0" w:space="0" w:color="auto"/>
      </w:divBdr>
    </w:div>
    <w:div w:id="1063797178">
      <w:bodyDiv w:val="1"/>
      <w:marLeft w:val="0"/>
      <w:marRight w:val="0"/>
      <w:marTop w:val="0"/>
      <w:marBottom w:val="0"/>
      <w:divBdr>
        <w:top w:val="none" w:sz="0" w:space="0" w:color="auto"/>
        <w:left w:val="none" w:sz="0" w:space="0" w:color="auto"/>
        <w:bottom w:val="none" w:sz="0" w:space="0" w:color="auto"/>
        <w:right w:val="none" w:sz="0" w:space="0" w:color="auto"/>
      </w:divBdr>
    </w:div>
    <w:div w:id="1408189191">
      <w:bodyDiv w:val="1"/>
      <w:marLeft w:val="0"/>
      <w:marRight w:val="0"/>
      <w:marTop w:val="0"/>
      <w:marBottom w:val="0"/>
      <w:divBdr>
        <w:top w:val="none" w:sz="0" w:space="0" w:color="auto"/>
        <w:left w:val="none" w:sz="0" w:space="0" w:color="auto"/>
        <w:bottom w:val="none" w:sz="0" w:space="0" w:color="auto"/>
        <w:right w:val="none" w:sz="0" w:space="0" w:color="auto"/>
      </w:divBdr>
    </w:div>
    <w:div w:id="1831095207">
      <w:bodyDiv w:val="1"/>
      <w:marLeft w:val="0"/>
      <w:marRight w:val="0"/>
      <w:marTop w:val="0"/>
      <w:marBottom w:val="0"/>
      <w:divBdr>
        <w:top w:val="none" w:sz="0" w:space="0" w:color="auto"/>
        <w:left w:val="none" w:sz="0" w:space="0" w:color="auto"/>
        <w:bottom w:val="none" w:sz="0" w:space="0" w:color="auto"/>
        <w:right w:val="none" w:sz="0" w:space="0" w:color="auto"/>
      </w:divBdr>
    </w:div>
    <w:div w:id="1907565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unb.gov.pl/winb"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ov.pl/web/gov/katalog-jednoste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PR@stat.gov.pl" TargetMode="External"/><Relationship Id="rId5" Type="http://schemas.openxmlformats.org/officeDocument/2006/relationships/numbering" Target="numbering.xml"/><Relationship Id="rId15" Type="http://schemas.openxmlformats.org/officeDocument/2006/relationships/hyperlink" Target="https://stat.gov.pl/spisy-powszechne/nsp-2021/nsp-2021-wyniki-ostateczne/stan-i-struktura-demograficzno-spoleczna-i-ekonomiczna-ludnosci-polski-w-swietle-wynikow-nsp-2021,6,2.html"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at.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LongProperties xmlns="http://schemas.microsoft.com/office/2006/metadata/longProperties"/>
</file>

<file path=customXml/item3.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ContentTypeId xmlns="http://schemas.microsoft.com/sharepoint/v3">0x003F9B028CC42C594AAF0DA90575FA3373</ContentTypeId>
    <NazwaPliku xmlns="1E9983FF-DC4B-4F4E-A072-0441E2B88E6D">OSR_11.09.2024.docx.docx</NazwaPliku>
    <Odbiorcy2 xmlns="1E9983FF-DC4B-4F4E-A072-0441E2B88E6D">Wszyscy</Odbiorcy2>
    <Osoba xmlns="1E9983FF-DC4B-4F4E-A072-0441E2B88E6D">STAT\ZARDECKIA</Osoba>
  </documentManagement>
</p:properties>
</file>

<file path=customXml/item4.xml><?xml version="1.0" encoding="utf-8"?>
<ct:contentTypeSchema xmlns:ct="http://schemas.microsoft.com/office/2006/metadata/contentType" xmlns:ma="http://schemas.microsoft.com/office/2006/metadata/properties/metaAttributes" ct:_="" ma:_="" ma:contentTypeName="Pisma" ma:contentTypeID="0x00FF83991E4BDC4E4FA0720441E2B88E6D" ma:contentTypeVersion="" ma:contentTypeDescription="" ma:contentTypeScope="" ma:versionID="4c085abc070ecd47269a6e547f595e09">
  <xsd:schema xmlns:xsd="http://www.w3.org/2001/XMLSchema" xmlns:xs="http://www.w3.org/2001/XMLSchema" xmlns:p="http://schemas.microsoft.com/office/2006/metadata/properties" xmlns:ns1="http://schemas.microsoft.com/sharepoint/v3" xmlns:ns2="1E9983FF-DC4B-4F4E-A072-0441E2B88E6D" targetNamespace="http://schemas.microsoft.com/office/2006/metadata/properties" ma:root="true" ma:fieldsID="261bc03da8b64877da0abdcd3971ff14" ns1:_="" ns2:_="">
    <xsd:import namespace="http://schemas.microsoft.com/sharepoint/v3"/>
    <xsd:import namespace="1E9983FF-DC4B-4F4E-A072-0441E2B88E6D"/>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E9983FF-DC4B-4F4E-A072-0441E2B88E6D"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17B61A7-1B23-4FF2-AA63-621F6F140239}"/>
</file>

<file path=customXml/itemProps2.xml><?xml version="1.0" encoding="utf-8"?>
<ds:datastoreItem xmlns:ds="http://schemas.openxmlformats.org/officeDocument/2006/customXml" ds:itemID="{66E0108A-3593-44D5-9A2C-219B340A4A0B}"/>
</file>

<file path=customXml/itemProps3.xml><?xml version="1.0" encoding="utf-8"?>
<ds:datastoreItem xmlns:ds="http://schemas.openxmlformats.org/officeDocument/2006/customXml" ds:itemID="{7184203E-CD4D-46D6-9889-6C56B7F34E6D}"/>
</file>

<file path=customXml/itemProps4.xml><?xml version="1.0" encoding="utf-8"?>
<ds:datastoreItem xmlns:ds="http://schemas.openxmlformats.org/officeDocument/2006/customXml" ds:itemID="{C6952732-2FA1-4850-B82B-1019464A4301}"/>
</file>

<file path=docProps/app.xml><?xml version="1.0" encoding="utf-8"?>
<Properties xmlns="http://schemas.openxmlformats.org/officeDocument/2006/extended-properties" xmlns:vt="http://schemas.openxmlformats.org/officeDocument/2006/docPropsVTypes">
  <Template>Normal</Template>
  <TotalTime>0</TotalTime>
  <Pages>19</Pages>
  <Words>10585</Words>
  <Characters>63511</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73949</CharactersWithSpaces>
  <SharedDoc>false</SharedDoc>
  <HLinks>
    <vt:vector size="6" baseType="variant">
      <vt:variant>
        <vt:i4>3211288</vt:i4>
      </vt:variant>
      <vt:variant>
        <vt:i4>0</vt:i4>
      </vt:variant>
      <vt:variant>
        <vt:i4>0</vt:i4>
      </vt:variant>
      <vt:variant>
        <vt:i4>5</vt:i4>
      </vt:variant>
      <vt:variant>
        <vt:lpwstr>mailto:sekretariat-SR@stat.gov.pl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2024-09-09T06:01:00Z</dcterms:created>
  <dcterms:modified xsi:type="dcterms:W3CDTF">2024-09-11T14:04:00Z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GUS-GP03.0200.5.2021.396</vt:lpwstr>
  </property>
  <property fmtid="{D5CDD505-2E9C-101B-9397-08002B2CF9AE}" pid="3" name="UNPPisma">
    <vt:lpwstr>2024-40343</vt:lpwstr>
  </property>
  <property fmtid="{D5CDD505-2E9C-101B-9397-08002B2CF9AE}" pid="4" name="ZnakSprawy">
    <vt:lpwstr>GUS-GP03.0200.5.2021</vt:lpwstr>
  </property>
  <property fmtid="{D5CDD505-2E9C-101B-9397-08002B2CF9AE}" pid="5" name="ZnakSprawyPrzedPrzeniesieniem">
    <vt:lpwstr/>
  </property>
  <property fmtid="{D5CDD505-2E9C-101B-9397-08002B2CF9AE}" pid="6" name="Autor">
    <vt:lpwstr>Żardecki Adam</vt:lpwstr>
  </property>
  <property fmtid="{D5CDD505-2E9C-101B-9397-08002B2CF9AE}" pid="7" name="AutorInicjaly">
    <vt:lpwstr>AZ</vt:lpwstr>
  </property>
  <property fmtid="{D5CDD505-2E9C-101B-9397-08002B2CF9AE}" pid="8" name="AutorNrTelefonu">
    <vt:lpwstr>22 449 3060</vt:lpwstr>
  </property>
  <property fmtid="{D5CDD505-2E9C-101B-9397-08002B2CF9AE}" pid="9" name="Stanowisko">
    <vt:lpwstr>główny specjalista ds. legislacji</vt:lpwstr>
  </property>
  <property fmtid="{D5CDD505-2E9C-101B-9397-08002B2CF9AE}" pid="10" name="OpisPisma">
    <vt:lpwstr>Skierowanie projektu ustawy do uzgodnień międzyresortowych, opiniowania i konsultacji publicznych, zaopiniowania przez organizacje pracodawców oraz RDS</vt:lpwstr>
  </property>
  <property fmtid="{D5CDD505-2E9C-101B-9397-08002B2CF9AE}" pid="11" name="Komorka">
    <vt:lpwstr>Prezes GUS</vt:lpwstr>
  </property>
  <property fmtid="{D5CDD505-2E9C-101B-9397-08002B2CF9AE}" pid="12" name="KodKomorki">
    <vt:lpwstr>Prezes GUS</vt:lpwstr>
  </property>
  <property fmtid="{D5CDD505-2E9C-101B-9397-08002B2CF9AE}" pid="13" name="AktualnaData">
    <vt:lpwstr>2024-02-19</vt:lpwstr>
  </property>
  <property fmtid="{D5CDD505-2E9C-101B-9397-08002B2CF9AE}" pid="14" name="Wydzial">
    <vt:lpwstr>Wydział Legislacji</vt:lpwstr>
  </property>
  <property fmtid="{D5CDD505-2E9C-101B-9397-08002B2CF9AE}" pid="15" name="KodWydzialu">
    <vt:lpwstr>GP-03</vt:lpwstr>
  </property>
  <property fmtid="{D5CDD505-2E9C-101B-9397-08002B2CF9AE}" pid="16" name="ZaakceptowanePrzez">
    <vt:lpwstr>n/d</vt:lpwstr>
  </property>
  <property fmtid="{D5CDD505-2E9C-101B-9397-08002B2CF9AE}" pid="17" name="PrzekazanieDo">
    <vt:lpwstr/>
  </property>
  <property fmtid="{D5CDD505-2E9C-101B-9397-08002B2CF9AE}" pid="18" name="PrzekazanieDoStanowisko">
    <vt:lpwstr/>
  </property>
  <property fmtid="{D5CDD505-2E9C-101B-9397-08002B2CF9AE}" pid="19" name="PrzekazanieDoKomorkaPracownika">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KANCELARIA PREZESA RADY MINISTRÓW</vt:lpwstr>
  </property>
  <property fmtid="{D5CDD505-2E9C-101B-9397-08002B2CF9AE}" pid="24" name="adresOddzial">
    <vt:lpwstr/>
  </property>
  <property fmtid="{D5CDD505-2E9C-101B-9397-08002B2CF9AE}" pid="25" name="adresUlica">
    <vt:lpwstr>AL.UJAZDOWSKIE</vt:lpwstr>
  </property>
  <property fmtid="{D5CDD505-2E9C-101B-9397-08002B2CF9AE}" pid="26" name="adresTypUlicy">
    <vt:lpwstr/>
  </property>
  <property fmtid="{D5CDD505-2E9C-101B-9397-08002B2CF9AE}" pid="27" name="adresNrDomu">
    <vt:lpwstr>1</vt:lpwstr>
  </property>
  <property fmtid="{D5CDD505-2E9C-101B-9397-08002B2CF9AE}" pid="28" name="adresNrLokalu">
    <vt:lpwstr>3</vt:lpwstr>
  </property>
  <property fmtid="{D5CDD505-2E9C-101B-9397-08002B2CF9AE}" pid="29" name="adresKodPocztowy">
    <vt:lpwstr>00-583</vt:lpwstr>
  </property>
  <property fmtid="{D5CDD505-2E9C-101B-9397-08002B2CF9AE}" pid="30" name="adresMiejscowosc">
    <vt:lpwstr>WARSZAWA (ŚRÓDMIEŚCIE)</vt:lpwstr>
  </property>
  <property fmtid="{D5CDD505-2E9C-101B-9397-08002B2CF9AE}" pid="31" name="adresPoczta">
    <vt:lpwstr/>
  </property>
  <property fmtid="{D5CDD505-2E9C-101B-9397-08002B2CF9AE}" pid="32" name="adresEMail">
    <vt:lpwstr/>
  </property>
  <property fmtid="{D5CDD505-2E9C-101B-9397-08002B2CF9AE}" pid="33" name="DataNaPismie">
    <vt:lpwstr>2024-02-19</vt:lpwstr>
  </property>
  <property fmtid="{D5CDD505-2E9C-101B-9397-08002B2CF9AE}" pid="34" name="adresaciDW">
    <vt:lpwstr>MINISTERSTWO ROZWOJU I TECHNOLOGII;MINISTERSTWO SPRAWIEDLIWOŚCI;MINISTERSTWO ROLNICTWA I ROZWOJU WSI</vt:lpwstr>
  </property>
  <property fmtid="{D5CDD505-2E9C-101B-9397-08002B2CF9AE}" pid="35" name="adresaciDW2">
    <vt:lpwstr>MINISTERSTWO ROZWOJU I TECHNOLOGII, PLAC TRZECH KRZYŻY 3/5, 00-507 WARSZAWA;  MINISTERSTWO SPRAWIEDLIWOŚCI, AL. UJAZDOWSKIE 11, 00-950 WARSZAWA;  MINISTERSTWO ROLNICTWA I ROZWOJU WSI, WSPÓLNA 30, 00-930 WARSZAWA (ŚRÓDMIEŚCIE);  </vt:lpwstr>
  </property>
  <property fmtid="{D5CDD505-2E9C-101B-9397-08002B2CF9AE}" pid="36" name="KodKreskowy">
    <vt:lpwstr/>
  </property>
  <property fmtid="{D5CDD505-2E9C-101B-9397-08002B2CF9AE}" pid="37" name="TrescPisma">
    <vt:lpwstr/>
  </property>
</Properties>
</file>