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C633F" w14:textId="2A5D179B" w:rsidR="00670814" w:rsidRPr="00FD41F5" w:rsidRDefault="00A476F2" w:rsidP="00B572AA">
      <w:pPr>
        <w:tabs>
          <w:tab w:val="left" w:pos="5400"/>
          <w:tab w:val="left" w:pos="5850"/>
          <w:tab w:val="left" w:pos="9639"/>
        </w:tabs>
        <w:spacing w:line="200" w:lineRule="exact"/>
        <w:ind w:left="142" w:right="111"/>
        <w:jc w:val="right"/>
        <w:rPr>
          <w:sz w:val="24"/>
          <w:szCs w:val="24"/>
          <w:lang w:val="pl-PL"/>
        </w:rPr>
      </w:pPr>
      <w:r>
        <w:rPr>
          <w:noProof/>
          <w:sz w:val="24"/>
          <w:szCs w:val="24"/>
          <w:lang w:val="pl-PL" w:eastAsia="pl-PL"/>
        </w:rPr>
        <w:drawing>
          <wp:anchor distT="0" distB="0" distL="114300" distR="114300" simplePos="0" relativeHeight="251623424" behindDoc="1" locked="0" layoutInCell="0" allowOverlap="1" wp14:anchorId="02E2DA86" wp14:editId="53E5E806">
            <wp:simplePos x="0" y="0"/>
            <wp:positionH relativeFrom="page">
              <wp:posOffset>427990</wp:posOffset>
            </wp:positionH>
            <wp:positionV relativeFrom="page">
              <wp:posOffset>241935</wp:posOffset>
            </wp:positionV>
            <wp:extent cx="239077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2390775" cy="885825"/>
                    </a:xfrm>
                    <a:prstGeom prst="rect">
                      <a:avLst/>
                    </a:prstGeom>
                    <a:noFill/>
                  </pic:spPr>
                </pic:pic>
              </a:graphicData>
            </a:graphic>
          </wp:anchor>
        </w:drawing>
      </w:r>
      <w:r w:rsidR="004F06CD">
        <w:rPr>
          <w:rFonts w:ascii="Verdana" w:eastAsia="Verdana" w:hAnsi="Verdana" w:cs="Verdana"/>
          <w:color w:val="EC7F12"/>
          <w:sz w:val="18"/>
          <w:szCs w:val="18"/>
          <w:lang w:val="pl-PL"/>
        </w:rPr>
        <w:t>Marzec</w:t>
      </w:r>
      <w:r w:rsidR="007704CF">
        <w:rPr>
          <w:rFonts w:ascii="Verdana" w:eastAsia="Verdana" w:hAnsi="Verdana" w:cs="Verdana"/>
          <w:color w:val="EC7F12"/>
          <w:sz w:val="18"/>
          <w:szCs w:val="18"/>
          <w:lang w:val="pl-PL"/>
        </w:rPr>
        <w:t xml:space="preserve"> </w:t>
      </w:r>
      <w:r w:rsidR="008A2D2C" w:rsidRPr="007704CF">
        <w:rPr>
          <w:rFonts w:ascii="Verdana" w:eastAsia="Verdana" w:hAnsi="Verdana" w:cs="Verdana"/>
          <w:color w:val="EC7F12"/>
          <w:sz w:val="18"/>
          <w:szCs w:val="18"/>
          <w:lang w:val="pl-PL"/>
        </w:rPr>
        <w:t>20</w:t>
      </w:r>
      <w:r w:rsidR="002C0E80">
        <w:rPr>
          <w:rFonts w:ascii="Verdana" w:eastAsia="Verdana" w:hAnsi="Verdana" w:cs="Verdana"/>
          <w:color w:val="EC7F12"/>
          <w:sz w:val="18"/>
          <w:szCs w:val="18"/>
          <w:lang w:val="pl-PL"/>
        </w:rPr>
        <w:t>24</w:t>
      </w:r>
    </w:p>
    <w:p w14:paraId="66E84818" w14:textId="77777777" w:rsidR="004D377B" w:rsidRPr="00A476F2" w:rsidRDefault="007704CF" w:rsidP="00B572AA">
      <w:pPr>
        <w:tabs>
          <w:tab w:val="left" w:pos="9781"/>
        </w:tabs>
        <w:ind w:left="142" w:right="111"/>
        <w:jc w:val="right"/>
        <w:rPr>
          <w:sz w:val="20"/>
          <w:szCs w:val="20"/>
          <w:lang w:val="pl-PL"/>
        </w:rPr>
      </w:pPr>
      <w:r w:rsidRPr="007704CF">
        <w:rPr>
          <w:rFonts w:ascii="Verdana" w:eastAsia="Verdana" w:hAnsi="Verdana" w:cs="Verdana"/>
          <w:color w:val="EC7F12"/>
          <w:sz w:val="18"/>
          <w:szCs w:val="18"/>
          <w:lang w:val="pl-PL"/>
        </w:rPr>
        <w:t>Niniejsze zestawienie nie jest wiążące dla Trybunału i nie ma charakteru wyczerpującego</w:t>
      </w:r>
      <w:r w:rsidR="00A476F2">
        <w:rPr>
          <w:sz w:val="20"/>
          <w:szCs w:val="20"/>
          <w:lang w:val="pl-PL"/>
        </w:rPr>
        <w:br/>
      </w:r>
    </w:p>
    <w:p w14:paraId="7822A33F" w14:textId="1ED0B984" w:rsidR="00670814" w:rsidRPr="007704CF" w:rsidRDefault="00AC6A2C" w:rsidP="00B572AA">
      <w:pPr>
        <w:tabs>
          <w:tab w:val="left" w:pos="9781"/>
        </w:tabs>
        <w:ind w:left="142" w:right="111"/>
        <w:rPr>
          <w:sz w:val="20"/>
          <w:szCs w:val="20"/>
          <w:lang w:val="pl-PL"/>
        </w:rPr>
      </w:pPr>
      <w:r>
        <w:rPr>
          <w:rFonts w:ascii="Verdana" w:eastAsia="Verdana" w:hAnsi="Verdana" w:cs="Verdana"/>
          <w:color w:val="0072BC"/>
          <w:sz w:val="48"/>
          <w:szCs w:val="48"/>
          <w:lang w:val="pl-PL"/>
        </w:rPr>
        <w:t>Tajne więzienia</w:t>
      </w:r>
    </w:p>
    <w:p w14:paraId="63DDA29E" w14:textId="301E7BDD" w:rsidR="00670814" w:rsidRPr="007704CF" w:rsidRDefault="00670814" w:rsidP="00B572AA">
      <w:pPr>
        <w:tabs>
          <w:tab w:val="left" w:pos="9781"/>
        </w:tabs>
        <w:spacing w:line="20" w:lineRule="exact"/>
        <w:ind w:left="142" w:right="111"/>
        <w:rPr>
          <w:sz w:val="24"/>
          <w:szCs w:val="24"/>
          <w:lang w:val="pl-PL"/>
        </w:rPr>
      </w:pPr>
    </w:p>
    <w:p w14:paraId="48B4759E" w14:textId="3F36A749" w:rsidR="00670814" w:rsidRPr="007704CF" w:rsidRDefault="00740DEA" w:rsidP="00B572AA">
      <w:pPr>
        <w:tabs>
          <w:tab w:val="left" w:pos="7905"/>
          <w:tab w:val="left" w:pos="9781"/>
        </w:tabs>
        <w:spacing w:line="307" w:lineRule="exact"/>
        <w:ind w:left="142" w:right="111"/>
        <w:rPr>
          <w:sz w:val="24"/>
          <w:szCs w:val="24"/>
          <w:lang w:val="pl-PL"/>
        </w:rPr>
      </w:pPr>
      <w:r>
        <w:rPr>
          <w:noProof/>
          <w:sz w:val="24"/>
          <w:szCs w:val="24"/>
          <w:lang w:val="pl-PL" w:eastAsia="pl-PL"/>
        </w:rPr>
        <mc:AlternateContent>
          <mc:Choice Requires="wps">
            <w:drawing>
              <wp:anchor distT="4294967295" distB="4294967295" distL="114300" distR="114300" simplePos="0" relativeHeight="251628544" behindDoc="1" locked="0" layoutInCell="0" allowOverlap="1" wp14:anchorId="36030181" wp14:editId="1FCA1120">
                <wp:simplePos x="0" y="0"/>
                <wp:positionH relativeFrom="column">
                  <wp:posOffset>91225</wp:posOffset>
                </wp:positionH>
                <wp:positionV relativeFrom="paragraph">
                  <wp:posOffset>17780</wp:posOffset>
                </wp:positionV>
                <wp:extent cx="5886450" cy="9525"/>
                <wp:effectExtent l="19050" t="19050" r="19050" b="2857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9525"/>
                        </a:xfrm>
                        <a:prstGeom prst="line">
                          <a:avLst/>
                        </a:prstGeom>
                        <a:solidFill>
                          <a:srgbClr val="FFFFFF"/>
                        </a:solidFill>
                        <a:ln w="38100">
                          <a:solidFill>
                            <a:srgbClr val="EAEAEA"/>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6EC85D" id="Shape 4" o:spid="_x0000_s1026" style="position:absolute;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4pt" to="47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" o:allowincell="f" filled="t" strokecolor="#eaeaea" strokeweight="3pt">
                <v:stroke joinstyle="miter"/>
                <o:lock v:ext="edit" shapetype="f"/>
              </v:line>
            </w:pict>
          </mc:Fallback>
        </mc:AlternateContent>
      </w:r>
      <w:r w:rsidR="00AC5636">
        <w:rPr>
          <w:noProof/>
          <w:sz w:val="24"/>
          <w:szCs w:val="24"/>
          <w:lang w:val="pl-PL" w:eastAsia="pl-PL"/>
        </w:rPr>
        <w:t xml:space="preserve">  </w:t>
      </w:r>
      <w:r>
        <w:rPr>
          <w:sz w:val="24"/>
          <w:szCs w:val="24"/>
          <w:lang w:val="pl-PL"/>
        </w:rPr>
        <w:tab/>
      </w:r>
    </w:p>
    <w:p w14:paraId="4E110FA8" w14:textId="6208E5EE" w:rsidR="007704CF" w:rsidRPr="007704CF" w:rsidRDefault="00AA41AF" w:rsidP="00B572AA">
      <w:pPr>
        <w:tabs>
          <w:tab w:val="left" w:pos="9781"/>
        </w:tabs>
        <w:spacing w:line="269" w:lineRule="auto"/>
        <w:ind w:left="142" w:right="111"/>
        <w:rPr>
          <w:sz w:val="20"/>
          <w:szCs w:val="20"/>
          <w:lang w:val="pl-PL"/>
        </w:rPr>
      </w:pPr>
      <w:r w:rsidRPr="00AA41AF">
        <w:rPr>
          <w:rFonts w:ascii="Verdana" w:eastAsia="Verdana" w:hAnsi="Verdana" w:cs="Verdana"/>
          <w:color w:val="0072BC"/>
          <w:sz w:val="28"/>
          <w:szCs w:val="28"/>
          <w:lang w:val="pl-PL"/>
        </w:rPr>
        <w:t>Pierwsz</w:t>
      </w:r>
      <w:r w:rsidR="00E743C1">
        <w:rPr>
          <w:rFonts w:ascii="Verdana" w:eastAsia="Verdana" w:hAnsi="Verdana" w:cs="Verdana"/>
          <w:color w:val="0072BC"/>
          <w:sz w:val="28"/>
          <w:szCs w:val="28"/>
          <w:lang w:val="pl-PL"/>
        </w:rPr>
        <w:t>a</w:t>
      </w:r>
      <w:r w:rsidRPr="00AA41AF">
        <w:rPr>
          <w:rFonts w:ascii="Verdana" w:eastAsia="Verdana" w:hAnsi="Verdana" w:cs="Verdana"/>
          <w:color w:val="0072BC"/>
          <w:sz w:val="28"/>
          <w:szCs w:val="28"/>
          <w:lang w:val="pl-PL"/>
        </w:rPr>
        <w:t xml:space="preserve"> spraw</w:t>
      </w:r>
      <w:r w:rsidR="00E743C1">
        <w:rPr>
          <w:rFonts w:ascii="Verdana" w:eastAsia="Verdana" w:hAnsi="Verdana" w:cs="Verdana"/>
          <w:color w:val="0072BC"/>
          <w:sz w:val="28"/>
          <w:szCs w:val="28"/>
          <w:lang w:val="pl-PL"/>
        </w:rPr>
        <w:t>a</w:t>
      </w:r>
      <w:r w:rsidRPr="00AA41AF">
        <w:rPr>
          <w:rFonts w:ascii="Verdana" w:eastAsia="Verdana" w:hAnsi="Verdana" w:cs="Verdana"/>
          <w:color w:val="0072BC"/>
          <w:sz w:val="28"/>
          <w:szCs w:val="28"/>
          <w:lang w:val="pl-PL"/>
        </w:rPr>
        <w:t xml:space="preserve"> dotycząc</w:t>
      </w:r>
      <w:r w:rsidR="00E743C1">
        <w:rPr>
          <w:rFonts w:ascii="Verdana" w:eastAsia="Verdana" w:hAnsi="Verdana" w:cs="Verdana"/>
          <w:color w:val="0072BC"/>
          <w:sz w:val="28"/>
          <w:szCs w:val="28"/>
          <w:lang w:val="pl-PL"/>
        </w:rPr>
        <w:t>a</w:t>
      </w:r>
      <w:r w:rsidRPr="00AA41AF">
        <w:rPr>
          <w:rFonts w:ascii="Verdana" w:eastAsia="Verdana" w:hAnsi="Verdana" w:cs="Verdana"/>
          <w:color w:val="0072BC"/>
          <w:sz w:val="28"/>
          <w:szCs w:val="28"/>
          <w:lang w:val="pl-PL"/>
        </w:rPr>
        <w:t xml:space="preserve"> tak zwanej praktyki „wydawania więźniów”</w:t>
      </w:r>
    </w:p>
    <w:p w14:paraId="7F927106" w14:textId="77777777" w:rsidR="00670814" w:rsidRPr="007704CF" w:rsidRDefault="00670814" w:rsidP="00B572AA">
      <w:pPr>
        <w:tabs>
          <w:tab w:val="left" w:pos="9781"/>
        </w:tabs>
        <w:spacing w:line="20" w:lineRule="exact"/>
        <w:ind w:left="142" w:right="111"/>
        <w:rPr>
          <w:sz w:val="24"/>
          <w:szCs w:val="24"/>
          <w:lang w:val="pl-PL"/>
        </w:rPr>
      </w:pPr>
    </w:p>
    <w:p w14:paraId="300700F2" w14:textId="77777777" w:rsidR="00670814" w:rsidRPr="007704CF" w:rsidRDefault="00545C48" w:rsidP="00B572AA">
      <w:pPr>
        <w:tabs>
          <w:tab w:val="left" w:pos="9781"/>
        </w:tabs>
        <w:spacing w:line="211" w:lineRule="exact"/>
        <w:ind w:left="142" w:right="111"/>
        <w:rPr>
          <w:sz w:val="24"/>
          <w:szCs w:val="24"/>
          <w:lang w:val="pl-PL"/>
        </w:rPr>
      </w:pPr>
      <w:r>
        <w:rPr>
          <w:noProof/>
          <w:sz w:val="24"/>
          <w:szCs w:val="24"/>
          <w:lang w:val="pl-PL" w:eastAsia="pl-PL"/>
        </w:rPr>
        <mc:AlternateContent>
          <mc:Choice Requires="wps">
            <w:drawing>
              <wp:anchor distT="4294967295" distB="4294967295" distL="114300" distR="114300" simplePos="0" relativeHeight="251630592" behindDoc="1" locked="0" layoutInCell="0" allowOverlap="1" wp14:anchorId="1961059D" wp14:editId="1122ECD2">
                <wp:simplePos x="0" y="0"/>
                <wp:positionH relativeFrom="margin">
                  <wp:posOffset>85510</wp:posOffset>
                </wp:positionH>
                <wp:positionV relativeFrom="paragraph">
                  <wp:posOffset>50165</wp:posOffset>
                </wp:positionV>
                <wp:extent cx="5914663"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4663"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D87C0F8" id="Shape 5" o:spid="_x0000_s1026" style="position:absolute;z-index:-2516858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75pt,3.95pt" to="472.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" o:allowincell="f" filled="t" strokecolor="#999" strokeweight="1.44pt">
                <v:stroke joinstyle="miter"/>
                <o:lock v:ext="edit" shapetype="f"/>
                <w10:wrap anchorx="margin"/>
              </v:line>
            </w:pict>
          </mc:Fallback>
        </mc:AlternateContent>
      </w:r>
    </w:p>
    <w:p w14:paraId="11F9A9BF" w14:textId="1A5061AE" w:rsidR="00B122E4" w:rsidRDefault="00B122E4" w:rsidP="00B572AA">
      <w:pPr>
        <w:tabs>
          <w:tab w:val="left" w:pos="9781"/>
        </w:tabs>
        <w:ind w:left="142" w:right="111"/>
        <w:rPr>
          <w:rFonts w:ascii="Verdana" w:eastAsia="Verdana" w:hAnsi="Verdana" w:cs="Verdana"/>
          <w:b/>
          <w:bCs/>
          <w:color w:val="0072BC"/>
          <w:sz w:val="20"/>
          <w:szCs w:val="20"/>
          <w:u w:val="single"/>
          <w:lang w:val="pl-PL"/>
        </w:rPr>
      </w:pPr>
      <w:hyperlink r:id="rId9" w:anchor="{&quot;itemid&quot;:[&quot;003-4196815-4975517&quot;]}" w:history="1">
        <w:r w:rsidRPr="00A16F2C">
          <w:rPr>
            <w:rStyle w:val="Hipercze"/>
            <w:rFonts w:ascii="Verdana" w:eastAsia="Verdana" w:hAnsi="Verdana" w:cs="Verdana"/>
            <w:b/>
            <w:bCs/>
            <w:sz w:val="20"/>
            <w:szCs w:val="20"/>
            <w:lang w:val="pl-PL"/>
          </w:rPr>
          <w:t>El-Masri przeciwko „byłej Jugosłowiańskiej Republice Macedonii”</w:t>
        </w:r>
      </w:hyperlink>
      <w:r w:rsidRPr="00B122E4">
        <w:rPr>
          <w:rFonts w:ascii="Verdana" w:eastAsia="Verdana" w:hAnsi="Verdana" w:cs="Verdana"/>
          <w:b/>
          <w:bCs/>
          <w:color w:val="0072BC"/>
          <w:sz w:val="20"/>
          <w:szCs w:val="20"/>
          <w:u w:val="single"/>
          <w:lang w:val="pl-PL"/>
        </w:rPr>
        <w:t xml:space="preserve"> </w:t>
      </w:r>
    </w:p>
    <w:p w14:paraId="041DACE7" w14:textId="77777777" w:rsidR="00B122E4" w:rsidRDefault="00B122E4" w:rsidP="00B572AA">
      <w:pPr>
        <w:tabs>
          <w:tab w:val="left" w:pos="9781"/>
        </w:tabs>
        <w:spacing w:line="235" w:lineRule="auto"/>
        <w:ind w:left="142" w:right="111"/>
        <w:jc w:val="both"/>
        <w:rPr>
          <w:rFonts w:ascii="Verdana" w:eastAsia="Verdana" w:hAnsi="Verdana" w:cs="Verdana"/>
          <w:color w:val="808080"/>
          <w:sz w:val="18"/>
          <w:szCs w:val="18"/>
          <w:lang w:val="pl-PL"/>
        </w:rPr>
      </w:pPr>
      <w:r w:rsidRPr="00B122E4">
        <w:rPr>
          <w:rFonts w:ascii="Verdana" w:eastAsia="Verdana" w:hAnsi="Verdana" w:cs="Verdana"/>
          <w:color w:val="808080"/>
          <w:sz w:val="18"/>
          <w:szCs w:val="18"/>
          <w:lang w:val="pl-PL"/>
        </w:rPr>
        <w:t>13 grudnia 2012 roku (Wielka Izba)</w:t>
      </w:r>
    </w:p>
    <w:p w14:paraId="6470C9AA" w14:textId="4D949B38" w:rsidR="00472F8E" w:rsidRDefault="00472F8E" w:rsidP="00B572AA">
      <w:pPr>
        <w:tabs>
          <w:tab w:val="left" w:pos="9498"/>
          <w:tab w:val="left" w:pos="9781"/>
        </w:tabs>
        <w:spacing w:line="235" w:lineRule="auto"/>
        <w:ind w:left="142" w:right="111"/>
        <w:jc w:val="both"/>
        <w:rPr>
          <w:rFonts w:ascii="Verdana" w:eastAsia="Verdana" w:hAnsi="Verdana" w:cs="Verdana"/>
          <w:sz w:val="20"/>
          <w:szCs w:val="20"/>
          <w:lang w:val="pl-PL"/>
        </w:rPr>
      </w:pPr>
      <w:r w:rsidRPr="00472F8E">
        <w:rPr>
          <w:rFonts w:ascii="Verdana" w:eastAsia="Verdana" w:hAnsi="Verdana" w:cs="Verdana"/>
          <w:sz w:val="20"/>
          <w:szCs w:val="20"/>
          <w:lang w:val="pl-PL"/>
        </w:rPr>
        <w:t>Skarga dotyczy</w:t>
      </w:r>
      <w:r w:rsidR="005C60E5">
        <w:rPr>
          <w:rFonts w:ascii="Verdana" w:eastAsia="Verdana" w:hAnsi="Verdana" w:cs="Verdana"/>
          <w:sz w:val="20"/>
          <w:szCs w:val="20"/>
          <w:lang w:val="pl-PL"/>
        </w:rPr>
        <w:t>ła</w:t>
      </w:r>
      <w:r w:rsidRPr="00472F8E">
        <w:rPr>
          <w:rFonts w:ascii="Verdana" w:eastAsia="Verdana" w:hAnsi="Verdana" w:cs="Verdana"/>
          <w:sz w:val="20"/>
          <w:szCs w:val="20"/>
          <w:lang w:val="pl-PL"/>
        </w:rPr>
        <w:t xml:space="preserve"> zarzutów sformułowanych przez obywatela </w:t>
      </w:r>
      <w:r w:rsidR="005C60E5">
        <w:rPr>
          <w:rFonts w:ascii="Verdana" w:eastAsia="Verdana" w:hAnsi="Verdana" w:cs="Verdana"/>
          <w:sz w:val="20"/>
          <w:szCs w:val="20"/>
          <w:lang w:val="pl-PL"/>
        </w:rPr>
        <w:t>Niemiec</w:t>
      </w:r>
      <w:r w:rsidRPr="00472F8E">
        <w:rPr>
          <w:rFonts w:ascii="Verdana" w:eastAsia="Verdana" w:hAnsi="Verdana" w:cs="Verdana"/>
          <w:sz w:val="20"/>
          <w:szCs w:val="20"/>
          <w:lang w:val="pl-PL"/>
        </w:rPr>
        <w:t xml:space="preserve"> pochodzenia libańskiego, który utrzymywał, że stał się ofiarą tajnej operacji </w:t>
      </w:r>
      <w:r w:rsidR="00290D7B">
        <w:rPr>
          <w:rFonts w:ascii="Verdana" w:eastAsia="Verdana" w:hAnsi="Verdana" w:cs="Verdana"/>
          <w:sz w:val="20"/>
          <w:szCs w:val="20"/>
          <w:lang w:val="pl-PL"/>
        </w:rPr>
        <w:t>„wydawania więźniów” (</w:t>
      </w:r>
      <w:r w:rsidRPr="00290D7B">
        <w:rPr>
          <w:rFonts w:ascii="Verdana" w:eastAsia="Verdana" w:hAnsi="Verdana" w:cs="Verdana"/>
          <w:i/>
          <w:iCs/>
          <w:sz w:val="20"/>
          <w:szCs w:val="20"/>
          <w:lang w:val="pl-PL"/>
        </w:rPr>
        <w:t>rendition</w:t>
      </w:r>
      <w:r w:rsidR="00290D7B">
        <w:rPr>
          <w:rFonts w:ascii="Verdana" w:eastAsia="Verdana" w:hAnsi="Verdana" w:cs="Verdana"/>
          <w:sz w:val="20"/>
          <w:szCs w:val="20"/>
          <w:lang w:val="pl-PL"/>
        </w:rPr>
        <w:t>)</w:t>
      </w:r>
      <w:r w:rsidRPr="00472F8E">
        <w:rPr>
          <w:rFonts w:ascii="Verdana" w:eastAsia="Verdana" w:hAnsi="Verdana" w:cs="Verdana"/>
          <w:sz w:val="20"/>
          <w:szCs w:val="20"/>
          <w:lang w:val="pl-PL"/>
        </w:rPr>
        <w:t>, w trakcie której został zatrzymany, przetrzymywany w izolacji, przesłuchiwany i</w:t>
      </w:r>
      <w:r w:rsidR="00573A10">
        <w:rPr>
          <w:rFonts w:ascii="Verdana" w:eastAsia="Verdana" w:hAnsi="Verdana" w:cs="Verdana"/>
          <w:sz w:val="20"/>
          <w:szCs w:val="20"/>
          <w:lang w:val="pl-PL"/>
        </w:rPr>
        <w:t xml:space="preserve"> </w:t>
      </w:r>
      <w:r w:rsidRPr="00472F8E">
        <w:rPr>
          <w:rFonts w:ascii="Verdana" w:eastAsia="Verdana" w:hAnsi="Verdana" w:cs="Verdana"/>
          <w:sz w:val="20"/>
          <w:szCs w:val="20"/>
          <w:lang w:val="pl-PL"/>
        </w:rPr>
        <w:t>poddany okrutnemu traktowaniu w hotelu w Skopje przez okres 23 dni, a następnie przekazany agentom CIA (Centralna Agencja Wywiadowcza), którzy przetransportowali go do tajnego ośrodka w</w:t>
      </w:r>
      <w:r w:rsidR="0034201B">
        <w:rPr>
          <w:rFonts w:ascii="Verdana" w:eastAsia="Verdana" w:hAnsi="Verdana" w:cs="Verdana"/>
          <w:sz w:val="20"/>
          <w:szCs w:val="20"/>
          <w:lang w:val="pl-PL"/>
        </w:rPr>
        <w:t> </w:t>
      </w:r>
      <w:r w:rsidRPr="00472F8E">
        <w:rPr>
          <w:rFonts w:ascii="Verdana" w:eastAsia="Verdana" w:hAnsi="Verdana" w:cs="Verdana"/>
          <w:sz w:val="20"/>
          <w:szCs w:val="20"/>
          <w:lang w:val="pl-PL"/>
        </w:rPr>
        <w:t xml:space="preserve">Afganistanie, gdzie znęcano się nad nim przez ponad cztery miesiące. </w:t>
      </w:r>
    </w:p>
    <w:p w14:paraId="0053279A" w14:textId="06518904" w:rsidR="000046E3" w:rsidRDefault="00472F8E" w:rsidP="00B572AA">
      <w:pPr>
        <w:tabs>
          <w:tab w:val="left" w:pos="9498"/>
          <w:tab w:val="left" w:pos="9781"/>
        </w:tabs>
        <w:spacing w:line="241" w:lineRule="auto"/>
        <w:ind w:left="142" w:right="111"/>
        <w:jc w:val="both"/>
        <w:rPr>
          <w:rFonts w:ascii="Verdana" w:eastAsia="Verdana" w:hAnsi="Verdana" w:cs="Verdana"/>
          <w:color w:val="0072BC"/>
          <w:sz w:val="20"/>
          <w:szCs w:val="20"/>
          <w:lang w:val="pl-PL"/>
        </w:rPr>
      </w:pPr>
      <w:r w:rsidRPr="00472F8E">
        <w:rPr>
          <w:rFonts w:ascii="Verdana" w:eastAsia="Verdana" w:hAnsi="Verdana" w:cs="Verdana"/>
          <w:color w:val="0072BC"/>
          <w:sz w:val="20"/>
          <w:szCs w:val="20"/>
          <w:lang w:val="pl-PL"/>
        </w:rPr>
        <w:t>Europejski Trybunał Praw Człowieka uznał relacje skarżącego za potwierdzone bez uzasadnionych wątpliwości i stwierdził, że „była Jugosłowiańska Republika Macedonii” jest odpowiedzialna za stosowanie wobec skarżącego tortur i poddanie go okrutnemu traktowaniu w kraju, a następnie po przekazaniu skarżącego władzom Stanów Zjednoczonych w</w:t>
      </w:r>
      <w:r w:rsidR="009678B0">
        <w:rPr>
          <w:rFonts w:ascii="Verdana" w:eastAsia="Verdana" w:hAnsi="Verdana" w:cs="Verdana"/>
          <w:color w:val="0072BC"/>
          <w:sz w:val="20"/>
          <w:szCs w:val="20"/>
          <w:lang w:val="pl-PL"/>
        </w:rPr>
        <w:t xml:space="preserve"> </w:t>
      </w:r>
      <w:r w:rsidRPr="00472F8E">
        <w:rPr>
          <w:rFonts w:ascii="Verdana" w:eastAsia="Verdana" w:hAnsi="Verdana" w:cs="Verdana"/>
          <w:color w:val="0072BC"/>
          <w:sz w:val="20"/>
          <w:szCs w:val="20"/>
          <w:lang w:val="pl-PL"/>
        </w:rPr>
        <w:t xml:space="preserve">kontekście pozasądowego „wydania”. </w:t>
      </w:r>
    </w:p>
    <w:p w14:paraId="0681167A" w14:textId="2D0C3395" w:rsidR="000046E3" w:rsidRDefault="00472F8E" w:rsidP="00B572AA">
      <w:pPr>
        <w:tabs>
          <w:tab w:val="left" w:pos="9498"/>
          <w:tab w:val="left" w:pos="9781"/>
        </w:tabs>
        <w:spacing w:line="241" w:lineRule="auto"/>
        <w:ind w:left="142" w:right="111"/>
        <w:jc w:val="both"/>
        <w:rPr>
          <w:rFonts w:ascii="Verdana" w:eastAsia="Verdana" w:hAnsi="Verdana" w:cs="Verdana"/>
          <w:color w:val="0072BC"/>
          <w:sz w:val="20"/>
          <w:szCs w:val="20"/>
          <w:lang w:val="pl-PL"/>
        </w:rPr>
      </w:pPr>
      <w:r w:rsidRPr="00472F8E">
        <w:rPr>
          <w:rFonts w:ascii="Verdana" w:eastAsia="Verdana" w:hAnsi="Verdana" w:cs="Verdana"/>
          <w:color w:val="0072BC"/>
          <w:sz w:val="20"/>
          <w:szCs w:val="20"/>
          <w:lang w:val="pl-PL"/>
        </w:rPr>
        <w:t xml:space="preserve">Trybunał stwierdził, że doszło do </w:t>
      </w:r>
      <w:r w:rsidRPr="00A16F2C">
        <w:rPr>
          <w:rFonts w:ascii="Verdana" w:eastAsia="Verdana" w:hAnsi="Verdana" w:cs="Verdana"/>
          <w:b/>
          <w:bCs/>
          <w:color w:val="0072BC"/>
          <w:sz w:val="20"/>
          <w:szCs w:val="20"/>
          <w:lang w:val="pl-PL"/>
        </w:rPr>
        <w:t xml:space="preserve">naruszenia </w:t>
      </w:r>
      <w:r w:rsidR="00E02FB4">
        <w:rPr>
          <w:rFonts w:ascii="Verdana" w:eastAsia="Verdana" w:hAnsi="Verdana" w:cs="Verdana"/>
          <w:b/>
          <w:bCs/>
          <w:color w:val="0072BC"/>
          <w:sz w:val="20"/>
          <w:szCs w:val="20"/>
          <w:lang w:val="pl-PL"/>
        </w:rPr>
        <w:t>art.</w:t>
      </w:r>
      <w:r w:rsidRPr="00A16F2C">
        <w:rPr>
          <w:rFonts w:ascii="Verdana" w:eastAsia="Verdana" w:hAnsi="Verdana" w:cs="Verdana"/>
          <w:b/>
          <w:bCs/>
          <w:color w:val="0072BC"/>
          <w:sz w:val="20"/>
          <w:szCs w:val="20"/>
          <w:lang w:val="pl-PL"/>
        </w:rPr>
        <w:t xml:space="preserve"> 3</w:t>
      </w:r>
      <w:r w:rsidRPr="00472F8E">
        <w:rPr>
          <w:rFonts w:ascii="Verdana" w:eastAsia="Verdana" w:hAnsi="Verdana" w:cs="Verdana"/>
          <w:color w:val="0072BC"/>
          <w:sz w:val="20"/>
          <w:szCs w:val="20"/>
          <w:lang w:val="pl-PL"/>
        </w:rPr>
        <w:t xml:space="preserve"> (zakaz tortur oraz nieludzkiego lub poniżającego traktowania) Europejskiej Konwencji Praw Człowieka w związku z nieludzkim i</w:t>
      </w:r>
      <w:r w:rsidR="008B5B2F">
        <w:rPr>
          <w:rFonts w:ascii="Verdana" w:eastAsia="Verdana" w:hAnsi="Verdana" w:cs="Verdana"/>
          <w:color w:val="0072BC"/>
          <w:sz w:val="20"/>
          <w:szCs w:val="20"/>
          <w:lang w:val="pl-PL"/>
        </w:rPr>
        <w:t> </w:t>
      </w:r>
      <w:r w:rsidRPr="00472F8E">
        <w:rPr>
          <w:rFonts w:ascii="Verdana" w:eastAsia="Verdana" w:hAnsi="Verdana" w:cs="Verdana"/>
          <w:color w:val="0072BC"/>
          <w:sz w:val="20"/>
          <w:szCs w:val="20"/>
          <w:lang w:val="pl-PL"/>
        </w:rPr>
        <w:t>poniżającym traktowaniem, któremu skarżący został poddany podczas przetrzymywania w</w:t>
      </w:r>
      <w:r w:rsidR="008B5B2F">
        <w:rPr>
          <w:rFonts w:ascii="Verdana" w:eastAsia="Verdana" w:hAnsi="Verdana" w:cs="Verdana"/>
          <w:color w:val="0072BC"/>
          <w:sz w:val="20"/>
          <w:szCs w:val="20"/>
          <w:lang w:val="pl-PL"/>
        </w:rPr>
        <w:t> </w:t>
      </w:r>
      <w:r w:rsidRPr="00472F8E">
        <w:rPr>
          <w:rFonts w:ascii="Verdana" w:eastAsia="Verdana" w:hAnsi="Verdana" w:cs="Verdana"/>
          <w:color w:val="0072BC"/>
          <w:sz w:val="20"/>
          <w:szCs w:val="20"/>
          <w:lang w:val="pl-PL"/>
        </w:rPr>
        <w:t>hotelu w Skopje, w związku z jego traktowaniem na lotnisku w Skopje, równoznacznym z</w:t>
      </w:r>
      <w:r w:rsidR="008B5B2F">
        <w:rPr>
          <w:rFonts w:ascii="Verdana" w:eastAsia="Verdana" w:hAnsi="Verdana" w:cs="Verdana"/>
          <w:color w:val="0072BC"/>
          <w:sz w:val="20"/>
          <w:szCs w:val="20"/>
          <w:lang w:val="pl-PL"/>
        </w:rPr>
        <w:t> </w:t>
      </w:r>
      <w:r w:rsidRPr="00472F8E">
        <w:rPr>
          <w:rFonts w:ascii="Verdana" w:eastAsia="Verdana" w:hAnsi="Verdana" w:cs="Verdana"/>
          <w:color w:val="0072BC"/>
          <w:sz w:val="20"/>
          <w:szCs w:val="20"/>
          <w:lang w:val="pl-PL"/>
        </w:rPr>
        <w:t xml:space="preserve">torturami oraz w związku z przekazaniem skarżącego władzom Stanów Zjednoczonych, co naraziło go na ryzyko dalszego traktowania niezgodnego z </w:t>
      </w:r>
      <w:r w:rsidR="001D18D2">
        <w:rPr>
          <w:rFonts w:ascii="Verdana" w:eastAsia="Verdana" w:hAnsi="Verdana" w:cs="Verdana"/>
          <w:color w:val="0072BC"/>
          <w:sz w:val="20"/>
          <w:szCs w:val="20"/>
          <w:lang w:val="pl-PL"/>
        </w:rPr>
        <w:t>art.</w:t>
      </w:r>
      <w:r w:rsidRPr="00472F8E">
        <w:rPr>
          <w:rFonts w:ascii="Verdana" w:eastAsia="Verdana" w:hAnsi="Verdana" w:cs="Verdana"/>
          <w:color w:val="0072BC"/>
          <w:sz w:val="20"/>
          <w:szCs w:val="20"/>
          <w:lang w:val="pl-PL"/>
        </w:rPr>
        <w:t xml:space="preserve"> 3. Ponadto Trybunał stwierdził </w:t>
      </w:r>
      <w:r w:rsidRPr="00A16F2C">
        <w:rPr>
          <w:rFonts w:ascii="Verdana" w:eastAsia="Verdana" w:hAnsi="Verdana" w:cs="Verdana"/>
          <w:b/>
          <w:bCs/>
          <w:color w:val="0072BC"/>
          <w:sz w:val="20"/>
          <w:szCs w:val="20"/>
          <w:lang w:val="pl-PL"/>
        </w:rPr>
        <w:t xml:space="preserve">naruszenie </w:t>
      </w:r>
      <w:r w:rsidR="00E02FB4">
        <w:rPr>
          <w:rFonts w:ascii="Verdana" w:eastAsia="Verdana" w:hAnsi="Verdana" w:cs="Verdana"/>
          <w:b/>
          <w:bCs/>
          <w:color w:val="0072BC"/>
          <w:sz w:val="20"/>
          <w:szCs w:val="20"/>
          <w:lang w:val="pl-PL"/>
        </w:rPr>
        <w:t>art.</w:t>
      </w:r>
      <w:r w:rsidRPr="00A16F2C">
        <w:rPr>
          <w:rFonts w:ascii="Verdana" w:eastAsia="Verdana" w:hAnsi="Verdana" w:cs="Verdana"/>
          <w:b/>
          <w:bCs/>
          <w:color w:val="0072BC"/>
          <w:sz w:val="20"/>
          <w:szCs w:val="20"/>
          <w:lang w:val="pl-PL"/>
        </w:rPr>
        <w:t xml:space="preserve"> 3</w:t>
      </w:r>
      <w:r w:rsidRPr="00472F8E">
        <w:rPr>
          <w:rFonts w:ascii="Verdana" w:eastAsia="Verdana" w:hAnsi="Verdana" w:cs="Verdana"/>
          <w:color w:val="0072BC"/>
          <w:sz w:val="20"/>
          <w:szCs w:val="20"/>
          <w:lang w:val="pl-PL"/>
        </w:rPr>
        <w:t xml:space="preserve"> ze względu na brak przeprowadzenia skutecznego śledztwa przez „byłą Jugosłowiańską Republikę Macedonii” w zakresie dotyczącym zarzutów złego traktowania, podnoszonych przez skarżącego. </w:t>
      </w:r>
    </w:p>
    <w:p w14:paraId="638506F2" w14:textId="33ABABA4" w:rsidR="000046E3" w:rsidRDefault="00472F8E" w:rsidP="00B572AA">
      <w:pPr>
        <w:tabs>
          <w:tab w:val="left" w:pos="9498"/>
          <w:tab w:val="left" w:pos="9781"/>
        </w:tabs>
        <w:spacing w:line="241" w:lineRule="auto"/>
        <w:ind w:left="142" w:right="111"/>
        <w:jc w:val="both"/>
        <w:rPr>
          <w:rFonts w:ascii="Verdana" w:eastAsia="Verdana" w:hAnsi="Verdana" w:cs="Verdana"/>
          <w:color w:val="0072BC"/>
          <w:sz w:val="20"/>
          <w:szCs w:val="20"/>
          <w:lang w:val="pl-PL"/>
        </w:rPr>
      </w:pPr>
      <w:r w:rsidRPr="00472F8E">
        <w:rPr>
          <w:rFonts w:ascii="Verdana" w:eastAsia="Verdana" w:hAnsi="Verdana" w:cs="Verdana"/>
          <w:color w:val="0072BC"/>
          <w:sz w:val="20"/>
          <w:szCs w:val="20"/>
          <w:lang w:val="pl-PL"/>
        </w:rPr>
        <w:t xml:space="preserve">Trybunał stwierdził następnie </w:t>
      </w:r>
      <w:r w:rsidRPr="00A16F2C">
        <w:rPr>
          <w:rFonts w:ascii="Verdana" w:eastAsia="Verdana" w:hAnsi="Verdana" w:cs="Verdana"/>
          <w:b/>
          <w:bCs/>
          <w:color w:val="0072BC"/>
          <w:sz w:val="20"/>
          <w:szCs w:val="20"/>
          <w:lang w:val="pl-PL"/>
        </w:rPr>
        <w:t xml:space="preserve">naruszenie </w:t>
      </w:r>
      <w:r w:rsidR="00E02FB4">
        <w:rPr>
          <w:rFonts w:ascii="Verdana" w:eastAsia="Verdana" w:hAnsi="Verdana" w:cs="Verdana"/>
          <w:b/>
          <w:bCs/>
          <w:color w:val="0072BC"/>
          <w:sz w:val="20"/>
          <w:szCs w:val="20"/>
          <w:lang w:val="pl-PL"/>
        </w:rPr>
        <w:t>art.</w:t>
      </w:r>
      <w:r w:rsidRPr="00A16F2C">
        <w:rPr>
          <w:rFonts w:ascii="Verdana" w:eastAsia="Verdana" w:hAnsi="Verdana" w:cs="Verdana"/>
          <w:b/>
          <w:bCs/>
          <w:color w:val="0072BC"/>
          <w:sz w:val="20"/>
          <w:szCs w:val="20"/>
          <w:lang w:val="pl-PL"/>
        </w:rPr>
        <w:t xml:space="preserve"> 5</w:t>
      </w:r>
      <w:r w:rsidRPr="00472F8E">
        <w:rPr>
          <w:rFonts w:ascii="Verdana" w:eastAsia="Verdana" w:hAnsi="Verdana" w:cs="Verdana"/>
          <w:color w:val="0072BC"/>
          <w:sz w:val="20"/>
          <w:szCs w:val="20"/>
          <w:lang w:val="pl-PL"/>
        </w:rPr>
        <w:t xml:space="preserve"> (prawo do wolności i bezpieczeństwa osobistego) Konwencji w związku z przetrzymywaniem skarżącego w hotelu w Skopje przez okres 23 dni i jego późniejszym uwięzieniem w Afganistanie oraz brakiem skutecznego śledztwa w sprawie zarzutu arbitralnego pozbawienia wolności. </w:t>
      </w:r>
    </w:p>
    <w:p w14:paraId="1EE5B57F" w14:textId="70DC2054" w:rsidR="00FA21E3" w:rsidRDefault="00472F8E" w:rsidP="00B572AA">
      <w:pPr>
        <w:tabs>
          <w:tab w:val="left" w:pos="9498"/>
          <w:tab w:val="left" w:pos="9781"/>
        </w:tabs>
        <w:spacing w:line="241" w:lineRule="auto"/>
        <w:ind w:left="142" w:right="111"/>
        <w:jc w:val="both"/>
        <w:rPr>
          <w:rFonts w:ascii="Verdana" w:eastAsia="Verdana" w:hAnsi="Verdana" w:cs="Verdana"/>
          <w:color w:val="0072BC"/>
          <w:sz w:val="20"/>
          <w:szCs w:val="20"/>
          <w:lang w:val="pl-PL"/>
        </w:rPr>
      </w:pPr>
      <w:r w:rsidRPr="00472F8E">
        <w:rPr>
          <w:rFonts w:ascii="Verdana" w:eastAsia="Verdana" w:hAnsi="Verdana" w:cs="Verdana"/>
          <w:color w:val="0072BC"/>
          <w:sz w:val="20"/>
          <w:szCs w:val="20"/>
          <w:lang w:val="pl-PL"/>
        </w:rPr>
        <w:t xml:space="preserve">Na koniec Trybunał stwierdził </w:t>
      </w:r>
      <w:r w:rsidRPr="00A16F2C">
        <w:rPr>
          <w:rFonts w:ascii="Verdana" w:eastAsia="Verdana" w:hAnsi="Verdana" w:cs="Verdana"/>
          <w:b/>
          <w:bCs/>
          <w:color w:val="0072BC"/>
          <w:sz w:val="20"/>
          <w:szCs w:val="20"/>
          <w:lang w:val="pl-PL"/>
        </w:rPr>
        <w:t xml:space="preserve">naruszenie </w:t>
      </w:r>
      <w:r w:rsidR="00E02FB4">
        <w:rPr>
          <w:rFonts w:ascii="Verdana" w:eastAsia="Verdana" w:hAnsi="Verdana" w:cs="Verdana"/>
          <w:b/>
          <w:bCs/>
          <w:color w:val="0072BC"/>
          <w:sz w:val="20"/>
          <w:szCs w:val="20"/>
          <w:lang w:val="pl-PL"/>
        </w:rPr>
        <w:t>art.</w:t>
      </w:r>
      <w:r w:rsidRPr="00A16F2C">
        <w:rPr>
          <w:rFonts w:ascii="Verdana" w:eastAsia="Verdana" w:hAnsi="Verdana" w:cs="Verdana"/>
          <w:b/>
          <w:bCs/>
          <w:color w:val="0072BC"/>
          <w:sz w:val="20"/>
          <w:szCs w:val="20"/>
          <w:lang w:val="pl-PL"/>
        </w:rPr>
        <w:t xml:space="preserve"> 8</w:t>
      </w:r>
      <w:r w:rsidRPr="00472F8E">
        <w:rPr>
          <w:rFonts w:ascii="Verdana" w:eastAsia="Verdana" w:hAnsi="Verdana" w:cs="Verdana"/>
          <w:color w:val="0072BC"/>
          <w:sz w:val="20"/>
          <w:szCs w:val="20"/>
          <w:lang w:val="pl-PL"/>
        </w:rPr>
        <w:t xml:space="preserve"> (prawo do poszanowania życia prywatnego i</w:t>
      </w:r>
      <w:r w:rsidR="0034201B">
        <w:rPr>
          <w:rFonts w:ascii="Verdana" w:eastAsia="Verdana" w:hAnsi="Verdana" w:cs="Verdana"/>
          <w:color w:val="0072BC"/>
          <w:sz w:val="20"/>
          <w:szCs w:val="20"/>
          <w:lang w:val="pl-PL"/>
        </w:rPr>
        <w:t> </w:t>
      </w:r>
      <w:r w:rsidRPr="00472F8E">
        <w:rPr>
          <w:rFonts w:ascii="Verdana" w:eastAsia="Verdana" w:hAnsi="Verdana" w:cs="Verdana"/>
          <w:color w:val="0072BC"/>
          <w:sz w:val="20"/>
          <w:szCs w:val="20"/>
          <w:lang w:val="pl-PL"/>
        </w:rPr>
        <w:t xml:space="preserve">rodzinnego) oraz </w:t>
      </w:r>
      <w:r w:rsidRPr="00A16F2C">
        <w:rPr>
          <w:rFonts w:ascii="Verdana" w:eastAsia="Verdana" w:hAnsi="Verdana" w:cs="Verdana"/>
          <w:b/>
          <w:bCs/>
          <w:color w:val="0072BC"/>
          <w:sz w:val="20"/>
          <w:szCs w:val="20"/>
          <w:lang w:val="pl-PL"/>
        </w:rPr>
        <w:t xml:space="preserve">naruszenie </w:t>
      </w:r>
      <w:r w:rsidR="00E02FB4">
        <w:rPr>
          <w:rFonts w:ascii="Verdana" w:eastAsia="Verdana" w:hAnsi="Verdana" w:cs="Verdana"/>
          <w:b/>
          <w:bCs/>
          <w:color w:val="0072BC"/>
          <w:sz w:val="20"/>
          <w:szCs w:val="20"/>
          <w:lang w:val="pl-PL"/>
        </w:rPr>
        <w:t xml:space="preserve">art. </w:t>
      </w:r>
      <w:r w:rsidRPr="00A16F2C">
        <w:rPr>
          <w:rFonts w:ascii="Verdana" w:eastAsia="Verdana" w:hAnsi="Verdana" w:cs="Verdana"/>
          <w:b/>
          <w:bCs/>
          <w:color w:val="0072BC"/>
          <w:sz w:val="20"/>
          <w:szCs w:val="20"/>
          <w:lang w:val="pl-PL"/>
        </w:rPr>
        <w:t>13</w:t>
      </w:r>
      <w:r w:rsidRPr="00472F8E">
        <w:rPr>
          <w:rFonts w:ascii="Verdana" w:eastAsia="Verdana" w:hAnsi="Verdana" w:cs="Verdana"/>
          <w:color w:val="0072BC"/>
          <w:sz w:val="20"/>
          <w:szCs w:val="20"/>
          <w:lang w:val="pl-PL"/>
        </w:rPr>
        <w:t xml:space="preserve"> (prawo do skutecznego środka odwoławczego) Konwencji.</w:t>
      </w:r>
    </w:p>
    <w:p w14:paraId="6D708CCB" w14:textId="77777777" w:rsidR="00FA21E3" w:rsidRDefault="00FA21E3" w:rsidP="00B572AA">
      <w:pPr>
        <w:tabs>
          <w:tab w:val="left" w:pos="9498"/>
          <w:tab w:val="left" w:pos="9781"/>
        </w:tabs>
        <w:spacing w:line="241" w:lineRule="auto"/>
        <w:ind w:left="142" w:right="111"/>
        <w:jc w:val="both"/>
        <w:rPr>
          <w:rFonts w:ascii="Verdana" w:eastAsia="Verdana" w:hAnsi="Verdana" w:cs="Verdana"/>
          <w:color w:val="0072BC"/>
          <w:sz w:val="20"/>
          <w:szCs w:val="20"/>
          <w:lang w:val="pl-PL"/>
        </w:rPr>
      </w:pPr>
    </w:p>
    <w:p w14:paraId="11D648C7" w14:textId="4BE3A38D" w:rsidR="00670814" w:rsidRPr="004B3978" w:rsidRDefault="00C0481A" w:rsidP="00B572AA">
      <w:pPr>
        <w:tabs>
          <w:tab w:val="left" w:pos="9498"/>
          <w:tab w:val="left" w:pos="9781"/>
        </w:tabs>
        <w:spacing w:line="269" w:lineRule="auto"/>
        <w:ind w:left="142" w:right="111"/>
        <w:jc w:val="both"/>
        <w:rPr>
          <w:sz w:val="20"/>
          <w:szCs w:val="20"/>
          <w:lang w:val="pl-PL"/>
        </w:rPr>
      </w:pPr>
      <w:bookmarkStart w:id="0" w:name="page2"/>
      <w:bookmarkEnd w:id="0"/>
      <w:r>
        <w:rPr>
          <w:rFonts w:ascii="Verdana" w:eastAsia="Verdana" w:hAnsi="Verdana" w:cs="Verdana"/>
          <w:color w:val="0072BC"/>
          <w:sz w:val="28"/>
          <w:szCs w:val="28"/>
          <w:lang w:val="pl-PL"/>
        </w:rPr>
        <w:t>Ostatnie</w:t>
      </w:r>
      <w:r w:rsidR="00B122E4">
        <w:rPr>
          <w:rFonts w:ascii="Verdana" w:eastAsia="Verdana" w:hAnsi="Verdana" w:cs="Verdana"/>
          <w:color w:val="0072BC"/>
          <w:sz w:val="28"/>
          <w:szCs w:val="28"/>
          <w:lang w:val="pl-PL"/>
        </w:rPr>
        <w:t xml:space="preserve"> wyroki Trybunału</w:t>
      </w:r>
    </w:p>
    <w:p w14:paraId="64B2A5AD" w14:textId="6C7706AC" w:rsidR="00670814" w:rsidRPr="004B3978" w:rsidRDefault="001D18D2" w:rsidP="00B572AA">
      <w:pPr>
        <w:tabs>
          <w:tab w:val="left" w:pos="9498"/>
          <w:tab w:val="left" w:pos="9781"/>
        </w:tabs>
        <w:spacing w:line="20" w:lineRule="exact"/>
        <w:ind w:left="142" w:right="111"/>
        <w:rPr>
          <w:sz w:val="20"/>
          <w:szCs w:val="20"/>
          <w:lang w:val="pl-PL"/>
        </w:rPr>
      </w:pPr>
      <w:r>
        <w:rPr>
          <w:noProof/>
          <w:sz w:val="20"/>
          <w:szCs w:val="20"/>
          <w:lang w:val="pl-PL" w:eastAsia="pl-PL"/>
        </w:rPr>
        <mc:AlternateContent>
          <mc:Choice Requires="wps">
            <w:drawing>
              <wp:anchor distT="4294967295" distB="4294967295" distL="114300" distR="114300" simplePos="0" relativeHeight="251650048" behindDoc="1" locked="0" layoutInCell="0" allowOverlap="1" wp14:anchorId="2002DAEE" wp14:editId="3637ECE0">
                <wp:simplePos x="0" y="0"/>
                <wp:positionH relativeFrom="column">
                  <wp:posOffset>82711</wp:posOffset>
                </wp:positionH>
                <wp:positionV relativeFrom="paragraph">
                  <wp:posOffset>17780</wp:posOffset>
                </wp:positionV>
                <wp:extent cx="576834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D703AF" id="Shape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4pt" to="460.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" o:allowincell="f" filled="t" strokecolor="#999" strokeweight="1.44pt">
                <v:stroke joinstyle="miter"/>
                <o:lock v:ext="edit" shapetype="f"/>
              </v:line>
            </w:pict>
          </mc:Fallback>
        </mc:AlternateContent>
      </w:r>
    </w:p>
    <w:p w14:paraId="348ABE35" w14:textId="15FED67C" w:rsidR="00670814" w:rsidRPr="004B3978" w:rsidRDefault="00670814" w:rsidP="00B572AA">
      <w:pPr>
        <w:tabs>
          <w:tab w:val="left" w:pos="9498"/>
          <w:tab w:val="left" w:pos="9781"/>
        </w:tabs>
        <w:spacing w:line="132" w:lineRule="exact"/>
        <w:ind w:left="142" w:right="111"/>
        <w:rPr>
          <w:sz w:val="20"/>
          <w:szCs w:val="20"/>
          <w:lang w:val="pl-PL"/>
        </w:rPr>
      </w:pPr>
    </w:p>
    <w:p w14:paraId="49AFC15C" w14:textId="1E8046E0" w:rsidR="00670814" w:rsidRPr="004B3978" w:rsidRDefault="00803010" w:rsidP="00B572AA">
      <w:pPr>
        <w:tabs>
          <w:tab w:val="left" w:pos="9498"/>
          <w:tab w:val="left" w:pos="9781"/>
        </w:tabs>
        <w:ind w:left="142" w:right="111"/>
        <w:rPr>
          <w:rFonts w:ascii="Verdana" w:eastAsia="Verdana" w:hAnsi="Verdana" w:cs="Verdana"/>
          <w:b/>
          <w:bCs/>
          <w:color w:val="0072BC"/>
          <w:sz w:val="20"/>
          <w:szCs w:val="20"/>
          <w:u w:val="single"/>
          <w:lang w:val="pl-PL"/>
        </w:rPr>
      </w:pPr>
      <w:hyperlink r:id="rId10" w:anchor="{&quot;itemid&quot;:[&quot;003-4832205-5894802&quot;]}" w:history="1">
        <w:r w:rsidRPr="000C5427">
          <w:rPr>
            <w:rStyle w:val="Hipercze"/>
            <w:rFonts w:ascii="Verdana" w:eastAsia="Verdana" w:hAnsi="Verdana" w:cs="Verdana"/>
            <w:b/>
            <w:bCs/>
            <w:sz w:val="20"/>
            <w:szCs w:val="20"/>
            <w:lang w:val="pl-PL"/>
          </w:rPr>
          <w:t>Al Nashiri przeciwko Polsce</w:t>
        </w:r>
      </w:hyperlink>
      <w:r w:rsidRPr="00803010">
        <w:rPr>
          <w:rFonts w:ascii="Verdana" w:eastAsia="Verdana" w:hAnsi="Verdana" w:cs="Verdana"/>
          <w:b/>
          <w:bCs/>
          <w:color w:val="0072BC"/>
          <w:sz w:val="20"/>
          <w:szCs w:val="20"/>
          <w:lang w:val="pl-PL"/>
        </w:rPr>
        <w:t xml:space="preserve"> i </w:t>
      </w:r>
      <w:hyperlink r:id="rId11" w:anchor="{&quot;itemid&quot;:[&quot;003-4832205-5894802&quot;]}" w:history="1">
        <w:r w:rsidRPr="000C5427">
          <w:rPr>
            <w:rStyle w:val="Hipercze"/>
            <w:rFonts w:ascii="Verdana" w:eastAsia="Verdana" w:hAnsi="Verdana" w:cs="Verdana"/>
            <w:b/>
            <w:bCs/>
            <w:sz w:val="20"/>
            <w:szCs w:val="20"/>
            <w:lang w:val="pl-PL"/>
          </w:rPr>
          <w:t>Husayn (Abu Zubaydah) przeciwko Polsce</w:t>
        </w:r>
      </w:hyperlink>
      <w:r>
        <w:rPr>
          <w:rFonts w:ascii="Verdana" w:eastAsia="Verdana" w:hAnsi="Verdana" w:cs="Verdana"/>
          <w:b/>
          <w:bCs/>
          <w:color w:val="0072BC"/>
          <w:sz w:val="20"/>
          <w:szCs w:val="20"/>
          <w:u w:val="single"/>
          <w:lang w:val="pl-PL"/>
        </w:rPr>
        <w:t xml:space="preserve"> </w:t>
      </w:r>
    </w:p>
    <w:p w14:paraId="7699B28C" w14:textId="77777777" w:rsidR="00670814" w:rsidRPr="004B3978" w:rsidRDefault="00670814" w:rsidP="00B572AA">
      <w:pPr>
        <w:tabs>
          <w:tab w:val="left" w:pos="9498"/>
          <w:tab w:val="left" w:pos="9781"/>
        </w:tabs>
        <w:spacing w:line="64" w:lineRule="exact"/>
        <w:ind w:left="142" w:right="111"/>
        <w:rPr>
          <w:sz w:val="20"/>
          <w:szCs w:val="20"/>
          <w:lang w:val="pl-PL"/>
        </w:rPr>
      </w:pPr>
    </w:p>
    <w:p w14:paraId="016393AF" w14:textId="114EF121" w:rsidR="00670814" w:rsidRPr="00A10B78" w:rsidRDefault="00803010" w:rsidP="00B572AA">
      <w:pPr>
        <w:tabs>
          <w:tab w:val="left" w:pos="9498"/>
          <w:tab w:val="left" w:pos="9781"/>
        </w:tabs>
        <w:ind w:left="142" w:right="111"/>
        <w:rPr>
          <w:sz w:val="20"/>
          <w:szCs w:val="20"/>
          <w:lang w:val="pl-PL"/>
        </w:rPr>
      </w:pPr>
      <w:r w:rsidRPr="00803010">
        <w:rPr>
          <w:rFonts w:ascii="Verdana" w:eastAsia="Verdana" w:hAnsi="Verdana" w:cs="Verdana"/>
          <w:color w:val="808080"/>
          <w:sz w:val="18"/>
          <w:szCs w:val="18"/>
          <w:lang w:val="pl-PL"/>
        </w:rPr>
        <w:t xml:space="preserve">24 </w:t>
      </w:r>
      <w:r>
        <w:rPr>
          <w:rFonts w:ascii="Verdana" w:eastAsia="Verdana" w:hAnsi="Verdana" w:cs="Verdana"/>
          <w:color w:val="808080"/>
          <w:sz w:val="18"/>
          <w:szCs w:val="18"/>
          <w:lang w:val="pl-PL"/>
        </w:rPr>
        <w:t xml:space="preserve">lipca </w:t>
      </w:r>
      <w:r w:rsidRPr="00803010">
        <w:rPr>
          <w:rFonts w:ascii="Verdana" w:eastAsia="Verdana" w:hAnsi="Verdana" w:cs="Verdana"/>
          <w:color w:val="808080"/>
          <w:sz w:val="18"/>
          <w:szCs w:val="18"/>
          <w:lang w:val="pl-PL"/>
        </w:rPr>
        <w:t>2014</w:t>
      </w:r>
      <w:r>
        <w:rPr>
          <w:rFonts w:ascii="Verdana" w:eastAsia="Verdana" w:hAnsi="Verdana" w:cs="Verdana"/>
          <w:color w:val="808080"/>
          <w:sz w:val="18"/>
          <w:szCs w:val="18"/>
          <w:lang w:val="pl-PL"/>
        </w:rPr>
        <w:t xml:space="preserve"> roku</w:t>
      </w:r>
    </w:p>
    <w:p w14:paraId="64254690" w14:textId="77777777" w:rsidR="00670814" w:rsidRPr="00A10B78" w:rsidRDefault="00670814" w:rsidP="00B572AA">
      <w:pPr>
        <w:tabs>
          <w:tab w:val="left" w:pos="9498"/>
          <w:tab w:val="left" w:pos="9781"/>
        </w:tabs>
        <w:spacing w:line="1" w:lineRule="exact"/>
        <w:ind w:left="142" w:right="111"/>
        <w:rPr>
          <w:sz w:val="20"/>
          <w:szCs w:val="20"/>
          <w:lang w:val="pl-PL"/>
        </w:rPr>
      </w:pPr>
    </w:p>
    <w:p w14:paraId="6E39C8E4" w14:textId="119A9680" w:rsidR="00D468D3" w:rsidRDefault="009678B0" w:rsidP="00B572AA">
      <w:pPr>
        <w:tabs>
          <w:tab w:val="left" w:pos="9498"/>
          <w:tab w:val="left" w:pos="9781"/>
        </w:tabs>
        <w:spacing w:line="239" w:lineRule="auto"/>
        <w:ind w:left="142" w:right="111"/>
        <w:jc w:val="both"/>
        <w:rPr>
          <w:rFonts w:ascii="Verdana" w:eastAsia="Verdana" w:hAnsi="Verdana" w:cs="Verdana"/>
          <w:sz w:val="20"/>
          <w:szCs w:val="20"/>
          <w:lang w:val="pl-PL"/>
        </w:rPr>
      </w:pPr>
      <w:r>
        <w:rPr>
          <w:rFonts w:ascii="Verdana" w:eastAsia="Verdana" w:hAnsi="Verdana" w:cs="Verdana"/>
          <w:sz w:val="20"/>
          <w:szCs w:val="20"/>
          <w:lang w:val="pl-PL"/>
        </w:rPr>
        <w:t>Skargi</w:t>
      </w:r>
      <w:r w:rsidR="00D468D3" w:rsidRPr="00D468D3">
        <w:rPr>
          <w:rFonts w:ascii="Verdana" w:eastAsia="Verdana" w:hAnsi="Verdana" w:cs="Verdana"/>
          <w:sz w:val="20"/>
          <w:szCs w:val="20"/>
          <w:lang w:val="pl-PL"/>
        </w:rPr>
        <w:t xml:space="preserve"> dotyczyły zarzutów tortur, </w:t>
      </w:r>
      <w:r w:rsidR="00290D7B">
        <w:rPr>
          <w:rFonts w:ascii="Verdana" w:eastAsia="Verdana" w:hAnsi="Verdana" w:cs="Verdana"/>
          <w:sz w:val="20"/>
          <w:szCs w:val="20"/>
          <w:lang w:val="pl-PL"/>
        </w:rPr>
        <w:t>okrutnego</w:t>
      </w:r>
      <w:r w:rsidR="00D468D3" w:rsidRPr="00D468D3">
        <w:rPr>
          <w:rFonts w:ascii="Verdana" w:eastAsia="Verdana" w:hAnsi="Verdana" w:cs="Verdana"/>
          <w:sz w:val="20"/>
          <w:szCs w:val="20"/>
          <w:lang w:val="pl-PL"/>
        </w:rPr>
        <w:t xml:space="preserve"> traktowania i tajnego przetrzymywania dwóch mężczyzn podejrzanych o akty terrorystyczne. Obaj </w:t>
      </w:r>
      <w:r w:rsidR="00D468D3">
        <w:rPr>
          <w:rFonts w:ascii="Verdana" w:eastAsia="Verdana" w:hAnsi="Verdana" w:cs="Verdana"/>
          <w:sz w:val="20"/>
          <w:szCs w:val="20"/>
          <w:lang w:val="pl-PL"/>
        </w:rPr>
        <w:t>skarżący</w:t>
      </w:r>
      <w:r w:rsidR="00D468D3" w:rsidRPr="00D468D3">
        <w:rPr>
          <w:rFonts w:ascii="Verdana" w:eastAsia="Verdana" w:hAnsi="Verdana" w:cs="Verdana"/>
          <w:sz w:val="20"/>
          <w:szCs w:val="20"/>
          <w:lang w:val="pl-PL"/>
        </w:rPr>
        <w:t xml:space="preserve"> twierdzili, że byli przetrzymywani w </w:t>
      </w:r>
      <w:r w:rsidR="006353D9">
        <w:rPr>
          <w:rFonts w:ascii="Verdana" w:eastAsia="Verdana" w:hAnsi="Verdana" w:cs="Verdana"/>
          <w:sz w:val="20"/>
          <w:szCs w:val="20"/>
          <w:lang w:val="pl-PL"/>
        </w:rPr>
        <w:t>tajnym więzieniu</w:t>
      </w:r>
      <w:r w:rsidR="003939B7">
        <w:rPr>
          <w:rFonts w:ascii="Verdana" w:eastAsia="Verdana" w:hAnsi="Verdana" w:cs="Verdana"/>
          <w:sz w:val="20"/>
          <w:szCs w:val="20"/>
          <w:lang w:val="pl-PL"/>
        </w:rPr>
        <w:t xml:space="preserve"> (</w:t>
      </w:r>
      <w:r w:rsidR="003939B7" w:rsidRPr="003939B7">
        <w:rPr>
          <w:rFonts w:ascii="Verdana" w:eastAsia="Verdana" w:hAnsi="Verdana" w:cs="Verdana"/>
          <w:i/>
          <w:iCs/>
          <w:sz w:val="20"/>
          <w:szCs w:val="20"/>
          <w:lang w:val="pl-PL"/>
        </w:rPr>
        <w:t>black site</w:t>
      </w:r>
      <w:r w:rsidR="003939B7">
        <w:rPr>
          <w:rFonts w:ascii="Verdana" w:eastAsia="Verdana" w:hAnsi="Verdana" w:cs="Verdana"/>
          <w:sz w:val="20"/>
          <w:szCs w:val="20"/>
          <w:lang w:val="pl-PL"/>
        </w:rPr>
        <w:t>)</w:t>
      </w:r>
      <w:r w:rsidR="00D468D3" w:rsidRPr="00D468D3">
        <w:rPr>
          <w:rFonts w:ascii="Verdana" w:eastAsia="Verdana" w:hAnsi="Verdana" w:cs="Verdana"/>
          <w:sz w:val="20"/>
          <w:szCs w:val="20"/>
          <w:lang w:val="pl-PL"/>
        </w:rPr>
        <w:t xml:space="preserve"> CIA w Polsce. Utrzymywali w szczególności, że Polska świadomie i celowo umożliwiła CIA przetrzymywanie ich w tajny</w:t>
      </w:r>
      <w:r w:rsidR="002255D2">
        <w:rPr>
          <w:rFonts w:ascii="Verdana" w:eastAsia="Verdana" w:hAnsi="Verdana" w:cs="Verdana"/>
          <w:sz w:val="20"/>
          <w:szCs w:val="20"/>
          <w:lang w:val="pl-PL"/>
        </w:rPr>
        <w:t>m</w:t>
      </w:r>
      <w:r w:rsidR="00D468D3" w:rsidRPr="00D468D3">
        <w:rPr>
          <w:rFonts w:ascii="Verdana" w:eastAsia="Verdana" w:hAnsi="Verdana" w:cs="Verdana"/>
          <w:sz w:val="20"/>
          <w:szCs w:val="20"/>
          <w:lang w:val="pl-PL"/>
        </w:rPr>
        <w:t xml:space="preserve"> więzien</w:t>
      </w:r>
      <w:r w:rsidR="002255D2">
        <w:rPr>
          <w:rFonts w:ascii="Verdana" w:eastAsia="Verdana" w:hAnsi="Verdana" w:cs="Verdana"/>
          <w:sz w:val="20"/>
          <w:szCs w:val="20"/>
          <w:lang w:val="pl-PL"/>
        </w:rPr>
        <w:t>iu</w:t>
      </w:r>
      <w:r w:rsidR="00D468D3" w:rsidRPr="00D468D3">
        <w:rPr>
          <w:rFonts w:ascii="Verdana" w:eastAsia="Verdana" w:hAnsi="Verdana" w:cs="Verdana"/>
          <w:sz w:val="20"/>
          <w:szCs w:val="20"/>
          <w:lang w:val="pl-PL"/>
        </w:rPr>
        <w:t xml:space="preserve"> w</w:t>
      </w:r>
      <w:r>
        <w:rPr>
          <w:rFonts w:ascii="Verdana" w:eastAsia="Verdana" w:hAnsi="Verdana" w:cs="Verdana"/>
          <w:sz w:val="20"/>
          <w:szCs w:val="20"/>
          <w:lang w:val="pl-PL"/>
        </w:rPr>
        <w:t xml:space="preserve"> </w:t>
      </w:r>
      <w:r w:rsidR="00D468D3">
        <w:rPr>
          <w:rFonts w:ascii="Verdana" w:eastAsia="Verdana" w:hAnsi="Verdana" w:cs="Verdana"/>
          <w:sz w:val="20"/>
          <w:szCs w:val="20"/>
          <w:lang w:val="pl-PL"/>
        </w:rPr>
        <w:t>jednostce w</w:t>
      </w:r>
      <w:r w:rsidR="00D468D3" w:rsidRPr="00D468D3">
        <w:rPr>
          <w:rFonts w:ascii="Verdana" w:eastAsia="Verdana" w:hAnsi="Verdana" w:cs="Verdana"/>
          <w:sz w:val="20"/>
          <w:szCs w:val="20"/>
          <w:lang w:val="pl-PL"/>
        </w:rPr>
        <w:t xml:space="preserve"> Star</w:t>
      </w:r>
      <w:r w:rsidR="00D468D3">
        <w:rPr>
          <w:rFonts w:ascii="Verdana" w:eastAsia="Verdana" w:hAnsi="Verdana" w:cs="Verdana"/>
          <w:sz w:val="20"/>
          <w:szCs w:val="20"/>
          <w:lang w:val="pl-PL"/>
        </w:rPr>
        <w:t>ych</w:t>
      </w:r>
      <w:r w:rsidR="00D468D3" w:rsidRPr="00D468D3">
        <w:rPr>
          <w:rFonts w:ascii="Verdana" w:eastAsia="Verdana" w:hAnsi="Verdana" w:cs="Verdana"/>
          <w:sz w:val="20"/>
          <w:szCs w:val="20"/>
          <w:lang w:val="pl-PL"/>
        </w:rPr>
        <w:t xml:space="preserve"> Kiejkut</w:t>
      </w:r>
      <w:r w:rsidR="00D468D3">
        <w:rPr>
          <w:rFonts w:ascii="Verdana" w:eastAsia="Verdana" w:hAnsi="Verdana" w:cs="Verdana"/>
          <w:sz w:val="20"/>
          <w:szCs w:val="20"/>
          <w:lang w:val="pl-PL"/>
        </w:rPr>
        <w:t>ach</w:t>
      </w:r>
      <w:r w:rsidR="00D468D3" w:rsidRPr="00D468D3">
        <w:rPr>
          <w:rFonts w:ascii="Verdana" w:eastAsia="Verdana" w:hAnsi="Verdana" w:cs="Verdana"/>
          <w:sz w:val="20"/>
          <w:szCs w:val="20"/>
          <w:lang w:val="pl-PL"/>
        </w:rPr>
        <w:t xml:space="preserve">, odpowiednio przez sześć i dziewięć miesięcy, bez podstawy prawnej lub </w:t>
      </w:r>
      <w:r w:rsidR="003F4FC0">
        <w:rPr>
          <w:rFonts w:ascii="Verdana" w:eastAsia="Verdana" w:hAnsi="Verdana" w:cs="Verdana"/>
          <w:sz w:val="20"/>
          <w:szCs w:val="20"/>
          <w:lang w:val="pl-PL"/>
        </w:rPr>
        <w:t>rozpoznania sprawy</w:t>
      </w:r>
      <w:r w:rsidR="00D468D3" w:rsidRPr="00D468D3">
        <w:rPr>
          <w:rFonts w:ascii="Verdana" w:eastAsia="Verdana" w:hAnsi="Verdana" w:cs="Verdana"/>
          <w:sz w:val="20"/>
          <w:szCs w:val="20"/>
          <w:lang w:val="pl-PL"/>
        </w:rPr>
        <w:t xml:space="preserve"> oraz bez kontaktu z rodzinami. </w:t>
      </w:r>
      <w:r>
        <w:rPr>
          <w:rFonts w:ascii="Verdana" w:eastAsia="Verdana" w:hAnsi="Verdana" w:cs="Verdana"/>
          <w:sz w:val="20"/>
          <w:szCs w:val="20"/>
          <w:lang w:val="pl-PL"/>
        </w:rPr>
        <w:t>Podnosili</w:t>
      </w:r>
      <w:r w:rsidR="00D468D3" w:rsidRPr="00D468D3">
        <w:rPr>
          <w:rFonts w:ascii="Verdana" w:eastAsia="Verdana" w:hAnsi="Verdana" w:cs="Verdana"/>
          <w:sz w:val="20"/>
          <w:szCs w:val="20"/>
          <w:lang w:val="pl-PL"/>
        </w:rPr>
        <w:t xml:space="preserve">, że Polska świadomie i celowo umożliwiła ich </w:t>
      </w:r>
      <w:r w:rsidR="00101E26">
        <w:rPr>
          <w:rFonts w:ascii="Verdana" w:eastAsia="Verdana" w:hAnsi="Verdana" w:cs="Verdana"/>
          <w:sz w:val="20"/>
          <w:szCs w:val="20"/>
          <w:lang w:val="pl-PL"/>
        </w:rPr>
        <w:t>przewiezienie</w:t>
      </w:r>
      <w:r w:rsidR="00D468D3" w:rsidRPr="00D468D3">
        <w:rPr>
          <w:rFonts w:ascii="Verdana" w:eastAsia="Verdana" w:hAnsi="Verdana" w:cs="Verdana"/>
          <w:sz w:val="20"/>
          <w:szCs w:val="20"/>
          <w:lang w:val="pl-PL"/>
        </w:rPr>
        <w:t xml:space="preserve"> z </w:t>
      </w:r>
      <w:r>
        <w:rPr>
          <w:rFonts w:ascii="Verdana" w:eastAsia="Verdana" w:hAnsi="Verdana" w:cs="Verdana"/>
          <w:sz w:val="20"/>
          <w:szCs w:val="20"/>
          <w:lang w:val="pl-PL"/>
        </w:rPr>
        <w:t xml:space="preserve">jej </w:t>
      </w:r>
      <w:r w:rsidR="00D468D3" w:rsidRPr="00D468D3">
        <w:rPr>
          <w:rFonts w:ascii="Verdana" w:eastAsia="Verdana" w:hAnsi="Verdana" w:cs="Verdana"/>
          <w:sz w:val="20"/>
          <w:szCs w:val="20"/>
          <w:lang w:val="pl-PL"/>
        </w:rPr>
        <w:t xml:space="preserve">terytorium, pomimo realnego ryzyka dalszego </w:t>
      </w:r>
      <w:r w:rsidR="00290D7B">
        <w:rPr>
          <w:rFonts w:ascii="Verdana" w:eastAsia="Verdana" w:hAnsi="Verdana" w:cs="Verdana"/>
          <w:sz w:val="20"/>
          <w:szCs w:val="20"/>
          <w:lang w:val="pl-PL"/>
        </w:rPr>
        <w:t xml:space="preserve">okrutnego </w:t>
      </w:r>
      <w:r w:rsidR="00D468D3" w:rsidRPr="00D468D3">
        <w:rPr>
          <w:rFonts w:ascii="Verdana" w:eastAsia="Verdana" w:hAnsi="Verdana" w:cs="Verdana"/>
          <w:sz w:val="20"/>
          <w:szCs w:val="20"/>
          <w:lang w:val="pl-PL"/>
        </w:rPr>
        <w:t xml:space="preserve">traktowania i </w:t>
      </w:r>
      <w:r w:rsidR="00101E26">
        <w:rPr>
          <w:rFonts w:ascii="Verdana" w:eastAsia="Verdana" w:hAnsi="Verdana" w:cs="Verdana"/>
          <w:sz w:val="20"/>
          <w:szCs w:val="20"/>
          <w:lang w:val="pl-PL"/>
        </w:rPr>
        <w:t xml:space="preserve">tzw. </w:t>
      </w:r>
      <w:r w:rsidR="007729F6">
        <w:rPr>
          <w:rFonts w:ascii="Verdana" w:eastAsia="Verdana" w:hAnsi="Verdana" w:cs="Verdana"/>
          <w:sz w:val="20"/>
          <w:szCs w:val="20"/>
          <w:lang w:val="pl-PL"/>
        </w:rPr>
        <w:t xml:space="preserve">osadzenia </w:t>
      </w:r>
      <w:r w:rsidR="007729F6" w:rsidRPr="007729F6">
        <w:rPr>
          <w:rFonts w:ascii="Verdana" w:eastAsia="Verdana" w:hAnsi="Verdana" w:cs="Verdana"/>
          <w:i/>
          <w:iCs/>
          <w:sz w:val="20"/>
          <w:szCs w:val="20"/>
          <w:lang w:val="pl-PL"/>
        </w:rPr>
        <w:t>incommunicado</w:t>
      </w:r>
      <w:r w:rsidR="00D468D3" w:rsidRPr="00D468D3">
        <w:rPr>
          <w:rFonts w:ascii="Verdana" w:eastAsia="Verdana" w:hAnsi="Verdana" w:cs="Verdana"/>
          <w:sz w:val="20"/>
          <w:szCs w:val="20"/>
          <w:lang w:val="pl-PL"/>
        </w:rPr>
        <w:t>, umożliwiając</w:t>
      </w:r>
      <w:r w:rsidR="00935847">
        <w:rPr>
          <w:rFonts w:ascii="Verdana" w:eastAsia="Verdana" w:hAnsi="Verdana" w:cs="Verdana"/>
          <w:sz w:val="20"/>
          <w:szCs w:val="20"/>
          <w:lang w:val="pl-PL"/>
        </w:rPr>
        <w:t xml:space="preserve"> ich</w:t>
      </w:r>
      <w:r w:rsidR="00D468D3" w:rsidRPr="00D468D3">
        <w:rPr>
          <w:rFonts w:ascii="Verdana" w:eastAsia="Verdana" w:hAnsi="Verdana" w:cs="Verdana"/>
          <w:sz w:val="20"/>
          <w:szCs w:val="20"/>
          <w:lang w:val="pl-PL"/>
        </w:rPr>
        <w:t xml:space="preserve"> przeniesienie </w:t>
      </w:r>
      <w:r w:rsidR="00417156">
        <w:rPr>
          <w:rFonts w:ascii="Verdana" w:eastAsia="Verdana" w:hAnsi="Verdana" w:cs="Verdana"/>
          <w:sz w:val="20"/>
          <w:szCs w:val="20"/>
          <w:lang w:val="pl-PL"/>
        </w:rPr>
        <w:t>pod</w:t>
      </w:r>
      <w:r w:rsidR="00D468D3" w:rsidRPr="00D468D3">
        <w:rPr>
          <w:rFonts w:ascii="Verdana" w:eastAsia="Verdana" w:hAnsi="Verdana" w:cs="Verdana"/>
          <w:sz w:val="20"/>
          <w:szCs w:val="20"/>
          <w:lang w:val="pl-PL"/>
        </w:rPr>
        <w:t xml:space="preserve"> jurysdykcj</w:t>
      </w:r>
      <w:r w:rsidR="00417156">
        <w:rPr>
          <w:rFonts w:ascii="Verdana" w:eastAsia="Verdana" w:hAnsi="Verdana" w:cs="Verdana"/>
          <w:sz w:val="20"/>
          <w:szCs w:val="20"/>
          <w:lang w:val="pl-PL"/>
        </w:rPr>
        <w:t>ę</w:t>
      </w:r>
      <w:r w:rsidR="00D468D3" w:rsidRPr="00D468D3">
        <w:rPr>
          <w:rFonts w:ascii="Verdana" w:eastAsia="Verdana" w:hAnsi="Verdana" w:cs="Verdana"/>
          <w:sz w:val="20"/>
          <w:szCs w:val="20"/>
          <w:lang w:val="pl-PL"/>
        </w:rPr>
        <w:t xml:space="preserve">, </w:t>
      </w:r>
      <w:r w:rsidR="00FF06E4">
        <w:rPr>
          <w:rFonts w:ascii="Verdana" w:eastAsia="Verdana" w:hAnsi="Verdana" w:cs="Verdana"/>
          <w:sz w:val="20"/>
          <w:szCs w:val="20"/>
          <w:lang w:val="pl-PL"/>
        </w:rPr>
        <w:t>pod którą odmówiono im prawa do</w:t>
      </w:r>
      <w:r w:rsidR="00D468D3" w:rsidRPr="00D468D3">
        <w:rPr>
          <w:rFonts w:ascii="Verdana" w:eastAsia="Verdana" w:hAnsi="Verdana" w:cs="Verdana"/>
          <w:sz w:val="20"/>
          <w:szCs w:val="20"/>
          <w:lang w:val="pl-PL"/>
        </w:rPr>
        <w:t xml:space="preserve"> sprawiedliwego procesu. </w:t>
      </w:r>
      <w:r w:rsidR="00FF06E4">
        <w:rPr>
          <w:rFonts w:ascii="Verdana" w:eastAsia="Verdana" w:hAnsi="Verdana" w:cs="Verdana"/>
          <w:sz w:val="20"/>
          <w:szCs w:val="20"/>
          <w:lang w:val="pl-PL"/>
        </w:rPr>
        <w:t>Wskazywali</w:t>
      </w:r>
      <w:r w:rsidR="00935847">
        <w:rPr>
          <w:rFonts w:ascii="Verdana" w:eastAsia="Verdana" w:hAnsi="Verdana" w:cs="Verdana"/>
          <w:sz w:val="20"/>
          <w:szCs w:val="20"/>
          <w:lang w:val="pl-PL"/>
        </w:rPr>
        <w:t xml:space="preserve"> również</w:t>
      </w:r>
      <w:r w:rsidR="00D468D3" w:rsidRPr="00D468D3">
        <w:rPr>
          <w:rFonts w:ascii="Verdana" w:eastAsia="Verdana" w:hAnsi="Verdana" w:cs="Verdana"/>
          <w:sz w:val="20"/>
          <w:szCs w:val="20"/>
          <w:lang w:val="pl-PL"/>
        </w:rPr>
        <w:t xml:space="preserve">, że Polska nie </w:t>
      </w:r>
      <w:r w:rsidR="00D468D3" w:rsidRPr="00D468D3">
        <w:rPr>
          <w:rFonts w:ascii="Verdana" w:eastAsia="Verdana" w:hAnsi="Verdana" w:cs="Verdana"/>
          <w:sz w:val="20"/>
          <w:szCs w:val="20"/>
          <w:lang w:val="pl-PL"/>
        </w:rPr>
        <w:lastRenderedPageBreak/>
        <w:t xml:space="preserve">przeprowadziła skutecznego </w:t>
      </w:r>
      <w:r w:rsidR="00935847">
        <w:rPr>
          <w:rFonts w:ascii="Verdana" w:eastAsia="Verdana" w:hAnsi="Verdana" w:cs="Verdana"/>
          <w:sz w:val="20"/>
          <w:szCs w:val="20"/>
          <w:lang w:val="pl-PL"/>
        </w:rPr>
        <w:t>śledztwa</w:t>
      </w:r>
      <w:r w:rsidR="00D468D3" w:rsidRPr="00D468D3">
        <w:rPr>
          <w:rFonts w:ascii="Verdana" w:eastAsia="Verdana" w:hAnsi="Verdana" w:cs="Verdana"/>
          <w:sz w:val="20"/>
          <w:szCs w:val="20"/>
          <w:lang w:val="pl-PL"/>
        </w:rPr>
        <w:t xml:space="preserve"> w sprawie okoliczności </w:t>
      </w:r>
      <w:r w:rsidR="00935847">
        <w:rPr>
          <w:rFonts w:ascii="Verdana" w:eastAsia="Verdana" w:hAnsi="Verdana" w:cs="Verdana"/>
          <w:sz w:val="20"/>
          <w:szCs w:val="20"/>
          <w:lang w:val="pl-PL"/>
        </w:rPr>
        <w:t xml:space="preserve">ich </w:t>
      </w:r>
      <w:r w:rsidR="00290D7B">
        <w:rPr>
          <w:rFonts w:ascii="Verdana" w:eastAsia="Verdana" w:hAnsi="Verdana" w:cs="Verdana"/>
          <w:sz w:val="20"/>
          <w:szCs w:val="20"/>
          <w:lang w:val="pl-PL"/>
        </w:rPr>
        <w:t>okrutnego</w:t>
      </w:r>
      <w:r w:rsidR="00D468D3" w:rsidRPr="00D468D3">
        <w:rPr>
          <w:rFonts w:ascii="Verdana" w:eastAsia="Verdana" w:hAnsi="Verdana" w:cs="Verdana"/>
          <w:sz w:val="20"/>
          <w:szCs w:val="20"/>
          <w:lang w:val="pl-PL"/>
        </w:rPr>
        <w:t xml:space="preserve"> traktowania, </w:t>
      </w:r>
      <w:r w:rsidR="00FF06E4">
        <w:rPr>
          <w:rFonts w:ascii="Verdana" w:eastAsia="Verdana" w:hAnsi="Verdana" w:cs="Verdana"/>
          <w:sz w:val="20"/>
          <w:szCs w:val="20"/>
          <w:lang w:val="pl-PL"/>
        </w:rPr>
        <w:t>przetrzymywania</w:t>
      </w:r>
      <w:r w:rsidR="00D468D3" w:rsidRPr="00D468D3">
        <w:rPr>
          <w:rFonts w:ascii="Verdana" w:eastAsia="Verdana" w:hAnsi="Verdana" w:cs="Verdana"/>
          <w:sz w:val="20"/>
          <w:szCs w:val="20"/>
          <w:lang w:val="pl-PL"/>
        </w:rPr>
        <w:t xml:space="preserve"> i </w:t>
      </w:r>
      <w:r w:rsidR="00935847">
        <w:rPr>
          <w:rFonts w:ascii="Verdana" w:eastAsia="Verdana" w:hAnsi="Verdana" w:cs="Verdana"/>
          <w:sz w:val="20"/>
          <w:szCs w:val="20"/>
          <w:lang w:val="pl-PL"/>
        </w:rPr>
        <w:t>prz</w:t>
      </w:r>
      <w:r w:rsidR="00FF06E4">
        <w:rPr>
          <w:rFonts w:ascii="Verdana" w:eastAsia="Verdana" w:hAnsi="Verdana" w:cs="Verdana"/>
          <w:sz w:val="20"/>
          <w:szCs w:val="20"/>
          <w:lang w:val="pl-PL"/>
        </w:rPr>
        <w:t>ewiezienia</w:t>
      </w:r>
      <w:r w:rsidR="00D468D3" w:rsidRPr="00D468D3">
        <w:rPr>
          <w:rFonts w:ascii="Verdana" w:eastAsia="Verdana" w:hAnsi="Verdana" w:cs="Verdana"/>
          <w:sz w:val="20"/>
          <w:szCs w:val="20"/>
          <w:lang w:val="pl-PL"/>
        </w:rPr>
        <w:t xml:space="preserve"> z terytorium Polski</w:t>
      </w:r>
      <w:r w:rsidR="00E06B85">
        <w:rPr>
          <w:rFonts w:ascii="Verdana" w:eastAsia="Verdana" w:hAnsi="Verdana" w:cs="Verdana"/>
          <w:sz w:val="20"/>
          <w:szCs w:val="20"/>
          <w:lang w:val="pl-PL"/>
        </w:rPr>
        <w:t>.</w:t>
      </w:r>
    </w:p>
    <w:p w14:paraId="6FF809D6" w14:textId="129DDA7C" w:rsidR="00E743C1" w:rsidRDefault="003F4FC0" w:rsidP="00B572AA">
      <w:pPr>
        <w:tabs>
          <w:tab w:val="left" w:pos="9498"/>
          <w:tab w:val="left" w:pos="9781"/>
        </w:tabs>
        <w:spacing w:line="239" w:lineRule="auto"/>
        <w:ind w:left="142" w:right="111"/>
        <w:jc w:val="both"/>
        <w:rPr>
          <w:rFonts w:ascii="Verdana" w:eastAsia="Verdana" w:hAnsi="Verdana" w:cs="Verdana"/>
          <w:color w:val="0070C0"/>
          <w:sz w:val="20"/>
          <w:szCs w:val="20"/>
          <w:lang w:val="pl-PL"/>
        </w:rPr>
      </w:pPr>
      <w:r w:rsidRPr="003F4FC0">
        <w:rPr>
          <w:rFonts w:ascii="Verdana" w:eastAsia="Verdana" w:hAnsi="Verdana" w:cs="Verdana"/>
          <w:color w:val="0070C0"/>
          <w:sz w:val="20"/>
          <w:szCs w:val="20"/>
          <w:lang w:val="pl-PL"/>
        </w:rPr>
        <w:t xml:space="preserve">Uwzględniając </w:t>
      </w:r>
      <w:r w:rsidR="00935847">
        <w:rPr>
          <w:rFonts w:ascii="Verdana" w:eastAsia="Verdana" w:hAnsi="Verdana" w:cs="Verdana"/>
          <w:color w:val="0070C0"/>
          <w:sz w:val="20"/>
          <w:szCs w:val="20"/>
          <w:lang w:val="pl-PL"/>
        </w:rPr>
        <w:t>przedstawione dowody</w:t>
      </w:r>
      <w:r w:rsidRPr="003F4FC0">
        <w:rPr>
          <w:rFonts w:ascii="Verdana" w:eastAsia="Verdana" w:hAnsi="Verdana" w:cs="Verdana"/>
          <w:color w:val="0070C0"/>
          <w:sz w:val="20"/>
          <w:szCs w:val="20"/>
          <w:lang w:val="pl-PL"/>
        </w:rPr>
        <w:t>, Trybunał doszedł do wniosku, że zarzuty skarżących</w:t>
      </w:r>
      <w:r w:rsidR="0034694D">
        <w:rPr>
          <w:rFonts w:ascii="Verdana" w:eastAsia="Verdana" w:hAnsi="Verdana" w:cs="Verdana"/>
          <w:color w:val="0070C0"/>
          <w:sz w:val="20"/>
          <w:szCs w:val="20"/>
          <w:lang w:val="pl-PL"/>
        </w:rPr>
        <w:t>,</w:t>
      </w:r>
      <w:r w:rsidRPr="003F4FC0">
        <w:rPr>
          <w:rFonts w:ascii="Verdana" w:eastAsia="Verdana" w:hAnsi="Verdana" w:cs="Verdana"/>
          <w:color w:val="0070C0"/>
          <w:sz w:val="20"/>
          <w:szCs w:val="20"/>
          <w:lang w:val="pl-PL"/>
        </w:rPr>
        <w:t xml:space="preserve"> dotyczące ich przetrzymywania w Polsce</w:t>
      </w:r>
      <w:r w:rsidR="0034694D">
        <w:rPr>
          <w:rFonts w:ascii="Verdana" w:eastAsia="Verdana" w:hAnsi="Verdana" w:cs="Verdana"/>
          <w:color w:val="0070C0"/>
          <w:sz w:val="20"/>
          <w:szCs w:val="20"/>
          <w:lang w:val="pl-PL"/>
        </w:rPr>
        <w:t>,</w:t>
      </w:r>
      <w:r w:rsidRPr="003F4FC0">
        <w:rPr>
          <w:rFonts w:ascii="Verdana" w:eastAsia="Verdana" w:hAnsi="Verdana" w:cs="Verdana"/>
          <w:color w:val="0070C0"/>
          <w:sz w:val="20"/>
          <w:szCs w:val="20"/>
          <w:lang w:val="pl-PL"/>
        </w:rPr>
        <w:t xml:space="preserve"> były wystarczająco przekonujące. Trybunał stwierdził, że Polska współpracowała przy przygotowywaniu i wykonywaniu operacji CIA</w:t>
      </w:r>
      <w:r w:rsidR="0034694D">
        <w:rPr>
          <w:rFonts w:ascii="Verdana" w:eastAsia="Verdana" w:hAnsi="Verdana" w:cs="Verdana"/>
          <w:color w:val="0070C0"/>
          <w:sz w:val="20"/>
          <w:szCs w:val="20"/>
          <w:lang w:val="pl-PL"/>
        </w:rPr>
        <w:t>,</w:t>
      </w:r>
      <w:r w:rsidRPr="003F4FC0">
        <w:rPr>
          <w:rFonts w:ascii="Verdana" w:eastAsia="Verdana" w:hAnsi="Verdana" w:cs="Verdana"/>
          <w:color w:val="0070C0"/>
          <w:sz w:val="20"/>
          <w:szCs w:val="20"/>
          <w:lang w:val="pl-PL"/>
        </w:rPr>
        <w:t xml:space="preserve"> dotyczących wydawania, tajnego przetrzymywania i przesłuchań na swoim terytorium i</w:t>
      </w:r>
      <w:r w:rsidR="008B5B2F">
        <w:rPr>
          <w:rFonts w:ascii="Verdana" w:eastAsia="Verdana" w:hAnsi="Verdana" w:cs="Verdana"/>
          <w:color w:val="0070C0"/>
          <w:sz w:val="20"/>
          <w:szCs w:val="20"/>
          <w:lang w:val="pl-PL"/>
        </w:rPr>
        <w:t> </w:t>
      </w:r>
      <w:r w:rsidRPr="003F4FC0">
        <w:rPr>
          <w:rFonts w:ascii="Verdana" w:eastAsia="Verdana" w:hAnsi="Verdana" w:cs="Verdana"/>
          <w:color w:val="0070C0"/>
          <w:sz w:val="20"/>
          <w:szCs w:val="20"/>
          <w:lang w:val="pl-PL"/>
        </w:rPr>
        <w:t xml:space="preserve">powinna była wiedzieć, że umożliwiając CIA zatrzymanie skarżących na </w:t>
      </w:r>
      <w:r w:rsidR="00E02FB4">
        <w:rPr>
          <w:rFonts w:ascii="Verdana" w:eastAsia="Verdana" w:hAnsi="Verdana" w:cs="Verdana"/>
          <w:color w:val="0070C0"/>
          <w:sz w:val="20"/>
          <w:szCs w:val="20"/>
          <w:lang w:val="pl-PL"/>
        </w:rPr>
        <w:t>jej</w:t>
      </w:r>
      <w:r w:rsidRPr="003F4FC0">
        <w:rPr>
          <w:rFonts w:ascii="Verdana" w:eastAsia="Verdana" w:hAnsi="Verdana" w:cs="Verdana"/>
          <w:color w:val="0070C0"/>
          <w:sz w:val="20"/>
          <w:szCs w:val="20"/>
          <w:lang w:val="pl-PL"/>
        </w:rPr>
        <w:t xml:space="preserve"> terytorium, naraża ich na poważne ryzyko traktowania niezgodnego z Konwencją. </w:t>
      </w:r>
    </w:p>
    <w:p w14:paraId="7361BB39" w14:textId="6B6BB1AE" w:rsidR="00670814" w:rsidRPr="004B3978" w:rsidRDefault="003F4FC0" w:rsidP="00B572AA">
      <w:pPr>
        <w:tabs>
          <w:tab w:val="left" w:pos="9498"/>
          <w:tab w:val="left" w:pos="9781"/>
        </w:tabs>
        <w:spacing w:line="239" w:lineRule="auto"/>
        <w:ind w:left="142" w:right="111"/>
        <w:jc w:val="both"/>
        <w:rPr>
          <w:sz w:val="20"/>
          <w:szCs w:val="20"/>
          <w:lang w:val="pl-PL"/>
        </w:rPr>
      </w:pPr>
      <w:r w:rsidRPr="003F4FC0">
        <w:rPr>
          <w:rFonts w:ascii="Verdana" w:eastAsia="Verdana" w:hAnsi="Verdana" w:cs="Verdana"/>
          <w:color w:val="0070C0"/>
          <w:sz w:val="20"/>
          <w:szCs w:val="20"/>
          <w:lang w:val="pl-PL"/>
        </w:rPr>
        <w:t xml:space="preserve">W obu przypadkach Trybunał orzekł, że Polska </w:t>
      </w:r>
      <w:r w:rsidRPr="006E7007">
        <w:rPr>
          <w:rFonts w:ascii="Verdana" w:eastAsia="Verdana" w:hAnsi="Verdana" w:cs="Verdana"/>
          <w:b/>
          <w:bCs/>
          <w:color w:val="0070C0"/>
          <w:sz w:val="20"/>
          <w:szCs w:val="20"/>
          <w:lang w:val="pl-PL"/>
        </w:rPr>
        <w:t xml:space="preserve">nie wywiązała się </w:t>
      </w:r>
      <w:r w:rsidRPr="0034694D">
        <w:rPr>
          <w:rFonts w:ascii="Verdana" w:eastAsia="Verdana" w:hAnsi="Verdana" w:cs="Verdana"/>
          <w:color w:val="0070C0"/>
          <w:sz w:val="20"/>
          <w:szCs w:val="20"/>
          <w:lang w:val="pl-PL"/>
        </w:rPr>
        <w:t>z</w:t>
      </w:r>
      <w:r w:rsidRPr="003F4FC0">
        <w:rPr>
          <w:rFonts w:ascii="Verdana" w:eastAsia="Verdana" w:hAnsi="Verdana" w:cs="Verdana"/>
          <w:color w:val="0070C0"/>
          <w:sz w:val="20"/>
          <w:szCs w:val="20"/>
          <w:lang w:val="pl-PL"/>
        </w:rPr>
        <w:t xml:space="preserve"> obowiązku</w:t>
      </w:r>
      <w:r w:rsidR="0034694D">
        <w:rPr>
          <w:rFonts w:ascii="Verdana" w:eastAsia="Verdana" w:hAnsi="Verdana" w:cs="Verdana"/>
          <w:color w:val="0070C0"/>
          <w:sz w:val="20"/>
          <w:szCs w:val="20"/>
          <w:lang w:val="pl-PL"/>
        </w:rPr>
        <w:t>,</w:t>
      </w:r>
      <w:r w:rsidRPr="003F4FC0">
        <w:rPr>
          <w:rFonts w:ascii="Verdana" w:eastAsia="Verdana" w:hAnsi="Verdana" w:cs="Verdana"/>
          <w:color w:val="0070C0"/>
          <w:sz w:val="20"/>
          <w:szCs w:val="20"/>
          <w:lang w:val="pl-PL"/>
        </w:rPr>
        <w:t xml:space="preserve"> wynikającego z </w:t>
      </w:r>
      <w:r w:rsidRPr="00E02FB4">
        <w:rPr>
          <w:rFonts w:ascii="Verdana" w:eastAsia="Verdana" w:hAnsi="Verdana" w:cs="Verdana"/>
          <w:b/>
          <w:bCs/>
          <w:color w:val="0070C0"/>
          <w:sz w:val="20"/>
          <w:szCs w:val="20"/>
          <w:lang w:val="pl-PL"/>
        </w:rPr>
        <w:t>art. 38</w:t>
      </w:r>
      <w:r w:rsidRPr="003F4FC0">
        <w:rPr>
          <w:rFonts w:ascii="Verdana" w:eastAsia="Verdana" w:hAnsi="Verdana" w:cs="Verdana"/>
          <w:color w:val="0070C0"/>
          <w:sz w:val="20"/>
          <w:szCs w:val="20"/>
          <w:lang w:val="pl-PL"/>
        </w:rPr>
        <w:t xml:space="preserve"> (obowiązek zapewnienia wszelkich niezbędnych u</w:t>
      </w:r>
      <w:r w:rsidR="00E02FB4">
        <w:rPr>
          <w:rFonts w:ascii="Verdana" w:eastAsia="Verdana" w:hAnsi="Verdana" w:cs="Verdana"/>
          <w:color w:val="0070C0"/>
          <w:sz w:val="20"/>
          <w:szCs w:val="20"/>
          <w:lang w:val="pl-PL"/>
        </w:rPr>
        <w:t>łatwień</w:t>
      </w:r>
      <w:r w:rsidRPr="003F4FC0">
        <w:rPr>
          <w:rFonts w:ascii="Verdana" w:eastAsia="Verdana" w:hAnsi="Verdana" w:cs="Verdana"/>
          <w:color w:val="0070C0"/>
          <w:sz w:val="20"/>
          <w:szCs w:val="20"/>
          <w:lang w:val="pl-PL"/>
        </w:rPr>
        <w:t xml:space="preserve"> dla skutecznego przeprowadzenia dochodzenia) Konwencji. Stwierdził ponadto, że </w:t>
      </w:r>
      <w:r w:rsidR="00150E47" w:rsidRPr="003F4FC0">
        <w:rPr>
          <w:rFonts w:ascii="Verdana" w:eastAsia="Verdana" w:hAnsi="Verdana" w:cs="Verdana"/>
          <w:color w:val="0070C0"/>
          <w:sz w:val="20"/>
          <w:szCs w:val="20"/>
          <w:lang w:val="pl-PL"/>
        </w:rPr>
        <w:t xml:space="preserve">w obu przypadkach </w:t>
      </w:r>
      <w:r w:rsidRPr="003F4FC0">
        <w:rPr>
          <w:rFonts w:ascii="Verdana" w:eastAsia="Verdana" w:hAnsi="Verdana" w:cs="Verdana"/>
          <w:color w:val="0070C0"/>
          <w:sz w:val="20"/>
          <w:szCs w:val="20"/>
          <w:lang w:val="pl-PL"/>
        </w:rPr>
        <w:t xml:space="preserve">doszło do </w:t>
      </w:r>
      <w:r w:rsidRPr="006E7007">
        <w:rPr>
          <w:rFonts w:ascii="Verdana" w:eastAsia="Verdana" w:hAnsi="Verdana" w:cs="Verdana"/>
          <w:b/>
          <w:bCs/>
          <w:color w:val="0070C0"/>
          <w:sz w:val="20"/>
          <w:szCs w:val="20"/>
          <w:lang w:val="pl-PL"/>
        </w:rPr>
        <w:t>naruszenia</w:t>
      </w:r>
      <w:r w:rsidRPr="003F4FC0">
        <w:rPr>
          <w:rFonts w:ascii="Verdana" w:eastAsia="Verdana" w:hAnsi="Verdana" w:cs="Verdana"/>
          <w:color w:val="0070C0"/>
          <w:sz w:val="20"/>
          <w:szCs w:val="20"/>
          <w:lang w:val="pl-PL"/>
        </w:rPr>
        <w:t xml:space="preserve"> </w:t>
      </w:r>
      <w:r w:rsidR="00E02FB4" w:rsidRPr="00E02FB4">
        <w:rPr>
          <w:rFonts w:ascii="Verdana" w:eastAsia="Verdana" w:hAnsi="Verdana" w:cs="Verdana"/>
          <w:b/>
          <w:bCs/>
          <w:color w:val="0070C0"/>
          <w:sz w:val="20"/>
          <w:szCs w:val="20"/>
          <w:lang w:val="pl-PL"/>
        </w:rPr>
        <w:t>art.</w:t>
      </w:r>
      <w:r w:rsidRPr="00E02FB4">
        <w:rPr>
          <w:rFonts w:ascii="Verdana" w:eastAsia="Verdana" w:hAnsi="Verdana" w:cs="Verdana"/>
          <w:b/>
          <w:bCs/>
          <w:color w:val="0070C0"/>
          <w:sz w:val="20"/>
          <w:szCs w:val="20"/>
          <w:lang w:val="pl-PL"/>
        </w:rPr>
        <w:t xml:space="preserve"> 3</w:t>
      </w:r>
      <w:r w:rsidRPr="003F4FC0">
        <w:rPr>
          <w:rFonts w:ascii="Verdana" w:eastAsia="Verdana" w:hAnsi="Verdana" w:cs="Verdana"/>
          <w:color w:val="0070C0"/>
          <w:sz w:val="20"/>
          <w:szCs w:val="20"/>
          <w:lang w:val="pl-PL"/>
        </w:rPr>
        <w:t xml:space="preserve"> (zakaz tortur oraz nieludzkiego lub poniżającego traktowania) Konwencji, zarówno pod względem m</w:t>
      </w:r>
      <w:r w:rsidR="006E7007">
        <w:rPr>
          <w:rFonts w:ascii="Verdana" w:eastAsia="Verdana" w:hAnsi="Verdana" w:cs="Verdana"/>
          <w:color w:val="0070C0"/>
          <w:sz w:val="20"/>
          <w:szCs w:val="20"/>
          <w:lang w:val="pl-PL"/>
        </w:rPr>
        <w:t>aterialnym</w:t>
      </w:r>
      <w:r w:rsidRPr="003F4FC0">
        <w:rPr>
          <w:rFonts w:ascii="Verdana" w:eastAsia="Verdana" w:hAnsi="Verdana" w:cs="Verdana"/>
          <w:color w:val="0070C0"/>
          <w:sz w:val="20"/>
          <w:szCs w:val="20"/>
          <w:lang w:val="pl-PL"/>
        </w:rPr>
        <w:t xml:space="preserve">, jak i proceduralnym, </w:t>
      </w:r>
      <w:r w:rsidRPr="006E7007">
        <w:rPr>
          <w:rFonts w:ascii="Verdana" w:eastAsia="Verdana" w:hAnsi="Verdana" w:cs="Verdana"/>
          <w:b/>
          <w:bCs/>
          <w:color w:val="0070C0"/>
          <w:sz w:val="20"/>
          <w:szCs w:val="20"/>
          <w:lang w:val="pl-PL"/>
        </w:rPr>
        <w:t xml:space="preserve">naruszenia </w:t>
      </w:r>
      <w:r w:rsidR="006E7007" w:rsidRPr="006E7007">
        <w:rPr>
          <w:rFonts w:ascii="Verdana" w:eastAsia="Verdana" w:hAnsi="Verdana" w:cs="Verdana"/>
          <w:b/>
          <w:bCs/>
          <w:color w:val="0070C0"/>
          <w:sz w:val="20"/>
          <w:szCs w:val="20"/>
          <w:lang w:val="pl-PL"/>
        </w:rPr>
        <w:t>art.</w:t>
      </w:r>
      <w:r w:rsidRPr="006E7007">
        <w:rPr>
          <w:rFonts w:ascii="Verdana" w:eastAsia="Verdana" w:hAnsi="Verdana" w:cs="Verdana"/>
          <w:b/>
          <w:bCs/>
          <w:color w:val="0070C0"/>
          <w:sz w:val="20"/>
          <w:szCs w:val="20"/>
          <w:lang w:val="pl-PL"/>
        </w:rPr>
        <w:t xml:space="preserve"> 5</w:t>
      </w:r>
      <w:r w:rsidRPr="003F4FC0">
        <w:rPr>
          <w:rFonts w:ascii="Verdana" w:eastAsia="Verdana" w:hAnsi="Verdana" w:cs="Verdana"/>
          <w:color w:val="0070C0"/>
          <w:sz w:val="20"/>
          <w:szCs w:val="20"/>
          <w:lang w:val="pl-PL"/>
        </w:rPr>
        <w:t xml:space="preserve"> (prawo do wolności i bezpieczeństwa), </w:t>
      </w:r>
      <w:r w:rsidRPr="006E7007">
        <w:rPr>
          <w:rFonts w:ascii="Verdana" w:eastAsia="Verdana" w:hAnsi="Verdana" w:cs="Verdana"/>
          <w:b/>
          <w:bCs/>
          <w:color w:val="0070C0"/>
          <w:sz w:val="20"/>
          <w:szCs w:val="20"/>
          <w:lang w:val="pl-PL"/>
        </w:rPr>
        <w:t>naruszenie art. 8</w:t>
      </w:r>
      <w:r w:rsidRPr="003F4FC0">
        <w:rPr>
          <w:rFonts w:ascii="Verdana" w:eastAsia="Verdana" w:hAnsi="Verdana" w:cs="Verdana"/>
          <w:color w:val="0070C0"/>
          <w:sz w:val="20"/>
          <w:szCs w:val="20"/>
          <w:lang w:val="pl-PL"/>
        </w:rPr>
        <w:t xml:space="preserve"> (prawo do poszanowania życia prywatnego i</w:t>
      </w:r>
      <w:r w:rsidR="0034201B">
        <w:rPr>
          <w:rFonts w:ascii="Verdana" w:eastAsia="Verdana" w:hAnsi="Verdana" w:cs="Verdana"/>
          <w:color w:val="0070C0"/>
          <w:sz w:val="20"/>
          <w:szCs w:val="20"/>
          <w:lang w:val="pl-PL"/>
        </w:rPr>
        <w:t> </w:t>
      </w:r>
      <w:r w:rsidRPr="003F4FC0">
        <w:rPr>
          <w:rFonts w:ascii="Verdana" w:eastAsia="Verdana" w:hAnsi="Verdana" w:cs="Verdana"/>
          <w:color w:val="0070C0"/>
          <w:sz w:val="20"/>
          <w:szCs w:val="20"/>
          <w:lang w:val="pl-PL"/>
        </w:rPr>
        <w:t xml:space="preserve">rodzinnego), </w:t>
      </w:r>
      <w:r w:rsidRPr="006E7007">
        <w:rPr>
          <w:rFonts w:ascii="Verdana" w:eastAsia="Verdana" w:hAnsi="Verdana" w:cs="Verdana"/>
          <w:b/>
          <w:bCs/>
          <w:color w:val="0070C0"/>
          <w:sz w:val="20"/>
          <w:szCs w:val="20"/>
          <w:lang w:val="pl-PL"/>
        </w:rPr>
        <w:t>naruszenie art. 13</w:t>
      </w:r>
      <w:r w:rsidRPr="003F4FC0">
        <w:rPr>
          <w:rFonts w:ascii="Verdana" w:eastAsia="Verdana" w:hAnsi="Verdana" w:cs="Verdana"/>
          <w:color w:val="0070C0"/>
          <w:sz w:val="20"/>
          <w:szCs w:val="20"/>
          <w:lang w:val="pl-PL"/>
        </w:rPr>
        <w:t xml:space="preserve"> (prawo do skutecznego środka odwoławczego) oraz </w:t>
      </w:r>
      <w:r w:rsidRPr="006E7007">
        <w:rPr>
          <w:rFonts w:ascii="Verdana" w:eastAsia="Verdana" w:hAnsi="Verdana" w:cs="Verdana"/>
          <w:b/>
          <w:bCs/>
          <w:color w:val="0070C0"/>
          <w:sz w:val="20"/>
          <w:szCs w:val="20"/>
          <w:lang w:val="pl-PL"/>
        </w:rPr>
        <w:t>naruszenie art. 6 ust. 1</w:t>
      </w:r>
      <w:r w:rsidRPr="003F4FC0">
        <w:rPr>
          <w:rFonts w:ascii="Verdana" w:eastAsia="Verdana" w:hAnsi="Verdana" w:cs="Verdana"/>
          <w:color w:val="0070C0"/>
          <w:sz w:val="20"/>
          <w:szCs w:val="20"/>
          <w:lang w:val="pl-PL"/>
        </w:rPr>
        <w:t xml:space="preserve"> (prawo do rzetelnego procesu sądowego) Konwencji. Jeśli chodzi o</w:t>
      </w:r>
      <w:r w:rsidR="0034201B">
        <w:rPr>
          <w:rFonts w:ascii="Verdana" w:eastAsia="Verdana" w:hAnsi="Verdana" w:cs="Verdana"/>
          <w:color w:val="0070C0"/>
          <w:sz w:val="20"/>
          <w:szCs w:val="20"/>
          <w:lang w:val="pl-PL"/>
        </w:rPr>
        <w:t> </w:t>
      </w:r>
      <w:r w:rsidRPr="003F4FC0">
        <w:rPr>
          <w:rFonts w:ascii="Verdana" w:eastAsia="Verdana" w:hAnsi="Verdana" w:cs="Verdana"/>
          <w:color w:val="0070C0"/>
          <w:sz w:val="20"/>
          <w:szCs w:val="20"/>
          <w:lang w:val="pl-PL"/>
        </w:rPr>
        <w:t xml:space="preserve">pierwszego skarżącego, Trybunał stwierdził, że doszło do </w:t>
      </w:r>
      <w:r w:rsidRPr="005C0376">
        <w:rPr>
          <w:rFonts w:ascii="Verdana" w:eastAsia="Verdana" w:hAnsi="Verdana" w:cs="Verdana"/>
          <w:b/>
          <w:bCs/>
          <w:color w:val="0070C0"/>
          <w:sz w:val="20"/>
          <w:szCs w:val="20"/>
          <w:lang w:val="pl-PL"/>
        </w:rPr>
        <w:t xml:space="preserve">naruszenia art. 2 </w:t>
      </w:r>
      <w:r w:rsidRPr="003F4FC0">
        <w:rPr>
          <w:rFonts w:ascii="Verdana" w:eastAsia="Verdana" w:hAnsi="Verdana" w:cs="Verdana"/>
          <w:color w:val="0070C0"/>
          <w:sz w:val="20"/>
          <w:szCs w:val="20"/>
          <w:lang w:val="pl-PL"/>
        </w:rPr>
        <w:t xml:space="preserve">(prawo do życia) i </w:t>
      </w:r>
      <w:r w:rsidRPr="005C0376">
        <w:rPr>
          <w:rFonts w:ascii="Verdana" w:eastAsia="Verdana" w:hAnsi="Verdana" w:cs="Verdana"/>
          <w:b/>
          <w:bCs/>
          <w:color w:val="0070C0"/>
          <w:sz w:val="20"/>
          <w:szCs w:val="20"/>
          <w:lang w:val="pl-PL"/>
        </w:rPr>
        <w:t xml:space="preserve">3 </w:t>
      </w:r>
      <w:r w:rsidR="00DE5AE9">
        <w:rPr>
          <w:rFonts w:ascii="Verdana" w:eastAsia="Verdana" w:hAnsi="Verdana" w:cs="Verdana"/>
          <w:b/>
          <w:bCs/>
          <w:color w:val="0070C0"/>
          <w:sz w:val="20"/>
          <w:szCs w:val="20"/>
          <w:lang w:val="pl-PL"/>
        </w:rPr>
        <w:t xml:space="preserve">w </w:t>
      </w:r>
      <w:r w:rsidR="00150E47">
        <w:rPr>
          <w:rFonts w:ascii="Verdana" w:eastAsia="Verdana" w:hAnsi="Verdana" w:cs="Verdana"/>
          <w:b/>
          <w:bCs/>
          <w:color w:val="0070C0"/>
          <w:sz w:val="20"/>
          <w:szCs w:val="20"/>
          <w:lang w:val="pl-PL"/>
        </w:rPr>
        <w:t xml:space="preserve">związku </w:t>
      </w:r>
      <w:r w:rsidRPr="005C0376">
        <w:rPr>
          <w:rFonts w:ascii="Verdana" w:eastAsia="Verdana" w:hAnsi="Verdana" w:cs="Verdana"/>
          <w:b/>
          <w:bCs/>
          <w:color w:val="0070C0"/>
          <w:sz w:val="20"/>
          <w:szCs w:val="20"/>
          <w:lang w:val="pl-PL"/>
        </w:rPr>
        <w:t>z art. 1</w:t>
      </w:r>
      <w:r w:rsidRPr="003F4FC0">
        <w:rPr>
          <w:rFonts w:ascii="Verdana" w:eastAsia="Verdana" w:hAnsi="Verdana" w:cs="Verdana"/>
          <w:color w:val="0070C0"/>
          <w:sz w:val="20"/>
          <w:szCs w:val="20"/>
          <w:lang w:val="pl-PL"/>
        </w:rPr>
        <w:t xml:space="preserve"> (zniesienie kary śmierci) </w:t>
      </w:r>
      <w:r w:rsidRPr="005C0376">
        <w:rPr>
          <w:rFonts w:ascii="Verdana" w:eastAsia="Verdana" w:hAnsi="Verdana" w:cs="Verdana"/>
          <w:b/>
          <w:bCs/>
          <w:color w:val="0070C0"/>
          <w:sz w:val="20"/>
          <w:szCs w:val="20"/>
          <w:lang w:val="pl-PL"/>
        </w:rPr>
        <w:t>protokołu nr 6</w:t>
      </w:r>
      <w:r w:rsidRPr="003F4FC0">
        <w:rPr>
          <w:rFonts w:ascii="Verdana" w:eastAsia="Verdana" w:hAnsi="Verdana" w:cs="Verdana"/>
          <w:color w:val="0070C0"/>
          <w:sz w:val="20"/>
          <w:szCs w:val="20"/>
          <w:lang w:val="pl-PL"/>
        </w:rPr>
        <w:t xml:space="preserve"> do </w:t>
      </w:r>
      <w:r w:rsidR="005C0376">
        <w:rPr>
          <w:rFonts w:ascii="Verdana" w:eastAsia="Verdana" w:hAnsi="Verdana" w:cs="Verdana"/>
          <w:color w:val="0070C0"/>
          <w:sz w:val="20"/>
          <w:szCs w:val="20"/>
          <w:lang w:val="pl-PL"/>
        </w:rPr>
        <w:t>K</w:t>
      </w:r>
      <w:r w:rsidRPr="003F4FC0">
        <w:rPr>
          <w:rFonts w:ascii="Verdana" w:eastAsia="Verdana" w:hAnsi="Verdana" w:cs="Verdana"/>
          <w:color w:val="0070C0"/>
          <w:sz w:val="20"/>
          <w:szCs w:val="20"/>
          <w:lang w:val="pl-PL"/>
        </w:rPr>
        <w:t>onwencji.</w:t>
      </w:r>
    </w:p>
    <w:p w14:paraId="07586F93" w14:textId="77777777" w:rsidR="00670814" w:rsidRPr="004B3978" w:rsidRDefault="00670814" w:rsidP="00B572AA">
      <w:pPr>
        <w:tabs>
          <w:tab w:val="left" w:pos="9498"/>
          <w:tab w:val="left" w:pos="9781"/>
        </w:tabs>
        <w:spacing w:line="212" w:lineRule="exact"/>
        <w:ind w:left="142" w:right="111"/>
        <w:rPr>
          <w:sz w:val="20"/>
          <w:szCs w:val="20"/>
          <w:lang w:val="pl-PL"/>
        </w:rPr>
      </w:pPr>
    </w:p>
    <w:p w14:paraId="0ED7779F" w14:textId="53DDD7F1" w:rsidR="00E06B85" w:rsidRPr="00E06B85" w:rsidRDefault="00E06B85" w:rsidP="00B572AA">
      <w:pPr>
        <w:tabs>
          <w:tab w:val="left" w:pos="9498"/>
          <w:tab w:val="left" w:pos="9781"/>
        </w:tabs>
        <w:ind w:left="142" w:right="111"/>
        <w:rPr>
          <w:rFonts w:ascii="Verdana" w:eastAsia="Verdana" w:hAnsi="Verdana" w:cs="Verdana"/>
          <w:b/>
          <w:bCs/>
          <w:color w:val="0072BC"/>
          <w:sz w:val="20"/>
          <w:szCs w:val="20"/>
          <w:u w:val="single"/>
          <w:lang w:val="pl-PL"/>
        </w:rPr>
      </w:pPr>
      <w:hyperlink r:id="rId12" w:anchor="{&quot;itemid&quot;:[&quot;003-5307169-6607369&quot;]}" w:history="1">
        <w:r w:rsidRPr="00BF7D78">
          <w:rPr>
            <w:rStyle w:val="Hipercze"/>
            <w:rFonts w:ascii="Verdana" w:eastAsia="Verdana" w:hAnsi="Verdana" w:cs="Verdana"/>
            <w:b/>
            <w:bCs/>
            <w:sz w:val="20"/>
            <w:szCs w:val="20"/>
            <w:lang w:val="pl-PL"/>
          </w:rPr>
          <w:t xml:space="preserve">Nasr </w:t>
        </w:r>
        <w:r w:rsidR="00281E78" w:rsidRPr="00BF7D78">
          <w:rPr>
            <w:rStyle w:val="Hipercze"/>
            <w:rFonts w:ascii="Verdana" w:eastAsia="Verdana" w:hAnsi="Verdana" w:cs="Verdana"/>
            <w:b/>
            <w:bCs/>
            <w:sz w:val="20"/>
            <w:szCs w:val="20"/>
            <w:lang w:val="pl-PL"/>
          </w:rPr>
          <w:t>i</w:t>
        </w:r>
        <w:r w:rsidRPr="00BF7D78">
          <w:rPr>
            <w:rStyle w:val="Hipercze"/>
            <w:rFonts w:ascii="Verdana" w:eastAsia="Verdana" w:hAnsi="Verdana" w:cs="Verdana"/>
            <w:b/>
            <w:bCs/>
            <w:sz w:val="20"/>
            <w:szCs w:val="20"/>
            <w:lang w:val="pl-PL"/>
          </w:rPr>
          <w:t xml:space="preserve"> Ghali </w:t>
        </w:r>
        <w:r w:rsidR="00281E78" w:rsidRPr="00BF7D78">
          <w:rPr>
            <w:rStyle w:val="Hipercze"/>
            <w:rFonts w:ascii="Verdana" w:eastAsia="Verdana" w:hAnsi="Verdana" w:cs="Verdana"/>
            <w:b/>
            <w:bCs/>
            <w:sz w:val="20"/>
            <w:szCs w:val="20"/>
            <w:lang w:val="pl-PL"/>
          </w:rPr>
          <w:t>przeciwko Włochom</w:t>
        </w:r>
      </w:hyperlink>
    </w:p>
    <w:p w14:paraId="69FC53E7" w14:textId="417737AA" w:rsidR="00A16F2C" w:rsidRPr="00E06B85" w:rsidRDefault="00E06B85" w:rsidP="00B572AA">
      <w:pPr>
        <w:tabs>
          <w:tab w:val="left" w:pos="9498"/>
          <w:tab w:val="left" w:pos="9781"/>
        </w:tabs>
        <w:ind w:left="142" w:right="111"/>
        <w:rPr>
          <w:rFonts w:ascii="Verdana" w:eastAsia="Verdana" w:hAnsi="Verdana" w:cs="Verdana"/>
          <w:color w:val="808080"/>
          <w:sz w:val="18"/>
          <w:szCs w:val="18"/>
          <w:lang w:val="pl-PL"/>
        </w:rPr>
      </w:pPr>
      <w:r w:rsidRPr="00E06B85">
        <w:rPr>
          <w:rFonts w:ascii="Verdana" w:eastAsia="Verdana" w:hAnsi="Verdana" w:cs="Verdana"/>
          <w:color w:val="808080"/>
          <w:sz w:val="18"/>
          <w:szCs w:val="18"/>
          <w:lang w:val="pl-PL"/>
        </w:rPr>
        <w:t xml:space="preserve">23 lutego 2016 roku </w:t>
      </w:r>
    </w:p>
    <w:p w14:paraId="772B0AFA" w14:textId="20779D20" w:rsidR="00A16F2C" w:rsidRDefault="00E06B85" w:rsidP="00B572AA">
      <w:pPr>
        <w:tabs>
          <w:tab w:val="left" w:pos="9498"/>
          <w:tab w:val="left" w:pos="9781"/>
        </w:tabs>
        <w:ind w:left="142" w:right="111"/>
        <w:jc w:val="both"/>
        <w:rPr>
          <w:rFonts w:ascii="Verdana" w:eastAsia="Verdana" w:hAnsi="Verdana" w:cs="Verdana"/>
          <w:sz w:val="20"/>
          <w:szCs w:val="20"/>
          <w:lang w:val="pl-PL"/>
        </w:rPr>
      </w:pPr>
      <w:r w:rsidRPr="00E06B85">
        <w:rPr>
          <w:rFonts w:ascii="Verdana" w:eastAsia="Verdana" w:hAnsi="Verdana" w:cs="Verdana"/>
          <w:sz w:val="20"/>
          <w:szCs w:val="20"/>
          <w:lang w:val="pl-PL"/>
        </w:rPr>
        <w:t>Sprawa dotyczyła „wydania w trybie nadzwyczajnym” - uprowadzenia przez agentów CIA przy współpracy obywateli Włoch - egipskiego imama Abu Omara oraz pr</w:t>
      </w:r>
      <w:r w:rsidR="00A37456">
        <w:rPr>
          <w:rFonts w:ascii="Verdana" w:eastAsia="Verdana" w:hAnsi="Verdana" w:cs="Verdana"/>
          <w:sz w:val="20"/>
          <w:szCs w:val="20"/>
          <w:lang w:val="pl-PL"/>
        </w:rPr>
        <w:t>zewiezienia</w:t>
      </w:r>
      <w:r w:rsidRPr="00E06B85">
        <w:rPr>
          <w:rFonts w:ascii="Verdana" w:eastAsia="Verdana" w:hAnsi="Verdana" w:cs="Verdana"/>
          <w:sz w:val="20"/>
          <w:szCs w:val="20"/>
          <w:lang w:val="pl-PL"/>
        </w:rPr>
        <w:t xml:space="preserve"> </w:t>
      </w:r>
      <w:r w:rsidR="005F26AE" w:rsidRPr="00E06B85">
        <w:rPr>
          <w:rFonts w:ascii="Verdana" w:eastAsia="Verdana" w:hAnsi="Verdana" w:cs="Verdana"/>
          <w:sz w:val="20"/>
          <w:szCs w:val="20"/>
          <w:lang w:val="pl-PL"/>
        </w:rPr>
        <w:t xml:space="preserve">go </w:t>
      </w:r>
      <w:r w:rsidRPr="00E06B85">
        <w:rPr>
          <w:rFonts w:ascii="Verdana" w:eastAsia="Verdana" w:hAnsi="Verdana" w:cs="Verdana"/>
          <w:sz w:val="20"/>
          <w:szCs w:val="20"/>
          <w:lang w:val="pl-PL"/>
        </w:rPr>
        <w:t>do Egiptu, a następnie jego tajnego przetrzymywania</w:t>
      </w:r>
      <w:r w:rsidR="00371FC6">
        <w:rPr>
          <w:rFonts w:ascii="Verdana" w:eastAsia="Verdana" w:hAnsi="Verdana" w:cs="Verdana"/>
          <w:sz w:val="20"/>
          <w:szCs w:val="20"/>
          <w:lang w:val="pl-PL"/>
        </w:rPr>
        <w:t xml:space="preserve"> przez</w:t>
      </w:r>
      <w:r w:rsidRPr="00E06B85">
        <w:rPr>
          <w:rFonts w:ascii="Verdana" w:eastAsia="Verdana" w:hAnsi="Verdana" w:cs="Verdana"/>
          <w:sz w:val="20"/>
          <w:szCs w:val="20"/>
          <w:lang w:val="pl-PL"/>
        </w:rPr>
        <w:t xml:space="preserve"> kilka miesięcy. </w:t>
      </w:r>
      <w:r w:rsidR="00BB6FDF">
        <w:rPr>
          <w:rFonts w:ascii="Verdana" w:eastAsia="Verdana" w:hAnsi="Verdana" w:cs="Verdana"/>
          <w:sz w:val="20"/>
          <w:szCs w:val="20"/>
          <w:lang w:val="pl-PL"/>
        </w:rPr>
        <w:t xml:space="preserve">Zarzuty skarżącego dotyczyły </w:t>
      </w:r>
      <w:r w:rsidRPr="00E06B85">
        <w:rPr>
          <w:rFonts w:ascii="Verdana" w:eastAsia="Verdana" w:hAnsi="Verdana" w:cs="Verdana"/>
          <w:sz w:val="20"/>
          <w:szCs w:val="20"/>
          <w:lang w:val="pl-PL"/>
        </w:rPr>
        <w:t>w szczególności jego uprowadzeni</w:t>
      </w:r>
      <w:r w:rsidR="00D27FF3">
        <w:rPr>
          <w:rFonts w:ascii="Verdana" w:eastAsia="Verdana" w:hAnsi="Verdana" w:cs="Verdana"/>
          <w:sz w:val="20"/>
          <w:szCs w:val="20"/>
          <w:lang w:val="pl-PL"/>
        </w:rPr>
        <w:t>a</w:t>
      </w:r>
      <w:r w:rsidRPr="00E06B85">
        <w:rPr>
          <w:rFonts w:ascii="Verdana" w:eastAsia="Verdana" w:hAnsi="Verdana" w:cs="Verdana"/>
          <w:sz w:val="20"/>
          <w:szCs w:val="20"/>
          <w:lang w:val="pl-PL"/>
        </w:rPr>
        <w:t xml:space="preserve"> </w:t>
      </w:r>
      <w:r w:rsidR="005F26AE">
        <w:rPr>
          <w:rFonts w:ascii="Verdana" w:eastAsia="Verdana" w:hAnsi="Verdana" w:cs="Verdana"/>
          <w:sz w:val="20"/>
          <w:szCs w:val="20"/>
          <w:lang w:val="pl-PL"/>
        </w:rPr>
        <w:t>przy</w:t>
      </w:r>
      <w:r w:rsidR="00EB4AF2">
        <w:rPr>
          <w:rFonts w:ascii="Verdana" w:eastAsia="Verdana" w:hAnsi="Verdana" w:cs="Verdana"/>
          <w:sz w:val="20"/>
          <w:szCs w:val="20"/>
          <w:lang w:val="pl-PL"/>
        </w:rPr>
        <w:t xml:space="preserve"> współpracy z </w:t>
      </w:r>
      <w:r w:rsidRPr="00E06B85">
        <w:rPr>
          <w:rFonts w:ascii="Verdana" w:eastAsia="Verdana" w:hAnsi="Verdana" w:cs="Verdana"/>
          <w:sz w:val="20"/>
          <w:szCs w:val="20"/>
          <w:lang w:val="pl-PL"/>
        </w:rPr>
        <w:t>władz</w:t>
      </w:r>
      <w:r w:rsidR="00EB4AF2">
        <w:rPr>
          <w:rFonts w:ascii="Verdana" w:eastAsia="Verdana" w:hAnsi="Verdana" w:cs="Verdana"/>
          <w:sz w:val="20"/>
          <w:szCs w:val="20"/>
          <w:lang w:val="pl-PL"/>
        </w:rPr>
        <w:t>ami</w:t>
      </w:r>
      <w:r w:rsidRPr="00E06B85">
        <w:rPr>
          <w:rFonts w:ascii="Verdana" w:eastAsia="Verdana" w:hAnsi="Verdana" w:cs="Verdana"/>
          <w:sz w:val="20"/>
          <w:szCs w:val="20"/>
          <w:lang w:val="pl-PL"/>
        </w:rPr>
        <w:t xml:space="preserve"> włoski</w:t>
      </w:r>
      <w:r w:rsidR="00EB4AF2">
        <w:rPr>
          <w:rFonts w:ascii="Verdana" w:eastAsia="Verdana" w:hAnsi="Verdana" w:cs="Verdana"/>
          <w:sz w:val="20"/>
          <w:szCs w:val="20"/>
          <w:lang w:val="pl-PL"/>
        </w:rPr>
        <w:t>mi</w:t>
      </w:r>
      <w:r w:rsidRPr="00E06B85">
        <w:rPr>
          <w:rFonts w:ascii="Verdana" w:eastAsia="Verdana" w:hAnsi="Verdana" w:cs="Verdana"/>
          <w:sz w:val="20"/>
          <w:szCs w:val="20"/>
          <w:lang w:val="pl-PL"/>
        </w:rPr>
        <w:t>, złe</w:t>
      </w:r>
      <w:r w:rsidR="00A37456">
        <w:rPr>
          <w:rFonts w:ascii="Verdana" w:eastAsia="Verdana" w:hAnsi="Verdana" w:cs="Verdana"/>
          <w:sz w:val="20"/>
          <w:szCs w:val="20"/>
          <w:lang w:val="pl-PL"/>
        </w:rPr>
        <w:t>go</w:t>
      </w:r>
      <w:r w:rsidRPr="00E06B85">
        <w:rPr>
          <w:rFonts w:ascii="Verdana" w:eastAsia="Verdana" w:hAnsi="Verdana" w:cs="Verdana"/>
          <w:sz w:val="20"/>
          <w:szCs w:val="20"/>
          <w:lang w:val="pl-PL"/>
        </w:rPr>
        <w:t xml:space="preserve"> traktowani</w:t>
      </w:r>
      <w:r w:rsidR="00A37456">
        <w:rPr>
          <w:rFonts w:ascii="Verdana" w:eastAsia="Verdana" w:hAnsi="Verdana" w:cs="Verdana"/>
          <w:sz w:val="20"/>
          <w:szCs w:val="20"/>
          <w:lang w:val="pl-PL"/>
        </w:rPr>
        <w:t>a</w:t>
      </w:r>
      <w:r w:rsidRPr="00E06B85">
        <w:rPr>
          <w:rFonts w:ascii="Verdana" w:eastAsia="Verdana" w:hAnsi="Verdana" w:cs="Verdana"/>
          <w:sz w:val="20"/>
          <w:szCs w:val="20"/>
          <w:lang w:val="pl-PL"/>
        </w:rPr>
        <w:t>, które</w:t>
      </w:r>
      <w:r w:rsidR="00F31974">
        <w:rPr>
          <w:rFonts w:ascii="Verdana" w:eastAsia="Verdana" w:hAnsi="Verdana" w:cs="Verdana"/>
          <w:sz w:val="20"/>
          <w:szCs w:val="20"/>
          <w:lang w:val="pl-PL"/>
        </w:rPr>
        <w:t xml:space="preserve">go doświadczył </w:t>
      </w:r>
      <w:r w:rsidRPr="00E06B85">
        <w:rPr>
          <w:rFonts w:ascii="Verdana" w:eastAsia="Verdana" w:hAnsi="Verdana" w:cs="Verdana"/>
          <w:sz w:val="20"/>
          <w:szCs w:val="20"/>
          <w:lang w:val="pl-PL"/>
        </w:rPr>
        <w:t xml:space="preserve">podczas </w:t>
      </w:r>
      <w:r w:rsidR="00F31974">
        <w:rPr>
          <w:rFonts w:ascii="Verdana" w:eastAsia="Verdana" w:hAnsi="Verdana" w:cs="Verdana"/>
          <w:sz w:val="20"/>
          <w:szCs w:val="20"/>
          <w:lang w:val="pl-PL"/>
        </w:rPr>
        <w:t>przewiezienia</w:t>
      </w:r>
      <w:r w:rsidRPr="00E06B85">
        <w:rPr>
          <w:rFonts w:ascii="Verdana" w:eastAsia="Verdana" w:hAnsi="Verdana" w:cs="Verdana"/>
          <w:sz w:val="20"/>
          <w:szCs w:val="20"/>
          <w:lang w:val="pl-PL"/>
        </w:rPr>
        <w:t xml:space="preserve"> i </w:t>
      </w:r>
      <w:r w:rsidR="00A37456">
        <w:rPr>
          <w:rFonts w:ascii="Verdana" w:eastAsia="Verdana" w:hAnsi="Verdana" w:cs="Verdana"/>
          <w:sz w:val="20"/>
          <w:szCs w:val="20"/>
          <w:lang w:val="pl-PL"/>
        </w:rPr>
        <w:t>przetrzymywania</w:t>
      </w:r>
      <w:r w:rsidRPr="00E06B85">
        <w:rPr>
          <w:rFonts w:ascii="Verdana" w:eastAsia="Verdana" w:hAnsi="Verdana" w:cs="Verdana"/>
          <w:sz w:val="20"/>
          <w:szCs w:val="20"/>
          <w:lang w:val="pl-PL"/>
        </w:rPr>
        <w:t>, bezkarnoś</w:t>
      </w:r>
      <w:r w:rsidR="00A37456">
        <w:rPr>
          <w:rFonts w:ascii="Verdana" w:eastAsia="Verdana" w:hAnsi="Verdana" w:cs="Verdana"/>
          <w:sz w:val="20"/>
          <w:szCs w:val="20"/>
          <w:lang w:val="pl-PL"/>
        </w:rPr>
        <w:t>ci</w:t>
      </w:r>
      <w:r w:rsidRPr="00E06B85">
        <w:rPr>
          <w:rFonts w:ascii="Verdana" w:eastAsia="Verdana" w:hAnsi="Verdana" w:cs="Verdana"/>
          <w:sz w:val="20"/>
          <w:szCs w:val="20"/>
          <w:lang w:val="pl-PL"/>
        </w:rPr>
        <w:t xml:space="preserve"> osób odpowiedzialnych </w:t>
      </w:r>
      <w:r w:rsidR="005F26AE">
        <w:rPr>
          <w:rFonts w:ascii="Verdana" w:eastAsia="Verdana" w:hAnsi="Verdana" w:cs="Verdana"/>
          <w:sz w:val="20"/>
          <w:szCs w:val="20"/>
          <w:lang w:val="pl-PL"/>
        </w:rPr>
        <w:t>z uwagi na</w:t>
      </w:r>
      <w:r w:rsidRPr="00E06B85">
        <w:rPr>
          <w:rFonts w:ascii="Verdana" w:eastAsia="Verdana" w:hAnsi="Verdana" w:cs="Verdana"/>
          <w:sz w:val="20"/>
          <w:szCs w:val="20"/>
          <w:lang w:val="pl-PL"/>
        </w:rPr>
        <w:t xml:space="preserve"> tajemnic</w:t>
      </w:r>
      <w:r w:rsidR="005F26AE">
        <w:rPr>
          <w:rFonts w:ascii="Verdana" w:eastAsia="Verdana" w:hAnsi="Verdana" w:cs="Verdana"/>
          <w:sz w:val="20"/>
          <w:szCs w:val="20"/>
          <w:lang w:val="pl-PL"/>
        </w:rPr>
        <w:t>ę</w:t>
      </w:r>
      <w:r w:rsidRPr="00E06B85">
        <w:rPr>
          <w:rFonts w:ascii="Verdana" w:eastAsia="Verdana" w:hAnsi="Verdana" w:cs="Verdana"/>
          <w:sz w:val="20"/>
          <w:szCs w:val="20"/>
          <w:lang w:val="pl-PL"/>
        </w:rPr>
        <w:t xml:space="preserve"> państwow</w:t>
      </w:r>
      <w:r w:rsidR="005F26AE">
        <w:rPr>
          <w:rFonts w:ascii="Verdana" w:eastAsia="Verdana" w:hAnsi="Verdana" w:cs="Verdana"/>
          <w:sz w:val="20"/>
          <w:szCs w:val="20"/>
          <w:lang w:val="pl-PL"/>
        </w:rPr>
        <w:t>ą</w:t>
      </w:r>
      <w:r w:rsidRPr="00E06B85">
        <w:rPr>
          <w:rFonts w:ascii="Verdana" w:eastAsia="Verdana" w:hAnsi="Verdana" w:cs="Verdana"/>
          <w:sz w:val="20"/>
          <w:szCs w:val="20"/>
          <w:lang w:val="pl-PL"/>
        </w:rPr>
        <w:t xml:space="preserve"> oraz brak</w:t>
      </w:r>
      <w:r w:rsidR="00F31974">
        <w:rPr>
          <w:rFonts w:ascii="Verdana" w:eastAsia="Verdana" w:hAnsi="Verdana" w:cs="Verdana"/>
          <w:sz w:val="20"/>
          <w:szCs w:val="20"/>
          <w:lang w:val="pl-PL"/>
        </w:rPr>
        <w:t>u</w:t>
      </w:r>
      <w:r w:rsidRPr="00E06B85">
        <w:rPr>
          <w:rFonts w:ascii="Verdana" w:eastAsia="Verdana" w:hAnsi="Verdana" w:cs="Verdana"/>
          <w:sz w:val="20"/>
          <w:szCs w:val="20"/>
          <w:lang w:val="pl-PL"/>
        </w:rPr>
        <w:t xml:space="preserve"> wykonania wyroków skazujących obywateli USA z</w:t>
      </w:r>
      <w:r w:rsidR="00F31974">
        <w:rPr>
          <w:rFonts w:ascii="Verdana" w:eastAsia="Verdana" w:hAnsi="Verdana" w:cs="Verdana"/>
          <w:sz w:val="20"/>
          <w:szCs w:val="20"/>
          <w:lang w:val="pl-PL"/>
        </w:rPr>
        <w:t xml:space="preserve"> uwagi na</w:t>
      </w:r>
      <w:r w:rsidRPr="00E06B85">
        <w:rPr>
          <w:rFonts w:ascii="Verdana" w:eastAsia="Verdana" w:hAnsi="Verdana" w:cs="Verdana"/>
          <w:sz w:val="20"/>
          <w:szCs w:val="20"/>
          <w:lang w:val="pl-PL"/>
        </w:rPr>
        <w:t xml:space="preserve"> odmowę władz włoskich złożenia wniosku o ich ekstradycję. </w:t>
      </w:r>
      <w:r w:rsidR="00B15A46">
        <w:rPr>
          <w:rFonts w:ascii="Verdana" w:eastAsia="Verdana" w:hAnsi="Verdana" w:cs="Verdana"/>
          <w:sz w:val="20"/>
          <w:szCs w:val="20"/>
          <w:lang w:val="pl-PL"/>
        </w:rPr>
        <w:t>Pierwszy skarżący</w:t>
      </w:r>
      <w:r w:rsidRPr="00E06B85">
        <w:rPr>
          <w:rFonts w:ascii="Verdana" w:eastAsia="Verdana" w:hAnsi="Verdana" w:cs="Verdana"/>
          <w:sz w:val="20"/>
          <w:szCs w:val="20"/>
          <w:lang w:val="pl-PL"/>
        </w:rPr>
        <w:t xml:space="preserve"> i jego żona - druga skarżąca </w:t>
      </w:r>
      <w:r w:rsidR="00B15A46">
        <w:rPr>
          <w:rFonts w:ascii="Verdana" w:eastAsia="Verdana" w:hAnsi="Verdana" w:cs="Verdana"/>
          <w:sz w:val="20"/>
          <w:szCs w:val="20"/>
          <w:lang w:val="pl-PL"/>
        </w:rPr>
        <w:t>–</w:t>
      </w:r>
      <w:r w:rsidRPr="00E06B85">
        <w:rPr>
          <w:rFonts w:ascii="Verdana" w:eastAsia="Verdana" w:hAnsi="Verdana" w:cs="Verdana"/>
          <w:sz w:val="20"/>
          <w:szCs w:val="20"/>
          <w:lang w:val="pl-PL"/>
        </w:rPr>
        <w:t xml:space="preserve"> </w:t>
      </w:r>
      <w:r w:rsidR="00B15A46">
        <w:rPr>
          <w:rFonts w:ascii="Verdana" w:eastAsia="Verdana" w:hAnsi="Verdana" w:cs="Verdana"/>
          <w:sz w:val="20"/>
          <w:szCs w:val="20"/>
          <w:lang w:val="pl-PL"/>
        </w:rPr>
        <w:t>zarzucali ponadto na</w:t>
      </w:r>
      <w:r w:rsidRPr="00E06B85">
        <w:rPr>
          <w:rFonts w:ascii="Verdana" w:eastAsia="Verdana" w:hAnsi="Verdana" w:cs="Verdana"/>
          <w:sz w:val="20"/>
          <w:szCs w:val="20"/>
          <w:lang w:val="pl-PL"/>
        </w:rPr>
        <w:t xml:space="preserve">ruszenie ich prawa do poszanowania życia prywatnego i rodzinnego, </w:t>
      </w:r>
      <w:r w:rsidR="00B15A46">
        <w:rPr>
          <w:rFonts w:ascii="Verdana" w:eastAsia="Verdana" w:hAnsi="Verdana" w:cs="Verdana"/>
          <w:sz w:val="20"/>
          <w:szCs w:val="20"/>
          <w:lang w:val="pl-PL"/>
        </w:rPr>
        <w:t>z uwagi na fakt</w:t>
      </w:r>
      <w:r w:rsidRPr="00E06B85">
        <w:rPr>
          <w:rFonts w:ascii="Verdana" w:eastAsia="Verdana" w:hAnsi="Verdana" w:cs="Verdana"/>
          <w:sz w:val="20"/>
          <w:szCs w:val="20"/>
          <w:lang w:val="pl-PL"/>
        </w:rPr>
        <w:t xml:space="preserve">, że </w:t>
      </w:r>
      <w:r w:rsidR="00B15A46">
        <w:rPr>
          <w:rFonts w:ascii="Verdana" w:eastAsia="Verdana" w:hAnsi="Verdana" w:cs="Verdana"/>
          <w:sz w:val="20"/>
          <w:szCs w:val="20"/>
          <w:lang w:val="pl-PL"/>
        </w:rPr>
        <w:t>uprowadzenie</w:t>
      </w:r>
      <w:r w:rsidRPr="00E06B85">
        <w:rPr>
          <w:rFonts w:ascii="Verdana" w:eastAsia="Verdana" w:hAnsi="Verdana" w:cs="Verdana"/>
          <w:sz w:val="20"/>
          <w:szCs w:val="20"/>
          <w:lang w:val="pl-PL"/>
        </w:rPr>
        <w:t xml:space="preserve"> i</w:t>
      </w:r>
      <w:r w:rsidR="0034201B">
        <w:rPr>
          <w:rFonts w:ascii="Verdana" w:eastAsia="Verdana" w:hAnsi="Verdana" w:cs="Verdana"/>
          <w:sz w:val="20"/>
          <w:szCs w:val="20"/>
          <w:lang w:val="pl-PL"/>
        </w:rPr>
        <w:t> </w:t>
      </w:r>
      <w:r w:rsidRPr="00E06B85">
        <w:rPr>
          <w:rFonts w:ascii="Verdana" w:eastAsia="Verdana" w:hAnsi="Verdana" w:cs="Verdana"/>
          <w:sz w:val="20"/>
          <w:szCs w:val="20"/>
          <w:lang w:val="pl-PL"/>
        </w:rPr>
        <w:t>aresztowanie pierwszego skarżącego skutkowało przymusową separacją przez ponad pięć lat.</w:t>
      </w:r>
      <w:r>
        <w:rPr>
          <w:rFonts w:ascii="Verdana" w:eastAsia="Verdana" w:hAnsi="Verdana" w:cs="Verdana"/>
          <w:sz w:val="20"/>
          <w:szCs w:val="20"/>
          <w:lang w:val="pl-PL"/>
        </w:rPr>
        <w:t xml:space="preserve"> </w:t>
      </w:r>
    </w:p>
    <w:p w14:paraId="2FE3D65A" w14:textId="271DC44D" w:rsidR="00E06B85" w:rsidRDefault="00281E78" w:rsidP="00B572AA">
      <w:pPr>
        <w:tabs>
          <w:tab w:val="left" w:pos="9498"/>
          <w:tab w:val="left" w:pos="9781"/>
        </w:tabs>
        <w:ind w:left="142" w:right="111"/>
        <w:jc w:val="both"/>
        <w:rPr>
          <w:rFonts w:ascii="Verdana" w:eastAsia="Verdana" w:hAnsi="Verdana" w:cs="Verdana"/>
          <w:color w:val="0070C0"/>
          <w:sz w:val="20"/>
          <w:szCs w:val="20"/>
          <w:lang w:val="pl-PL"/>
        </w:rPr>
      </w:pPr>
      <w:r w:rsidRPr="00281E78">
        <w:rPr>
          <w:rFonts w:ascii="Verdana" w:eastAsia="Verdana" w:hAnsi="Verdana" w:cs="Verdana"/>
          <w:color w:val="0070C0"/>
          <w:sz w:val="20"/>
          <w:szCs w:val="20"/>
          <w:lang w:val="pl-PL"/>
        </w:rPr>
        <w:t xml:space="preserve">W odniesieniu do pierwszego skarżącego Trybunał stwierdził, że doszło do naruszenia </w:t>
      </w:r>
      <w:r w:rsidR="00B15A46">
        <w:rPr>
          <w:rFonts w:ascii="Verdana" w:eastAsia="Verdana" w:hAnsi="Verdana" w:cs="Verdana"/>
          <w:color w:val="0070C0"/>
          <w:sz w:val="20"/>
          <w:szCs w:val="20"/>
          <w:lang w:val="pl-PL"/>
        </w:rPr>
        <w:t>art.</w:t>
      </w:r>
      <w:r w:rsidRPr="00281E78">
        <w:rPr>
          <w:rFonts w:ascii="Verdana" w:eastAsia="Verdana" w:hAnsi="Verdana" w:cs="Verdana"/>
          <w:color w:val="0070C0"/>
          <w:sz w:val="20"/>
          <w:szCs w:val="20"/>
          <w:lang w:val="pl-PL"/>
        </w:rPr>
        <w:t xml:space="preserve"> 3 (zakaz tortur oraz nieludzkiego lub poniżającego traktowania), </w:t>
      </w:r>
      <w:r w:rsidRPr="00B15A46">
        <w:rPr>
          <w:rFonts w:ascii="Verdana" w:eastAsia="Verdana" w:hAnsi="Verdana" w:cs="Verdana"/>
          <w:b/>
          <w:bCs/>
          <w:color w:val="0070C0"/>
          <w:sz w:val="20"/>
          <w:szCs w:val="20"/>
          <w:lang w:val="pl-PL"/>
        </w:rPr>
        <w:t xml:space="preserve">naruszenia </w:t>
      </w:r>
      <w:r w:rsidR="00B15A46" w:rsidRPr="00B15A46">
        <w:rPr>
          <w:rFonts w:ascii="Verdana" w:eastAsia="Verdana" w:hAnsi="Verdana" w:cs="Verdana"/>
          <w:b/>
          <w:bCs/>
          <w:color w:val="0070C0"/>
          <w:sz w:val="20"/>
          <w:szCs w:val="20"/>
          <w:lang w:val="pl-PL"/>
        </w:rPr>
        <w:t>art.</w:t>
      </w:r>
      <w:r w:rsidRPr="00B15A46">
        <w:rPr>
          <w:rFonts w:ascii="Verdana" w:eastAsia="Verdana" w:hAnsi="Verdana" w:cs="Verdana"/>
          <w:b/>
          <w:bCs/>
          <w:color w:val="0070C0"/>
          <w:sz w:val="20"/>
          <w:szCs w:val="20"/>
          <w:lang w:val="pl-PL"/>
        </w:rPr>
        <w:t xml:space="preserve"> 5</w:t>
      </w:r>
      <w:r w:rsidRPr="00281E78">
        <w:rPr>
          <w:rFonts w:ascii="Verdana" w:eastAsia="Verdana" w:hAnsi="Verdana" w:cs="Verdana"/>
          <w:color w:val="0070C0"/>
          <w:sz w:val="20"/>
          <w:szCs w:val="20"/>
          <w:lang w:val="pl-PL"/>
        </w:rPr>
        <w:t xml:space="preserve"> (prawo do wolności i bezpieczeństwa), </w:t>
      </w:r>
      <w:r w:rsidRPr="00B15A46">
        <w:rPr>
          <w:rFonts w:ascii="Verdana" w:eastAsia="Verdana" w:hAnsi="Verdana" w:cs="Verdana"/>
          <w:b/>
          <w:bCs/>
          <w:color w:val="0070C0"/>
          <w:sz w:val="20"/>
          <w:szCs w:val="20"/>
          <w:lang w:val="pl-PL"/>
        </w:rPr>
        <w:t xml:space="preserve">naruszenia </w:t>
      </w:r>
      <w:r w:rsidR="00B15A46" w:rsidRPr="00B15A46">
        <w:rPr>
          <w:rFonts w:ascii="Verdana" w:eastAsia="Verdana" w:hAnsi="Verdana" w:cs="Verdana"/>
          <w:b/>
          <w:bCs/>
          <w:color w:val="0070C0"/>
          <w:sz w:val="20"/>
          <w:szCs w:val="20"/>
          <w:lang w:val="pl-PL"/>
        </w:rPr>
        <w:t>art.</w:t>
      </w:r>
      <w:r w:rsidRPr="00B15A46">
        <w:rPr>
          <w:rFonts w:ascii="Verdana" w:eastAsia="Verdana" w:hAnsi="Verdana" w:cs="Verdana"/>
          <w:b/>
          <w:bCs/>
          <w:color w:val="0070C0"/>
          <w:sz w:val="20"/>
          <w:szCs w:val="20"/>
          <w:lang w:val="pl-PL"/>
        </w:rPr>
        <w:t xml:space="preserve"> 8</w:t>
      </w:r>
      <w:r w:rsidRPr="00281E78">
        <w:rPr>
          <w:rFonts w:ascii="Verdana" w:eastAsia="Verdana" w:hAnsi="Verdana" w:cs="Verdana"/>
          <w:color w:val="0070C0"/>
          <w:sz w:val="20"/>
          <w:szCs w:val="20"/>
          <w:lang w:val="pl-PL"/>
        </w:rPr>
        <w:t xml:space="preserve"> (prawo do poszanowania życia prywatnego i</w:t>
      </w:r>
      <w:r w:rsidR="008B5B2F">
        <w:rPr>
          <w:rFonts w:ascii="Verdana" w:eastAsia="Verdana" w:hAnsi="Verdana" w:cs="Verdana"/>
          <w:color w:val="0070C0"/>
          <w:sz w:val="20"/>
          <w:szCs w:val="20"/>
          <w:lang w:val="pl-PL"/>
        </w:rPr>
        <w:t> </w:t>
      </w:r>
      <w:r w:rsidRPr="00281E78">
        <w:rPr>
          <w:rFonts w:ascii="Verdana" w:eastAsia="Verdana" w:hAnsi="Verdana" w:cs="Verdana"/>
          <w:color w:val="0070C0"/>
          <w:sz w:val="20"/>
          <w:szCs w:val="20"/>
          <w:lang w:val="pl-PL"/>
        </w:rPr>
        <w:t xml:space="preserve">rodzinnego) oraz </w:t>
      </w:r>
      <w:r w:rsidRPr="00B15A46">
        <w:rPr>
          <w:rFonts w:ascii="Verdana" w:eastAsia="Verdana" w:hAnsi="Verdana" w:cs="Verdana"/>
          <w:b/>
          <w:bCs/>
          <w:color w:val="0070C0"/>
          <w:sz w:val="20"/>
          <w:szCs w:val="20"/>
          <w:lang w:val="pl-PL"/>
        </w:rPr>
        <w:t>naruszeni</w:t>
      </w:r>
      <w:r w:rsidR="0034694D">
        <w:rPr>
          <w:rFonts w:ascii="Verdana" w:eastAsia="Verdana" w:hAnsi="Verdana" w:cs="Verdana"/>
          <w:b/>
          <w:bCs/>
          <w:color w:val="0070C0"/>
          <w:sz w:val="20"/>
          <w:szCs w:val="20"/>
          <w:lang w:val="pl-PL"/>
        </w:rPr>
        <w:t>a</w:t>
      </w:r>
      <w:r w:rsidRPr="00B15A46">
        <w:rPr>
          <w:rFonts w:ascii="Verdana" w:eastAsia="Verdana" w:hAnsi="Verdana" w:cs="Verdana"/>
          <w:b/>
          <w:bCs/>
          <w:color w:val="0070C0"/>
          <w:sz w:val="20"/>
          <w:szCs w:val="20"/>
          <w:lang w:val="pl-PL"/>
        </w:rPr>
        <w:t xml:space="preserve"> art. 13</w:t>
      </w:r>
      <w:r w:rsidRPr="00281E78">
        <w:rPr>
          <w:rFonts w:ascii="Verdana" w:eastAsia="Verdana" w:hAnsi="Verdana" w:cs="Verdana"/>
          <w:color w:val="0070C0"/>
          <w:sz w:val="20"/>
          <w:szCs w:val="20"/>
          <w:lang w:val="pl-PL"/>
        </w:rPr>
        <w:t xml:space="preserve"> (prawo do skutecznego środka odwoławczego) </w:t>
      </w:r>
      <w:r w:rsidRPr="00B15A46">
        <w:rPr>
          <w:rFonts w:ascii="Verdana" w:eastAsia="Verdana" w:hAnsi="Verdana" w:cs="Verdana"/>
          <w:b/>
          <w:bCs/>
          <w:color w:val="0070C0"/>
          <w:sz w:val="20"/>
          <w:szCs w:val="20"/>
          <w:lang w:val="pl-PL"/>
        </w:rPr>
        <w:t>w</w:t>
      </w:r>
      <w:r w:rsidR="000764C3">
        <w:rPr>
          <w:rFonts w:ascii="Verdana" w:eastAsia="Verdana" w:hAnsi="Verdana" w:cs="Verdana"/>
          <w:b/>
          <w:bCs/>
          <w:color w:val="0070C0"/>
          <w:sz w:val="20"/>
          <w:szCs w:val="20"/>
          <w:lang w:val="pl-PL"/>
        </w:rPr>
        <w:t> p</w:t>
      </w:r>
      <w:r w:rsidR="005F26AE">
        <w:rPr>
          <w:rFonts w:ascii="Verdana" w:eastAsia="Verdana" w:hAnsi="Verdana" w:cs="Verdana"/>
          <w:b/>
          <w:bCs/>
          <w:color w:val="0070C0"/>
          <w:sz w:val="20"/>
          <w:szCs w:val="20"/>
          <w:lang w:val="pl-PL"/>
        </w:rPr>
        <w:t xml:space="preserve">owiązaniu </w:t>
      </w:r>
      <w:r w:rsidRPr="00B15A46">
        <w:rPr>
          <w:rFonts w:ascii="Verdana" w:eastAsia="Verdana" w:hAnsi="Verdana" w:cs="Verdana"/>
          <w:b/>
          <w:bCs/>
          <w:color w:val="0070C0"/>
          <w:sz w:val="20"/>
          <w:szCs w:val="20"/>
          <w:lang w:val="pl-PL"/>
        </w:rPr>
        <w:t>z art. 3, 5 i 8</w:t>
      </w:r>
      <w:r w:rsidRPr="00281E78">
        <w:rPr>
          <w:rFonts w:ascii="Verdana" w:eastAsia="Verdana" w:hAnsi="Verdana" w:cs="Verdana"/>
          <w:color w:val="0070C0"/>
          <w:sz w:val="20"/>
          <w:szCs w:val="20"/>
          <w:lang w:val="pl-PL"/>
        </w:rPr>
        <w:t xml:space="preserve"> Konwencji. W odniesieniu do drugie</w:t>
      </w:r>
      <w:r w:rsidR="00041311">
        <w:rPr>
          <w:rFonts w:ascii="Verdana" w:eastAsia="Verdana" w:hAnsi="Verdana" w:cs="Verdana"/>
          <w:color w:val="0070C0"/>
          <w:sz w:val="20"/>
          <w:szCs w:val="20"/>
          <w:lang w:val="pl-PL"/>
        </w:rPr>
        <w:t>j</w:t>
      </w:r>
      <w:r w:rsidRPr="00281E78">
        <w:rPr>
          <w:rFonts w:ascii="Verdana" w:eastAsia="Verdana" w:hAnsi="Verdana" w:cs="Verdana"/>
          <w:color w:val="0070C0"/>
          <w:sz w:val="20"/>
          <w:szCs w:val="20"/>
          <w:lang w:val="pl-PL"/>
        </w:rPr>
        <w:t xml:space="preserve"> skarżąc</w:t>
      </w:r>
      <w:r w:rsidR="00041311">
        <w:rPr>
          <w:rFonts w:ascii="Verdana" w:eastAsia="Verdana" w:hAnsi="Verdana" w:cs="Verdana"/>
          <w:color w:val="0070C0"/>
          <w:sz w:val="20"/>
          <w:szCs w:val="20"/>
          <w:lang w:val="pl-PL"/>
        </w:rPr>
        <w:t xml:space="preserve">ej </w:t>
      </w:r>
      <w:r w:rsidRPr="00281E78">
        <w:rPr>
          <w:rFonts w:ascii="Verdana" w:eastAsia="Verdana" w:hAnsi="Verdana" w:cs="Verdana"/>
          <w:color w:val="0070C0"/>
          <w:sz w:val="20"/>
          <w:szCs w:val="20"/>
          <w:lang w:val="pl-PL"/>
        </w:rPr>
        <w:t xml:space="preserve">stwierdził, że doszło do </w:t>
      </w:r>
      <w:r w:rsidRPr="00041311">
        <w:rPr>
          <w:rFonts w:ascii="Verdana" w:eastAsia="Verdana" w:hAnsi="Verdana" w:cs="Verdana"/>
          <w:b/>
          <w:bCs/>
          <w:color w:val="0070C0"/>
          <w:sz w:val="20"/>
          <w:szCs w:val="20"/>
          <w:lang w:val="pl-PL"/>
        </w:rPr>
        <w:t>naruszenia art. 3</w:t>
      </w:r>
      <w:r w:rsidRPr="00281E78">
        <w:rPr>
          <w:rFonts w:ascii="Verdana" w:eastAsia="Verdana" w:hAnsi="Verdana" w:cs="Verdana"/>
          <w:color w:val="0070C0"/>
          <w:sz w:val="20"/>
          <w:szCs w:val="20"/>
          <w:lang w:val="pl-PL"/>
        </w:rPr>
        <w:t xml:space="preserve"> (zakaz nieludzkiego lub poniżającego traktowania), </w:t>
      </w:r>
      <w:r w:rsidRPr="00041311">
        <w:rPr>
          <w:rFonts w:ascii="Verdana" w:eastAsia="Verdana" w:hAnsi="Verdana" w:cs="Verdana"/>
          <w:b/>
          <w:bCs/>
          <w:color w:val="0070C0"/>
          <w:sz w:val="20"/>
          <w:szCs w:val="20"/>
          <w:lang w:val="pl-PL"/>
        </w:rPr>
        <w:t>art. 8</w:t>
      </w:r>
      <w:r w:rsidRPr="00281E78">
        <w:rPr>
          <w:rFonts w:ascii="Verdana" w:eastAsia="Verdana" w:hAnsi="Verdana" w:cs="Verdana"/>
          <w:color w:val="0070C0"/>
          <w:sz w:val="20"/>
          <w:szCs w:val="20"/>
          <w:lang w:val="pl-PL"/>
        </w:rPr>
        <w:t xml:space="preserve"> (prawo do poszanowania życia prywatnego i rodzinnego) oraz </w:t>
      </w:r>
      <w:r w:rsidRPr="00041311">
        <w:rPr>
          <w:rFonts w:ascii="Verdana" w:eastAsia="Verdana" w:hAnsi="Verdana" w:cs="Verdana"/>
          <w:b/>
          <w:bCs/>
          <w:color w:val="0070C0"/>
          <w:sz w:val="20"/>
          <w:szCs w:val="20"/>
          <w:lang w:val="pl-PL"/>
        </w:rPr>
        <w:t>art. 13</w:t>
      </w:r>
      <w:r w:rsidRPr="00281E78">
        <w:rPr>
          <w:rFonts w:ascii="Verdana" w:eastAsia="Verdana" w:hAnsi="Verdana" w:cs="Verdana"/>
          <w:color w:val="0070C0"/>
          <w:sz w:val="20"/>
          <w:szCs w:val="20"/>
          <w:lang w:val="pl-PL"/>
        </w:rPr>
        <w:t xml:space="preserve"> (prawo do skutecznego środka odwoławczego) </w:t>
      </w:r>
      <w:r w:rsidRPr="00041311">
        <w:rPr>
          <w:rFonts w:ascii="Verdana" w:eastAsia="Verdana" w:hAnsi="Verdana" w:cs="Verdana"/>
          <w:b/>
          <w:bCs/>
          <w:color w:val="0070C0"/>
          <w:sz w:val="20"/>
          <w:szCs w:val="20"/>
          <w:lang w:val="pl-PL"/>
        </w:rPr>
        <w:t xml:space="preserve">w </w:t>
      </w:r>
      <w:r w:rsidR="000764C3">
        <w:rPr>
          <w:rFonts w:ascii="Verdana" w:eastAsia="Verdana" w:hAnsi="Verdana" w:cs="Verdana"/>
          <w:b/>
          <w:bCs/>
          <w:color w:val="0070C0"/>
          <w:sz w:val="20"/>
          <w:szCs w:val="20"/>
          <w:lang w:val="pl-PL"/>
        </w:rPr>
        <w:t>powiązaniu</w:t>
      </w:r>
      <w:r w:rsidRPr="00041311">
        <w:rPr>
          <w:rFonts w:ascii="Verdana" w:eastAsia="Verdana" w:hAnsi="Verdana" w:cs="Verdana"/>
          <w:b/>
          <w:bCs/>
          <w:color w:val="0070C0"/>
          <w:sz w:val="20"/>
          <w:szCs w:val="20"/>
          <w:lang w:val="pl-PL"/>
        </w:rPr>
        <w:t xml:space="preserve"> z art. 3 i 8</w:t>
      </w:r>
      <w:r w:rsidRPr="00281E78">
        <w:rPr>
          <w:rFonts w:ascii="Verdana" w:eastAsia="Verdana" w:hAnsi="Verdana" w:cs="Verdana"/>
          <w:color w:val="0070C0"/>
          <w:sz w:val="20"/>
          <w:szCs w:val="20"/>
          <w:lang w:val="pl-PL"/>
        </w:rPr>
        <w:t xml:space="preserve">. W szczególności, biorąc pod uwagę wszystkie dowody w sprawie, Trybunał stwierdził, że ustalono, iż władze włoskie były świadome, że pierwszy skarżący padł ofiarą operacji wydania w trybie nadzwyczajnym, która rozpoczęła </w:t>
      </w:r>
      <w:r w:rsidR="00041311">
        <w:rPr>
          <w:rFonts w:ascii="Verdana" w:eastAsia="Verdana" w:hAnsi="Verdana" w:cs="Verdana"/>
          <w:color w:val="0070C0"/>
          <w:sz w:val="20"/>
          <w:szCs w:val="20"/>
          <w:lang w:val="pl-PL"/>
        </w:rPr>
        <w:t xml:space="preserve">się </w:t>
      </w:r>
      <w:r w:rsidRPr="00281E78">
        <w:rPr>
          <w:rFonts w:ascii="Verdana" w:eastAsia="Verdana" w:hAnsi="Verdana" w:cs="Verdana"/>
          <w:color w:val="0070C0"/>
          <w:sz w:val="20"/>
          <w:szCs w:val="20"/>
          <w:lang w:val="pl-PL"/>
        </w:rPr>
        <w:t>wraz z</w:t>
      </w:r>
      <w:r w:rsidR="000764C3">
        <w:rPr>
          <w:rFonts w:ascii="Verdana" w:eastAsia="Verdana" w:hAnsi="Verdana" w:cs="Verdana"/>
          <w:color w:val="0070C0"/>
          <w:sz w:val="20"/>
          <w:szCs w:val="20"/>
          <w:lang w:val="pl-PL"/>
        </w:rPr>
        <w:t xml:space="preserve"> </w:t>
      </w:r>
      <w:r w:rsidRPr="00281E78">
        <w:rPr>
          <w:rFonts w:ascii="Verdana" w:eastAsia="Verdana" w:hAnsi="Verdana" w:cs="Verdana"/>
          <w:color w:val="0070C0"/>
          <w:sz w:val="20"/>
          <w:szCs w:val="20"/>
          <w:lang w:val="pl-PL"/>
        </w:rPr>
        <w:t xml:space="preserve">porwaniem we Włoszech i </w:t>
      </w:r>
      <w:r w:rsidR="00EB4AF2">
        <w:rPr>
          <w:rFonts w:ascii="Verdana" w:eastAsia="Verdana" w:hAnsi="Verdana" w:cs="Verdana"/>
          <w:color w:val="0070C0"/>
          <w:sz w:val="20"/>
          <w:szCs w:val="20"/>
          <w:lang w:val="pl-PL"/>
        </w:rPr>
        <w:t>była kont</w:t>
      </w:r>
      <w:r w:rsidR="00196749">
        <w:rPr>
          <w:rFonts w:ascii="Verdana" w:eastAsia="Verdana" w:hAnsi="Verdana" w:cs="Verdana"/>
          <w:color w:val="0070C0"/>
          <w:sz w:val="20"/>
          <w:szCs w:val="20"/>
          <w:lang w:val="pl-PL"/>
        </w:rPr>
        <w:t>yn</w:t>
      </w:r>
      <w:r w:rsidR="00EB4AF2">
        <w:rPr>
          <w:rFonts w:ascii="Verdana" w:eastAsia="Verdana" w:hAnsi="Verdana" w:cs="Verdana"/>
          <w:color w:val="0070C0"/>
          <w:sz w:val="20"/>
          <w:szCs w:val="20"/>
          <w:lang w:val="pl-PL"/>
        </w:rPr>
        <w:t>uowana wraz z przewiezieniem</w:t>
      </w:r>
      <w:r w:rsidRPr="00281E78">
        <w:rPr>
          <w:rFonts w:ascii="Verdana" w:eastAsia="Verdana" w:hAnsi="Verdana" w:cs="Verdana"/>
          <w:color w:val="0070C0"/>
          <w:sz w:val="20"/>
          <w:szCs w:val="20"/>
          <w:lang w:val="pl-PL"/>
        </w:rPr>
        <w:t xml:space="preserve"> </w:t>
      </w:r>
      <w:r w:rsidR="00EB4AF2">
        <w:rPr>
          <w:rFonts w:ascii="Verdana" w:eastAsia="Verdana" w:hAnsi="Verdana" w:cs="Verdana"/>
          <w:color w:val="0070C0"/>
          <w:sz w:val="20"/>
          <w:szCs w:val="20"/>
          <w:lang w:val="pl-PL"/>
        </w:rPr>
        <w:t xml:space="preserve">skarżącego </w:t>
      </w:r>
      <w:r w:rsidRPr="00281E78">
        <w:rPr>
          <w:rFonts w:ascii="Verdana" w:eastAsia="Verdana" w:hAnsi="Verdana" w:cs="Verdana"/>
          <w:color w:val="0070C0"/>
          <w:sz w:val="20"/>
          <w:szCs w:val="20"/>
          <w:lang w:val="pl-PL"/>
        </w:rPr>
        <w:t xml:space="preserve">za granicę. W niniejszej sprawie Trybunał orzekł, </w:t>
      </w:r>
      <w:r w:rsidR="006353D9">
        <w:rPr>
          <w:rFonts w:ascii="Verdana" w:eastAsia="Verdana" w:hAnsi="Verdana" w:cs="Verdana"/>
          <w:color w:val="0070C0"/>
          <w:sz w:val="20"/>
          <w:szCs w:val="20"/>
          <w:lang w:val="pl-PL"/>
        </w:rPr>
        <w:t xml:space="preserve">że </w:t>
      </w:r>
      <w:r w:rsidR="005575E9">
        <w:rPr>
          <w:rFonts w:ascii="Verdana" w:eastAsia="Verdana" w:hAnsi="Verdana" w:cs="Verdana"/>
          <w:color w:val="0070C0"/>
          <w:sz w:val="20"/>
          <w:szCs w:val="20"/>
          <w:lang w:val="pl-PL"/>
        </w:rPr>
        <w:t xml:space="preserve">zasada </w:t>
      </w:r>
      <w:r w:rsidR="005575E9" w:rsidRPr="00281E78">
        <w:rPr>
          <w:rFonts w:ascii="Verdana" w:eastAsia="Verdana" w:hAnsi="Verdana" w:cs="Verdana"/>
          <w:color w:val="0070C0"/>
          <w:sz w:val="20"/>
          <w:szCs w:val="20"/>
          <w:lang w:val="pl-PL"/>
        </w:rPr>
        <w:t>„tajemnicy państwowej”</w:t>
      </w:r>
      <w:r w:rsidR="005575E9">
        <w:rPr>
          <w:rFonts w:ascii="Verdana" w:eastAsia="Verdana" w:hAnsi="Verdana" w:cs="Verdana"/>
          <w:color w:val="0070C0"/>
          <w:sz w:val="20"/>
          <w:szCs w:val="20"/>
          <w:lang w:val="pl-PL"/>
        </w:rPr>
        <w:t xml:space="preserve"> została w</w:t>
      </w:r>
      <w:r w:rsidR="000764C3">
        <w:rPr>
          <w:rFonts w:ascii="Verdana" w:eastAsia="Verdana" w:hAnsi="Verdana" w:cs="Verdana"/>
          <w:color w:val="0070C0"/>
          <w:sz w:val="20"/>
          <w:szCs w:val="20"/>
          <w:lang w:val="pl-PL"/>
        </w:rPr>
        <w:t> </w:t>
      </w:r>
      <w:r w:rsidR="005575E9">
        <w:rPr>
          <w:rFonts w:ascii="Verdana" w:eastAsia="Verdana" w:hAnsi="Verdana" w:cs="Verdana"/>
          <w:color w:val="0070C0"/>
          <w:sz w:val="20"/>
          <w:szCs w:val="20"/>
          <w:lang w:val="pl-PL"/>
        </w:rPr>
        <w:t xml:space="preserve">sposób oczywisty </w:t>
      </w:r>
      <w:r w:rsidR="00196749">
        <w:rPr>
          <w:rFonts w:ascii="Verdana" w:eastAsia="Verdana" w:hAnsi="Verdana" w:cs="Verdana"/>
          <w:color w:val="0070C0"/>
          <w:sz w:val="20"/>
          <w:szCs w:val="20"/>
          <w:lang w:val="pl-PL"/>
        </w:rPr>
        <w:t>zastosowana</w:t>
      </w:r>
      <w:r w:rsidR="005575E9">
        <w:rPr>
          <w:rFonts w:ascii="Verdana" w:eastAsia="Verdana" w:hAnsi="Verdana" w:cs="Verdana"/>
          <w:color w:val="0070C0"/>
          <w:sz w:val="20"/>
          <w:szCs w:val="20"/>
          <w:lang w:val="pl-PL"/>
        </w:rPr>
        <w:t xml:space="preserve"> przez włoskie władze </w:t>
      </w:r>
      <w:r w:rsidR="00196749">
        <w:rPr>
          <w:rFonts w:ascii="Verdana" w:eastAsia="Verdana" w:hAnsi="Verdana" w:cs="Verdana"/>
          <w:color w:val="0070C0"/>
          <w:sz w:val="20"/>
          <w:szCs w:val="20"/>
          <w:lang w:val="pl-PL"/>
        </w:rPr>
        <w:t>tak</w:t>
      </w:r>
      <w:r w:rsidR="00DC5275">
        <w:rPr>
          <w:rFonts w:ascii="Verdana" w:eastAsia="Verdana" w:hAnsi="Verdana" w:cs="Verdana"/>
          <w:color w:val="0070C0"/>
          <w:sz w:val="20"/>
          <w:szCs w:val="20"/>
          <w:lang w:val="pl-PL"/>
        </w:rPr>
        <w:t>,</w:t>
      </w:r>
      <w:r w:rsidR="00196749">
        <w:rPr>
          <w:rFonts w:ascii="Verdana" w:eastAsia="Verdana" w:hAnsi="Verdana" w:cs="Verdana"/>
          <w:color w:val="0070C0"/>
          <w:sz w:val="20"/>
          <w:szCs w:val="20"/>
          <w:lang w:val="pl-PL"/>
        </w:rPr>
        <w:t xml:space="preserve"> </w:t>
      </w:r>
      <w:r w:rsidRPr="00281E78">
        <w:rPr>
          <w:rFonts w:ascii="Verdana" w:eastAsia="Verdana" w:hAnsi="Verdana" w:cs="Verdana"/>
          <w:color w:val="0070C0"/>
          <w:sz w:val="20"/>
          <w:szCs w:val="20"/>
          <w:lang w:val="pl-PL"/>
        </w:rPr>
        <w:t xml:space="preserve">aby zapewnić, że </w:t>
      </w:r>
      <w:r w:rsidR="00196749">
        <w:rPr>
          <w:rFonts w:ascii="Verdana" w:eastAsia="Verdana" w:hAnsi="Verdana" w:cs="Verdana"/>
          <w:color w:val="0070C0"/>
          <w:sz w:val="20"/>
          <w:szCs w:val="20"/>
          <w:lang w:val="pl-PL"/>
        </w:rPr>
        <w:t>osoby odpowiedzialne</w:t>
      </w:r>
      <w:r w:rsidRPr="00281E78">
        <w:rPr>
          <w:rFonts w:ascii="Verdana" w:eastAsia="Verdana" w:hAnsi="Verdana" w:cs="Verdana"/>
          <w:color w:val="0070C0"/>
          <w:sz w:val="20"/>
          <w:szCs w:val="20"/>
          <w:lang w:val="pl-PL"/>
        </w:rPr>
        <w:t xml:space="preserve"> nie </w:t>
      </w:r>
      <w:r w:rsidR="00196749">
        <w:rPr>
          <w:rFonts w:ascii="Verdana" w:eastAsia="Verdana" w:hAnsi="Verdana" w:cs="Verdana"/>
          <w:color w:val="0070C0"/>
          <w:sz w:val="20"/>
          <w:szCs w:val="20"/>
          <w:lang w:val="pl-PL"/>
        </w:rPr>
        <w:t>poniosą konsekwencji</w:t>
      </w:r>
      <w:r w:rsidRPr="00281E78">
        <w:rPr>
          <w:rFonts w:ascii="Verdana" w:eastAsia="Verdana" w:hAnsi="Verdana" w:cs="Verdana"/>
          <w:color w:val="0070C0"/>
          <w:sz w:val="20"/>
          <w:szCs w:val="20"/>
          <w:lang w:val="pl-PL"/>
        </w:rPr>
        <w:t xml:space="preserve"> za swoje działania. Śledztwo i proces nie doprowadziły do ukarania </w:t>
      </w:r>
      <w:r w:rsidR="006353D9">
        <w:rPr>
          <w:rFonts w:ascii="Verdana" w:eastAsia="Verdana" w:hAnsi="Verdana" w:cs="Verdana"/>
          <w:color w:val="0070C0"/>
          <w:sz w:val="20"/>
          <w:szCs w:val="20"/>
          <w:lang w:val="pl-PL"/>
        </w:rPr>
        <w:t xml:space="preserve">osób </w:t>
      </w:r>
      <w:r w:rsidRPr="00281E78">
        <w:rPr>
          <w:rFonts w:ascii="Verdana" w:eastAsia="Verdana" w:hAnsi="Verdana" w:cs="Verdana"/>
          <w:color w:val="0070C0"/>
          <w:sz w:val="20"/>
          <w:szCs w:val="20"/>
          <w:lang w:val="pl-PL"/>
        </w:rPr>
        <w:t>odpowiedzialnych, któr</w:t>
      </w:r>
      <w:r w:rsidR="006353D9">
        <w:rPr>
          <w:rFonts w:ascii="Verdana" w:eastAsia="Verdana" w:hAnsi="Verdana" w:cs="Verdana"/>
          <w:color w:val="0070C0"/>
          <w:sz w:val="20"/>
          <w:szCs w:val="20"/>
          <w:lang w:val="pl-PL"/>
        </w:rPr>
        <w:t xml:space="preserve">e </w:t>
      </w:r>
      <w:r w:rsidRPr="00281E78">
        <w:rPr>
          <w:rFonts w:ascii="Verdana" w:eastAsia="Verdana" w:hAnsi="Verdana" w:cs="Verdana"/>
          <w:color w:val="0070C0"/>
          <w:sz w:val="20"/>
          <w:szCs w:val="20"/>
          <w:lang w:val="pl-PL"/>
        </w:rPr>
        <w:t xml:space="preserve">ostatecznie </w:t>
      </w:r>
      <w:r w:rsidR="00196749">
        <w:rPr>
          <w:rFonts w:ascii="Verdana" w:eastAsia="Verdana" w:hAnsi="Verdana" w:cs="Verdana"/>
          <w:color w:val="0070C0"/>
          <w:sz w:val="20"/>
          <w:szCs w:val="20"/>
          <w:lang w:val="pl-PL"/>
        </w:rPr>
        <w:t>pozostały bezkarne.</w:t>
      </w:r>
    </w:p>
    <w:p w14:paraId="33A1BD69" w14:textId="77777777" w:rsidR="000517E7" w:rsidRDefault="000517E7" w:rsidP="00B572AA">
      <w:pPr>
        <w:tabs>
          <w:tab w:val="left" w:pos="9498"/>
          <w:tab w:val="left" w:pos="9781"/>
        </w:tabs>
        <w:ind w:left="142" w:right="111"/>
        <w:jc w:val="both"/>
        <w:rPr>
          <w:rFonts w:ascii="Verdana" w:eastAsia="Verdana" w:hAnsi="Verdana" w:cs="Verdana"/>
          <w:color w:val="0070C0"/>
          <w:sz w:val="20"/>
          <w:szCs w:val="20"/>
          <w:lang w:val="pl-PL"/>
        </w:rPr>
      </w:pPr>
    </w:p>
    <w:p w14:paraId="052241EB" w14:textId="13FD809C" w:rsidR="00281E78" w:rsidRPr="00733956" w:rsidRDefault="00281E78" w:rsidP="00B572AA">
      <w:pPr>
        <w:tabs>
          <w:tab w:val="left" w:pos="9498"/>
          <w:tab w:val="left" w:pos="9781"/>
        </w:tabs>
        <w:ind w:left="142" w:right="111"/>
        <w:jc w:val="both"/>
        <w:rPr>
          <w:rFonts w:ascii="Verdana" w:eastAsia="Verdana" w:hAnsi="Verdana" w:cs="Verdana"/>
          <w:b/>
          <w:bCs/>
          <w:color w:val="0072BC"/>
          <w:sz w:val="20"/>
          <w:szCs w:val="20"/>
          <w:u w:val="single"/>
          <w:lang w:val="pl-PL"/>
        </w:rPr>
      </w:pPr>
      <w:hyperlink r:id="rId13" w:anchor="{&quot;itemid&quot;:[&quot;003-6099917-7866684&quot;]}" w:history="1">
        <w:r w:rsidRPr="00BF7D78">
          <w:rPr>
            <w:rStyle w:val="Hipercze"/>
            <w:rFonts w:ascii="Verdana" w:eastAsia="Verdana" w:hAnsi="Verdana" w:cs="Verdana"/>
            <w:b/>
            <w:bCs/>
            <w:sz w:val="20"/>
            <w:szCs w:val="20"/>
            <w:lang w:val="pl-PL"/>
          </w:rPr>
          <w:t>Abu Zubaydah przeciwko Litwie</w:t>
        </w:r>
      </w:hyperlink>
      <w:r w:rsidRPr="00733956">
        <w:rPr>
          <w:rFonts w:ascii="Verdana" w:eastAsia="Verdana" w:hAnsi="Verdana" w:cs="Verdana"/>
          <w:b/>
          <w:bCs/>
          <w:color w:val="0072BC"/>
          <w:sz w:val="20"/>
          <w:szCs w:val="20"/>
          <w:u w:val="single"/>
          <w:lang w:val="pl-PL"/>
        </w:rPr>
        <w:t xml:space="preserve"> </w:t>
      </w:r>
    </w:p>
    <w:p w14:paraId="1F0FB496" w14:textId="0EDA2856" w:rsidR="00281E78" w:rsidRDefault="00281E78" w:rsidP="00B572AA">
      <w:pPr>
        <w:tabs>
          <w:tab w:val="left" w:pos="9498"/>
          <w:tab w:val="left" w:pos="9781"/>
        </w:tabs>
        <w:ind w:left="142" w:right="111"/>
        <w:jc w:val="both"/>
        <w:rPr>
          <w:rFonts w:ascii="Verdana" w:eastAsia="Verdana" w:hAnsi="Verdana" w:cs="Verdana"/>
          <w:color w:val="808080"/>
          <w:sz w:val="18"/>
          <w:szCs w:val="18"/>
          <w:lang w:val="pl-PL"/>
        </w:rPr>
      </w:pPr>
      <w:r w:rsidRPr="00733956">
        <w:rPr>
          <w:rFonts w:ascii="Verdana" w:eastAsia="Verdana" w:hAnsi="Verdana" w:cs="Verdana"/>
          <w:color w:val="808080"/>
          <w:sz w:val="18"/>
          <w:szCs w:val="18"/>
          <w:lang w:val="pl-PL"/>
        </w:rPr>
        <w:t>31 maja 2018 roku</w:t>
      </w:r>
    </w:p>
    <w:p w14:paraId="624A2490" w14:textId="439454CB" w:rsidR="0073169F" w:rsidRDefault="000B6BD3" w:rsidP="00B572AA">
      <w:pPr>
        <w:tabs>
          <w:tab w:val="left" w:pos="9498"/>
          <w:tab w:val="left" w:pos="9781"/>
        </w:tabs>
        <w:ind w:left="142" w:right="111"/>
        <w:jc w:val="both"/>
        <w:rPr>
          <w:rFonts w:ascii="Verdana" w:eastAsia="Verdana" w:hAnsi="Verdana" w:cs="Verdana"/>
          <w:sz w:val="20"/>
          <w:szCs w:val="20"/>
          <w:lang w:val="pl-PL"/>
        </w:rPr>
      </w:pPr>
      <w:r>
        <w:rPr>
          <w:rFonts w:ascii="Verdana" w:eastAsia="Verdana" w:hAnsi="Verdana" w:cs="Verdana"/>
          <w:sz w:val="20"/>
          <w:szCs w:val="20"/>
          <w:lang w:val="pl-PL"/>
        </w:rPr>
        <w:t>Skarżący zarzucił,</w:t>
      </w:r>
      <w:r w:rsidR="0073169F" w:rsidRPr="0073169F">
        <w:rPr>
          <w:rFonts w:ascii="Verdana" w:eastAsia="Verdana" w:hAnsi="Verdana" w:cs="Verdana"/>
          <w:sz w:val="20"/>
          <w:szCs w:val="20"/>
          <w:lang w:val="pl-PL"/>
        </w:rPr>
        <w:t xml:space="preserve"> że Litwa pozwoliła Centralnej Agencji Wywiadowczej Stanów Zjednoczonych</w:t>
      </w:r>
      <w:r w:rsidR="00D92A86">
        <w:rPr>
          <w:rFonts w:ascii="Verdana" w:eastAsia="Verdana" w:hAnsi="Verdana" w:cs="Verdana"/>
          <w:sz w:val="20"/>
          <w:szCs w:val="20"/>
          <w:lang w:val="pl-PL"/>
        </w:rPr>
        <w:t xml:space="preserve"> </w:t>
      </w:r>
      <w:r w:rsidR="0073169F" w:rsidRPr="0073169F">
        <w:rPr>
          <w:rFonts w:ascii="Verdana" w:eastAsia="Verdana" w:hAnsi="Verdana" w:cs="Verdana"/>
          <w:sz w:val="20"/>
          <w:szCs w:val="20"/>
          <w:lang w:val="pl-PL"/>
        </w:rPr>
        <w:t xml:space="preserve">(CIA) przetransportować go na </w:t>
      </w:r>
      <w:r w:rsidR="002D53D9">
        <w:rPr>
          <w:rFonts w:ascii="Verdana" w:eastAsia="Verdana" w:hAnsi="Verdana" w:cs="Verdana"/>
          <w:sz w:val="20"/>
          <w:szCs w:val="20"/>
          <w:lang w:val="pl-PL"/>
        </w:rPr>
        <w:t xml:space="preserve">jej </w:t>
      </w:r>
      <w:r w:rsidR="0073169F" w:rsidRPr="0073169F">
        <w:rPr>
          <w:rFonts w:ascii="Verdana" w:eastAsia="Verdana" w:hAnsi="Verdana" w:cs="Verdana"/>
          <w:sz w:val="20"/>
          <w:szCs w:val="20"/>
          <w:lang w:val="pl-PL"/>
        </w:rPr>
        <w:t xml:space="preserve">terytorium w ramach tajnego programu wydawania </w:t>
      </w:r>
      <w:r>
        <w:rPr>
          <w:rFonts w:ascii="Verdana" w:eastAsia="Verdana" w:hAnsi="Verdana" w:cs="Verdana"/>
          <w:sz w:val="20"/>
          <w:szCs w:val="20"/>
          <w:lang w:val="pl-PL"/>
        </w:rPr>
        <w:t xml:space="preserve">więźniów </w:t>
      </w:r>
      <w:r w:rsidR="0073169F" w:rsidRPr="0073169F">
        <w:rPr>
          <w:rFonts w:ascii="Verdana" w:eastAsia="Verdana" w:hAnsi="Verdana" w:cs="Verdana"/>
          <w:sz w:val="20"/>
          <w:szCs w:val="20"/>
          <w:lang w:val="pl-PL"/>
        </w:rPr>
        <w:t xml:space="preserve">w trybie nadzwyczajnym i </w:t>
      </w:r>
      <w:r w:rsidR="002D2477">
        <w:rPr>
          <w:rFonts w:ascii="Verdana" w:eastAsia="Verdana" w:hAnsi="Verdana" w:cs="Verdana"/>
          <w:sz w:val="20"/>
          <w:szCs w:val="20"/>
          <w:lang w:val="pl-PL"/>
        </w:rPr>
        <w:t>umożliwiła</w:t>
      </w:r>
      <w:r w:rsidR="0073169F" w:rsidRPr="0073169F">
        <w:rPr>
          <w:rFonts w:ascii="Verdana" w:eastAsia="Verdana" w:hAnsi="Verdana" w:cs="Verdana"/>
          <w:sz w:val="20"/>
          <w:szCs w:val="20"/>
          <w:lang w:val="pl-PL"/>
        </w:rPr>
        <w:t xml:space="preserve"> poddanie go</w:t>
      </w:r>
      <w:r w:rsidR="00290D7B">
        <w:rPr>
          <w:rFonts w:ascii="Verdana" w:eastAsia="Verdana" w:hAnsi="Verdana" w:cs="Verdana"/>
          <w:sz w:val="20"/>
          <w:szCs w:val="20"/>
          <w:lang w:val="pl-PL"/>
        </w:rPr>
        <w:t xml:space="preserve"> okrutnemu</w:t>
      </w:r>
      <w:r w:rsidR="0073169F" w:rsidRPr="0073169F">
        <w:rPr>
          <w:rFonts w:ascii="Verdana" w:eastAsia="Verdana" w:hAnsi="Verdana" w:cs="Verdana"/>
          <w:sz w:val="20"/>
          <w:szCs w:val="20"/>
          <w:lang w:val="pl-PL"/>
        </w:rPr>
        <w:t xml:space="preserve"> traktowaniu i</w:t>
      </w:r>
      <w:r>
        <w:rPr>
          <w:rFonts w:ascii="Verdana" w:eastAsia="Verdana" w:hAnsi="Verdana" w:cs="Verdana"/>
          <w:sz w:val="20"/>
          <w:szCs w:val="20"/>
          <w:lang w:val="pl-PL"/>
        </w:rPr>
        <w:t xml:space="preserve"> </w:t>
      </w:r>
      <w:r w:rsidR="0073169F" w:rsidRPr="0073169F">
        <w:rPr>
          <w:rFonts w:ascii="Verdana" w:eastAsia="Verdana" w:hAnsi="Verdana" w:cs="Verdana"/>
          <w:sz w:val="20"/>
          <w:szCs w:val="20"/>
          <w:lang w:val="pl-PL"/>
        </w:rPr>
        <w:t xml:space="preserve">arbitralnemu przetrzymywaniu w </w:t>
      </w:r>
      <w:r w:rsidR="006353D9">
        <w:rPr>
          <w:rFonts w:ascii="Verdana" w:eastAsia="Verdana" w:hAnsi="Verdana" w:cs="Verdana"/>
          <w:sz w:val="20"/>
          <w:szCs w:val="20"/>
          <w:lang w:val="pl-PL"/>
        </w:rPr>
        <w:t>tajnym więzieniu</w:t>
      </w:r>
      <w:r w:rsidR="0073169F" w:rsidRPr="0073169F">
        <w:rPr>
          <w:rFonts w:ascii="Verdana" w:eastAsia="Verdana" w:hAnsi="Verdana" w:cs="Verdana"/>
          <w:sz w:val="20"/>
          <w:szCs w:val="20"/>
          <w:lang w:val="pl-PL"/>
        </w:rPr>
        <w:t xml:space="preserve"> CIA </w:t>
      </w:r>
      <w:r w:rsidR="002D53D9">
        <w:rPr>
          <w:rFonts w:ascii="Verdana" w:eastAsia="Verdana" w:hAnsi="Verdana" w:cs="Verdana"/>
          <w:sz w:val="20"/>
          <w:szCs w:val="20"/>
          <w:lang w:val="pl-PL"/>
        </w:rPr>
        <w:t>(</w:t>
      </w:r>
      <w:r w:rsidR="006353D9" w:rsidRPr="002D53D9">
        <w:rPr>
          <w:rFonts w:ascii="Verdana" w:eastAsia="Verdana" w:hAnsi="Verdana" w:cs="Verdana"/>
          <w:i/>
          <w:iCs/>
          <w:sz w:val="20"/>
          <w:szCs w:val="20"/>
          <w:lang w:val="pl-PL"/>
        </w:rPr>
        <w:t>black site</w:t>
      </w:r>
      <w:r w:rsidR="002D53D9">
        <w:rPr>
          <w:rFonts w:ascii="Verdana" w:eastAsia="Verdana" w:hAnsi="Verdana" w:cs="Verdana"/>
          <w:sz w:val="20"/>
          <w:szCs w:val="20"/>
          <w:lang w:val="pl-PL"/>
        </w:rPr>
        <w:t>)</w:t>
      </w:r>
      <w:r w:rsidR="0073169F" w:rsidRPr="0073169F">
        <w:rPr>
          <w:rFonts w:ascii="Verdana" w:eastAsia="Verdana" w:hAnsi="Verdana" w:cs="Verdana"/>
          <w:sz w:val="20"/>
          <w:szCs w:val="20"/>
          <w:lang w:val="pl-PL"/>
        </w:rPr>
        <w:t xml:space="preserve">. </w:t>
      </w:r>
      <w:r>
        <w:rPr>
          <w:rFonts w:ascii="Verdana" w:eastAsia="Verdana" w:hAnsi="Verdana" w:cs="Verdana"/>
          <w:sz w:val="20"/>
          <w:szCs w:val="20"/>
          <w:lang w:val="pl-PL"/>
        </w:rPr>
        <w:t>Podniósł</w:t>
      </w:r>
      <w:r w:rsidR="0073169F" w:rsidRPr="0073169F">
        <w:rPr>
          <w:rFonts w:ascii="Verdana" w:eastAsia="Verdana" w:hAnsi="Verdana" w:cs="Verdana"/>
          <w:sz w:val="20"/>
          <w:szCs w:val="20"/>
          <w:lang w:val="pl-PL"/>
        </w:rPr>
        <w:t xml:space="preserve"> również, że Litwa nie przeprowadziła skutecznego </w:t>
      </w:r>
      <w:r w:rsidR="00D92A86">
        <w:rPr>
          <w:rFonts w:ascii="Verdana" w:eastAsia="Verdana" w:hAnsi="Verdana" w:cs="Verdana"/>
          <w:sz w:val="20"/>
          <w:szCs w:val="20"/>
          <w:lang w:val="pl-PL"/>
        </w:rPr>
        <w:t>śledztwa</w:t>
      </w:r>
      <w:r w:rsidR="0073169F" w:rsidRPr="0073169F">
        <w:rPr>
          <w:rFonts w:ascii="Verdana" w:eastAsia="Verdana" w:hAnsi="Verdana" w:cs="Verdana"/>
          <w:sz w:val="20"/>
          <w:szCs w:val="20"/>
          <w:lang w:val="pl-PL"/>
        </w:rPr>
        <w:t xml:space="preserve"> w sprawie jego zarzutów.</w:t>
      </w:r>
    </w:p>
    <w:p w14:paraId="4D21EDF1" w14:textId="40648967" w:rsidR="00845A8D" w:rsidRDefault="00CA0F6B" w:rsidP="00B572AA">
      <w:pPr>
        <w:tabs>
          <w:tab w:val="left" w:pos="9498"/>
          <w:tab w:val="left" w:pos="9781"/>
        </w:tabs>
        <w:ind w:left="142" w:right="111"/>
        <w:jc w:val="both"/>
        <w:rPr>
          <w:rFonts w:ascii="Verdana" w:eastAsia="Verdana" w:hAnsi="Verdana" w:cs="Verdana"/>
          <w:color w:val="0070C0"/>
          <w:sz w:val="20"/>
          <w:szCs w:val="20"/>
          <w:lang w:val="pl-PL"/>
        </w:rPr>
      </w:pPr>
      <w:r w:rsidRPr="00CA0F6B">
        <w:rPr>
          <w:rFonts w:ascii="Verdana" w:eastAsia="Verdana" w:hAnsi="Verdana" w:cs="Verdana"/>
          <w:color w:val="0070C0"/>
          <w:sz w:val="20"/>
          <w:szCs w:val="20"/>
          <w:lang w:val="pl-PL"/>
        </w:rPr>
        <w:t xml:space="preserve">W tej sprawie Trybunał nie miał </w:t>
      </w:r>
      <w:r w:rsidR="000B627F">
        <w:rPr>
          <w:rFonts w:ascii="Verdana" w:eastAsia="Verdana" w:hAnsi="Verdana" w:cs="Verdana"/>
          <w:color w:val="0070C0"/>
          <w:sz w:val="20"/>
          <w:szCs w:val="20"/>
          <w:lang w:val="pl-PL"/>
        </w:rPr>
        <w:t>możliwości kontaktu ze</w:t>
      </w:r>
      <w:r w:rsidRPr="00CA0F6B">
        <w:rPr>
          <w:rFonts w:ascii="Verdana" w:eastAsia="Verdana" w:hAnsi="Verdana" w:cs="Verdana"/>
          <w:color w:val="0070C0"/>
          <w:sz w:val="20"/>
          <w:szCs w:val="20"/>
          <w:lang w:val="pl-PL"/>
        </w:rPr>
        <w:t xml:space="preserve"> skarżąc</w:t>
      </w:r>
      <w:r w:rsidR="000B627F">
        <w:rPr>
          <w:rFonts w:ascii="Verdana" w:eastAsia="Verdana" w:hAnsi="Verdana" w:cs="Verdana"/>
          <w:color w:val="0070C0"/>
          <w:sz w:val="20"/>
          <w:szCs w:val="20"/>
          <w:lang w:val="pl-PL"/>
        </w:rPr>
        <w:t>ym</w:t>
      </w:r>
      <w:r w:rsidRPr="00CA0F6B">
        <w:rPr>
          <w:rFonts w:ascii="Verdana" w:eastAsia="Verdana" w:hAnsi="Verdana" w:cs="Verdana"/>
          <w:color w:val="0070C0"/>
          <w:sz w:val="20"/>
          <w:szCs w:val="20"/>
          <w:lang w:val="pl-PL"/>
        </w:rPr>
        <w:t xml:space="preserve">, ponieważ był on </w:t>
      </w:r>
      <w:r w:rsidR="000B6BD3" w:rsidRPr="00CA0F6B">
        <w:rPr>
          <w:rFonts w:ascii="Verdana" w:eastAsia="Verdana" w:hAnsi="Verdana" w:cs="Verdana"/>
          <w:color w:val="0070C0"/>
          <w:sz w:val="20"/>
          <w:szCs w:val="20"/>
          <w:lang w:val="pl-PL"/>
        </w:rPr>
        <w:t xml:space="preserve">nadal </w:t>
      </w:r>
      <w:r w:rsidRPr="00CA0F6B">
        <w:rPr>
          <w:rFonts w:ascii="Verdana" w:eastAsia="Verdana" w:hAnsi="Verdana" w:cs="Verdana"/>
          <w:color w:val="0070C0"/>
          <w:sz w:val="20"/>
          <w:szCs w:val="20"/>
          <w:lang w:val="pl-PL"/>
        </w:rPr>
        <w:t>przetrzymywany przez władze USA w bardzo restrykcyjnych warunkach, w</w:t>
      </w:r>
      <w:r w:rsidR="000B6BD3">
        <w:rPr>
          <w:rFonts w:ascii="Verdana" w:eastAsia="Verdana" w:hAnsi="Verdana" w:cs="Verdana"/>
          <w:color w:val="0070C0"/>
          <w:sz w:val="20"/>
          <w:szCs w:val="20"/>
          <w:lang w:val="pl-PL"/>
        </w:rPr>
        <w:t>obec czego</w:t>
      </w:r>
      <w:r w:rsidRPr="00CA0F6B">
        <w:rPr>
          <w:rFonts w:ascii="Verdana" w:eastAsia="Verdana" w:hAnsi="Verdana" w:cs="Verdana"/>
          <w:color w:val="0070C0"/>
          <w:sz w:val="20"/>
          <w:szCs w:val="20"/>
          <w:lang w:val="pl-PL"/>
        </w:rPr>
        <w:t xml:space="preserve"> musiał ustalić fakty</w:t>
      </w:r>
      <w:r w:rsidR="00DC5275">
        <w:rPr>
          <w:rFonts w:ascii="Verdana" w:eastAsia="Verdana" w:hAnsi="Verdana" w:cs="Verdana"/>
          <w:color w:val="0070C0"/>
          <w:sz w:val="20"/>
          <w:szCs w:val="20"/>
          <w:lang w:val="pl-PL"/>
        </w:rPr>
        <w:t>,</w:t>
      </w:r>
      <w:r w:rsidRPr="00CA0F6B">
        <w:rPr>
          <w:rFonts w:ascii="Verdana" w:eastAsia="Verdana" w:hAnsi="Verdana" w:cs="Verdana"/>
          <w:color w:val="0070C0"/>
          <w:sz w:val="20"/>
          <w:szCs w:val="20"/>
          <w:lang w:val="pl-PL"/>
        </w:rPr>
        <w:t xml:space="preserve"> </w:t>
      </w:r>
      <w:r w:rsidR="00391B25">
        <w:rPr>
          <w:rFonts w:ascii="Verdana" w:eastAsia="Verdana" w:hAnsi="Verdana" w:cs="Verdana"/>
          <w:color w:val="0070C0"/>
          <w:sz w:val="20"/>
          <w:szCs w:val="20"/>
          <w:lang w:val="pl-PL"/>
        </w:rPr>
        <w:t>bazując na innych źródłach</w:t>
      </w:r>
      <w:r w:rsidRPr="00CA0F6B">
        <w:rPr>
          <w:rFonts w:ascii="Verdana" w:eastAsia="Verdana" w:hAnsi="Verdana" w:cs="Verdana"/>
          <w:color w:val="0070C0"/>
          <w:sz w:val="20"/>
          <w:szCs w:val="20"/>
          <w:lang w:val="pl-PL"/>
        </w:rPr>
        <w:t>. W szczególności uzyskał kluczowe informacje z</w:t>
      </w:r>
      <w:r w:rsidR="000764C3">
        <w:rPr>
          <w:rFonts w:ascii="Verdana" w:eastAsia="Verdana" w:hAnsi="Verdana" w:cs="Verdana"/>
          <w:color w:val="0070C0"/>
          <w:sz w:val="20"/>
          <w:szCs w:val="20"/>
          <w:lang w:val="pl-PL"/>
        </w:rPr>
        <w:t> </w:t>
      </w:r>
      <w:r w:rsidR="002D2477">
        <w:rPr>
          <w:rFonts w:ascii="Verdana" w:eastAsia="Verdana" w:hAnsi="Verdana" w:cs="Verdana"/>
          <w:color w:val="0070C0"/>
          <w:sz w:val="20"/>
          <w:szCs w:val="20"/>
          <w:lang w:val="pl-PL"/>
        </w:rPr>
        <w:t>wydanego w grudniu 2014 r</w:t>
      </w:r>
      <w:r w:rsidR="00DC5275">
        <w:rPr>
          <w:rFonts w:ascii="Verdana" w:eastAsia="Verdana" w:hAnsi="Verdana" w:cs="Verdana"/>
          <w:color w:val="0070C0"/>
          <w:sz w:val="20"/>
          <w:szCs w:val="20"/>
          <w:lang w:val="pl-PL"/>
        </w:rPr>
        <w:t>o</w:t>
      </w:r>
      <w:r w:rsidR="002D2477">
        <w:rPr>
          <w:rFonts w:ascii="Verdana" w:eastAsia="Verdana" w:hAnsi="Verdana" w:cs="Verdana"/>
          <w:color w:val="0070C0"/>
          <w:sz w:val="20"/>
          <w:szCs w:val="20"/>
          <w:lang w:val="pl-PL"/>
        </w:rPr>
        <w:t xml:space="preserve">ku </w:t>
      </w:r>
      <w:r w:rsidRPr="00CA0F6B">
        <w:rPr>
          <w:rFonts w:ascii="Verdana" w:eastAsia="Verdana" w:hAnsi="Verdana" w:cs="Verdana"/>
          <w:color w:val="0070C0"/>
          <w:sz w:val="20"/>
          <w:szCs w:val="20"/>
          <w:lang w:val="pl-PL"/>
        </w:rPr>
        <w:t xml:space="preserve">raportu komisji senackiej USA na temat tortur CIA. </w:t>
      </w:r>
      <w:r w:rsidR="00603C80">
        <w:rPr>
          <w:rFonts w:ascii="Verdana" w:eastAsia="Verdana" w:hAnsi="Verdana" w:cs="Verdana"/>
          <w:color w:val="0070C0"/>
          <w:sz w:val="20"/>
          <w:szCs w:val="20"/>
          <w:lang w:val="pl-PL"/>
        </w:rPr>
        <w:t xml:space="preserve">Wysłuchał </w:t>
      </w:r>
      <w:r w:rsidRPr="00CA0F6B">
        <w:rPr>
          <w:rFonts w:ascii="Verdana" w:eastAsia="Verdana" w:hAnsi="Verdana" w:cs="Verdana"/>
          <w:color w:val="0070C0"/>
          <w:sz w:val="20"/>
          <w:szCs w:val="20"/>
          <w:lang w:val="pl-PL"/>
        </w:rPr>
        <w:lastRenderedPageBreak/>
        <w:t>również</w:t>
      </w:r>
      <w:r w:rsidR="002D2477">
        <w:rPr>
          <w:rFonts w:ascii="Verdana" w:eastAsia="Verdana" w:hAnsi="Verdana" w:cs="Verdana"/>
          <w:color w:val="0070C0"/>
          <w:sz w:val="20"/>
          <w:szCs w:val="20"/>
          <w:lang w:val="pl-PL"/>
        </w:rPr>
        <w:t xml:space="preserve"> opinii </w:t>
      </w:r>
      <w:r w:rsidR="00603C80">
        <w:rPr>
          <w:rFonts w:ascii="Verdana" w:eastAsia="Verdana" w:hAnsi="Verdana" w:cs="Verdana"/>
          <w:color w:val="0070C0"/>
          <w:sz w:val="20"/>
          <w:szCs w:val="20"/>
          <w:lang w:val="pl-PL"/>
        </w:rPr>
        <w:t>biegłego</w:t>
      </w:r>
      <w:r w:rsidRPr="00CA0F6B">
        <w:rPr>
          <w:rFonts w:ascii="Verdana" w:eastAsia="Verdana" w:hAnsi="Verdana" w:cs="Verdana"/>
          <w:color w:val="0070C0"/>
          <w:sz w:val="20"/>
          <w:szCs w:val="20"/>
          <w:lang w:val="pl-PL"/>
        </w:rPr>
        <w:t xml:space="preserve">. Trybunał uznał, że w sprawie skarżącego doszło do </w:t>
      </w:r>
      <w:r w:rsidRPr="00E17633">
        <w:rPr>
          <w:rFonts w:ascii="Verdana" w:eastAsia="Verdana" w:hAnsi="Verdana" w:cs="Verdana"/>
          <w:b/>
          <w:bCs/>
          <w:color w:val="0070C0"/>
          <w:sz w:val="20"/>
          <w:szCs w:val="20"/>
          <w:lang w:val="pl-PL"/>
        </w:rPr>
        <w:t>narusze</w:t>
      </w:r>
      <w:r w:rsidR="00E17633">
        <w:rPr>
          <w:rFonts w:ascii="Verdana" w:eastAsia="Verdana" w:hAnsi="Verdana" w:cs="Verdana"/>
          <w:b/>
          <w:bCs/>
          <w:color w:val="0070C0"/>
          <w:sz w:val="20"/>
          <w:szCs w:val="20"/>
          <w:lang w:val="pl-PL"/>
        </w:rPr>
        <w:t>ń</w:t>
      </w:r>
      <w:r w:rsidRPr="00E17633">
        <w:rPr>
          <w:rFonts w:ascii="Verdana" w:eastAsia="Verdana" w:hAnsi="Verdana" w:cs="Verdana"/>
          <w:b/>
          <w:bCs/>
          <w:color w:val="0070C0"/>
          <w:sz w:val="20"/>
          <w:szCs w:val="20"/>
          <w:lang w:val="pl-PL"/>
        </w:rPr>
        <w:t xml:space="preserve"> </w:t>
      </w:r>
      <w:r w:rsidR="00603C80" w:rsidRPr="00E17633">
        <w:rPr>
          <w:rFonts w:ascii="Verdana" w:eastAsia="Verdana" w:hAnsi="Verdana" w:cs="Verdana"/>
          <w:b/>
          <w:bCs/>
          <w:color w:val="0070C0"/>
          <w:sz w:val="20"/>
          <w:szCs w:val="20"/>
          <w:lang w:val="pl-PL"/>
        </w:rPr>
        <w:t>art.</w:t>
      </w:r>
      <w:r w:rsidRPr="00E17633">
        <w:rPr>
          <w:rFonts w:ascii="Verdana" w:eastAsia="Verdana" w:hAnsi="Verdana" w:cs="Verdana"/>
          <w:b/>
          <w:bCs/>
          <w:color w:val="0070C0"/>
          <w:sz w:val="20"/>
          <w:szCs w:val="20"/>
          <w:lang w:val="pl-PL"/>
        </w:rPr>
        <w:t xml:space="preserve"> 3</w:t>
      </w:r>
      <w:r w:rsidRPr="00CA0F6B">
        <w:rPr>
          <w:rFonts w:ascii="Verdana" w:eastAsia="Verdana" w:hAnsi="Verdana" w:cs="Verdana"/>
          <w:color w:val="0070C0"/>
          <w:sz w:val="20"/>
          <w:szCs w:val="20"/>
          <w:lang w:val="pl-PL"/>
        </w:rPr>
        <w:t xml:space="preserve"> (zakaz tortur) Konwencji, z powodu braku </w:t>
      </w:r>
      <w:r w:rsidR="007E7D00">
        <w:rPr>
          <w:rFonts w:ascii="Verdana" w:eastAsia="Verdana" w:hAnsi="Verdana" w:cs="Verdana"/>
          <w:color w:val="0070C0"/>
          <w:sz w:val="20"/>
          <w:szCs w:val="20"/>
          <w:lang w:val="pl-PL"/>
        </w:rPr>
        <w:t xml:space="preserve">przeprowadzenia </w:t>
      </w:r>
      <w:r w:rsidR="007E7D00" w:rsidRPr="00CA0F6B">
        <w:rPr>
          <w:rFonts w:ascii="Verdana" w:eastAsia="Verdana" w:hAnsi="Verdana" w:cs="Verdana"/>
          <w:color w:val="0070C0"/>
          <w:sz w:val="20"/>
          <w:szCs w:val="20"/>
          <w:lang w:val="pl-PL"/>
        </w:rPr>
        <w:t xml:space="preserve">przez </w:t>
      </w:r>
      <w:r w:rsidR="007E7D00">
        <w:rPr>
          <w:rFonts w:ascii="Verdana" w:eastAsia="Verdana" w:hAnsi="Verdana" w:cs="Verdana"/>
          <w:color w:val="0070C0"/>
          <w:sz w:val="20"/>
          <w:szCs w:val="20"/>
          <w:lang w:val="pl-PL"/>
        </w:rPr>
        <w:t>r</w:t>
      </w:r>
      <w:r w:rsidR="007E7D00" w:rsidRPr="00CA0F6B">
        <w:rPr>
          <w:rFonts w:ascii="Verdana" w:eastAsia="Verdana" w:hAnsi="Verdana" w:cs="Verdana"/>
          <w:color w:val="0070C0"/>
          <w:sz w:val="20"/>
          <w:szCs w:val="20"/>
          <w:lang w:val="pl-PL"/>
        </w:rPr>
        <w:t xml:space="preserve">ząd </w:t>
      </w:r>
      <w:r w:rsidRPr="00CA0F6B">
        <w:rPr>
          <w:rFonts w:ascii="Verdana" w:eastAsia="Verdana" w:hAnsi="Verdana" w:cs="Verdana"/>
          <w:color w:val="0070C0"/>
          <w:sz w:val="20"/>
          <w:szCs w:val="20"/>
          <w:lang w:val="pl-PL"/>
        </w:rPr>
        <w:t xml:space="preserve">skutecznego </w:t>
      </w:r>
      <w:r w:rsidR="007E7D00">
        <w:rPr>
          <w:rFonts w:ascii="Verdana" w:eastAsia="Verdana" w:hAnsi="Verdana" w:cs="Verdana"/>
          <w:color w:val="0070C0"/>
          <w:sz w:val="20"/>
          <w:szCs w:val="20"/>
          <w:lang w:val="pl-PL"/>
        </w:rPr>
        <w:t>śledztwa</w:t>
      </w:r>
      <w:r w:rsidRPr="00CA0F6B">
        <w:rPr>
          <w:rFonts w:ascii="Verdana" w:eastAsia="Verdana" w:hAnsi="Verdana" w:cs="Verdana"/>
          <w:color w:val="0070C0"/>
          <w:sz w:val="20"/>
          <w:szCs w:val="20"/>
          <w:lang w:val="pl-PL"/>
        </w:rPr>
        <w:t xml:space="preserve"> w sprawie zarzutów</w:t>
      </w:r>
      <w:r w:rsidR="007E7D00">
        <w:rPr>
          <w:rFonts w:ascii="Verdana" w:eastAsia="Verdana" w:hAnsi="Verdana" w:cs="Verdana"/>
          <w:color w:val="0070C0"/>
          <w:sz w:val="20"/>
          <w:szCs w:val="20"/>
          <w:lang w:val="pl-PL"/>
        </w:rPr>
        <w:t xml:space="preserve"> skarżącego</w:t>
      </w:r>
      <w:r w:rsidRPr="00CA0F6B">
        <w:rPr>
          <w:rFonts w:ascii="Verdana" w:eastAsia="Verdana" w:hAnsi="Verdana" w:cs="Verdana"/>
          <w:color w:val="0070C0"/>
          <w:sz w:val="20"/>
          <w:szCs w:val="20"/>
          <w:lang w:val="pl-PL"/>
        </w:rPr>
        <w:t xml:space="preserve"> oraz z powodu współudziału w działaniach CIA, które doprowadziły do </w:t>
      </w:r>
      <w:r w:rsidR="00290D7B">
        <w:rPr>
          <w:rFonts w:ascii="Verdana" w:eastAsia="Verdana" w:hAnsi="Verdana" w:cs="Verdana"/>
          <w:color w:val="0070C0"/>
          <w:sz w:val="20"/>
          <w:szCs w:val="20"/>
          <w:lang w:val="pl-PL"/>
        </w:rPr>
        <w:t>okrutnego</w:t>
      </w:r>
      <w:r w:rsidRPr="00CA0F6B">
        <w:rPr>
          <w:rFonts w:ascii="Verdana" w:eastAsia="Verdana" w:hAnsi="Verdana" w:cs="Verdana"/>
          <w:color w:val="0070C0"/>
          <w:sz w:val="20"/>
          <w:szCs w:val="20"/>
          <w:lang w:val="pl-PL"/>
        </w:rPr>
        <w:t xml:space="preserve"> traktowania, a także </w:t>
      </w:r>
      <w:r w:rsidRPr="00034491">
        <w:rPr>
          <w:rFonts w:ascii="Verdana" w:eastAsia="Verdana" w:hAnsi="Verdana" w:cs="Verdana"/>
          <w:b/>
          <w:bCs/>
          <w:color w:val="0070C0"/>
          <w:sz w:val="20"/>
          <w:szCs w:val="20"/>
          <w:lang w:val="pl-PL"/>
        </w:rPr>
        <w:t>naruszenia art. 5</w:t>
      </w:r>
      <w:r w:rsidRPr="00CA0F6B">
        <w:rPr>
          <w:rFonts w:ascii="Verdana" w:eastAsia="Verdana" w:hAnsi="Verdana" w:cs="Verdana"/>
          <w:color w:val="0070C0"/>
          <w:sz w:val="20"/>
          <w:szCs w:val="20"/>
          <w:lang w:val="pl-PL"/>
        </w:rPr>
        <w:t xml:space="preserve"> (prawo do wolności i</w:t>
      </w:r>
      <w:r w:rsidR="008B5B2F">
        <w:rPr>
          <w:rFonts w:ascii="Verdana" w:eastAsia="Verdana" w:hAnsi="Verdana" w:cs="Verdana"/>
          <w:color w:val="0070C0"/>
          <w:sz w:val="20"/>
          <w:szCs w:val="20"/>
          <w:lang w:val="pl-PL"/>
        </w:rPr>
        <w:t> </w:t>
      </w:r>
      <w:r w:rsidRPr="00CA0F6B">
        <w:rPr>
          <w:rFonts w:ascii="Verdana" w:eastAsia="Verdana" w:hAnsi="Verdana" w:cs="Verdana"/>
          <w:color w:val="0070C0"/>
          <w:sz w:val="20"/>
          <w:szCs w:val="20"/>
          <w:lang w:val="pl-PL"/>
        </w:rPr>
        <w:t xml:space="preserve">bezpieczeństwa), </w:t>
      </w:r>
      <w:r w:rsidRPr="00034491">
        <w:rPr>
          <w:rFonts w:ascii="Verdana" w:eastAsia="Verdana" w:hAnsi="Verdana" w:cs="Verdana"/>
          <w:b/>
          <w:bCs/>
          <w:color w:val="0070C0"/>
          <w:sz w:val="20"/>
          <w:szCs w:val="20"/>
          <w:lang w:val="pl-PL"/>
        </w:rPr>
        <w:t>art. 8</w:t>
      </w:r>
      <w:r w:rsidRPr="00CA0F6B">
        <w:rPr>
          <w:rFonts w:ascii="Verdana" w:eastAsia="Verdana" w:hAnsi="Verdana" w:cs="Verdana"/>
          <w:color w:val="0070C0"/>
          <w:sz w:val="20"/>
          <w:szCs w:val="20"/>
          <w:lang w:val="pl-PL"/>
        </w:rPr>
        <w:t xml:space="preserve"> (prawo do poszanowania życia prywatnego) i </w:t>
      </w:r>
      <w:r w:rsidRPr="00034491">
        <w:rPr>
          <w:rFonts w:ascii="Verdana" w:eastAsia="Verdana" w:hAnsi="Verdana" w:cs="Verdana"/>
          <w:b/>
          <w:bCs/>
          <w:color w:val="0070C0"/>
          <w:sz w:val="20"/>
          <w:szCs w:val="20"/>
          <w:lang w:val="pl-PL"/>
        </w:rPr>
        <w:t>art. 13</w:t>
      </w:r>
      <w:r w:rsidRPr="00CA0F6B">
        <w:rPr>
          <w:rFonts w:ascii="Verdana" w:eastAsia="Verdana" w:hAnsi="Verdana" w:cs="Verdana"/>
          <w:color w:val="0070C0"/>
          <w:sz w:val="20"/>
          <w:szCs w:val="20"/>
          <w:lang w:val="pl-PL"/>
        </w:rPr>
        <w:t xml:space="preserve"> (prawo do skutecznego środka odwoławczego) </w:t>
      </w:r>
      <w:r w:rsidRPr="00034491">
        <w:rPr>
          <w:rFonts w:ascii="Verdana" w:eastAsia="Verdana" w:hAnsi="Verdana" w:cs="Verdana"/>
          <w:b/>
          <w:bCs/>
          <w:color w:val="0070C0"/>
          <w:sz w:val="20"/>
          <w:szCs w:val="20"/>
          <w:lang w:val="pl-PL"/>
        </w:rPr>
        <w:t xml:space="preserve">w </w:t>
      </w:r>
      <w:r w:rsidR="002D2477">
        <w:rPr>
          <w:rFonts w:ascii="Verdana" w:eastAsia="Verdana" w:hAnsi="Verdana" w:cs="Verdana"/>
          <w:b/>
          <w:bCs/>
          <w:color w:val="0070C0"/>
          <w:sz w:val="20"/>
          <w:szCs w:val="20"/>
          <w:lang w:val="pl-PL"/>
        </w:rPr>
        <w:t>powiązaniu</w:t>
      </w:r>
      <w:r w:rsidRPr="00034491">
        <w:rPr>
          <w:rFonts w:ascii="Verdana" w:eastAsia="Verdana" w:hAnsi="Verdana" w:cs="Verdana"/>
          <w:b/>
          <w:bCs/>
          <w:color w:val="0070C0"/>
          <w:sz w:val="20"/>
          <w:szCs w:val="20"/>
          <w:lang w:val="pl-PL"/>
        </w:rPr>
        <w:t xml:space="preserve"> z</w:t>
      </w:r>
      <w:r w:rsidRPr="00CA0F6B">
        <w:rPr>
          <w:rFonts w:ascii="Verdana" w:eastAsia="Verdana" w:hAnsi="Verdana" w:cs="Verdana"/>
          <w:color w:val="0070C0"/>
          <w:sz w:val="20"/>
          <w:szCs w:val="20"/>
          <w:lang w:val="pl-PL"/>
        </w:rPr>
        <w:t xml:space="preserve"> </w:t>
      </w:r>
      <w:r w:rsidRPr="00034491">
        <w:rPr>
          <w:rFonts w:ascii="Verdana" w:eastAsia="Verdana" w:hAnsi="Verdana" w:cs="Verdana"/>
          <w:b/>
          <w:bCs/>
          <w:color w:val="0070C0"/>
          <w:sz w:val="20"/>
          <w:szCs w:val="20"/>
          <w:lang w:val="pl-PL"/>
        </w:rPr>
        <w:t>art. 3</w:t>
      </w:r>
      <w:r w:rsidRPr="00CA0F6B">
        <w:rPr>
          <w:rFonts w:ascii="Verdana" w:eastAsia="Verdana" w:hAnsi="Verdana" w:cs="Verdana"/>
          <w:color w:val="0070C0"/>
          <w:sz w:val="20"/>
          <w:szCs w:val="20"/>
          <w:lang w:val="pl-PL"/>
        </w:rPr>
        <w:t>. Trybunał zauważył w</w:t>
      </w:r>
      <w:r w:rsidR="000764C3">
        <w:rPr>
          <w:rFonts w:ascii="Verdana" w:eastAsia="Verdana" w:hAnsi="Verdana" w:cs="Verdana"/>
          <w:color w:val="0070C0"/>
          <w:sz w:val="20"/>
          <w:szCs w:val="20"/>
          <w:lang w:val="pl-PL"/>
        </w:rPr>
        <w:t> </w:t>
      </w:r>
      <w:r w:rsidRPr="00CA0F6B">
        <w:rPr>
          <w:rFonts w:ascii="Verdana" w:eastAsia="Verdana" w:hAnsi="Verdana" w:cs="Verdana"/>
          <w:color w:val="0070C0"/>
          <w:sz w:val="20"/>
          <w:szCs w:val="20"/>
          <w:lang w:val="pl-PL"/>
        </w:rPr>
        <w:t xml:space="preserve">szczególności, że </w:t>
      </w:r>
      <w:r w:rsidR="00554F35" w:rsidRPr="00CA0F6B">
        <w:rPr>
          <w:rFonts w:ascii="Verdana" w:eastAsia="Verdana" w:hAnsi="Verdana" w:cs="Verdana"/>
          <w:color w:val="0070C0"/>
          <w:sz w:val="20"/>
          <w:szCs w:val="20"/>
          <w:lang w:val="pl-PL"/>
        </w:rPr>
        <w:t xml:space="preserve">tajne więzienie CIA </w:t>
      </w:r>
      <w:r w:rsidR="00554F35">
        <w:rPr>
          <w:rFonts w:ascii="Verdana" w:eastAsia="Verdana" w:hAnsi="Verdana" w:cs="Verdana"/>
          <w:color w:val="0070C0"/>
          <w:sz w:val="20"/>
          <w:szCs w:val="20"/>
          <w:lang w:val="pl-PL"/>
        </w:rPr>
        <w:t>funkcjonował</w:t>
      </w:r>
      <w:r w:rsidR="002D2477">
        <w:rPr>
          <w:rFonts w:ascii="Verdana" w:eastAsia="Verdana" w:hAnsi="Verdana" w:cs="Verdana"/>
          <w:color w:val="0070C0"/>
          <w:sz w:val="20"/>
          <w:szCs w:val="20"/>
          <w:lang w:val="pl-PL"/>
        </w:rPr>
        <w:t>o</w:t>
      </w:r>
      <w:r w:rsidR="00554F35">
        <w:rPr>
          <w:rFonts w:ascii="Verdana" w:eastAsia="Verdana" w:hAnsi="Verdana" w:cs="Verdana"/>
          <w:color w:val="0070C0"/>
          <w:sz w:val="20"/>
          <w:szCs w:val="20"/>
          <w:lang w:val="pl-PL"/>
        </w:rPr>
        <w:t xml:space="preserve"> na Litwie</w:t>
      </w:r>
      <w:r w:rsidRPr="00CA0F6B">
        <w:rPr>
          <w:rFonts w:ascii="Verdana" w:eastAsia="Verdana" w:hAnsi="Verdana" w:cs="Verdana"/>
          <w:color w:val="0070C0"/>
          <w:sz w:val="20"/>
          <w:szCs w:val="20"/>
          <w:lang w:val="pl-PL"/>
        </w:rPr>
        <w:t xml:space="preserve"> między lutym 2005 r</w:t>
      </w:r>
      <w:r w:rsidR="00034491">
        <w:rPr>
          <w:rFonts w:ascii="Verdana" w:eastAsia="Verdana" w:hAnsi="Verdana" w:cs="Verdana"/>
          <w:color w:val="0070C0"/>
          <w:sz w:val="20"/>
          <w:szCs w:val="20"/>
          <w:lang w:val="pl-PL"/>
        </w:rPr>
        <w:t>oku</w:t>
      </w:r>
      <w:r w:rsidRPr="00CA0F6B">
        <w:rPr>
          <w:rFonts w:ascii="Verdana" w:eastAsia="Verdana" w:hAnsi="Verdana" w:cs="Verdana"/>
          <w:color w:val="0070C0"/>
          <w:sz w:val="20"/>
          <w:szCs w:val="20"/>
          <w:lang w:val="pl-PL"/>
        </w:rPr>
        <w:t xml:space="preserve"> a</w:t>
      </w:r>
      <w:r w:rsidR="000764C3">
        <w:rPr>
          <w:rFonts w:ascii="Verdana" w:eastAsia="Verdana" w:hAnsi="Verdana" w:cs="Verdana"/>
          <w:color w:val="0070C0"/>
          <w:sz w:val="20"/>
          <w:szCs w:val="20"/>
          <w:lang w:val="pl-PL"/>
        </w:rPr>
        <w:t> </w:t>
      </w:r>
      <w:r w:rsidRPr="00CA0F6B">
        <w:rPr>
          <w:rFonts w:ascii="Verdana" w:eastAsia="Verdana" w:hAnsi="Verdana" w:cs="Verdana"/>
          <w:color w:val="0070C0"/>
          <w:sz w:val="20"/>
          <w:szCs w:val="20"/>
          <w:lang w:val="pl-PL"/>
        </w:rPr>
        <w:t>marcem 2006 r</w:t>
      </w:r>
      <w:r w:rsidR="00034491">
        <w:rPr>
          <w:rFonts w:ascii="Verdana" w:eastAsia="Verdana" w:hAnsi="Verdana" w:cs="Verdana"/>
          <w:color w:val="0070C0"/>
          <w:sz w:val="20"/>
          <w:szCs w:val="20"/>
          <w:lang w:val="pl-PL"/>
        </w:rPr>
        <w:t>oku</w:t>
      </w:r>
      <w:r w:rsidRPr="00CA0F6B">
        <w:rPr>
          <w:rFonts w:ascii="Verdana" w:eastAsia="Verdana" w:hAnsi="Verdana" w:cs="Verdana"/>
          <w:color w:val="0070C0"/>
          <w:sz w:val="20"/>
          <w:szCs w:val="20"/>
          <w:lang w:val="pl-PL"/>
        </w:rPr>
        <w:t>, że skarżący był tam przetrzymywany oraz że władze krajowe wiedziały, że CIA będzie go traktować niezgodnie z Konwencją. Litwa zezwoliła również na prz</w:t>
      </w:r>
      <w:r w:rsidR="00FB456F">
        <w:rPr>
          <w:rFonts w:ascii="Verdana" w:eastAsia="Verdana" w:hAnsi="Verdana" w:cs="Verdana"/>
          <w:color w:val="0070C0"/>
          <w:sz w:val="20"/>
          <w:szCs w:val="20"/>
          <w:lang w:val="pl-PL"/>
        </w:rPr>
        <w:t>ewiezienie skarżącego</w:t>
      </w:r>
      <w:r w:rsidRPr="00CA0F6B">
        <w:rPr>
          <w:rFonts w:ascii="Verdana" w:eastAsia="Verdana" w:hAnsi="Verdana" w:cs="Verdana"/>
          <w:color w:val="0070C0"/>
          <w:sz w:val="20"/>
          <w:szCs w:val="20"/>
          <w:lang w:val="pl-PL"/>
        </w:rPr>
        <w:t xml:space="preserve"> do </w:t>
      </w:r>
      <w:r w:rsidR="00FB456F">
        <w:rPr>
          <w:rFonts w:ascii="Verdana" w:eastAsia="Verdana" w:hAnsi="Verdana" w:cs="Verdana"/>
          <w:color w:val="0070C0"/>
          <w:sz w:val="20"/>
          <w:szCs w:val="20"/>
          <w:lang w:val="pl-PL"/>
        </w:rPr>
        <w:t>tajnego więzienia</w:t>
      </w:r>
      <w:r w:rsidRPr="00CA0F6B">
        <w:rPr>
          <w:rFonts w:ascii="Verdana" w:eastAsia="Verdana" w:hAnsi="Verdana" w:cs="Verdana"/>
          <w:color w:val="0070C0"/>
          <w:sz w:val="20"/>
          <w:szCs w:val="20"/>
          <w:lang w:val="pl-PL"/>
        </w:rPr>
        <w:t xml:space="preserve"> CIA w Afganistanie, co nara</w:t>
      </w:r>
      <w:r w:rsidR="00FB456F">
        <w:rPr>
          <w:rFonts w:ascii="Verdana" w:eastAsia="Verdana" w:hAnsi="Verdana" w:cs="Verdana"/>
          <w:color w:val="0070C0"/>
          <w:sz w:val="20"/>
          <w:szCs w:val="20"/>
          <w:lang w:val="pl-PL"/>
        </w:rPr>
        <w:t>ziło</w:t>
      </w:r>
      <w:r w:rsidRPr="00CA0F6B">
        <w:rPr>
          <w:rFonts w:ascii="Verdana" w:eastAsia="Verdana" w:hAnsi="Verdana" w:cs="Verdana"/>
          <w:color w:val="0070C0"/>
          <w:sz w:val="20"/>
          <w:szCs w:val="20"/>
          <w:lang w:val="pl-PL"/>
        </w:rPr>
        <w:t xml:space="preserve"> go na dalsze </w:t>
      </w:r>
      <w:r w:rsidR="00290D7B">
        <w:rPr>
          <w:rFonts w:ascii="Verdana" w:eastAsia="Verdana" w:hAnsi="Verdana" w:cs="Verdana"/>
          <w:color w:val="0070C0"/>
          <w:sz w:val="20"/>
          <w:szCs w:val="20"/>
          <w:lang w:val="pl-PL"/>
        </w:rPr>
        <w:t>okrutne</w:t>
      </w:r>
      <w:r w:rsidRPr="00CA0F6B">
        <w:rPr>
          <w:rFonts w:ascii="Verdana" w:eastAsia="Verdana" w:hAnsi="Verdana" w:cs="Verdana"/>
          <w:color w:val="0070C0"/>
          <w:sz w:val="20"/>
          <w:szCs w:val="20"/>
          <w:lang w:val="pl-PL"/>
        </w:rPr>
        <w:t xml:space="preserve"> traktowanie. Trybunał stwierdził, że skarżący </w:t>
      </w:r>
      <w:r w:rsidR="002D2477">
        <w:rPr>
          <w:rFonts w:ascii="Verdana" w:eastAsia="Verdana" w:hAnsi="Verdana" w:cs="Verdana"/>
          <w:color w:val="0070C0"/>
          <w:sz w:val="20"/>
          <w:szCs w:val="20"/>
          <w:lang w:val="pl-PL"/>
        </w:rPr>
        <w:t>znajdował się pod</w:t>
      </w:r>
      <w:r w:rsidRPr="00CA0F6B">
        <w:rPr>
          <w:rFonts w:ascii="Verdana" w:eastAsia="Verdana" w:hAnsi="Verdana" w:cs="Verdana"/>
          <w:color w:val="0070C0"/>
          <w:sz w:val="20"/>
          <w:szCs w:val="20"/>
          <w:lang w:val="pl-PL"/>
        </w:rPr>
        <w:t xml:space="preserve"> </w:t>
      </w:r>
      <w:r w:rsidR="000764C3" w:rsidRPr="00CA0F6B">
        <w:rPr>
          <w:rFonts w:ascii="Verdana" w:eastAsia="Verdana" w:hAnsi="Verdana" w:cs="Verdana"/>
          <w:color w:val="0070C0"/>
          <w:sz w:val="20"/>
          <w:szCs w:val="20"/>
          <w:lang w:val="pl-PL"/>
        </w:rPr>
        <w:t>jurysdykc</w:t>
      </w:r>
      <w:r w:rsidR="000764C3">
        <w:rPr>
          <w:rFonts w:ascii="Verdana" w:eastAsia="Verdana" w:hAnsi="Verdana" w:cs="Verdana"/>
          <w:color w:val="0070C0"/>
          <w:sz w:val="20"/>
          <w:szCs w:val="20"/>
          <w:lang w:val="pl-PL"/>
        </w:rPr>
        <w:t>ją</w:t>
      </w:r>
      <w:r w:rsidRPr="00CA0F6B">
        <w:rPr>
          <w:rFonts w:ascii="Verdana" w:eastAsia="Verdana" w:hAnsi="Verdana" w:cs="Verdana"/>
          <w:color w:val="0070C0"/>
          <w:sz w:val="20"/>
          <w:szCs w:val="20"/>
          <w:lang w:val="pl-PL"/>
        </w:rPr>
        <w:t xml:space="preserve"> Litwy i że kraj ten był odpowiedzialny za naruszenie jego praw</w:t>
      </w:r>
      <w:r w:rsidR="00DC5275">
        <w:rPr>
          <w:rFonts w:ascii="Verdana" w:eastAsia="Verdana" w:hAnsi="Verdana" w:cs="Verdana"/>
          <w:color w:val="0070C0"/>
          <w:sz w:val="20"/>
          <w:szCs w:val="20"/>
          <w:lang w:val="pl-PL"/>
        </w:rPr>
        <w:t>,</w:t>
      </w:r>
      <w:r w:rsidRPr="00CA0F6B">
        <w:rPr>
          <w:rFonts w:ascii="Verdana" w:eastAsia="Verdana" w:hAnsi="Verdana" w:cs="Verdana"/>
          <w:color w:val="0070C0"/>
          <w:sz w:val="20"/>
          <w:szCs w:val="20"/>
          <w:lang w:val="pl-PL"/>
        </w:rPr>
        <w:t xml:space="preserve"> wynikających z Konwencji. Trybunał zalecił ponadto, aby Litwa zakończyła pełne </w:t>
      </w:r>
      <w:r w:rsidR="00FB456F">
        <w:rPr>
          <w:rFonts w:ascii="Verdana" w:eastAsia="Verdana" w:hAnsi="Verdana" w:cs="Verdana"/>
          <w:color w:val="0070C0"/>
          <w:sz w:val="20"/>
          <w:szCs w:val="20"/>
          <w:lang w:val="pl-PL"/>
        </w:rPr>
        <w:t>śledztwo</w:t>
      </w:r>
      <w:r w:rsidRPr="00CA0F6B">
        <w:rPr>
          <w:rFonts w:ascii="Verdana" w:eastAsia="Verdana" w:hAnsi="Verdana" w:cs="Verdana"/>
          <w:color w:val="0070C0"/>
          <w:sz w:val="20"/>
          <w:szCs w:val="20"/>
          <w:lang w:val="pl-PL"/>
        </w:rPr>
        <w:t xml:space="preserve"> w sprawie skarżącego tak szybko, jak to możliwe, i w razie potrzeby ukarała odpowiedzialnych </w:t>
      </w:r>
      <w:r w:rsidR="00FB456F">
        <w:rPr>
          <w:rFonts w:ascii="Verdana" w:eastAsia="Verdana" w:hAnsi="Verdana" w:cs="Verdana"/>
          <w:color w:val="0070C0"/>
          <w:sz w:val="20"/>
          <w:szCs w:val="20"/>
          <w:lang w:val="pl-PL"/>
        </w:rPr>
        <w:t>funkcjonariuszy</w:t>
      </w:r>
      <w:r w:rsidRPr="00CA0F6B">
        <w:rPr>
          <w:rFonts w:ascii="Verdana" w:eastAsia="Verdana" w:hAnsi="Verdana" w:cs="Verdana"/>
          <w:color w:val="0070C0"/>
          <w:sz w:val="20"/>
          <w:szCs w:val="20"/>
          <w:lang w:val="pl-PL"/>
        </w:rPr>
        <w:t xml:space="preserve">. Wreszcie stwierdził, że kraj ten musi również </w:t>
      </w:r>
      <w:r w:rsidR="00FB456F">
        <w:rPr>
          <w:rFonts w:ascii="Verdana" w:eastAsia="Verdana" w:hAnsi="Verdana" w:cs="Verdana"/>
          <w:color w:val="0070C0"/>
          <w:sz w:val="20"/>
          <w:szCs w:val="20"/>
          <w:lang w:val="pl-PL"/>
        </w:rPr>
        <w:t>uzyskać od</w:t>
      </w:r>
      <w:r w:rsidRPr="00CA0F6B">
        <w:rPr>
          <w:rFonts w:ascii="Verdana" w:eastAsia="Verdana" w:hAnsi="Verdana" w:cs="Verdana"/>
          <w:color w:val="0070C0"/>
          <w:sz w:val="20"/>
          <w:szCs w:val="20"/>
          <w:lang w:val="pl-PL"/>
        </w:rPr>
        <w:t xml:space="preserve"> Stanów Zjednoczonych </w:t>
      </w:r>
      <w:r w:rsidR="00FB456F">
        <w:rPr>
          <w:rFonts w:ascii="Verdana" w:eastAsia="Verdana" w:hAnsi="Verdana" w:cs="Verdana"/>
          <w:color w:val="0070C0"/>
          <w:sz w:val="20"/>
          <w:szCs w:val="20"/>
          <w:lang w:val="pl-PL"/>
        </w:rPr>
        <w:t xml:space="preserve">odpowiednie dyplomatyczne gwarancje </w:t>
      </w:r>
      <w:r w:rsidRPr="00CA0F6B">
        <w:rPr>
          <w:rFonts w:ascii="Verdana" w:eastAsia="Verdana" w:hAnsi="Verdana" w:cs="Verdana"/>
          <w:color w:val="0070C0"/>
          <w:sz w:val="20"/>
          <w:szCs w:val="20"/>
          <w:lang w:val="pl-PL"/>
        </w:rPr>
        <w:t>w celu usunięcia lub ograniczenia skutków naruszenia praw</w:t>
      </w:r>
      <w:r w:rsidR="00FB456F">
        <w:rPr>
          <w:rFonts w:ascii="Verdana" w:eastAsia="Verdana" w:hAnsi="Verdana" w:cs="Verdana"/>
          <w:color w:val="0070C0"/>
          <w:sz w:val="20"/>
          <w:szCs w:val="20"/>
          <w:lang w:val="pl-PL"/>
        </w:rPr>
        <w:t xml:space="preserve"> skarżącego</w:t>
      </w:r>
      <w:r w:rsidRPr="00CA0F6B">
        <w:rPr>
          <w:rFonts w:ascii="Verdana" w:eastAsia="Verdana" w:hAnsi="Verdana" w:cs="Verdana"/>
          <w:color w:val="0070C0"/>
          <w:sz w:val="20"/>
          <w:szCs w:val="20"/>
          <w:lang w:val="pl-PL"/>
        </w:rPr>
        <w:t>.</w:t>
      </w:r>
    </w:p>
    <w:p w14:paraId="27AF216E" w14:textId="77777777" w:rsidR="000517E7" w:rsidRDefault="000517E7" w:rsidP="00B572AA">
      <w:pPr>
        <w:tabs>
          <w:tab w:val="left" w:pos="9498"/>
          <w:tab w:val="left" w:pos="9781"/>
        </w:tabs>
        <w:ind w:left="142" w:right="111"/>
        <w:jc w:val="both"/>
        <w:rPr>
          <w:rFonts w:ascii="Verdana" w:eastAsia="Verdana" w:hAnsi="Verdana" w:cs="Verdana"/>
          <w:color w:val="0070C0"/>
          <w:sz w:val="20"/>
          <w:szCs w:val="20"/>
          <w:lang w:val="pl-PL"/>
        </w:rPr>
      </w:pPr>
    </w:p>
    <w:p w14:paraId="3CC50B31" w14:textId="3C9B89ED" w:rsidR="00CA0F6B" w:rsidRPr="00CA0F6B" w:rsidRDefault="00CA0F6B" w:rsidP="00B572AA">
      <w:pPr>
        <w:tabs>
          <w:tab w:val="left" w:pos="9498"/>
          <w:tab w:val="left" w:pos="9781"/>
        </w:tabs>
        <w:ind w:left="142" w:right="111"/>
        <w:jc w:val="both"/>
        <w:rPr>
          <w:rFonts w:ascii="Verdana" w:eastAsia="Verdana" w:hAnsi="Verdana" w:cs="Verdana"/>
          <w:b/>
          <w:bCs/>
          <w:color w:val="0072BC"/>
          <w:sz w:val="20"/>
          <w:szCs w:val="20"/>
          <w:u w:val="single"/>
          <w:lang w:val="pl-PL"/>
        </w:rPr>
      </w:pPr>
      <w:hyperlink r:id="rId14" w:anchor="{&quot;itemid&quot;:[&quot;003-6099855-7866554&quot;]}" w:history="1">
        <w:r w:rsidRPr="00BF7D78">
          <w:rPr>
            <w:rStyle w:val="Hipercze"/>
            <w:rFonts w:ascii="Verdana" w:eastAsia="Verdana" w:hAnsi="Verdana" w:cs="Verdana"/>
            <w:b/>
            <w:bCs/>
            <w:sz w:val="20"/>
            <w:szCs w:val="20"/>
            <w:lang w:val="pl-PL"/>
          </w:rPr>
          <w:t>Al Nashiri przeciwko Rumunii</w:t>
        </w:r>
      </w:hyperlink>
      <w:r w:rsidRPr="00CA0F6B">
        <w:rPr>
          <w:rFonts w:ascii="Verdana" w:eastAsia="Verdana" w:hAnsi="Verdana" w:cs="Verdana"/>
          <w:b/>
          <w:bCs/>
          <w:color w:val="0072BC"/>
          <w:sz w:val="20"/>
          <w:szCs w:val="20"/>
          <w:u w:val="single"/>
          <w:lang w:val="pl-PL"/>
        </w:rPr>
        <w:t xml:space="preserve"> </w:t>
      </w:r>
    </w:p>
    <w:p w14:paraId="5FBA29BC" w14:textId="522ADA7F" w:rsidR="00CA0F6B" w:rsidRPr="00CA0F6B" w:rsidRDefault="00CA0F6B" w:rsidP="00B572AA">
      <w:pPr>
        <w:tabs>
          <w:tab w:val="left" w:pos="9498"/>
          <w:tab w:val="left" w:pos="9781"/>
        </w:tabs>
        <w:ind w:left="142" w:right="111"/>
        <w:jc w:val="both"/>
        <w:rPr>
          <w:rFonts w:ascii="Verdana" w:eastAsia="Verdana" w:hAnsi="Verdana" w:cs="Verdana"/>
          <w:color w:val="808080"/>
          <w:sz w:val="18"/>
          <w:szCs w:val="18"/>
          <w:lang w:val="pl-PL"/>
        </w:rPr>
      </w:pPr>
      <w:r w:rsidRPr="00CA0F6B">
        <w:rPr>
          <w:rFonts w:ascii="Verdana" w:eastAsia="Verdana" w:hAnsi="Verdana" w:cs="Verdana"/>
          <w:color w:val="808080"/>
          <w:sz w:val="18"/>
          <w:szCs w:val="18"/>
          <w:lang w:val="pl-PL"/>
        </w:rPr>
        <w:t xml:space="preserve">31 maja 2018 roku </w:t>
      </w:r>
    </w:p>
    <w:p w14:paraId="167372DC" w14:textId="218E2F58" w:rsidR="0073169F" w:rsidRDefault="00CA0F6B" w:rsidP="00B572AA">
      <w:pPr>
        <w:tabs>
          <w:tab w:val="left" w:pos="9498"/>
          <w:tab w:val="left" w:pos="9781"/>
        </w:tabs>
        <w:ind w:left="142" w:right="111"/>
        <w:jc w:val="both"/>
        <w:rPr>
          <w:rFonts w:ascii="Verdana" w:eastAsia="Verdana" w:hAnsi="Verdana" w:cs="Verdana"/>
          <w:sz w:val="20"/>
          <w:szCs w:val="20"/>
          <w:lang w:val="pl-PL"/>
        </w:rPr>
      </w:pPr>
      <w:r w:rsidRPr="00CA0F6B">
        <w:rPr>
          <w:rFonts w:ascii="Verdana" w:eastAsia="Verdana" w:hAnsi="Verdana" w:cs="Verdana"/>
          <w:sz w:val="20"/>
          <w:szCs w:val="20"/>
          <w:lang w:val="pl-PL"/>
        </w:rPr>
        <w:t>Skarżąc</w:t>
      </w:r>
      <w:r w:rsidR="00867D8C">
        <w:rPr>
          <w:rFonts w:ascii="Verdana" w:eastAsia="Verdana" w:hAnsi="Verdana" w:cs="Verdana"/>
          <w:sz w:val="20"/>
          <w:szCs w:val="20"/>
          <w:lang w:val="pl-PL"/>
        </w:rPr>
        <w:t>emu</w:t>
      </w:r>
      <w:r w:rsidRPr="00CA0F6B">
        <w:rPr>
          <w:rFonts w:ascii="Verdana" w:eastAsia="Verdana" w:hAnsi="Verdana" w:cs="Verdana"/>
          <w:sz w:val="20"/>
          <w:szCs w:val="20"/>
          <w:lang w:val="pl-PL"/>
        </w:rPr>
        <w:t xml:space="preserve"> </w:t>
      </w:r>
      <w:r w:rsidR="00867D8C" w:rsidRPr="00867D8C">
        <w:rPr>
          <w:rFonts w:ascii="Verdana" w:eastAsia="Verdana" w:hAnsi="Verdana" w:cs="Verdana"/>
          <w:sz w:val="20"/>
          <w:szCs w:val="20"/>
          <w:lang w:val="pl-PL"/>
        </w:rPr>
        <w:t>postawi</w:t>
      </w:r>
      <w:r w:rsidR="00867D8C">
        <w:rPr>
          <w:rFonts w:ascii="Verdana" w:eastAsia="Verdana" w:hAnsi="Verdana" w:cs="Verdana"/>
          <w:sz w:val="20"/>
          <w:szCs w:val="20"/>
          <w:lang w:val="pl-PL"/>
        </w:rPr>
        <w:t>ono</w:t>
      </w:r>
      <w:r w:rsidR="00867D8C" w:rsidRPr="00867D8C">
        <w:rPr>
          <w:rFonts w:ascii="Verdana" w:eastAsia="Verdana" w:hAnsi="Verdana" w:cs="Verdana"/>
          <w:sz w:val="20"/>
          <w:szCs w:val="20"/>
          <w:lang w:val="pl-PL"/>
        </w:rPr>
        <w:t xml:space="preserve"> zarzuty podlegające karze śmierci</w:t>
      </w:r>
      <w:r w:rsidRPr="00CA0F6B">
        <w:rPr>
          <w:rFonts w:ascii="Verdana" w:eastAsia="Verdana" w:hAnsi="Verdana" w:cs="Verdana"/>
          <w:sz w:val="20"/>
          <w:szCs w:val="20"/>
          <w:lang w:val="pl-PL"/>
        </w:rPr>
        <w:t xml:space="preserve"> w </w:t>
      </w:r>
      <w:r w:rsidR="00867D8C">
        <w:rPr>
          <w:rFonts w:ascii="Verdana" w:eastAsia="Verdana" w:hAnsi="Verdana" w:cs="Verdana"/>
          <w:sz w:val="20"/>
          <w:szCs w:val="20"/>
          <w:lang w:val="pl-PL"/>
        </w:rPr>
        <w:t>Stanach Zjednoczonych</w:t>
      </w:r>
      <w:r w:rsidRPr="00CA0F6B">
        <w:rPr>
          <w:rFonts w:ascii="Verdana" w:eastAsia="Verdana" w:hAnsi="Verdana" w:cs="Verdana"/>
          <w:sz w:val="20"/>
          <w:szCs w:val="20"/>
          <w:lang w:val="pl-PL"/>
        </w:rPr>
        <w:t xml:space="preserve"> za </w:t>
      </w:r>
      <w:r w:rsidR="00867D8C">
        <w:rPr>
          <w:rFonts w:ascii="Verdana" w:eastAsia="Verdana" w:hAnsi="Verdana" w:cs="Verdana"/>
          <w:sz w:val="20"/>
          <w:szCs w:val="20"/>
          <w:lang w:val="pl-PL"/>
        </w:rPr>
        <w:t xml:space="preserve">jego </w:t>
      </w:r>
      <w:r w:rsidRPr="00CA0F6B">
        <w:rPr>
          <w:rFonts w:ascii="Verdana" w:eastAsia="Verdana" w:hAnsi="Verdana" w:cs="Verdana"/>
          <w:sz w:val="20"/>
          <w:szCs w:val="20"/>
          <w:lang w:val="pl-PL"/>
        </w:rPr>
        <w:t>rzekom</w:t>
      </w:r>
      <w:r w:rsidR="00604E9D">
        <w:rPr>
          <w:rFonts w:ascii="Verdana" w:eastAsia="Verdana" w:hAnsi="Verdana" w:cs="Verdana"/>
          <w:sz w:val="20"/>
          <w:szCs w:val="20"/>
          <w:lang w:val="pl-PL"/>
        </w:rPr>
        <w:t>y</w:t>
      </w:r>
      <w:r w:rsidRPr="00CA0F6B">
        <w:rPr>
          <w:rFonts w:ascii="Verdana" w:eastAsia="Verdana" w:hAnsi="Verdana" w:cs="Verdana"/>
          <w:sz w:val="20"/>
          <w:szCs w:val="20"/>
          <w:lang w:val="pl-PL"/>
        </w:rPr>
        <w:t xml:space="preserve"> </w:t>
      </w:r>
      <w:r w:rsidR="00604E9D">
        <w:rPr>
          <w:rFonts w:ascii="Verdana" w:eastAsia="Verdana" w:hAnsi="Verdana" w:cs="Verdana"/>
          <w:sz w:val="20"/>
          <w:szCs w:val="20"/>
          <w:lang w:val="pl-PL"/>
        </w:rPr>
        <w:t>udział</w:t>
      </w:r>
      <w:r w:rsidRPr="00CA0F6B">
        <w:rPr>
          <w:rFonts w:ascii="Verdana" w:eastAsia="Verdana" w:hAnsi="Verdana" w:cs="Verdana"/>
          <w:sz w:val="20"/>
          <w:szCs w:val="20"/>
          <w:lang w:val="pl-PL"/>
        </w:rPr>
        <w:t xml:space="preserve"> w atakach terrorystycznych. </w:t>
      </w:r>
      <w:r w:rsidR="00C0481A">
        <w:rPr>
          <w:rFonts w:ascii="Verdana" w:eastAsia="Verdana" w:hAnsi="Verdana" w:cs="Verdana"/>
          <w:sz w:val="20"/>
          <w:szCs w:val="20"/>
          <w:lang w:val="pl-PL"/>
        </w:rPr>
        <w:t>Skarżący zarzucił</w:t>
      </w:r>
      <w:r w:rsidRPr="00CA0F6B">
        <w:rPr>
          <w:rFonts w:ascii="Verdana" w:eastAsia="Verdana" w:hAnsi="Verdana" w:cs="Verdana"/>
          <w:sz w:val="20"/>
          <w:szCs w:val="20"/>
          <w:lang w:val="pl-PL"/>
        </w:rPr>
        <w:t xml:space="preserve">, że Rumunia pozwoliła Centralnej Agencji Wywiadowczej Stanów Zjednoczonych (CIA) przetransportować go </w:t>
      </w:r>
      <w:r w:rsidR="00867D8C">
        <w:rPr>
          <w:rFonts w:ascii="Verdana" w:eastAsia="Verdana" w:hAnsi="Verdana" w:cs="Verdana"/>
          <w:sz w:val="20"/>
          <w:szCs w:val="20"/>
          <w:lang w:val="pl-PL"/>
        </w:rPr>
        <w:t xml:space="preserve">na jej terytorium </w:t>
      </w:r>
      <w:r w:rsidRPr="00CA0F6B">
        <w:rPr>
          <w:rFonts w:ascii="Verdana" w:eastAsia="Verdana" w:hAnsi="Verdana" w:cs="Verdana"/>
          <w:sz w:val="20"/>
          <w:szCs w:val="20"/>
          <w:lang w:val="pl-PL"/>
        </w:rPr>
        <w:t>w</w:t>
      </w:r>
      <w:r w:rsidR="000764C3">
        <w:rPr>
          <w:rFonts w:ascii="Verdana" w:eastAsia="Verdana" w:hAnsi="Verdana" w:cs="Verdana"/>
          <w:sz w:val="20"/>
          <w:szCs w:val="20"/>
          <w:lang w:val="pl-PL"/>
        </w:rPr>
        <w:t> </w:t>
      </w:r>
      <w:r w:rsidRPr="00CA0F6B">
        <w:rPr>
          <w:rFonts w:ascii="Verdana" w:eastAsia="Verdana" w:hAnsi="Verdana" w:cs="Verdana"/>
          <w:sz w:val="20"/>
          <w:szCs w:val="20"/>
          <w:lang w:val="pl-PL"/>
        </w:rPr>
        <w:t xml:space="preserve">ramach tajnego programu wydawania </w:t>
      </w:r>
      <w:r w:rsidR="00C0481A">
        <w:rPr>
          <w:rFonts w:ascii="Verdana" w:eastAsia="Verdana" w:hAnsi="Verdana" w:cs="Verdana"/>
          <w:sz w:val="20"/>
          <w:szCs w:val="20"/>
          <w:lang w:val="pl-PL"/>
        </w:rPr>
        <w:t xml:space="preserve">więźniów </w:t>
      </w:r>
      <w:r w:rsidRPr="00CA0F6B">
        <w:rPr>
          <w:rFonts w:ascii="Verdana" w:eastAsia="Verdana" w:hAnsi="Verdana" w:cs="Verdana"/>
          <w:sz w:val="20"/>
          <w:szCs w:val="20"/>
          <w:lang w:val="pl-PL"/>
        </w:rPr>
        <w:t xml:space="preserve">w trybie nadzwyczajnym i umożliwiła </w:t>
      </w:r>
      <w:r w:rsidR="00AA3D5E">
        <w:rPr>
          <w:rFonts w:ascii="Verdana" w:eastAsia="Verdana" w:hAnsi="Verdana" w:cs="Verdana"/>
          <w:sz w:val="20"/>
          <w:szCs w:val="20"/>
          <w:lang w:val="pl-PL"/>
        </w:rPr>
        <w:t xml:space="preserve">poddanie go okrutnemu traktowaniu </w:t>
      </w:r>
      <w:r w:rsidRPr="00CA0F6B">
        <w:rPr>
          <w:rFonts w:ascii="Verdana" w:eastAsia="Verdana" w:hAnsi="Verdana" w:cs="Verdana"/>
          <w:sz w:val="20"/>
          <w:szCs w:val="20"/>
          <w:lang w:val="pl-PL"/>
        </w:rPr>
        <w:t>i</w:t>
      </w:r>
      <w:r w:rsidR="000764C3">
        <w:rPr>
          <w:rFonts w:ascii="Verdana" w:eastAsia="Verdana" w:hAnsi="Verdana" w:cs="Verdana"/>
          <w:sz w:val="20"/>
          <w:szCs w:val="20"/>
          <w:lang w:val="pl-PL"/>
        </w:rPr>
        <w:t xml:space="preserve"> </w:t>
      </w:r>
      <w:r w:rsidRPr="00CA0F6B">
        <w:rPr>
          <w:rFonts w:ascii="Verdana" w:eastAsia="Verdana" w:hAnsi="Verdana" w:cs="Verdana"/>
          <w:sz w:val="20"/>
          <w:szCs w:val="20"/>
          <w:lang w:val="pl-PL"/>
        </w:rPr>
        <w:t>arbitraln</w:t>
      </w:r>
      <w:r w:rsidR="00AA3D5E">
        <w:rPr>
          <w:rFonts w:ascii="Verdana" w:eastAsia="Verdana" w:hAnsi="Verdana" w:cs="Verdana"/>
          <w:sz w:val="20"/>
          <w:szCs w:val="20"/>
          <w:lang w:val="pl-PL"/>
        </w:rPr>
        <w:t>emu</w:t>
      </w:r>
      <w:r w:rsidRPr="00CA0F6B">
        <w:rPr>
          <w:rFonts w:ascii="Verdana" w:eastAsia="Verdana" w:hAnsi="Verdana" w:cs="Verdana"/>
          <w:sz w:val="20"/>
          <w:szCs w:val="20"/>
          <w:lang w:val="pl-PL"/>
        </w:rPr>
        <w:t xml:space="preserve"> przetrzymywani</w:t>
      </w:r>
      <w:r w:rsidR="00AA3D5E">
        <w:rPr>
          <w:rFonts w:ascii="Verdana" w:eastAsia="Verdana" w:hAnsi="Verdana" w:cs="Verdana"/>
          <w:sz w:val="20"/>
          <w:szCs w:val="20"/>
          <w:lang w:val="pl-PL"/>
        </w:rPr>
        <w:t>u</w:t>
      </w:r>
      <w:r w:rsidRPr="00CA0F6B">
        <w:rPr>
          <w:rFonts w:ascii="Verdana" w:eastAsia="Verdana" w:hAnsi="Verdana" w:cs="Verdana"/>
          <w:sz w:val="20"/>
          <w:szCs w:val="20"/>
          <w:lang w:val="pl-PL"/>
        </w:rPr>
        <w:t xml:space="preserve"> w </w:t>
      </w:r>
      <w:r w:rsidR="006353D9">
        <w:rPr>
          <w:rFonts w:ascii="Verdana" w:eastAsia="Verdana" w:hAnsi="Verdana" w:cs="Verdana"/>
          <w:sz w:val="20"/>
          <w:szCs w:val="20"/>
          <w:lang w:val="pl-PL"/>
        </w:rPr>
        <w:t xml:space="preserve">tajnym więzieniu </w:t>
      </w:r>
      <w:r w:rsidRPr="00CA0F6B">
        <w:rPr>
          <w:rFonts w:ascii="Verdana" w:eastAsia="Verdana" w:hAnsi="Verdana" w:cs="Verdana"/>
          <w:sz w:val="20"/>
          <w:szCs w:val="20"/>
          <w:lang w:val="pl-PL"/>
        </w:rPr>
        <w:t xml:space="preserve">CIA. </w:t>
      </w:r>
      <w:r w:rsidR="00AA3D5E">
        <w:rPr>
          <w:rFonts w:ascii="Verdana" w:eastAsia="Verdana" w:hAnsi="Verdana" w:cs="Verdana"/>
          <w:sz w:val="20"/>
          <w:szCs w:val="20"/>
          <w:lang w:val="pl-PL"/>
        </w:rPr>
        <w:t>Podniósł również</w:t>
      </w:r>
      <w:r w:rsidRPr="00CA0F6B">
        <w:rPr>
          <w:rFonts w:ascii="Verdana" w:eastAsia="Verdana" w:hAnsi="Verdana" w:cs="Verdana"/>
          <w:sz w:val="20"/>
          <w:szCs w:val="20"/>
          <w:lang w:val="pl-PL"/>
        </w:rPr>
        <w:t xml:space="preserve">, że Rumunia nie przeprowadziła skutecznego </w:t>
      </w:r>
      <w:r w:rsidR="00604E9D">
        <w:rPr>
          <w:rFonts w:ascii="Verdana" w:eastAsia="Verdana" w:hAnsi="Verdana" w:cs="Verdana"/>
          <w:sz w:val="20"/>
          <w:szCs w:val="20"/>
          <w:lang w:val="pl-PL"/>
        </w:rPr>
        <w:t>śledztwa</w:t>
      </w:r>
      <w:r w:rsidRPr="00CA0F6B">
        <w:rPr>
          <w:rFonts w:ascii="Verdana" w:eastAsia="Verdana" w:hAnsi="Verdana" w:cs="Verdana"/>
          <w:sz w:val="20"/>
          <w:szCs w:val="20"/>
          <w:lang w:val="pl-PL"/>
        </w:rPr>
        <w:t xml:space="preserve"> w sprawie jego zarzutów.</w:t>
      </w:r>
    </w:p>
    <w:p w14:paraId="611E70A6" w14:textId="525A9AD0" w:rsidR="00CA0F6B" w:rsidRDefault="00CA0F6B" w:rsidP="00B572AA">
      <w:pPr>
        <w:tabs>
          <w:tab w:val="left" w:pos="9498"/>
          <w:tab w:val="left" w:pos="9781"/>
        </w:tabs>
        <w:ind w:left="142" w:right="111"/>
        <w:jc w:val="both"/>
        <w:rPr>
          <w:rFonts w:ascii="Verdana" w:eastAsia="Verdana" w:hAnsi="Verdana" w:cs="Verdana"/>
          <w:color w:val="0070C0"/>
          <w:sz w:val="20"/>
          <w:szCs w:val="20"/>
          <w:lang w:val="pl-PL"/>
        </w:rPr>
      </w:pPr>
      <w:r w:rsidRPr="00D4441C">
        <w:rPr>
          <w:rFonts w:ascii="Verdana" w:eastAsia="Verdana" w:hAnsi="Verdana" w:cs="Verdana"/>
          <w:color w:val="0070C0"/>
          <w:sz w:val="20"/>
          <w:szCs w:val="20"/>
          <w:lang w:val="pl-PL"/>
        </w:rPr>
        <w:t xml:space="preserve">W tej sprawie Trybunał nie miał </w:t>
      </w:r>
      <w:r w:rsidR="00604E9D">
        <w:rPr>
          <w:rFonts w:ascii="Verdana" w:eastAsia="Verdana" w:hAnsi="Verdana" w:cs="Verdana"/>
          <w:color w:val="0070C0"/>
          <w:sz w:val="20"/>
          <w:szCs w:val="20"/>
          <w:lang w:val="pl-PL"/>
        </w:rPr>
        <w:t xml:space="preserve">kontaktu ze </w:t>
      </w:r>
      <w:r w:rsidRPr="00D4441C">
        <w:rPr>
          <w:rFonts w:ascii="Verdana" w:eastAsia="Verdana" w:hAnsi="Verdana" w:cs="Verdana"/>
          <w:color w:val="0070C0"/>
          <w:sz w:val="20"/>
          <w:szCs w:val="20"/>
          <w:lang w:val="pl-PL"/>
        </w:rPr>
        <w:t>skarżąc</w:t>
      </w:r>
      <w:r w:rsidR="00604E9D">
        <w:rPr>
          <w:rFonts w:ascii="Verdana" w:eastAsia="Verdana" w:hAnsi="Verdana" w:cs="Verdana"/>
          <w:color w:val="0070C0"/>
          <w:sz w:val="20"/>
          <w:szCs w:val="20"/>
          <w:lang w:val="pl-PL"/>
        </w:rPr>
        <w:t>ym</w:t>
      </w:r>
      <w:r w:rsidRPr="00D4441C">
        <w:rPr>
          <w:rFonts w:ascii="Verdana" w:eastAsia="Verdana" w:hAnsi="Verdana" w:cs="Verdana"/>
          <w:color w:val="0070C0"/>
          <w:sz w:val="20"/>
          <w:szCs w:val="20"/>
          <w:lang w:val="pl-PL"/>
        </w:rPr>
        <w:t xml:space="preserve">, ponieważ był on </w:t>
      </w:r>
      <w:r w:rsidR="00F30381" w:rsidRPr="00D4441C">
        <w:rPr>
          <w:rFonts w:ascii="Verdana" w:eastAsia="Verdana" w:hAnsi="Verdana" w:cs="Verdana"/>
          <w:color w:val="0070C0"/>
          <w:sz w:val="20"/>
          <w:szCs w:val="20"/>
          <w:lang w:val="pl-PL"/>
        </w:rPr>
        <w:t xml:space="preserve">nadal </w:t>
      </w:r>
      <w:r w:rsidRPr="00D4441C">
        <w:rPr>
          <w:rFonts w:ascii="Verdana" w:eastAsia="Verdana" w:hAnsi="Verdana" w:cs="Verdana"/>
          <w:color w:val="0070C0"/>
          <w:sz w:val="20"/>
          <w:szCs w:val="20"/>
          <w:lang w:val="pl-PL"/>
        </w:rPr>
        <w:t>przetrzymywany przez władze USA w bardzo restrykcyjnych warunkach, w</w:t>
      </w:r>
      <w:r w:rsidR="00A32E7D">
        <w:rPr>
          <w:rFonts w:ascii="Verdana" w:eastAsia="Verdana" w:hAnsi="Verdana" w:cs="Verdana"/>
          <w:color w:val="0070C0"/>
          <w:sz w:val="20"/>
          <w:szCs w:val="20"/>
          <w:lang w:val="pl-PL"/>
        </w:rPr>
        <w:t>obec czego</w:t>
      </w:r>
      <w:r w:rsidRPr="00D4441C">
        <w:rPr>
          <w:rFonts w:ascii="Verdana" w:eastAsia="Verdana" w:hAnsi="Verdana" w:cs="Verdana"/>
          <w:color w:val="0070C0"/>
          <w:sz w:val="20"/>
          <w:szCs w:val="20"/>
          <w:lang w:val="pl-PL"/>
        </w:rPr>
        <w:t xml:space="preserve"> musiał ustalić fakty</w:t>
      </w:r>
      <w:r w:rsidR="001A3D77">
        <w:rPr>
          <w:rFonts w:ascii="Verdana" w:eastAsia="Verdana" w:hAnsi="Verdana" w:cs="Verdana"/>
          <w:color w:val="0070C0"/>
          <w:sz w:val="20"/>
          <w:szCs w:val="20"/>
          <w:lang w:val="pl-PL"/>
        </w:rPr>
        <w:t>,</w:t>
      </w:r>
      <w:r w:rsidRPr="00D4441C">
        <w:rPr>
          <w:rFonts w:ascii="Verdana" w:eastAsia="Verdana" w:hAnsi="Verdana" w:cs="Verdana"/>
          <w:color w:val="0070C0"/>
          <w:sz w:val="20"/>
          <w:szCs w:val="20"/>
          <w:lang w:val="pl-PL"/>
        </w:rPr>
        <w:t xml:space="preserve"> </w:t>
      </w:r>
      <w:r w:rsidR="00F30381">
        <w:rPr>
          <w:rFonts w:ascii="Verdana" w:eastAsia="Verdana" w:hAnsi="Verdana" w:cs="Verdana"/>
          <w:color w:val="0070C0"/>
          <w:sz w:val="20"/>
          <w:szCs w:val="20"/>
          <w:lang w:val="pl-PL"/>
        </w:rPr>
        <w:t>bazując na</w:t>
      </w:r>
      <w:r w:rsidRPr="00D4441C">
        <w:rPr>
          <w:rFonts w:ascii="Verdana" w:eastAsia="Verdana" w:hAnsi="Verdana" w:cs="Verdana"/>
          <w:color w:val="0070C0"/>
          <w:sz w:val="20"/>
          <w:szCs w:val="20"/>
          <w:lang w:val="pl-PL"/>
        </w:rPr>
        <w:t xml:space="preserve"> innych źródł</w:t>
      </w:r>
      <w:r w:rsidR="00F30381">
        <w:rPr>
          <w:rFonts w:ascii="Verdana" w:eastAsia="Verdana" w:hAnsi="Verdana" w:cs="Verdana"/>
          <w:color w:val="0070C0"/>
          <w:sz w:val="20"/>
          <w:szCs w:val="20"/>
          <w:lang w:val="pl-PL"/>
        </w:rPr>
        <w:t>ach</w:t>
      </w:r>
      <w:r w:rsidRPr="00D4441C">
        <w:rPr>
          <w:rFonts w:ascii="Verdana" w:eastAsia="Verdana" w:hAnsi="Verdana" w:cs="Verdana"/>
          <w:color w:val="0070C0"/>
          <w:sz w:val="20"/>
          <w:szCs w:val="20"/>
          <w:lang w:val="pl-PL"/>
        </w:rPr>
        <w:t>. W szczególności uzyskał kluczowe informacje</w:t>
      </w:r>
      <w:r w:rsidR="00A32E7D">
        <w:rPr>
          <w:rFonts w:ascii="Verdana" w:eastAsia="Verdana" w:hAnsi="Verdana" w:cs="Verdana"/>
          <w:color w:val="0070C0"/>
          <w:sz w:val="20"/>
          <w:szCs w:val="20"/>
          <w:lang w:val="pl-PL"/>
        </w:rPr>
        <w:t xml:space="preserve"> z wydanego w</w:t>
      </w:r>
      <w:r w:rsidR="000764C3">
        <w:rPr>
          <w:rFonts w:ascii="Verdana" w:eastAsia="Verdana" w:hAnsi="Verdana" w:cs="Verdana"/>
          <w:color w:val="0070C0"/>
          <w:sz w:val="20"/>
          <w:szCs w:val="20"/>
          <w:lang w:val="pl-PL"/>
        </w:rPr>
        <w:t> </w:t>
      </w:r>
      <w:r w:rsidR="00A32E7D">
        <w:rPr>
          <w:rFonts w:ascii="Verdana" w:eastAsia="Verdana" w:hAnsi="Verdana" w:cs="Verdana"/>
          <w:color w:val="0070C0"/>
          <w:sz w:val="20"/>
          <w:szCs w:val="20"/>
          <w:lang w:val="pl-PL"/>
        </w:rPr>
        <w:t xml:space="preserve">grudniu 2014 roku </w:t>
      </w:r>
      <w:r w:rsidRPr="00D4441C">
        <w:rPr>
          <w:rFonts w:ascii="Verdana" w:eastAsia="Verdana" w:hAnsi="Verdana" w:cs="Verdana"/>
          <w:color w:val="0070C0"/>
          <w:sz w:val="20"/>
          <w:szCs w:val="20"/>
          <w:lang w:val="pl-PL"/>
        </w:rPr>
        <w:t>raportu Senatu USA o torturach CIA</w:t>
      </w:r>
      <w:r w:rsidR="00A32E7D">
        <w:rPr>
          <w:rFonts w:ascii="Verdana" w:eastAsia="Verdana" w:hAnsi="Verdana" w:cs="Verdana"/>
          <w:color w:val="0070C0"/>
          <w:sz w:val="20"/>
          <w:szCs w:val="20"/>
          <w:lang w:val="pl-PL"/>
        </w:rPr>
        <w:t xml:space="preserve">. </w:t>
      </w:r>
      <w:r w:rsidR="00604E9D">
        <w:rPr>
          <w:rFonts w:ascii="Verdana" w:eastAsia="Verdana" w:hAnsi="Verdana" w:cs="Verdana"/>
          <w:color w:val="0070C0"/>
          <w:sz w:val="20"/>
          <w:szCs w:val="20"/>
          <w:lang w:val="pl-PL"/>
        </w:rPr>
        <w:t>Wysłuchał także</w:t>
      </w:r>
      <w:r w:rsidRPr="00D4441C">
        <w:rPr>
          <w:rFonts w:ascii="Verdana" w:eastAsia="Verdana" w:hAnsi="Verdana" w:cs="Verdana"/>
          <w:color w:val="0070C0"/>
          <w:sz w:val="20"/>
          <w:szCs w:val="20"/>
          <w:lang w:val="pl-PL"/>
        </w:rPr>
        <w:t xml:space="preserve"> </w:t>
      </w:r>
      <w:r w:rsidR="00A32E7D">
        <w:rPr>
          <w:rFonts w:ascii="Verdana" w:eastAsia="Verdana" w:hAnsi="Verdana" w:cs="Verdana"/>
          <w:color w:val="0070C0"/>
          <w:sz w:val="20"/>
          <w:szCs w:val="20"/>
          <w:lang w:val="pl-PL"/>
        </w:rPr>
        <w:t>opinii</w:t>
      </w:r>
      <w:r w:rsidRPr="00D4441C">
        <w:rPr>
          <w:rFonts w:ascii="Verdana" w:eastAsia="Verdana" w:hAnsi="Verdana" w:cs="Verdana"/>
          <w:color w:val="0070C0"/>
          <w:sz w:val="20"/>
          <w:szCs w:val="20"/>
          <w:lang w:val="pl-PL"/>
        </w:rPr>
        <w:t xml:space="preserve"> </w:t>
      </w:r>
      <w:r w:rsidR="00604E9D">
        <w:rPr>
          <w:rFonts w:ascii="Verdana" w:eastAsia="Verdana" w:hAnsi="Verdana" w:cs="Verdana"/>
          <w:color w:val="0070C0"/>
          <w:sz w:val="20"/>
          <w:szCs w:val="20"/>
          <w:lang w:val="pl-PL"/>
        </w:rPr>
        <w:t>biegłego</w:t>
      </w:r>
      <w:r w:rsidRPr="00D4441C">
        <w:rPr>
          <w:rFonts w:ascii="Verdana" w:eastAsia="Verdana" w:hAnsi="Verdana" w:cs="Verdana"/>
          <w:color w:val="0070C0"/>
          <w:sz w:val="20"/>
          <w:szCs w:val="20"/>
          <w:lang w:val="pl-PL"/>
        </w:rPr>
        <w:t xml:space="preserve">. Trybunał uznał, że w sprawie skarżącego doszło do </w:t>
      </w:r>
      <w:r w:rsidRPr="003E1D84">
        <w:rPr>
          <w:rFonts w:ascii="Verdana" w:eastAsia="Verdana" w:hAnsi="Verdana" w:cs="Verdana"/>
          <w:b/>
          <w:bCs/>
          <w:color w:val="0070C0"/>
          <w:sz w:val="20"/>
          <w:szCs w:val="20"/>
          <w:lang w:val="pl-PL"/>
        </w:rPr>
        <w:t>naruszenia</w:t>
      </w:r>
      <w:r w:rsidR="00604E9D">
        <w:rPr>
          <w:rFonts w:ascii="Verdana" w:eastAsia="Verdana" w:hAnsi="Verdana" w:cs="Verdana"/>
          <w:color w:val="0070C0"/>
          <w:sz w:val="20"/>
          <w:szCs w:val="20"/>
          <w:lang w:val="pl-PL"/>
        </w:rPr>
        <w:t xml:space="preserve"> </w:t>
      </w:r>
      <w:r w:rsidR="00604E9D" w:rsidRPr="003E1D84">
        <w:rPr>
          <w:rFonts w:ascii="Verdana" w:eastAsia="Verdana" w:hAnsi="Verdana" w:cs="Verdana"/>
          <w:b/>
          <w:bCs/>
          <w:color w:val="0070C0"/>
          <w:sz w:val="20"/>
          <w:szCs w:val="20"/>
          <w:lang w:val="pl-PL"/>
        </w:rPr>
        <w:t>art.</w:t>
      </w:r>
      <w:r w:rsidRPr="003E1D84">
        <w:rPr>
          <w:rFonts w:ascii="Verdana" w:eastAsia="Verdana" w:hAnsi="Verdana" w:cs="Verdana"/>
          <w:b/>
          <w:bCs/>
          <w:color w:val="0070C0"/>
          <w:sz w:val="20"/>
          <w:szCs w:val="20"/>
          <w:lang w:val="pl-PL"/>
        </w:rPr>
        <w:t xml:space="preserve"> 3</w:t>
      </w:r>
      <w:r w:rsidRPr="00D4441C">
        <w:rPr>
          <w:rFonts w:ascii="Verdana" w:eastAsia="Verdana" w:hAnsi="Verdana" w:cs="Verdana"/>
          <w:color w:val="0070C0"/>
          <w:sz w:val="20"/>
          <w:szCs w:val="20"/>
          <w:lang w:val="pl-PL"/>
        </w:rPr>
        <w:t xml:space="preserve"> (zakaz tortur) Konwencji z powodu braku </w:t>
      </w:r>
      <w:r w:rsidR="003E1D84">
        <w:rPr>
          <w:rFonts w:ascii="Verdana" w:eastAsia="Verdana" w:hAnsi="Verdana" w:cs="Verdana"/>
          <w:color w:val="0070C0"/>
          <w:sz w:val="20"/>
          <w:szCs w:val="20"/>
          <w:lang w:val="pl-PL"/>
        </w:rPr>
        <w:t xml:space="preserve">przeprowadzenia przez rząd Rumunii </w:t>
      </w:r>
      <w:r w:rsidRPr="00D4441C">
        <w:rPr>
          <w:rFonts w:ascii="Verdana" w:eastAsia="Verdana" w:hAnsi="Verdana" w:cs="Verdana"/>
          <w:color w:val="0070C0"/>
          <w:sz w:val="20"/>
          <w:szCs w:val="20"/>
          <w:lang w:val="pl-PL"/>
        </w:rPr>
        <w:t xml:space="preserve">skutecznego </w:t>
      </w:r>
      <w:r w:rsidR="003E1D84">
        <w:rPr>
          <w:rFonts w:ascii="Verdana" w:eastAsia="Verdana" w:hAnsi="Verdana" w:cs="Verdana"/>
          <w:color w:val="0070C0"/>
          <w:sz w:val="20"/>
          <w:szCs w:val="20"/>
          <w:lang w:val="pl-PL"/>
        </w:rPr>
        <w:t>śledztwa</w:t>
      </w:r>
      <w:r w:rsidRPr="00D4441C">
        <w:rPr>
          <w:rFonts w:ascii="Verdana" w:eastAsia="Verdana" w:hAnsi="Verdana" w:cs="Verdana"/>
          <w:color w:val="0070C0"/>
          <w:sz w:val="20"/>
          <w:szCs w:val="20"/>
          <w:lang w:val="pl-PL"/>
        </w:rPr>
        <w:t xml:space="preserve"> w</w:t>
      </w:r>
      <w:r w:rsidR="000764C3">
        <w:rPr>
          <w:rFonts w:ascii="Verdana" w:eastAsia="Verdana" w:hAnsi="Verdana" w:cs="Verdana"/>
          <w:color w:val="0070C0"/>
          <w:sz w:val="20"/>
          <w:szCs w:val="20"/>
          <w:lang w:val="pl-PL"/>
        </w:rPr>
        <w:t xml:space="preserve"> </w:t>
      </w:r>
      <w:r w:rsidRPr="00D4441C">
        <w:rPr>
          <w:rFonts w:ascii="Verdana" w:eastAsia="Verdana" w:hAnsi="Verdana" w:cs="Verdana"/>
          <w:color w:val="0070C0"/>
          <w:sz w:val="20"/>
          <w:szCs w:val="20"/>
          <w:lang w:val="pl-PL"/>
        </w:rPr>
        <w:t xml:space="preserve">sprawie zarzutów skarżącego oraz z powodu współudziału w działaniach CIA, które doprowadziły do </w:t>
      </w:r>
      <w:r w:rsidR="00A32E7D">
        <w:rPr>
          <w:rFonts w:ascii="Verdana" w:eastAsia="Verdana" w:hAnsi="Verdana" w:cs="Verdana"/>
          <w:color w:val="0070C0"/>
          <w:sz w:val="20"/>
          <w:szCs w:val="20"/>
          <w:lang w:val="pl-PL"/>
        </w:rPr>
        <w:t>poddania skarżącego okrutnemu traktowaniu</w:t>
      </w:r>
      <w:r w:rsidRPr="00D4441C">
        <w:rPr>
          <w:rFonts w:ascii="Verdana" w:eastAsia="Verdana" w:hAnsi="Verdana" w:cs="Verdana"/>
          <w:color w:val="0070C0"/>
          <w:sz w:val="20"/>
          <w:szCs w:val="20"/>
          <w:lang w:val="pl-PL"/>
        </w:rPr>
        <w:t xml:space="preserve">. Trybunał stwierdził również, że doszło do </w:t>
      </w:r>
      <w:r w:rsidRPr="003E1D84">
        <w:rPr>
          <w:rFonts w:ascii="Verdana" w:eastAsia="Verdana" w:hAnsi="Verdana" w:cs="Verdana"/>
          <w:b/>
          <w:bCs/>
          <w:color w:val="0070C0"/>
          <w:sz w:val="20"/>
          <w:szCs w:val="20"/>
          <w:lang w:val="pl-PL"/>
        </w:rPr>
        <w:t>naruszenia art. 5</w:t>
      </w:r>
      <w:r w:rsidRPr="00D4441C">
        <w:rPr>
          <w:rFonts w:ascii="Verdana" w:eastAsia="Verdana" w:hAnsi="Verdana" w:cs="Verdana"/>
          <w:color w:val="0070C0"/>
          <w:sz w:val="20"/>
          <w:szCs w:val="20"/>
          <w:lang w:val="pl-PL"/>
        </w:rPr>
        <w:t xml:space="preserve"> (prawo do wolności i bezpieczeństwa), </w:t>
      </w:r>
      <w:r w:rsidRPr="003E1D84">
        <w:rPr>
          <w:rFonts w:ascii="Verdana" w:eastAsia="Verdana" w:hAnsi="Verdana" w:cs="Verdana"/>
          <w:b/>
          <w:bCs/>
          <w:color w:val="0070C0"/>
          <w:sz w:val="20"/>
          <w:szCs w:val="20"/>
          <w:lang w:val="pl-PL"/>
        </w:rPr>
        <w:t>art. 8</w:t>
      </w:r>
      <w:r w:rsidRPr="00D4441C">
        <w:rPr>
          <w:rFonts w:ascii="Verdana" w:eastAsia="Verdana" w:hAnsi="Verdana" w:cs="Verdana"/>
          <w:color w:val="0070C0"/>
          <w:sz w:val="20"/>
          <w:szCs w:val="20"/>
          <w:lang w:val="pl-PL"/>
        </w:rPr>
        <w:t xml:space="preserve"> (prawo do poszanowania życia prywatnego) i</w:t>
      </w:r>
      <w:r w:rsidR="000764C3">
        <w:rPr>
          <w:rFonts w:ascii="Verdana" w:eastAsia="Verdana" w:hAnsi="Verdana" w:cs="Verdana"/>
          <w:color w:val="0070C0"/>
          <w:sz w:val="20"/>
          <w:szCs w:val="20"/>
          <w:lang w:val="pl-PL"/>
        </w:rPr>
        <w:t> </w:t>
      </w:r>
      <w:r w:rsidRPr="003E1D84">
        <w:rPr>
          <w:rFonts w:ascii="Verdana" w:eastAsia="Verdana" w:hAnsi="Verdana" w:cs="Verdana"/>
          <w:b/>
          <w:bCs/>
          <w:color w:val="0070C0"/>
          <w:sz w:val="20"/>
          <w:szCs w:val="20"/>
          <w:lang w:val="pl-PL"/>
        </w:rPr>
        <w:t>art. 13</w:t>
      </w:r>
      <w:r w:rsidRPr="00D4441C">
        <w:rPr>
          <w:rFonts w:ascii="Verdana" w:eastAsia="Verdana" w:hAnsi="Verdana" w:cs="Verdana"/>
          <w:color w:val="0070C0"/>
          <w:sz w:val="20"/>
          <w:szCs w:val="20"/>
          <w:lang w:val="pl-PL"/>
        </w:rPr>
        <w:t xml:space="preserve"> (prawo do skutecznego środka odwoławczego) </w:t>
      </w:r>
      <w:r w:rsidRPr="003E1D84">
        <w:rPr>
          <w:rFonts w:ascii="Verdana" w:eastAsia="Verdana" w:hAnsi="Verdana" w:cs="Verdana"/>
          <w:b/>
          <w:bCs/>
          <w:color w:val="0070C0"/>
          <w:sz w:val="20"/>
          <w:szCs w:val="20"/>
          <w:lang w:val="pl-PL"/>
        </w:rPr>
        <w:t xml:space="preserve">w </w:t>
      </w:r>
      <w:r w:rsidR="00A32E7D">
        <w:rPr>
          <w:rFonts w:ascii="Verdana" w:eastAsia="Verdana" w:hAnsi="Verdana" w:cs="Verdana"/>
          <w:b/>
          <w:bCs/>
          <w:color w:val="0070C0"/>
          <w:sz w:val="20"/>
          <w:szCs w:val="20"/>
          <w:lang w:val="pl-PL"/>
        </w:rPr>
        <w:t>powiązaniu</w:t>
      </w:r>
      <w:r w:rsidRPr="003E1D84">
        <w:rPr>
          <w:rFonts w:ascii="Verdana" w:eastAsia="Verdana" w:hAnsi="Verdana" w:cs="Verdana"/>
          <w:b/>
          <w:bCs/>
          <w:color w:val="0070C0"/>
          <w:sz w:val="20"/>
          <w:szCs w:val="20"/>
          <w:lang w:val="pl-PL"/>
        </w:rPr>
        <w:t xml:space="preserve"> z art. 3, 5 i 8</w:t>
      </w:r>
      <w:r w:rsidR="003E1D84">
        <w:rPr>
          <w:rFonts w:ascii="Verdana" w:eastAsia="Verdana" w:hAnsi="Verdana" w:cs="Verdana"/>
          <w:color w:val="0070C0"/>
          <w:sz w:val="20"/>
          <w:szCs w:val="20"/>
          <w:lang w:val="pl-PL"/>
        </w:rPr>
        <w:t>.</w:t>
      </w:r>
      <w:r w:rsidRPr="003E1D84">
        <w:rPr>
          <w:rFonts w:ascii="Verdana" w:eastAsia="Verdana" w:hAnsi="Verdana" w:cs="Verdana"/>
          <w:color w:val="0070C0"/>
          <w:sz w:val="20"/>
          <w:szCs w:val="20"/>
          <w:lang w:val="pl-PL"/>
        </w:rPr>
        <w:t xml:space="preserve"> </w:t>
      </w:r>
      <w:r w:rsidR="00816212">
        <w:rPr>
          <w:rFonts w:ascii="Verdana" w:eastAsia="Verdana" w:hAnsi="Verdana" w:cs="Verdana"/>
          <w:color w:val="0070C0"/>
          <w:sz w:val="20"/>
          <w:szCs w:val="20"/>
          <w:lang w:val="pl-PL"/>
        </w:rPr>
        <w:t>Orzekł</w:t>
      </w:r>
      <w:r w:rsidRPr="00D4441C">
        <w:rPr>
          <w:rFonts w:ascii="Verdana" w:eastAsia="Verdana" w:hAnsi="Verdana" w:cs="Verdana"/>
          <w:color w:val="0070C0"/>
          <w:sz w:val="20"/>
          <w:szCs w:val="20"/>
          <w:lang w:val="pl-PL"/>
        </w:rPr>
        <w:t>, że doszło</w:t>
      </w:r>
      <w:r w:rsidR="00816212">
        <w:rPr>
          <w:rFonts w:ascii="Verdana" w:eastAsia="Verdana" w:hAnsi="Verdana" w:cs="Verdana"/>
          <w:color w:val="0070C0"/>
          <w:sz w:val="20"/>
          <w:szCs w:val="20"/>
          <w:lang w:val="pl-PL"/>
        </w:rPr>
        <w:t xml:space="preserve"> również</w:t>
      </w:r>
      <w:r w:rsidRPr="00D4441C">
        <w:rPr>
          <w:rFonts w:ascii="Verdana" w:eastAsia="Verdana" w:hAnsi="Verdana" w:cs="Verdana"/>
          <w:color w:val="0070C0"/>
          <w:sz w:val="20"/>
          <w:szCs w:val="20"/>
          <w:lang w:val="pl-PL"/>
        </w:rPr>
        <w:t xml:space="preserve"> do </w:t>
      </w:r>
      <w:r w:rsidRPr="003E1D84">
        <w:rPr>
          <w:rFonts w:ascii="Verdana" w:eastAsia="Verdana" w:hAnsi="Verdana" w:cs="Verdana"/>
          <w:b/>
          <w:bCs/>
          <w:color w:val="0070C0"/>
          <w:sz w:val="20"/>
          <w:szCs w:val="20"/>
          <w:lang w:val="pl-PL"/>
        </w:rPr>
        <w:t xml:space="preserve">naruszenia art. 6 </w:t>
      </w:r>
      <w:r w:rsidR="003E1D84" w:rsidRPr="003E1D84">
        <w:rPr>
          <w:rFonts w:ascii="Verdana" w:eastAsia="Verdana" w:hAnsi="Verdana" w:cs="Verdana"/>
          <w:b/>
          <w:bCs/>
          <w:color w:val="0070C0"/>
          <w:sz w:val="20"/>
          <w:szCs w:val="20"/>
          <w:lang w:val="pl-PL"/>
        </w:rPr>
        <w:t>ust.</w:t>
      </w:r>
      <w:r w:rsidRPr="003E1D84">
        <w:rPr>
          <w:rFonts w:ascii="Verdana" w:eastAsia="Verdana" w:hAnsi="Verdana" w:cs="Verdana"/>
          <w:b/>
          <w:bCs/>
          <w:color w:val="0070C0"/>
          <w:sz w:val="20"/>
          <w:szCs w:val="20"/>
          <w:lang w:val="pl-PL"/>
        </w:rPr>
        <w:t xml:space="preserve"> 1</w:t>
      </w:r>
      <w:r w:rsidRPr="00D4441C">
        <w:rPr>
          <w:rFonts w:ascii="Verdana" w:eastAsia="Verdana" w:hAnsi="Verdana" w:cs="Verdana"/>
          <w:color w:val="0070C0"/>
          <w:sz w:val="20"/>
          <w:szCs w:val="20"/>
          <w:lang w:val="pl-PL"/>
        </w:rPr>
        <w:t xml:space="preserve"> (prawo do rzetelnego procesu w</w:t>
      </w:r>
      <w:r w:rsidR="000764C3">
        <w:rPr>
          <w:rFonts w:ascii="Verdana" w:eastAsia="Verdana" w:hAnsi="Verdana" w:cs="Verdana"/>
          <w:color w:val="0070C0"/>
          <w:sz w:val="20"/>
          <w:szCs w:val="20"/>
          <w:lang w:val="pl-PL"/>
        </w:rPr>
        <w:t xml:space="preserve"> </w:t>
      </w:r>
      <w:r w:rsidRPr="00D4441C">
        <w:rPr>
          <w:rFonts w:ascii="Verdana" w:eastAsia="Verdana" w:hAnsi="Verdana" w:cs="Verdana"/>
          <w:color w:val="0070C0"/>
          <w:sz w:val="20"/>
          <w:szCs w:val="20"/>
          <w:lang w:val="pl-PL"/>
        </w:rPr>
        <w:t xml:space="preserve">rozsądnym terminie) Konwencji oraz </w:t>
      </w:r>
      <w:r w:rsidRPr="003E1D84">
        <w:rPr>
          <w:rFonts w:ascii="Verdana" w:eastAsia="Verdana" w:hAnsi="Verdana" w:cs="Verdana"/>
          <w:b/>
          <w:bCs/>
          <w:color w:val="0070C0"/>
          <w:sz w:val="20"/>
          <w:szCs w:val="20"/>
          <w:lang w:val="pl-PL"/>
        </w:rPr>
        <w:t>art. 2</w:t>
      </w:r>
      <w:r w:rsidRPr="00D4441C">
        <w:rPr>
          <w:rFonts w:ascii="Verdana" w:eastAsia="Verdana" w:hAnsi="Verdana" w:cs="Verdana"/>
          <w:color w:val="0070C0"/>
          <w:sz w:val="20"/>
          <w:szCs w:val="20"/>
          <w:lang w:val="pl-PL"/>
        </w:rPr>
        <w:t xml:space="preserve"> (prawo do życia) i </w:t>
      </w:r>
      <w:r w:rsidRPr="003E1D84">
        <w:rPr>
          <w:rFonts w:ascii="Verdana" w:eastAsia="Verdana" w:hAnsi="Verdana" w:cs="Verdana"/>
          <w:b/>
          <w:bCs/>
          <w:color w:val="0070C0"/>
          <w:sz w:val="20"/>
          <w:szCs w:val="20"/>
          <w:lang w:val="pl-PL"/>
        </w:rPr>
        <w:t>3</w:t>
      </w:r>
      <w:r w:rsidRPr="00D4441C">
        <w:rPr>
          <w:rFonts w:ascii="Verdana" w:eastAsia="Verdana" w:hAnsi="Verdana" w:cs="Verdana"/>
          <w:color w:val="0070C0"/>
          <w:sz w:val="20"/>
          <w:szCs w:val="20"/>
          <w:lang w:val="pl-PL"/>
        </w:rPr>
        <w:t xml:space="preserve"> Konwencji </w:t>
      </w:r>
      <w:r w:rsidRPr="003E1D84">
        <w:rPr>
          <w:rFonts w:ascii="Verdana" w:eastAsia="Verdana" w:hAnsi="Verdana" w:cs="Verdana"/>
          <w:b/>
          <w:bCs/>
          <w:color w:val="0070C0"/>
          <w:sz w:val="20"/>
          <w:szCs w:val="20"/>
          <w:lang w:val="pl-PL"/>
        </w:rPr>
        <w:t>w związku z</w:t>
      </w:r>
      <w:r w:rsidR="000764C3">
        <w:rPr>
          <w:rFonts w:ascii="Verdana" w:eastAsia="Verdana" w:hAnsi="Verdana" w:cs="Verdana"/>
          <w:b/>
          <w:bCs/>
          <w:color w:val="0070C0"/>
          <w:sz w:val="20"/>
          <w:szCs w:val="20"/>
          <w:lang w:val="pl-PL"/>
        </w:rPr>
        <w:t> </w:t>
      </w:r>
      <w:r w:rsidRPr="003E1D84">
        <w:rPr>
          <w:rFonts w:ascii="Verdana" w:eastAsia="Verdana" w:hAnsi="Verdana" w:cs="Verdana"/>
          <w:b/>
          <w:bCs/>
          <w:color w:val="0070C0"/>
          <w:sz w:val="20"/>
          <w:szCs w:val="20"/>
          <w:lang w:val="pl-PL"/>
        </w:rPr>
        <w:t>art. 1</w:t>
      </w:r>
      <w:r w:rsidRPr="00D4441C">
        <w:rPr>
          <w:rFonts w:ascii="Verdana" w:eastAsia="Verdana" w:hAnsi="Verdana" w:cs="Verdana"/>
          <w:color w:val="0070C0"/>
          <w:sz w:val="20"/>
          <w:szCs w:val="20"/>
          <w:lang w:val="pl-PL"/>
        </w:rPr>
        <w:t xml:space="preserve"> (zniesienie kary śmierci) </w:t>
      </w:r>
      <w:r w:rsidRPr="003E1D84">
        <w:rPr>
          <w:rFonts w:ascii="Verdana" w:eastAsia="Verdana" w:hAnsi="Verdana" w:cs="Verdana"/>
          <w:b/>
          <w:bCs/>
          <w:color w:val="0070C0"/>
          <w:sz w:val="20"/>
          <w:szCs w:val="20"/>
          <w:lang w:val="pl-PL"/>
        </w:rPr>
        <w:t>Protokołu nr 6</w:t>
      </w:r>
      <w:r w:rsidRPr="00D4441C">
        <w:rPr>
          <w:rFonts w:ascii="Verdana" w:eastAsia="Verdana" w:hAnsi="Verdana" w:cs="Verdana"/>
          <w:color w:val="0070C0"/>
          <w:sz w:val="20"/>
          <w:szCs w:val="20"/>
          <w:lang w:val="pl-PL"/>
        </w:rPr>
        <w:t xml:space="preserve"> do Konwencji, </w:t>
      </w:r>
      <w:r w:rsidR="00816212">
        <w:rPr>
          <w:rFonts w:ascii="Verdana" w:eastAsia="Verdana" w:hAnsi="Verdana" w:cs="Verdana"/>
          <w:color w:val="0070C0"/>
          <w:sz w:val="20"/>
          <w:szCs w:val="20"/>
          <w:lang w:val="pl-PL"/>
        </w:rPr>
        <w:t>z uwagi na fakt iż</w:t>
      </w:r>
      <w:r w:rsidRPr="00D4441C">
        <w:rPr>
          <w:rFonts w:ascii="Verdana" w:eastAsia="Verdana" w:hAnsi="Verdana" w:cs="Verdana"/>
          <w:color w:val="0070C0"/>
          <w:sz w:val="20"/>
          <w:szCs w:val="20"/>
          <w:lang w:val="pl-PL"/>
        </w:rPr>
        <w:t xml:space="preserve"> Rumunia pomogła w</w:t>
      </w:r>
      <w:r w:rsidR="000764C3">
        <w:rPr>
          <w:rFonts w:ascii="Verdana" w:eastAsia="Verdana" w:hAnsi="Verdana" w:cs="Verdana"/>
          <w:color w:val="0070C0"/>
          <w:sz w:val="20"/>
          <w:szCs w:val="20"/>
          <w:lang w:val="pl-PL"/>
        </w:rPr>
        <w:t> </w:t>
      </w:r>
      <w:r w:rsidR="001D35CF" w:rsidRPr="00D4441C">
        <w:rPr>
          <w:rFonts w:ascii="Verdana" w:eastAsia="Verdana" w:hAnsi="Verdana" w:cs="Verdana"/>
          <w:color w:val="0070C0"/>
          <w:sz w:val="20"/>
          <w:szCs w:val="20"/>
          <w:lang w:val="pl-PL"/>
        </w:rPr>
        <w:t>prz</w:t>
      </w:r>
      <w:r w:rsidR="001D35CF">
        <w:rPr>
          <w:rFonts w:ascii="Verdana" w:eastAsia="Verdana" w:hAnsi="Verdana" w:cs="Verdana"/>
          <w:color w:val="0070C0"/>
          <w:sz w:val="20"/>
          <w:szCs w:val="20"/>
          <w:lang w:val="pl-PL"/>
        </w:rPr>
        <w:t xml:space="preserve">ewiezieniu </w:t>
      </w:r>
      <w:r w:rsidRPr="00D4441C">
        <w:rPr>
          <w:rFonts w:ascii="Verdana" w:eastAsia="Verdana" w:hAnsi="Verdana" w:cs="Verdana"/>
          <w:color w:val="0070C0"/>
          <w:sz w:val="20"/>
          <w:szCs w:val="20"/>
          <w:lang w:val="pl-PL"/>
        </w:rPr>
        <w:t>skarżącego z je</w:t>
      </w:r>
      <w:r w:rsidR="001D35CF">
        <w:rPr>
          <w:rFonts w:ascii="Verdana" w:eastAsia="Verdana" w:hAnsi="Verdana" w:cs="Verdana"/>
          <w:color w:val="0070C0"/>
          <w:sz w:val="20"/>
          <w:szCs w:val="20"/>
          <w:lang w:val="pl-PL"/>
        </w:rPr>
        <w:t>j</w:t>
      </w:r>
      <w:r w:rsidRPr="00D4441C">
        <w:rPr>
          <w:rFonts w:ascii="Verdana" w:eastAsia="Verdana" w:hAnsi="Verdana" w:cs="Verdana"/>
          <w:color w:val="0070C0"/>
          <w:sz w:val="20"/>
          <w:szCs w:val="20"/>
          <w:lang w:val="pl-PL"/>
        </w:rPr>
        <w:t xml:space="preserve"> terytorium, pomimo </w:t>
      </w:r>
      <w:r w:rsidR="001D35CF">
        <w:rPr>
          <w:rFonts w:ascii="Verdana" w:eastAsia="Verdana" w:hAnsi="Verdana" w:cs="Verdana"/>
          <w:color w:val="0070C0"/>
          <w:sz w:val="20"/>
          <w:szCs w:val="20"/>
          <w:lang w:val="pl-PL"/>
        </w:rPr>
        <w:t>istnienia rzeczywistego</w:t>
      </w:r>
      <w:r w:rsidR="001D35CF" w:rsidRPr="001D35CF">
        <w:rPr>
          <w:rFonts w:ascii="Verdana" w:eastAsia="Verdana" w:hAnsi="Verdana" w:cs="Verdana"/>
          <w:color w:val="0070C0"/>
          <w:sz w:val="20"/>
          <w:szCs w:val="20"/>
          <w:lang w:val="pl-PL"/>
        </w:rPr>
        <w:t xml:space="preserve"> ryzyk</w:t>
      </w:r>
      <w:r w:rsidR="001D35CF">
        <w:rPr>
          <w:rFonts w:ascii="Verdana" w:eastAsia="Verdana" w:hAnsi="Verdana" w:cs="Verdana"/>
          <w:color w:val="0070C0"/>
          <w:sz w:val="20"/>
          <w:szCs w:val="20"/>
          <w:lang w:val="pl-PL"/>
        </w:rPr>
        <w:t>a grożącej mu</w:t>
      </w:r>
      <w:r w:rsidR="001D35CF" w:rsidRPr="001D35CF">
        <w:rPr>
          <w:rFonts w:ascii="Verdana" w:eastAsia="Verdana" w:hAnsi="Verdana" w:cs="Verdana"/>
          <w:color w:val="0070C0"/>
          <w:sz w:val="20"/>
          <w:szCs w:val="20"/>
          <w:lang w:val="pl-PL"/>
        </w:rPr>
        <w:t xml:space="preserve"> rażącej odmowy ochrony prawnej </w:t>
      </w:r>
      <w:r w:rsidRPr="00D4441C">
        <w:rPr>
          <w:rFonts w:ascii="Verdana" w:eastAsia="Verdana" w:hAnsi="Verdana" w:cs="Verdana"/>
          <w:color w:val="0070C0"/>
          <w:sz w:val="20"/>
          <w:szCs w:val="20"/>
          <w:lang w:val="pl-PL"/>
        </w:rPr>
        <w:t>i kar</w:t>
      </w:r>
      <w:r w:rsidR="001D35CF">
        <w:rPr>
          <w:rFonts w:ascii="Verdana" w:eastAsia="Verdana" w:hAnsi="Verdana" w:cs="Verdana"/>
          <w:color w:val="0070C0"/>
          <w:sz w:val="20"/>
          <w:szCs w:val="20"/>
          <w:lang w:val="pl-PL"/>
        </w:rPr>
        <w:t>y</w:t>
      </w:r>
      <w:r w:rsidRPr="00D4441C">
        <w:rPr>
          <w:rFonts w:ascii="Verdana" w:eastAsia="Verdana" w:hAnsi="Verdana" w:cs="Verdana"/>
          <w:color w:val="0070C0"/>
          <w:sz w:val="20"/>
          <w:szCs w:val="20"/>
          <w:lang w:val="pl-PL"/>
        </w:rPr>
        <w:t xml:space="preserve"> śmierci. Trybunał zauważył w szczególności, że </w:t>
      </w:r>
      <w:r w:rsidR="009E16A8">
        <w:rPr>
          <w:rFonts w:ascii="Verdana" w:eastAsia="Verdana" w:hAnsi="Verdana" w:cs="Verdana"/>
          <w:color w:val="0070C0"/>
          <w:sz w:val="20"/>
          <w:szCs w:val="20"/>
          <w:lang w:val="pl-PL"/>
        </w:rPr>
        <w:t>od września 2003 roku do listopada 2005 roku na terytorium Rumunii mieściło się tajne więzienie CIA</w:t>
      </w:r>
      <w:r w:rsidRPr="00D4441C">
        <w:rPr>
          <w:rFonts w:ascii="Verdana" w:eastAsia="Verdana" w:hAnsi="Verdana" w:cs="Verdana"/>
          <w:color w:val="0070C0"/>
          <w:sz w:val="20"/>
          <w:szCs w:val="20"/>
          <w:lang w:val="pl-PL"/>
        </w:rPr>
        <w:t>, które miało kryptonim</w:t>
      </w:r>
      <w:r w:rsidR="00AC122B">
        <w:rPr>
          <w:rFonts w:ascii="Verdana" w:eastAsia="Verdana" w:hAnsi="Verdana" w:cs="Verdana"/>
          <w:color w:val="0070C0"/>
          <w:sz w:val="20"/>
          <w:szCs w:val="20"/>
          <w:lang w:val="pl-PL"/>
        </w:rPr>
        <w:t xml:space="preserve"> </w:t>
      </w:r>
      <w:r w:rsidR="00AC122B" w:rsidRPr="0075465A">
        <w:rPr>
          <w:rFonts w:ascii="Verdana" w:eastAsia="Verdana" w:hAnsi="Verdana" w:cs="Verdana"/>
          <w:i/>
          <w:iCs/>
          <w:color w:val="0070C0"/>
          <w:sz w:val="20"/>
          <w:szCs w:val="20"/>
          <w:lang w:val="pl-PL"/>
        </w:rPr>
        <w:t>Detention Site Black</w:t>
      </w:r>
      <w:r w:rsidRPr="00D4441C">
        <w:rPr>
          <w:rFonts w:ascii="Verdana" w:eastAsia="Verdana" w:hAnsi="Verdana" w:cs="Verdana"/>
          <w:color w:val="0070C0"/>
          <w:sz w:val="20"/>
          <w:szCs w:val="20"/>
          <w:lang w:val="pl-PL"/>
        </w:rPr>
        <w:t>,</w:t>
      </w:r>
      <w:r w:rsidR="00AC122B">
        <w:rPr>
          <w:rFonts w:ascii="Verdana" w:eastAsia="Verdana" w:hAnsi="Verdana" w:cs="Verdana"/>
          <w:color w:val="0070C0"/>
          <w:sz w:val="20"/>
          <w:szCs w:val="20"/>
          <w:lang w:val="pl-PL"/>
        </w:rPr>
        <w:t xml:space="preserve"> że</w:t>
      </w:r>
      <w:r w:rsidRPr="00D4441C">
        <w:rPr>
          <w:rFonts w:ascii="Verdana" w:eastAsia="Verdana" w:hAnsi="Verdana" w:cs="Verdana"/>
          <w:color w:val="0070C0"/>
          <w:sz w:val="20"/>
          <w:szCs w:val="20"/>
          <w:lang w:val="pl-PL"/>
        </w:rPr>
        <w:t xml:space="preserve"> skarżący był tam przetrzymywany przez około 18 miesięcy i że władze krajowe</w:t>
      </w:r>
      <w:r w:rsidR="00AC122B">
        <w:rPr>
          <w:rFonts w:ascii="Verdana" w:eastAsia="Verdana" w:hAnsi="Verdana" w:cs="Verdana"/>
          <w:color w:val="0070C0"/>
          <w:sz w:val="20"/>
          <w:szCs w:val="20"/>
          <w:lang w:val="pl-PL"/>
        </w:rPr>
        <w:t xml:space="preserve"> wiedziały, że </w:t>
      </w:r>
      <w:r w:rsidRPr="00D4441C">
        <w:rPr>
          <w:rFonts w:ascii="Verdana" w:eastAsia="Verdana" w:hAnsi="Verdana" w:cs="Verdana"/>
          <w:color w:val="0070C0"/>
          <w:sz w:val="20"/>
          <w:szCs w:val="20"/>
          <w:lang w:val="pl-PL"/>
        </w:rPr>
        <w:t xml:space="preserve">CIA </w:t>
      </w:r>
      <w:r w:rsidR="00113D35">
        <w:rPr>
          <w:rFonts w:ascii="Verdana" w:eastAsia="Verdana" w:hAnsi="Verdana" w:cs="Verdana"/>
          <w:color w:val="0070C0"/>
          <w:sz w:val="20"/>
          <w:szCs w:val="20"/>
          <w:lang w:val="pl-PL"/>
        </w:rPr>
        <w:t>traktował</w:t>
      </w:r>
      <w:r w:rsidR="00AC122B">
        <w:rPr>
          <w:rFonts w:ascii="Verdana" w:eastAsia="Verdana" w:hAnsi="Verdana" w:cs="Verdana"/>
          <w:color w:val="0070C0"/>
          <w:sz w:val="20"/>
          <w:szCs w:val="20"/>
          <w:lang w:val="pl-PL"/>
        </w:rPr>
        <w:t>o</w:t>
      </w:r>
      <w:r w:rsidR="00113D35">
        <w:rPr>
          <w:rFonts w:ascii="Verdana" w:eastAsia="Verdana" w:hAnsi="Verdana" w:cs="Verdana"/>
          <w:color w:val="0070C0"/>
          <w:sz w:val="20"/>
          <w:szCs w:val="20"/>
          <w:lang w:val="pl-PL"/>
        </w:rPr>
        <w:t xml:space="preserve"> go w sposób</w:t>
      </w:r>
      <w:r w:rsidRPr="00D4441C">
        <w:rPr>
          <w:rFonts w:ascii="Verdana" w:eastAsia="Verdana" w:hAnsi="Verdana" w:cs="Verdana"/>
          <w:color w:val="0070C0"/>
          <w:sz w:val="20"/>
          <w:szCs w:val="20"/>
          <w:lang w:val="pl-PL"/>
        </w:rPr>
        <w:t xml:space="preserve"> sprzeczn</w:t>
      </w:r>
      <w:r w:rsidR="00113D35">
        <w:rPr>
          <w:rFonts w:ascii="Verdana" w:eastAsia="Verdana" w:hAnsi="Verdana" w:cs="Verdana"/>
          <w:color w:val="0070C0"/>
          <w:sz w:val="20"/>
          <w:szCs w:val="20"/>
          <w:lang w:val="pl-PL"/>
        </w:rPr>
        <w:t>y</w:t>
      </w:r>
      <w:r w:rsidRPr="00D4441C">
        <w:rPr>
          <w:rFonts w:ascii="Verdana" w:eastAsia="Verdana" w:hAnsi="Verdana" w:cs="Verdana"/>
          <w:color w:val="0070C0"/>
          <w:sz w:val="20"/>
          <w:szCs w:val="20"/>
          <w:lang w:val="pl-PL"/>
        </w:rPr>
        <w:t xml:space="preserve"> z</w:t>
      </w:r>
      <w:r w:rsidR="000764C3">
        <w:rPr>
          <w:rFonts w:ascii="Verdana" w:eastAsia="Verdana" w:hAnsi="Verdana" w:cs="Verdana"/>
          <w:color w:val="0070C0"/>
          <w:sz w:val="20"/>
          <w:szCs w:val="20"/>
          <w:lang w:val="pl-PL"/>
        </w:rPr>
        <w:t> </w:t>
      </w:r>
      <w:r w:rsidR="00113D35">
        <w:rPr>
          <w:rFonts w:ascii="Verdana" w:eastAsia="Verdana" w:hAnsi="Verdana" w:cs="Verdana"/>
          <w:color w:val="0070C0"/>
          <w:sz w:val="20"/>
          <w:szCs w:val="20"/>
          <w:lang w:val="pl-PL"/>
        </w:rPr>
        <w:t>K</w:t>
      </w:r>
      <w:r w:rsidRPr="00D4441C">
        <w:rPr>
          <w:rFonts w:ascii="Verdana" w:eastAsia="Verdana" w:hAnsi="Verdana" w:cs="Verdana"/>
          <w:color w:val="0070C0"/>
          <w:sz w:val="20"/>
          <w:szCs w:val="20"/>
          <w:lang w:val="pl-PL"/>
        </w:rPr>
        <w:t>onwencją. Rumunia zezwoliła również na przeniesienie</w:t>
      </w:r>
      <w:r w:rsidR="00AC122B">
        <w:rPr>
          <w:rFonts w:ascii="Verdana" w:eastAsia="Verdana" w:hAnsi="Verdana" w:cs="Verdana"/>
          <w:color w:val="0070C0"/>
          <w:sz w:val="20"/>
          <w:szCs w:val="20"/>
          <w:lang w:val="pl-PL"/>
        </w:rPr>
        <w:t xml:space="preserve"> </w:t>
      </w:r>
      <w:r w:rsidR="0075465A">
        <w:rPr>
          <w:rFonts w:ascii="Verdana" w:eastAsia="Verdana" w:hAnsi="Verdana" w:cs="Verdana"/>
          <w:color w:val="0070C0"/>
          <w:sz w:val="20"/>
          <w:szCs w:val="20"/>
          <w:lang w:val="pl-PL"/>
        </w:rPr>
        <w:t>skarżącego</w:t>
      </w:r>
      <w:r w:rsidRPr="00D4441C">
        <w:rPr>
          <w:rFonts w:ascii="Verdana" w:eastAsia="Verdana" w:hAnsi="Verdana" w:cs="Verdana"/>
          <w:color w:val="0070C0"/>
          <w:sz w:val="20"/>
          <w:szCs w:val="20"/>
          <w:lang w:val="pl-PL"/>
        </w:rPr>
        <w:t xml:space="preserve"> do </w:t>
      </w:r>
      <w:r w:rsidR="00AC122B">
        <w:rPr>
          <w:rFonts w:ascii="Verdana" w:eastAsia="Verdana" w:hAnsi="Verdana" w:cs="Verdana"/>
          <w:color w:val="0070C0"/>
          <w:sz w:val="20"/>
          <w:szCs w:val="20"/>
          <w:lang w:val="pl-PL"/>
        </w:rPr>
        <w:t>tajnego więzienia</w:t>
      </w:r>
      <w:r w:rsidRPr="00D4441C">
        <w:rPr>
          <w:rFonts w:ascii="Verdana" w:eastAsia="Verdana" w:hAnsi="Verdana" w:cs="Verdana"/>
          <w:color w:val="0070C0"/>
          <w:sz w:val="20"/>
          <w:szCs w:val="20"/>
          <w:lang w:val="pl-PL"/>
        </w:rPr>
        <w:t xml:space="preserve"> CIA w Afganistanie (</w:t>
      </w:r>
      <w:r w:rsidR="00AC122B" w:rsidRPr="0075465A">
        <w:rPr>
          <w:rFonts w:ascii="Verdana" w:eastAsia="Verdana" w:hAnsi="Verdana" w:cs="Verdana"/>
          <w:i/>
          <w:iCs/>
          <w:color w:val="0070C0"/>
          <w:sz w:val="20"/>
          <w:szCs w:val="20"/>
          <w:lang w:val="pl-PL"/>
        </w:rPr>
        <w:t>Detention Site Brown</w:t>
      </w:r>
      <w:r w:rsidRPr="00D4441C">
        <w:rPr>
          <w:rFonts w:ascii="Verdana" w:eastAsia="Verdana" w:hAnsi="Verdana" w:cs="Verdana"/>
          <w:color w:val="0070C0"/>
          <w:sz w:val="20"/>
          <w:szCs w:val="20"/>
          <w:lang w:val="pl-PL"/>
        </w:rPr>
        <w:t>) lub na Litwie (</w:t>
      </w:r>
      <w:r w:rsidR="00AC122B" w:rsidRPr="0075465A">
        <w:rPr>
          <w:rFonts w:ascii="Verdana" w:eastAsia="Verdana" w:hAnsi="Verdana" w:cs="Verdana"/>
          <w:i/>
          <w:iCs/>
          <w:color w:val="0070C0"/>
          <w:sz w:val="20"/>
          <w:szCs w:val="20"/>
          <w:lang w:val="pl-PL"/>
        </w:rPr>
        <w:t>Detention Site</w:t>
      </w:r>
      <w:r w:rsidRPr="0075465A">
        <w:rPr>
          <w:rFonts w:ascii="Verdana" w:eastAsia="Verdana" w:hAnsi="Verdana" w:cs="Verdana"/>
          <w:i/>
          <w:iCs/>
          <w:color w:val="0070C0"/>
          <w:sz w:val="20"/>
          <w:szCs w:val="20"/>
          <w:lang w:val="pl-PL"/>
        </w:rPr>
        <w:t xml:space="preserve"> Violet</w:t>
      </w:r>
      <w:r w:rsidRPr="00D4441C">
        <w:rPr>
          <w:rFonts w:ascii="Verdana" w:eastAsia="Verdana" w:hAnsi="Verdana" w:cs="Verdana"/>
          <w:color w:val="0070C0"/>
          <w:sz w:val="20"/>
          <w:szCs w:val="20"/>
          <w:lang w:val="pl-PL"/>
        </w:rPr>
        <w:t xml:space="preserve">), </w:t>
      </w:r>
      <w:r w:rsidR="00270FBC">
        <w:rPr>
          <w:rFonts w:ascii="Verdana" w:eastAsia="Verdana" w:hAnsi="Verdana" w:cs="Verdana"/>
          <w:color w:val="0070C0"/>
          <w:sz w:val="20"/>
          <w:szCs w:val="20"/>
          <w:lang w:val="pl-PL"/>
        </w:rPr>
        <w:t>n</w:t>
      </w:r>
      <w:r w:rsidR="00816212">
        <w:rPr>
          <w:rFonts w:ascii="Verdana" w:eastAsia="Verdana" w:hAnsi="Verdana" w:cs="Verdana"/>
          <w:color w:val="0070C0"/>
          <w:sz w:val="20"/>
          <w:szCs w:val="20"/>
          <w:lang w:val="pl-PL"/>
        </w:rPr>
        <w:t xml:space="preserve">arażając </w:t>
      </w:r>
      <w:r w:rsidRPr="00D4441C">
        <w:rPr>
          <w:rFonts w:ascii="Verdana" w:eastAsia="Verdana" w:hAnsi="Verdana" w:cs="Verdana"/>
          <w:color w:val="0070C0"/>
          <w:sz w:val="20"/>
          <w:szCs w:val="20"/>
          <w:lang w:val="pl-PL"/>
        </w:rPr>
        <w:t>go na dalsze</w:t>
      </w:r>
      <w:r w:rsidR="00290D7B">
        <w:rPr>
          <w:rFonts w:ascii="Verdana" w:eastAsia="Verdana" w:hAnsi="Verdana" w:cs="Verdana"/>
          <w:color w:val="0070C0"/>
          <w:sz w:val="20"/>
          <w:szCs w:val="20"/>
          <w:lang w:val="pl-PL"/>
        </w:rPr>
        <w:t xml:space="preserve"> okrutne</w:t>
      </w:r>
      <w:r w:rsidRPr="00D4441C">
        <w:rPr>
          <w:rFonts w:ascii="Verdana" w:eastAsia="Verdana" w:hAnsi="Verdana" w:cs="Verdana"/>
          <w:color w:val="0070C0"/>
          <w:sz w:val="20"/>
          <w:szCs w:val="20"/>
          <w:lang w:val="pl-PL"/>
        </w:rPr>
        <w:t xml:space="preserve"> traktowanie. Trybunał stwierdził zatem, że skarżący </w:t>
      </w:r>
      <w:r w:rsidR="00270FBC">
        <w:rPr>
          <w:rFonts w:ascii="Verdana" w:eastAsia="Verdana" w:hAnsi="Verdana" w:cs="Verdana"/>
          <w:color w:val="0070C0"/>
          <w:sz w:val="20"/>
          <w:szCs w:val="20"/>
          <w:lang w:val="pl-PL"/>
        </w:rPr>
        <w:t>znajdował się pod</w:t>
      </w:r>
      <w:r w:rsidRPr="00D4441C">
        <w:rPr>
          <w:rFonts w:ascii="Verdana" w:eastAsia="Verdana" w:hAnsi="Verdana" w:cs="Verdana"/>
          <w:color w:val="0070C0"/>
          <w:sz w:val="20"/>
          <w:szCs w:val="20"/>
          <w:lang w:val="pl-PL"/>
        </w:rPr>
        <w:t xml:space="preserve"> jurysdykcj</w:t>
      </w:r>
      <w:r w:rsidR="00270FBC">
        <w:rPr>
          <w:rFonts w:ascii="Verdana" w:eastAsia="Verdana" w:hAnsi="Verdana" w:cs="Verdana"/>
          <w:color w:val="0070C0"/>
          <w:sz w:val="20"/>
          <w:szCs w:val="20"/>
          <w:lang w:val="pl-PL"/>
        </w:rPr>
        <w:t>ą</w:t>
      </w:r>
      <w:r w:rsidRPr="00D4441C">
        <w:rPr>
          <w:rFonts w:ascii="Verdana" w:eastAsia="Verdana" w:hAnsi="Verdana" w:cs="Verdana"/>
          <w:color w:val="0070C0"/>
          <w:sz w:val="20"/>
          <w:szCs w:val="20"/>
          <w:lang w:val="pl-PL"/>
        </w:rPr>
        <w:t xml:space="preserve"> Rumunii i</w:t>
      </w:r>
      <w:r w:rsidR="0034201B">
        <w:rPr>
          <w:rFonts w:ascii="Verdana" w:eastAsia="Verdana" w:hAnsi="Verdana" w:cs="Verdana"/>
          <w:color w:val="0070C0"/>
          <w:sz w:val="20"/>
          <w:szCs w:val="20"/>
          <w:lang w:val="pl-PL"/>
        </w:rPr>
        <w:t> </w:t>
      </w:r>
      <w:r w:rsidRPr="00D4441C">
        <w:rPr>
          <w:rFonts w:ascii="Verdana" w:eastAsia="Verdana" w:hAnsi="Verdana" w:cs="Verdana"/>
          <w:color w:val="0070C0"/>
          <w:sz w:val="20"/>
          <w:szCs w:val="20"/>
          <w:lang w:val="pl-PL"/>
        </w:rPr>
        <w:t>że kraj ten był odpowiedzialny za naruszenie jego praw</w:t>
      </w:r>
      <w:r w:rsidR="001A3D77">
        <w:rPr>
          <w:rFonts w:ascii="Verdana" w:eastAsia="Verdana" w:hAnsi="Verdana" w:cs="Verdana"/>
          <w:color w:val="0070C0"/>
          <w:sz w:val="20"/>
          <w:szCs w:val="20"/>
          <w:lang w:val="pl-PL"/>
        </w:rPr>
        <w:t>,</w:t>
      </w:r>
      <w:r w:rsidRPr="00D4441C">
        <w:rPr>
          <w:rFonts w:ascii="Verdana" w:eastAsia="Verdana" w:hAnsi="Verdana" w:cs="Verdana"/>
          <w:color w:val="0070C0"/>
          <w:sz w:val="20"/>
          <w:szCs w:val="20"/>
          <w:lang w:val="pl-PL"/>
        </w:rPr>
        <w:t xml:space="preserve"> wynikających z</w:t>
      </w:r>
      <w:r w:rsidR="000764C3">
        <w:rPr>
          <w:rFonts w:ascii="Verdana" w:eastAsia="Verdana" w:hAnsi="Verdana" w:cs="Verdana"/>
          <w:color w:val="0070C0"/>
          <w:sz w:val="20"/>
          <w:szCs w:val="20"/>
          <w:lang w:val="pl-PL"/>
        </w:rPr>
        <w:t> </w:t>
      </w:r>
      <w:r w:rsidRPr="00D4441C">
        <w:rPr>
          <w:rFonts w:ascii="Verdana" w:eastAsia="Verdana" w:hAnsi="Verdana" w:cs="Verdana"/>
          <w:color w:val="0070C0"/>
          <w:sz w:val="20"/>
          <w:szCs w:val="20"/>
          <w:lang w:val="pl-PL"/>
        </w:rPr>
        <w:t xml:space="preserve">Konwencji. Ponadto zalecił, aby Rumunia zakończyła pełne </w:t>
      </w:r>
      <w:r w:rsidR="0075465A">
        <w:rPr>
          <w:rFonts w:ascii="Verdana" w:eastAsia="Verdana" w:hAnsi="Verdana" w:cs="Verdana"/>
          <w:color w:val="0070C0"/>
          <w:sz w:val="20"/>
          <w:szCs w:val="20"/>
          <w:lang w:val="pl-PL"/>
        </w:rPr>
        <w:t>śledztwo</w:t>
      </w:r>
      <w:r w:rsidRPr="00D4441C">
        <w:rPr>
          <w:rFonts w:ascii="Verdana" w:eastAsia="Verdana" w:hAnsi="Verdana" w:cs="Verdana"/>
          <w:color w:val="0070C0"/>
          <w:sz w:val="20"/>
          <w:szCs w:val="20"/>
          <w:lang w:val="pl-PL"/>
        </w:rPr>
        <w:t xml:space="preserve"> w sprawie skarżącego tak szybko, jak to możliwe i, w razie potrzeby, ukarała odpowiedzialnych </w:t>
      </w:r>
      <w:r w:rsidR="0075465A">
        <w:rPr>
          <w:rFonts w:ascii="Verdana" w:eastAsia="Verdana" w:hAnsi="Verdana" w:cs="Verdana"/>
          <w:color w:val="0070C0"/>
          <w:sz w:val="20"/>
          <w:szCs w:val="20"/>
          <w:lang w:val="pl-PL"/>
        </w:rPr>
        <w:t>funkcjonariuszy</w:t>
      </w:r>
      <w:r w:rsidRPr="00D4441C">
        <w:rPr>
          <w:rFonts w:ascii="Verdana" w:eastAsia="Verdana" w:hAnsi="Verdana" w:cs="Verdana"/>
          <w:color w:val="0070C0"/>
          <w:sz w:val="20"/>
          <w:szCs w:val="20"/>
          <w:lang w:val="pl-PL"/>
        </w:rPr>
        <w:t xml:space="preserve">. Trybunał stwierdził, że </w:t>
      </w:r>
      <w:r w:rsidR="002D53D9">
        <w:rPr>
          <w:rFonts w:ascii="Verdana" w:eastAsia="Verdana" w:hAnsi="Verdana" w:cs="Verdana"/>
          <w:color w:val="0070C0"/>
          <w:sz w:val="20"/>
          <w:szCs w:val="20"/>
          <w:lang w:val="pl-PL"/>
        </w:rPr>
        <w:t>Rumunia powinna</w:t>
      </w:r>
      <w:r w:rsidRPr="00D4441C">
        <w:rPr>
          <w:rFonts w:ascii="Verdana" w:eastAsia="Verdana" w:hAnsi="Verdana" w:cs="Verdana"/>
          <w:color w:val="0070C0"/>
          <w:sz w:val="20"/>
          <w:szCs w:val="20"/>
          <w:lang w:val="pl-PL"/>
        </w:rPr>
        <w:t xml:space="preserve"> również uzyskać od Stanów Zjednoczonych zapewnienia, że skarżący nie zostanie </w:t>
      </w:r>
      <w:r w:rsidR="0075465A">
        <w:rPr>
          <w:rFonts w:ascii="Verdana" w:eastAsia="Verdana" w:hAnsi="Verdana" w:cs="Verdana"/>
          <w:color w:val="0070C0"/>
          <w:sz w:val="20"/>
          <w:szCs w:val="20"/>
          <w:lang w:val="pl-PL"/>
        </w:rPr>
        <w:t>skazany na</w:t>
      </w:r>
      <w:r w:rsidRPr="00D4441C">
        <w:rPr>
          <w:rFonts w:ascii="Verdana" w:eastAsia="Verdana" w:hAnsi="Verdana" w:cs="Verdana"/>
          <w:color w:val="0070C0"/>
          <w:sz w:val="20"/>
          <w:szCs w:val="20"/>
          <w:lang w:val="pl-PL"/>
        </w:rPr>
        <w:t xml:space="preserve"> kar</w:t>
      </w:r>
      <w:r w:rsidR="0075465A">
        <w:rPr>
          <w:rFonts w:ascii="Verdana" w:eastAsia="Verdana" w:hAnsi="Verdana" w:cs="Verdana"/>
          <w:color w:val="0070C0"/>
          <w:sz w:val="20"/>
          <w:szCs w:val="20"/>
          <w:lang w:val="pl-PL"/>
        </w:rPr>
        <w:t>ę</w:t>
      </w:r>
      <w:r w:rsidRPr="00D4441C">
        <w:rPr>
          <w:rFonts w:ascii="Verdana" w:eastAsia="Verdana" w:hAnsi="Verdana" w:cs="Verdana"/>
          <w:color w:val="0070C0"/>
          <w:sz w:val="20"/>
          <w:szCs w:val="20"/>
          <w:lang w:val="pl-PL"/>
        </w:rPr>
        <w:t xml:space="preserve"> śmierci.</w:t>
      </w:r>
    </w:p>
    <w:p w14:paraId="5D644CCA" w14:textId="77777777" w:rsidR="000517E7" w:rsidRDefault="000517E7" w:rsidP="00B572AA">
      <w:pPr>
        <w:tabs>
          <w:tab w:val="left" w:pos="9498"/>
          <w:tab w:val="left" w:pos="9781"/>
        </w:tabs>
        <w:ind w:left="142" w:right="111"/>
        <w:jc w:val="both"/>
        <w:rPr>
          <w:rFonts w:ascii="Verdana" w:eastAsia="Verdana" w:hAnsi="Verdana" w:cs="Verdana"/>
          <w:color w:val="0070C0"/>
          <w:sz w:val="20"/>
          <w:szCs w:val="20"/>
          <w:lang w:val="pl-PL"/>
        </w:rPr>
      </w:pPr>
    </w:p>
    <w:p w14:paraId="107F2159" w14:textId="439DCE79" w:rsidR="002C0E80" w:rsidRPr="002C0E80" w:rsidRDefault="002C0E80" w:rsidP="002C0E80">
      <w:pPr>
        <w:tabs>
          <w:tab w:val="left" w:pos="9498"/>
          <w:tab w:val="left" w:pos="9781"/>
        </w:tabs>
        <w:ind w:left="142" w:right="111"/>
        <w:jc w:val="both"/>
        <w:rPr>
          <w:rFonts w:ascii="Verdana" w:eastAsia="Verdana" w:hAnsi="Verdana" w:cs="Verdana"/>
          <w:b/>
          <w:bCs/>
          <w:color w:val="0070C0"/>
          <w:sz w:val="20"/>
          <w:szCs w:val="20"/>
          <w:u w:val="single"/>
          <w:lang w:val="pl-PL"/>
        </w:rPr>
      </w:pPr>
      <w:hyperlink r:id="rId15" w:anchor="{%22itemid%22:[%22003-7850027-10902978%22]}" w:history="1">
        <w:r w:rsidRPr="002C0E80">
          <w:rPr>
            <w:rStyle w:val="Hipercze"/>
            <w:rFonts w:ascii="Verdana" w:eastAsia="Verdana" w:hAnsi="Verdana" w:cs="Verdana"/>
            <w:b/>
            <w:bCs/>
            <w:sz w:val="20"/>
            <w:szCs w:val="20"/>
            <w:lang w:val="pl-PL"/>
          </w:rPr>
          <w:t>al-Hawsawi przeciwko Litwie</w:t>
        </w:r>
      </w:hyperlink>
    </w:p>
    <w:p w14:paraId="782F1FAE" w14:textId="58BB2584" w:rsidR="002C0E80" w:rsidRPr="002C0E80" w:rsidRDefault="002C0E80" w:rsidP="002C0E80">
      <w:pPr>
        <w:tabs>
          <w:tab w:val="left" w:pos="9498"/>
          <w:tab w:val="left" w:pos="9781"/>
        </w:tabs>
        <w:ind w:left="142" w:right="111"/>
        <w:jc w:val="both"/>
        <w:rPr>
          <w:rFonts w:ascii="Verdana" w:eastAsia="Verdana" w:hAnsi="Verdana" w:cs="Verdana"/>
          <w:color w:val="A6A6A6" w:themeColor="background1" w:themeShade="A6"/>
          <w:sz w:val="18"/>
          <w:szCs w:val="18"/>
          <w:lang w:val="pl-PL"/>
        </w:rPr>
      </w:pPr>
      <w:r w:rsidRPr="002C0E80">
        <w:rPr>
          <w:rFonts w:ascii="Verdana" w:eastAsia="Verdana" w:hAnsi="Verdana" w:cs="Verdana"/>
          <w:color w:val="A6A6A6" w:themeColor="background1" w:themeShade="A6"/>
          <w:sz w:val="18"/>
          <w:szCs w:val="18"/>
          <w:lang w:val="pl-PL"/>
        </w:rPr>
        <w:t>16 stycznia 2024 r.</w:t>
      </w:r>
      <w:r>
        <w:rPr>
          <w:rStyle w:val="Odwoanieprzypisudolnego"/>
          <w:rFonts w:ascii="Verdana" w:eastAsia="Verdana" w:hAnsi="Verdana" w:cs="Verdana"/>
          <w:color w:val="A6A6A6" w:themeColor="background1" w:themeShade="A6"/>
          <w:sz w:val="18"/>
          <w:szCs w:val="18"/>
          <w:lang w:val="pl-PL"/>
        </w:rPr>
        <w:footnoteReference w:id="1"/>
      </w:r>
    </w:p>
    <w:p w14:paraId="42DF59EF" w14:textId="77777777" w:rsidR="002C0E80" w:rsidRPr="002C0E80" w:rsidRDefault="002C0E80" w:rsidP="002C0E80">
      <w:pPr>
        <w:tabs>
          <w:tab w:val="left" w:pos="9498"/>
          <w:tab w:val="left" w:pos="9781"/>
        </w:tabs>
        <w:ind w:left="142" w:right="111"/>
        <w:jc w:val="both"/>
        <w:rPr>
          <w:rFonts w:ascii="Verdana" w:eastAsia="Verdana" w:hAnsi="Verdana" w:cs="Verdana"/>
          <w:sz w:val="20"/>
          <w:szCs w:val="20"/>
          <w:lang w:val="pl-PL"/>
        </w:rPr>
      </w:pPr>
      <w:r w:rsidRPr="002C0E80">
        <w:rPr>
          <w:rFonts w:ascii="Verdana" w:eastAsia="Verdana" w:hAnsi="Verdana" w:cs="Verdana"/>
          <w:sz w:val="20"/>
          <w:szCs w:val="20"/>
          <w:lang w:val="pl-PL"/>
        </w:rPr>
        <w:lastRenderedPageBreak/>
        <w:t>Sprawa dotyczyła obywatela Arabii Saudyjskiej, który był sądzony przed amerykańską komisją wojskową w Zatoce Guantanamo pod zarzutem ułatwiania i zarządzania finansami Al-Kaidy. Skarżący wielokrotnie podnosił zarzuty tortur, złego traktowania i nieuznanego przetrzymywania w latach 2005-06, kiedy był przetrzymywany w tajnym ośrodku na Litwie prowadzonym przez amerykańską Centralną Agencję Wywiadowczą (CIA). Te rzekome wydarzenia miały miejsce na tle tak zwanej „wojny z terroryzmem”.</w:t>
      </w:r>
    </w:p>
    <w:p w14:paraId="0D8A0C41" w14:textId="77777777" w:rsidR="002C0E80" w:rsidRDefault="002C0E80" w:rsidP="002C0E80">
      <w:pPr>
        <w:tabs>
          <w:tab w:val="left" w:pos="9498"/>
          <w:tab w:val="left" w:pos="9781"/>
        </w:tabs>
        <w:ind w:left="142" w:right="111"/>
        <w:jc w:val="both"/>
        <w:rPr>
          <w:rFonts w:ascii="Verdana" w:eastAsia="Verdana" w:hAnsi="Verdana" w:cs="Verdana"/>
          <w:color w:val="0070C0"/>
          <w:sz w:val="20"/>
          <w:szCs w:val="20"/>
          <w:lang w:val="pl-PL"/>
        </w:rPr>
      </w:pPr>
      <w:r w:rsidRPr="002C0E80">
        <w:rPr>
          <w:rFonts w:ascii="Verdana" w:eastAsia="Verdana" w:hAnsi="Verdana" w:cs="Verdana"/>
          <w:color w:val="0070C0"/>
          <w:sz w:val="20"/>
          <w:szCs w:val="20"/>
          <w:lang w:val="pl-PL"/>
        </w:rPr>
        <w:t>Trybunał orzekł, że doszło do naruszenia Artykułu 3 Konwencji (zakaz nieludzkiego lub poniżającego traktowania) na podstawie jego materialnych i materialnych ograniczeń, z powodu braku skutecznego zbadania przez Litwę zarzutów skarżącego oraz z powodu jej współudziału w programie tajnych więzień CIA. Trybunał uznał również, że doszło do naruszenia Artykułu 6 § 1 (prawo do rzetelnego procesu sądowego w rozsądnym terminie) oraz Artykułów 2 (prawo do życia) i 3 Konwencji w związku z Artykułem 1 Protokołu nr 6 (zniesienie kary śmierci) do Konwencji, ponieważ Litwa pomogła w przekazaniu skarżącego ze swojego terytorium pomimo realnego ryzyka, że może on zostać narażony na rażące zaprzeczenie sprawiedliwości i karę śmierci. Trybunał uznał ponadto, że doszło do naruszenia Artykułu 5 (prawo do wolności i bezpieczeństwa osobistego), Artykułu 8 (prawo do poszanowania życia prywatnego) oraz Artykułu 13 (prawo do skutecznego środka odwoławczego) w związku z Artykułami 3, 5 i 8 Konwencji. Trybunał zauważył w szczególności, że skarżący podlegał wirtualnemu zakazowi komunikacji ze światem zewnętrznym od czasu jego schwytania w 2003 r., więc musiał ustalić fakty z różnych innych źródeł. W szczególności uzyskał kluczowe informacje z jednego z najbardziej wiarygodnych dostępnych źródeł, raportu Komisji Senatu USA w sprawie tortur CIA, opublikowanego w grudniu 2014 roku. W raporcie tym wyraźnie wskazano, że skarżący był przetrzymywany w tajnym ośrodku CIA o kryptonimie „Detention Site Violet”. Miejsce to, w świetle dowodów zebranych przez Trybunał, znajdowało się na Litwie. Trybunał stwierdził następnie, że chociaż prawdopodobnie nie był tam poddawany najsurowszym technikom przesłuchań, musiał doświadczyć zawiązania oczu lub kaptura, odosobnienia, ciągłego używania kajdan na nogi oraz narażenia na hałas i światło, co było standardową praktyką CIA w ramach programu tajnych więzień w tamtym czasie. Władze litewskie musiały być świadome, że CIA podda go takiemu traktowaniu w tajnym więzieniu znajdującym się na ich terytorium, biorąc pod uwagę szeroko dostępne w tym czasie informacje na temat tortur, złego traktowania i znęcania się nad podejrzanymi o terroryzm w areszcie w USA. Zezwolili również na przeniesienie go do innego tajnego więzienia CIA (w Afganistanie), narażając go na dalsze złe traktowanie, oraz do USA, gdzie groziło mu rażące zaprzeczenie sprawiedliwości i kara śmierci. W niniejszej sprawie Trybunał uznał, że skarżący podlegał jurysdykcji Litwy i że kraj ten był odpowiedzialny za naruszenia jego praw wynikających z Konwencji. Wreszcie, zgodnie z Artykułem 46 (moc wiążąca i wykonanie wyroków) Konwencji, Trybunał powtórzył zalecenia sformułowane w niektórych wcześniejszych orzeczeniach, aby pozwane państwo jak najszybciej podjęło pełne dochodzenie karne i, jeśli to konieczne, ukarało wszystkich odpowiedzialnych urzędników. Litwa musiała również złożyć dalsze oświadczenia Stanom Zjednoczonym w celu usunięcia lub ograniczenia skutków naruszeń praw skarżącego.</w:t>
      </w:r>
    </w:p>
    <w:p w14:paraId="0B55318C" w14:textId="77777777" w:rsidR="002C0E80" w:rsidRDefault="002C0E80" w:rsidP="002C0E80">
      <w:pPr>
        <w:tabs>
          <w:tab w:val="left" w:pos="9498"/>
          <w:tab w:val="left" w:pos="9781"/>
        </w:tabs>
        <w:ind w:left="142" w:right="111"/>
        <w:jc w:val="both"/>
        <w:rPr>
          <w:rFonts w:ascii="Verdana" w:eastAsia="Verdana" w:hAnsi="Verdana" w:cs="Verdana"/>
          <w:color w:val="0070C0"/>
          <w:sz w:val="20"/>
          <w:szCs w:val="20"/>
          <w:lang w:val="pl-PL"/>
        </w:rPr>
      </w:pPr>
    </w:p>
    <w:p w14:paraId="3DE3544F" w14:textId="214CB9B6" w:rsidR="002C0E80" w:rsidRPr="002C0E80" w:rsidRDefault="002C0E80" w:rsidP="002C0E80">
      <w:pPr>
        <w:tabs>
          <w:tab w:val="left" w:pos="9498"/>
          <w:tab w:val="left" w:pos="9781"/>
        </w:tabs>
        <w:ind w:left="142" w:right="111"/>
        <w:jc w:val="both"/>
        <w:rPr>
          <w:rFonts w:ascii="Verdana" w:eastAsia="Verdana" w:hAnsi="Verdana" w:cs="Verdana"/>
          <w:i/>
          <w:iCs/>
          <w:sz w:val="20"/>
          <w:szCs w:val="20"/>
          <w:lang w:val="pl-PL"/>
        </w:rPr>
      </w:pPr>
      <w:r w:rsidRPr="002C0E80">
        <w:rPr>
          <w:rFonts w:ascii="Verdana" w:eastAsia="Verdana" w:hAnsi="Verdana" w:cs="Verdana"/>
          <w:i/>
          <w:iCs/>
          <w:sz w:val="20"/>
          <w:szCs w:val="20"/>
          <w:lang w:val="pl-PL"/>
        </w:rPr>
        <w:t xml:space="preserve">Zob. również: </w:t>
      </w:r>
    </w:p>
    <w:p w14:paraId="55263177" w14:textId="38450CA3" w:rsidR="002C0E80" w:rsidRPr="002C0E80" w:rsidRDefault="002C0E80" w:rsidP="002C0E80">
      <w:pPr>
        <w:tabs>
          <w:tab w:val="left" w:pos="9498"/>
          <w:tab w:val="left" w:pos="9781"/>
        </w:tabs>
        <w:ind w:left="142" w:right="111"/>
        <w:jc w:val="both"/>
        <w:rPr>
          <w:rFonts w:ascii="Verdana" w:eastAsia="Verdana" w:hAnsi="Verdana" w:cs="Verdana"/>
          <w:b/>
          <w:bCs/>
          <w:color w:val="0070C0"/>
          <w:sz w:val="20"/>
          <w:szCs w:val="20"/>
          <w:u w:val="single"/>
          <w:lang w:val="pl-PL"/>
        </w:rPr>
      </w:pPr>
      <w:hyperlink r:id="rId16" w:anchor="{%22itemid%22:[%22001-187528%22]}" w:history="1">
        <w:r w:rsidRPr="002C0E80">
          <w:rPr>
            <w:rStyle w:val="Hipercze"/>
            <w:rFonts w:ascii="Verdana" w:eastAsia="Verdana" w:hAnsi="Verdana" w:cs="Verdana"/>
            <w:b/>
            <w:bCs/>
            <w:sz w:val="20"/>
            <w:szCs w:val="20"/>
            <w:lang w:val="pl-PL"/>
          </w:rPr>
          <w:t>Al-Hawsawi przeciwko Polsce</w:t>
        </w:r>
      </w:hyperlink>
    </w:p>
    <w:p w14:paraId="6A58395B" w14:textId="2083E99A" w:rsidR="002C0E80" w:rsidRPr="001E3CFC" w:rsidRDefault="002C0E80" w:rsidP="001E3CFC">
      <w:pPr>
        <w:tabs>
          <w:tab w:val="left" w:pos="9498"/>
          <w:tab w:val="left" w:pos="9781"/>
        </w:tabs>
        <w:ind w:left="142" w:right="111"/>
        <w:jc w:val="both"/>
        <w:rPr>
          <w:rFonts w:ascii="Verdana" w:eastAsia="Verdana" w:hAnsi="Verdana" w:cs="Verdana"/>
          <w:color w:val="A6A6A6" w:themeColor="background1" w:themeShade="A6"/>
          <w:sz w:val="18"/>
          <w:szCs w:val="18"/>
          <w:lang w:val="pl-PL"/>
        </w:rPr>
      </w:pPr>
      <w:r w:rsidRPr="001E3CFC">
        <w:rPr>
          <w:rFonts w:ascii="Verdana" w:eastAsia="Verdana" w:hAnsi="Verdana" w:cs="Verdana"/>
          <w:color w:val="A6A6A6" w:themeColor="background1" w:themeShade="A6"/>
          <w:sz w:val="18"/>
          <w:szCs w:val="18"/>
          <w:lang w:val="pl-PL"/>
        </w:rPr>
        <w:t>16 października 2018 r. (decyzja Komitetu – skreślenie z listy)</w:t>
      </w:r>
    </w:p>
    <w:p w14:paraId="112BC794" w14:textId="77777777" w:rsidR="002C0E80" w:rsidRPr="00D4441C" w:rsidRDefault="002C0E80" w:rsidP="00B572AA">
      <w:pPr>
        <w:tabs>
          <w:tab w:val="left" w:pos="9498"/>
          <w:tab w:val="left" w:pos="9781"/>
        </w:tabs>
        <w:ind w:left="142" w:right="111"/>
        <w:jc w:val="both"/>
        <w:rPr>
          <w:rFonts w:ascii="Verdana" w:eastAsia="Verdana" w:hAnsi="Verdana" w:cs="Verdana"/>
          <w:color w:val="0070C0"/>
          <w:sz w:val="20"/>
          <w:szCs w:val="20"/>
          <w:lang w:val="pl-PL"/>
        </w:rPr>
      </w:pPr>
    </w:p>
    <w:p w14:paraId="66BD033C" w14:textId="241D7D82" w:rsidR="00670814" w:rsidRPr="00196666" w:rsidRDefault="00AC122B" w:rsidP="00B572AA">
      <w:pPr>
        <w:tabs>
          <w:tab w:val="left" w:pos="9498"/>
          <w:tab w:val="left" w:pos="9781"/>
        </w:tabs>
        <w:ind w:left="142" w:right="111"/>
        <w:rPr>
          <w:sz w:val="20"/>
          <w:szCs w:val="20"/>
          <w:lang w:val="pl-PL"/>
        </w:rPr>
      </w:pPr>
      <w:r>
        <w:rPr>
          <w:rFonts w:ascii="Verdana" w:eastAsia="Verdana" w:hAnsi="Verdana" w:cs="Verdana"/>
          <w:color w:val="0072BC"/>
          <w:sz w:val="28"/>
          <w:szCs w:val="28"/>
          <w:lang w:val="pl-PL"/>
        </w:rPr>
        <w:t xml:space="preserve">Sprawa </w:t>
      </w:r>
      <w:r w:rsidR="0075465A">
        <w:rPr>
          <w:rFonts w:ascii="Verdana" w:eastAsia="Verdana" w:hAnsi="Verdana" w:cs="Verdana"/>
          <w:color w:val="0072BC"/>
          <w:sz w:val="28"/>
          <w:szCs w:val="28"/>
          <w:lang w:val="pl-PL"/>
        </w:rPr>
        <w:t>w toku</w:t>
      </w:r>
    </w:p>
    <w:p w14:paraId="7C3214C5" w14:textId="77777777" w:rsidR="00670814" w:rsidRPr="00196666" w:rsidRDefault="00670814" w:rsidP="00B572AA">
      <w:pPr>
        <w:tabs>
          <w:tab w:val="left" w:pos="9498"/>
          <w:tab w:val="left" w:pos="9781"/>
        </w:tabs>
        <w:spacing w:line="20" w:lineRule="exact"/>
        <w:ind w:left="142" w:right="111"/>
        <w:rPr>
          <w:sz w:val="20"/>
          <w:szCs w:val="20"/>
          <w:lang w:val="pl-PL"/>
        </w:rPr>
      </w:pPr>
    </w:p>
    <w:p w14:paraId="2853D310" w14:textId="77777777" w:rsidR="00670814" w:rsidRPr="00196666" w:rsidRDefault="00545C48" w:rsidP="00B572AA">
      <w:pPr>
        <w:tabs>
          <w:tab w:val="left" w:pos="9498"/>
          <w:tab w:val="left" w:pos="9781"/>
        </w:tabs>
        <w:spacing w:line="213" w:lineRule="exact"/>
        <w:ind w:left="142" w:right="111"/>
        <w:rPr>
          <w:sz w:val="20"/>
          <w:szCs w:val="20"/>
          <w:lang w:val="pl-PL"/>
        </w:rPr>
      </w:pPr>
      <w:r>
        <w:rPr>
          <w:noProof/>
          <w:sz w:val="20"/>
          <w:szCs w:val="20"/>
          <w:lang w:val="pl-PL" w:eastAsia="pl-PL"/>
        </w:rPr>
        <mc:AlternateContent>
          <mc:Choice Requires="wps">
            <w:drawing>
              <wp:anchor distT="4294967295" distB="4294967295" distL="114300" distR="114300" simplePos="0" relativeHeight="251651072" behindDoc="1" locked="0" layoutInCell="0" allowOverlap="1" wp14:anchorId="0DD0CF94" wp14:editId="6A6012DB">
                <wp:simplePos x="0" y="0"/>
                <wp:positionH relativeFrom="page">
                  <wp:posOffset>719240</wp:posOffset>
                </wp:positionH>
                <wp:positionV relativeFrom="paragraph">
                  <wp:posOffset>56515</wp:posOffset>
                </wp:positionV>
                <wp:extent cx="576834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8288">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DCC263A" id="Shape 11"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65pt,4.45pt" to="510.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" o:allowincell="f" filled="t" strokecolor="#999" strokeweight="1.44pt">
                <v:stroke joinstyle="miter"/>
                <o:lock v:ext="edit" shapetype="f"/>
                <w10:wrap anchorx="page"/>
              </v:line>
            </w:pict>
          </mc:Fallback>
        </mc:AlternateContent>
      </w:r>
    </w:p>
    <w:p w14:paraId="1C039417" w14:textId="0A86A85C" w:rsidR="002C0E80" w:rsidRPr="002C0E80" w:rsidRDefault="002C0E80" w:rsidP="002C0E80">
      <w:pPr>
        <w:tabs>
          <w:tab w:val="left" w:pos="9781"/>
        </w:tabs>
        <w:ind w:left="142" w:right="111"/>
        <w:jc w:val="both"/>
        <w:rPr>
          <w:rFonts w:ascii="Verdana" w:hAnsi="Verdana"/>
          <w:b/>
          <w:bCs/>
          <w:color w:val="0070C0"/>
          <w:sz w:val="20"/>
          <w:szCs w:val="20"/>
          <w:u w:val="single"/>
          <w:lang w:val="pl-PL"/>
        </w:rPr>
      </w:pPr>
      <w:r w:rsidRPr="002C0E80">
        <w:rPr>
          <w:rFonts w:ascii="Verdana" w:hAnsi="Verdana"/>
          <w:b/>
          <w:bCs/>
          <w:color w:val="0070C0"/>
          <w:sz w:val="20"/>
          <w:szCs w:val="20"/>
          <w:u w:val="single"/>
          <w:lang w:val="pl-PL"/>
        </w:rPr>
        <w:t>Al-Nashiri przeciwko Litwie (nr 31908/22)</w:t>
      </w:r>
      <w:r w:rsidR="001E3CFC">
        <w:rPr>
          <w:rStyle w:val="Odwoanieprzypisudolnego"/>
          <w:rFonts w:ascii="Verdana" w:hAnsi="Verdana"/>
          <w:b/>
          <w:bCs/>
          <w:color w:val="0070C0"/>
          <w:sz w:val="20"/>
          <w:szCs w:val="20"/>
          <w:u w:val="single"/>
          <w:lang w:val="pl-PL"/>
        </w:rPr>
        <w:footnoteReference w:id="2"/>
      </w:r>
    </w:p>
    <w:p w14:paraId="5054EB41" w14:textId="77777777" w:rsidR="002C0E80" w:rsidRPr="002C0E80" w:rsidRDefault="002C0E80" w:rsidP="002C0E80">
      <w:pPr>
        <w:tabs>
          <w:tab w:val="left" w:pos="9781"/>
        </w:tabs>
        <w:ind w:left="142" w:right="111"/>
        <w:jc w:val="both"/>
        <w:rPr>
          <w:rFonts w:ascii="Verdana" w:hAnsi="Verdana"/>
          <w:sz w:val="18"/>
          <w:szCs w:val="18"/>
          <w:lang w:val="pl-PL"/>
        </w:rPr>
      </w:pPr>
      <w:r w:rsidRPr="002C0E80">
        <w:rPr>
          <w:rFonts w:ascii="Verdana" w:hAnsi="Verdana"/>
          <w:color w:val="A6A6A6" w:themeColor="background1" w:themeShade="A6"/>
          <w:sz w:val="18"/>
          <w:szCs w:val="18"/>
          <w:lang w:val="pl-PL"/>
        </w:rPr>
        <w:t>Skarga przekazana rządowi litewskiemu w dniu 21 lutego 2024 r</w:t>
      </w:r>
      <w:r w:rsidRPr="002C0E80">
        <w:rPr>
          <w:rFonts w:ascii="Verdana" w:hAnsi="Verdana"/>
          <w:sz w:val="18"/>
          <w:szCs w:val="18"/>
          <w:lang w:val="pl-PL"/>
        </w:rPr>
        <w:t>.</w:t>
      </w:r>
    </w:p>
    <w:p w14:paraId="64D1FF97" w14:textId="2F724662" w:rsidR="002C0E80" w:rsidRPr="002C0E80" w:rsidRDefault="002C0E80" w:rsidP="002C0E80">
      <w:pPr>
        <w:tabs>
          <w:tab w:val="left" w:pos="9781"/>
        </w:tabs>
        <w:ind w:left="142" w:right="111"/>
        <w:jc w:val="both"/>
        <w:rPr>
          <w:rFonts w:ascii="Verdana" w:hAnsi="Verdana"/>
          <w:sz w:val="20"/>
          <w:szCs w:val="20"/>
          <w:lang w:val="pl-PL"/>
        </w:rPr>
      </w:pPr>
      <w:r w:rsidRPr="002C0E80">
        <w:rPr>
          <w:rFonts w:ascii="Verdana" w:hAnsi="Verdana"/>
          <w:sz w:val="20"/>
          <w:szCs w:val="20"/>
          <w:lang w:val="pl-PL"/>
        </w:rPr>
        <w:t>Sprawa dotyczy obywatela Arabii Saudyjskiej pochodzenia jemeńskiego, obecnie przetrzymywanego w Zatoce Guantanamo i postawionego przed komisją wojskową Stanów Zjednoczonych (USA) pod zarzutem, między innymi, zamachu bombowego na okręt US Navy USS Cole w 2000 roku. Władze USA uważają go za jedną z najwyższych rangą postaci w Al-</w:t>
      </w:r>
      <w:r w:rsidRPr="002C0E80">
        <w:rPr>
          <w:rFonts w:ascii="Verdana" w:hAnsi="Verdana"/>
          <w:sz w:val="20"/>
          <w:szCs w:val="20"/>
          <w:lang w:val="pl-PL"/>
        </w:rPr>
        <w:lastRenderedPageBreak/>
        <w:t xml:space="preserve">Kaidzie. Przed Trybunałem skarżący podniósł wiele zarzutów dotyczących tortur, złego traktowania i </w:t>
      </w:r>
      <w:r w:rsidR="006910F8">
        <w:rPr>
          <w:rFonts w:ascii="Verdana" w:hAnsi="Verdana"/>
          <w:sz w:val="20"/>
          <w:szCs w:val="20"/>
          <w:lang w:val="pl-PL"/>
        </w:rPr>
        <w:t>bezzasadbego</w:t>
      </w:r>
      <w:r w:rsidRPr="002C0E80">
        <w:rPr>
          <w:rFonts w:ascii="Verdana" w:hAnsi="Verdana"/>
          <w:sz w:val="20"/>
          <w:szCs w:val="20"/>
          <w:lang w:val="pl-PL"/>
        </w:rPr>
        <w:t xml:space="preserve"> przetrzymywania, gdy był przetrzymywany przez pięć miesięcy w latach 2005-2006 w tajnym ośrodku na Litwie prowadzonym przez amerykańską Centralną Agencję Wywiadowczą (CIA).</w:t>
      </w:r>
    </w:p>
    <w:p w14:paraId="4E425EBD" w14:textId="01E4D071" w:rsidR="00670814" w:rsidRPr="001E3CFC" w:rsidRDefault="002C0E80" w:rsidP="002C0E80">
      <w:pPr>
        <w:tabs>
          <w:tab w:val="left" w:pos="9781"/>
        </w:tabs>
        <w:ind w:left="142" w:right="111"/>
        <w:jc w:val="both"/>
        <w:rPr>
          <w:rFonts w:ascii="Verdana" w:hAnsi="Verdana"/>
          <w:sz w:val="20"/>
          <w:szCs w:val="20"/>
          <w:lang w:val="pl-PL"/>
        </w:rPr>
      </w:pPr>
      <w:r w:rsidRPr="002C0E80">
        <w:rPr>
          <w:rFonts w:ascii="Verdana" w:hAnsi="Verdana"/>
          <w:color w:val="0070C0"/>
          <w:sz w:val="20"/>
          <w:szCs w:val="20"/>
          <w:lang w:val="pl-PL"/>
        </w:rPr>
        <w:t xml:space="preserve">Trybunał powiadomił o skardze Rząd Litwy i zadał stronom pytania na podstawie art. 2 (prawo do życia), 3 (zakaz tortur i nieludzkiego lub poniżającego traktowania), 5 (prawo do wolności i bezpieczeństwa osobistego), 6 </w:t>
      </w:r>
      <w:r w:rsidR="006910F8">
        <w:rPr>
          <w:rFonts w:ascii="Verdana" w:hAnsi="Verdana"/>
          <w:color w:val="0070C0"/>
          <w:sz w:val="20"/>
          <w:szCs w:val="20"/>
          <w:lang w:val="pl-PL"/>
        </w:rPr>
        <w:t>ust.</w:t>
      </w:r>
      <w:r w:rsidRPr="002C0E80">
        <w:rPr>
          <w:rFonts w:ascii="Verdana" w:hAnsi="Verdana"/>
          <w:color w:val="0070C0"/>
          <w:sz w:val="20"/>
          <w:szCs w:val="20"/>
          <w:lang w:val="pl-PL"/>
        </w:rPr>
        <w:t xml:space="preserve"> 1 (prawo do rzetelnego procesu sądowego), 8 (prawo do poszanowania życia prywatnego i rodzinnego) i 13 (prawo do skutecznego środka odwoławczego) Konwencji oraz art. 1 (zniesienie kary śmierci) Protokołu nr 6 do Konwencji.</w:t>
      </w:r>
    </w:p>
    <w:p w14:paraId="2185BEEC" w14:textId="77777777" w:rsidR="002C0E80" w:rsidRPr="002C0E80" w:rsidRDefault="002C0E80" w:rsidP="002C0E80">
      <w:pPr>
        <w:tabs>
          <w:tab w:val="left" w:pos="9781"/>
        </w:tabs>
        <w:ind w:left="142" w:right="111"/>
        <w:jc w:val="both"/>
        <w:rPr>
          <w:lang w:val="pl-PL"/>
        </w:rPr>
      </w:pPr>
    </w:p>
    <w:p w14:paraId="6339659B" w14:textId="309E3071" w:rsidR="00670814" w:rsidRPr="00B54522" w:rsidRDefault="009E50EA" w:rsidP="00B572AA">
      <w:pPr>
        <w:tabs>
          <w:tab w:val="left" w:pos="9781"/>
        </w:tabs>
        <w:spacing w:line="391" w:lineRule="exact"/>
        <w:ind w:left="142" w:right="111"/>
        <w:rPr>
          <w:sz w:val="20"/>
          <w:szCs w:val="20"/>
          <w:lang w:val="pl-PL"/>
        </w:rPr>
      </w:pPr>
      <w:r>
        <w:rPr>
          <w:noProof/>
          <w:sz w:val="20"/>
          <w:szCs w:val="20"/>
          <w:lang w:val="pl-PL" w:eastAsia="pl-PL"/>
        </w:rPr>
        <mc:AlternateContent>
          <mc:Choice Requires="wps">
            <w:drawing>
              <wp:anchor distT="4294967295" distB="4294967295" distL="114300" distR="114300" simplePos="0" relativeHeight="251674624" behindDoc="1" locked="0" layoutInCell="0" allowOverlap="1" wp14:anchorId="1B5C7819" wp14:editId="134B11C7">
                <wp:simplePos x="0" y="0"/>
                <wp:positionH relativeFrom="column">
                  <wp:posOffset>248705</wp:posOffset>
                </wp:positionH>
                <wp:positionV relativeFrom="paragraph">
                  <wp:posOffset>20320</wp:posOffset>
                </wp:positionV>
                <wp:extent cx="576834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8340" cy="0"/>
                        </a:xfrm>
                        <a:prstGeom prst="line">
                          <a:avLst/>
                        </a:prstGeom>
                        <a:solidFill>
                          <a:srgbClr val="FFFFFF"/>
                        </a:solidFill>
                        <a:ln w="12179">
                          <a:solidFill>
                            <a:srgbClr val="999999"/>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E24BD15" id="Shape 34"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pt,1.6pt" to="47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" o:allowincell="f" filled="t" strokecolor="#999" strokeweight=".33831mm">
                <v:stroke joinstyle="miter"/>
                <o:lock v:ext="edit" shapetype="f"/>
              </v:line>
            </w:pict>
          </mc:Fallback>
        </mc:AlternateContent>
      </w:r>
    </w:p>
    <w:p w14:paraId="2BFBC932" w14:textId="77777777" w:rsidR="00670814" w:rsidRPr="00B54522" w:rsidRDefault="00192043" w:rsidP="00B572AA">
      <w:pPr>
        <w:tabs>
          <w:tab w:val="left" w:pos="9781"/>
        </w:tabs>
        <w:ind w:left="142" w:right="111"/>
        <w:jc w:val="center"/>
        <w:rPr>
          <w:sz w:val="20"/>
          <w:szCs w:val="20"/>
          <w:lang w:val="pl-PL"/>
        </w:rPr>
      </w:pPr>
      <w:r w:rsidRPr="00B54522">
        <w:rPr>
          <w:rFonts w:ascii="Verdana" w:eastAsia="Verdana" w:hAnsi="Verdana" w:cs="Verdana"/>
          <w:b/>
          <w:bCs/>
          <w:color w:val="808080"/>
          <w:sz w:val="20"/>
          <w:szCs w:val="20"/>
          <w:lang w:val="pl-PL"/>
        </w:rPr>
        <w:t>Kontakt z działem prasowym</w:t>
      </w:r>
      <w:r w:rsidR="008A2D2C" w:rsidRPr="00B54522">
        <w:rPr>
          <w:rFonts w:ascii="Verdana" w:eastAsia="Verdana" w:hAnsi="Verdana" w:cs="Verdana"/>
          <w:b/>
          <w:bCs/>
          <w:color w:val="808080"/>
          <w:sz w:val="20"/>
          <w:szCs w:val="20"/>
          <w:lang w:val="pl-PL"/>
        </w:rPr>
        <w:t>:</w:t>
      </w:r>
    </w:p>
    <w:p w14:paraId="75624D7D" w14:textId="77777777" w:rsidR="00670814" w:rsidRPr="00B54522" w:rsidRDefault="00670814" w:rsidP="00B572AA">
      <w:pPr>
        <w:tabs>
          <w:tab w:val="left" w:pos="9781"/>
        </w:tabs>
        <w:spacing w:line="4" w:lineRule="exact"/>
        <w:ind w:left="142" w:right="111"/>
        <w:rPr>
          <w:sz w:val="20"/>
          <w:szCs w:val="20"/>
          <w:lang w:val="pl-PL"/>
        </w:rPr>
      </w:pPr>
    </w:p>
    <w:p w14:paraId="5743BBCE" w14:textId="4B9D5D75" w:rsidR="00670814" w:rsidRPr="00B54522" w:rsidRDefault="008A2D2C" w:rsidP="00A15F89">
      <w:pPr>
        <w:ind w:right="111"/>
        <w:jc w:val="center"/>
        <w:rPr>
          <w:sz w:val="20"/>
          <w:szCs w:val="20"/>
          <w:lang w:val="pl-PL"/>
        </w:rPr>
      </w:pPr>
      <w:r w:rsidRPr="00B54522">
        <w:rPr>
          <w:rFonts w:ascii="Verdana" w:eastAsia="Verdana" w:hAnsi="Verdana" w:cs="Verdana"/>
          <w:color w:val="808080"/>
          <w:sz w:val="20"/>
          <w:szCs w:val="20"/>
          <w:lang w:val="pl-PL"/>
        </w:rPr>
        <w:t>Tel.: +33 (0)3 90 21 42 08</w:t>
      </w:r>
    </w:p>
    <w:p w14:paraId="5C88B05D" w14:textId="77777777" w:rsidR="00670814" w:rsidRPr="00B54522" w:rsidRDefault="00670814" w:rsidP="00B572AA">
      <w:pPr>
        <w:tabs>
          <w:tab w:val="left" w:pos="9781"/>
        </w:tabs>
        <w:ind w:left="142" w:right="111"/>
        <w:rPr>
          <w:sz w:val="20"/>
          <w:szCs w:val="20"/>
          <w:lang w:val="pl-PL"/>
        </w:rPr>
      </w:pPr>
    </w:p>
    <w:sectPr w:rsidR="00670814" w:rsidRPr="00B54522" w:rsidSect="00A15F89">
      <w:headerReference w:type="even" r:id="rId17"/>
      <w:headerReference w:type="default" r:id="rId18"/>
      <w:footerReference w:type="even" r:id="rId19"/>
      <w:footerReference w:type="default" r:id="rId20"/>
      <w:headerReference w:type="first" r:id="rId21"/>
      <w:footerReference w:type="first" r:id="rId22"/>
      <w:type w:val="continuous"/>
      <w:pgSz w:w="11900" w:h="16838"/>
      <w:pgMar w:top="1117" w:right="1127" w:bottom="0" w:left="993" w:header="0" w:footer="884" w:gutter="0"/>
      <w:cols w:space="720" w:equalWidth="0">
        <w:col w:w="9766"/>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D2720" w14:textId="77777777" w:rsidR="00EA4412" w:rsidRDefault="00EA4412" w:rsidP="006A6797">
      <w:r>
        <w:separator/>
      </w:r>
    </w:p>
  </w:endnote>
  <w:endnote w:type="continuationSeparator" w:id="0">
    <w:p w14:paraId="6ED99FB2" w14:textId="77777777" w:rsidR="00EA4412" w:rsidRDefault="00EA4412" w:rsidP="006A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0DA0" w14:textId="77777777" w:rsidR="00050809" w:rsidRDefault="000508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D44FC" w14:textId="0FB30F58" w:rsidR="00011D8B" w:rsidRDefault="00000000" w:rsidP="006A2FA9">
    <w:pPr>
      <w:pStyle w:val="Stopka"/>
      <w:tabs>
        <w:tab w:val="clear" w:pos="4703"/>
        <w:tab w:val="center" w:pos="4536"/>
      </w:tabs>
      <w:jc w:val="center"/>
    </w:pPr>
    <w:sdt>
      <w:sdtPr>
        <w:id w:val="322106910"/>
        <w:docPartObj>
          <w:docPartGallery w:val="Page Numbers (Bottom of Page)"/>
          <w:docPartUnique/>
        </w:docPartObj>
      </w:sdtPr>
      <w:sdtContent>
        <w:r w:rsidR="002E25D9">
          <w:fldChar w:fldCharType="begin"/>
        </w:r>
        <w:r w:rsidR="00011D8B">
          <w:instrText>PAGE   \* MERGEFORMAT</w:instrText>
        </w:r>
        <w:r w:rsidR="002E25D9">
          <w:fldChar w:fldCharType="separate"/>
        </w:r>
        <w:r w:rsidR="00050809" w:rsidRPr="00050809">
          <w:rPr>
            <w:noProof/>
            <w:lang w:val="pl-PL"/>
          </w:rPr>
          <w:t>4</w:t>
        </w:r>
        <w:r w:rsidR="002E25D9">
          <w:fldChar w:fldCharType="end"/>
        </w:r>
      </w:sdtContent>
    </w:sdt>
  </w:p>
  <w:p w14:paraId="252C4E64" w14:textId="1D12EEFB" w:rsidR="00011D8B" w:rsidRDefault="00A15F89" w:rsidP="00A15F89">
    <w:pPr>
      <w:pStyle w:val="Stopka"/>
      <w:tabs>
        <w:tab w:val="clear" w:pos="4703"/>
        <w:tab w:val="clear" w:pos="9406"/>
        <w:tab w:val="left" w:pos="543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9200"/>
      <w:docPartObj>
        <w:docPartGallery w:val="Page Numbers (Bottom of Page)"/>
        <w:docPartUnique/>
      </w:docPartObj>
    </w:sdtPr>
    <w:sdtContent>
      <w:p w14:paraId="6A414FC8" w14:textId="6E903B79" w:rsidR="00A16F2C" w:rsidRDefault="00A16F2C" w:rsidP="001D18D2">
        <w:pPr>
          <w:pStyle w:val="Stopka"/>
          <w:tabs>
            <w:tab w:val="clear" w:pos="4703"/>
            <w:tab w:val="center" w:pos="4962"/>
          </w:tabs>
          <w:jc w:val="center"/>
        </w:pPr>
        <w:r>
          <w:fldChar w:fldCharType="begin"/>
        </w:r>
        <w:r>
          <w:instrText>PAGE   \* MERGEFORMAT</w:instrText>
        </w:r>
        <w:r>
          <w:fldChar w:fldCharType="separate"/>
        </w:r>
        <w:r w:rsidR="00050809" w:rsidRPr="00050809">
          <w:rPr>
            <w:noProof/>
            <w:lang w:val="pl-PL"/>
          </w:rPr>
          <w:t>1</w:t>
        </w:r>
        <w:r>
          <w:fldChar w:fldCharType="end"/>
        </w:r>
      </w:p>
    </w:sdtContent>
  </w:sdt>
  <w:p w14:paraId="21A8F810" w14:textId="77777777" w:rsidR="00A16F2C" w:rsidRDefault="00A16F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AC3EE" w14:textId="77777777" w:rsidR="00EA4412" w:rsidRDefault="00EA4412" w:rsidP="006A6797">
      <w:r>
        <w:separator/>
      </w:r>
    </w:p>
  </w:footnote>
  <w:footnote w:type="continuationSeparator" w:id="0">
    <w:p w14:paraId="5CA2EB0C" w14:textId="77777777" w:rsidR="00EA4412" w:rsidRDefault="00EA4412" w:rsidP="006A6797">
      <w:r>
        <w:continuationSeparator/>
      </w:r>
    </w:p>
  </w:footnote>
  <w:footnote w:id="1">
    <w:p w14:paraId="1E9B2467" w14:textId="5E040724" w:rsidR="002C0E80" w:rsidRPr="002C0E80" w:rsidRDefault="002C0E80">
      <w:pPr>
        <w:pStyle w:val="Tekstprzypisudolnego"/>
        <w:rPr>
          <w:lang w:val="pl-PL"/>
        </w:rPr>
      </w:pPr>
      <w:r>
        <w:rPr>
          <w:rStyle w:val="Odwoanieprzypisudolnego"/>
        </w:rPr>
        <w:footnoteRef/>
      </w:r>
      <w:r w:rsidRPr="002C0E80">
        <w:rPr>
          <w:lang w:val="pl-PL"/>
        </w:rPr>
        <w:t xml:space="preserve"> </w:t>
      </w:r>
      <w:r w:rsidRPr="002C0E80">
        <w:rPr>
          <w:rFonts w:ascii="Verdana" w:hAnsi="Verdana"/>
          <w:sz w:val="16"/>
          <w:szCs w:val="16"/>
          <w:lang w:val="pl-PL"/>
        </w:rPr>
        <w:t>Niniejszy wyrok stanie się ostateczny w okolicznościach określonych w art. 44 § 2 (wyroki ostateczne) Europejskiej Konwencji Praw Człowieka.</w:t>
      </w:r>
    </w:p>
  </w:footnote>
  <w:footnote w:id="2">
    <w:p w14:paraId="3B461974" w14:textId="77777777" w:rsidR="001E3CFC" w:rsidRPr="001E3CFC" w:rsidRDefault="001E3CFC" w:rsidP="001E3CFC">
      <w:pPr>
        <w:pStyle w:val="Tekstprzypisudolnego"/>
        <w:rPr>
          <w:lang w:val="pl-PL"/>
        </w:rPr>
      </w:pPr>
      <w:r>
        <w:rPr>
          <w:rStyle w:val="Odwoanieprzypisudolnego"/>
        </w:rPr>
        <w:footnoteRef/>
      </w:r>
      <w:r w:rsidRPr="001E3CFC">
        <w:rPr>
          <w:lang w:val="pl-PL"/>
        </w:rPr>
        <w:t xml:space="preserve"> Trybunał orzekł w dwóch innych sprawach dotyczących przetrzymywania skarżącego w tajnych ośrodkach CIA, w Polsce i Rumunii: zob. wyroki wydane w 2014 r. w sprawie Al Nashiri przeciwko Polsce i w 2018 r. w sprawie Al Nashiri przeciwko Rumunii, streszczone powyżej.</w:t>
      </w:r>
    </w:p>
    <w:p w14:paraId="6AF58A71" w14:textId="0B4B3DA7" w:rsidR="001E3CFC" w:rsidRPr="001E3CFC" w:rsidRDefault="001E3CFC">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6BF0" w14:textId="77777777" w:rsidR="00050809" w:rsidRDefault="000508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6A6C" w14:textId="3A773FF9" w:rsidR="00A476F2" w:rsidRDefault="00A476F2" w:rsidP="00A04F99">
    <w:pPr>
      <w:spacing w:line="222" w:lineRule="exact"/>
      <w:rPr>
        <w:rFonts w:ascii="Calibri" w:eastAsia="Calibri" w:hAnsi="Calibri" w:cs="Calibri"/>
        <w:sz w:val="18"/>
        <w:szCs w:val="18"/>
        <w:lang w:val="pl-PL"/>
      </w:rPr>
    </w:pPr>
  </w:p>
  <w:p w14:paraId="2848AD78" w14:textId="77777777" w:rsidR="00A476F2" w:rsidRDefault="00A476F2" w:rsidP="00A476F2">
    <w:pPr>
      <w:ind w:left="6140"/>
      <w:rPr>
        <w:rFonts w:ascii="Calibri" w:eastAsia="Calibri" w:hAnsi="Calibri" w:cs="Calibri"/>
        <w:sz w:val="18"/>
        <w:szCs w:val="18"/>
        <w:lang w:val="pl-PL"/>
      </w:rPr>
    </w:pPr>
  </w:p>
  <w:p w14:paraId="18AB952B" w14:textId="0BDE092E" w:rsidR="00A04F99" w:rsidRDefault="00791566" w:rsidP="00A04F99">
    <w:pPr>
      <w:rPr>
        <w:rFonts w:ascii="Calibri" w:eastAsia="Calibri" w:hAnsi="Calibri" w:cs="Calibri"/>
        <w:sz w:val="18"/>
        <w:szCs w:val="18"/>
        <w:lang w:val="pl-PL"/>
      </w:rPr>
    </w:pPr>
    <w:r>
      <w:rPr>
        <w:noProof/>
        <w:sz w:val="24"/>
        <w:szCs w:val="24"/>
        <w:lang w:val="pl-PL" w:eastAsia="pl-PL"/>
      </w:rPr>
      <w:drawing>
        <wp:anchor distT="0" distB="0" distL="114300" distR="114300" simplePos="0" relativeHeight="251657216" behindDoc="1" locked="0" layoutInCell="0" allowOverlap="1" wp14:anchorId="644CA26C" wp14:editId="012D6691">
          <wp:simplePos x="0" y="0"/>
          <wp:positionH relativeFrom="page">
            <wp:posOffset>5229225</wp:posOffset>
          </wp:positionH>
          <wp:positionV relativeFrom="page">
            <wp:posOffset>315483</wp:posOffset>
          </wp:positionV>
          <wp:extent cx="1409700" cy="371475"/>
          <wp:effectExtent l="0" t="0" r="0" b="9525"/>
          <wp:wrapNone/>
          <wp:docPr id="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409700" cy="371475"/>
                  </a:xfrm>
                  <a:prstGeom prst="rect">
                    <a:avLst/>
                  </a:prstGeom>
                  <a:noFill/>
                </pic:spPr>
              </pic:pic>
            </a:graphicData>
          </a:graphic>
        </wp:anchor>
      </w:drawing>
    </w:r>
  </w:p>
  <w:p w14:paraId="004752BB" w14:textId="77777777" w:rsidR="00A04F99" w:rsidRDefault="00A04F99" w:rsidP="00A04F99">
    <w:pPr>
      <w:rPr>
        <w:rFonts w:ascii="Calibri" w:eastAsia="Calibri" w:hAnsi="Calibri" w:cs="Calibri"/>
        <w:sz w:val="18"/>
        <w:szCs w:val="18"/>
        <w:lang w:val="pl-PL"/>
      </w:rPr>
    </w:pPr>
  </w:p>
  <w:p w14:paraId="07338E5E" w14:textId="4382C2BA" w:rsidR="00A476F2" w:rsidRDefault="0030560E" w:rsidP="00A04F99">
    <w:pPr>
      <w:rPr>
        <w:rFonts w:ascii="Calibri" w:eastAsia="Calibri" w:hAnsi="Calibri" w:cs="Calibri"/>
        <w:sz w:val="18"/>
        <w:szCs w:val="18"/>
        <w:lang w:val="pl-PL"/>
      </w:rPr>
    </w:pPr>
    <w:r>
      <w:rPr>
        <w:noProof/>
        <w:sz w:val="24"/>
        <w:szCs w:val="24"/>
        <w:lang w:val="pl-PL" w:eastAsia="pl-PL"/>
      </w:rPr>
      <mc:AlternateContent>
        <mc:Choice Requires="wps">
          <w:drawing>
            <wp:anchor distT="4294967295" distB="4294967295" distL="114300" distR="114300" simplePos="0" relativeHeight="251658240" behindDoc="1" locked="0" layoutInCell="0" allowOverlap="1" wp14:anchorId="77778D65" wp14:editId="575DD56C">
              <wp:simplePos x="0" y="0"/>
              <wp:positionH relativeFrom="column">
                <wp:posOffset>-186905</wp:posOffset>
              </wp:positionH>
              <wp:positionV relativeFrom="paragraph">
                <wp:posOffset>185420</wp:posOffset>
              </wp:positionV>
              <wp:extent cx="676275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solidFill>
                        <a:srgbClr val="FFFFFF"/>
                      </a:solidFill>
                      <a:ln w="12192">
                        <a:solidFill>
                          <a:srgbClr val="80808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21A5CF" id="Shap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14.6pt" to="517.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" o:allowincell="f" filled="t" strokecolor="gray" strokeweight=".96pt">
              <v:stroke joinstyle="miter"/>
              <o:lock v:ext="edit" shapetype="f"/>
            </v:line>
          </w:pict>
        </mc:Fallback>
      </mc:AlternateContent>
    </w:r>
    <w:r w:rsidR="00A476F2" w:rsidRPr="007704CF">
      <w:rPr>
        <w:rFonts w:ascii="Calibri" w:eastAsia="Calibri" w:hAnsi="Calibri" w:cs="Calibri"/>
        <w:sz w:val="18"/>
        <w:szCs w:val="18"/>
        <w:lang w:val="pl-PL"/>
      </w:rPr>
      <w:t xml:space="preserve">Zestawienie – </w:t>
    </w:r>
    <w:r w:rsidR="00AA41AF">
      <w:rPr>
        <w:rFonts w:ascii="Calibri" w:eastAsia="Calibri" w:hAnsi="Calibri" w:cs="Calibri"/>
        <w:sz w:val="18"/>
        <w:szCs w:val="18"/>
        <w:lang w:val="pl-PL"/>
      </w:rPr>
      <w:t>Tajne więzienia</w:t>
    </w:r>
  </w:p>
  <w:p w14:paraId="5FE96159" w14:textId="72E7D928" w:rsidR="00A476F2" w:rsidRPr="00011D8B" w:rsidRDefault="00A476F2" w:rsidP="00011D8B">
    <w:pPr>
      <w:ind w:left="6140"/>
      <w:rPr>
        <w:rFonts w:ascii="Calibri" w:eastAsia="Calibri" w:hAnsi="Calibri" w:cs="Calibri"/>
        <w:sz w:val="18"/>
        <w:szCs w:val="18"/>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E51AE" w14:textId="2AF47F76" w:rsidR="00A04F99" w:rsidRDefault="00A04F99">
    <w:pPr>
      <w:pStyle w:val="Nagwek"/>
    </w:pPr>
  </w:p>
  <w:p w14:paraId="00CA9741" w14:textId="58322AB4" w:rsidR="00A04F99" w:rsidRDefault="00A04F99">
    <w:pPr>
      <w:pStyle w:val="Nagwek"/>
    </w:pPr>
  </w:p>
  <w:p w14:paraId="21AE12D7" w14:textId="4CB77B1C" w:rsidR="00A04F99" w:rsidRDefault="00A04F99" w:rsidP="00A04F99">
    <w:pPr>
      <w:pStyle w:val="Nagwek"/>
      <w:tabs>
        <w:tab w:val="clear" w:pos="4703"/>
        <w:tab w:val="clear" w:pos="9406"/>
        <w:tab w:val="left" w:pos="8625"/>
      </w:tabs>
    </w:pPr>
    <w:r>
      <w:rPr>
        <w:noProof/>
        <w:lang w:val="pl-PL" w:eastAsia="pl-PL"/>
      </w:rPr>
      <w:drawing>
        <wp:anchor distT="0" distB="0" distL="114300" distR="114300" simplePos="0" relativeHeight="251659264" behindDoc="0" locked="0" layoutInCell="1" allowOverlap="1" wp14:anchorId="2FE245FC" wp14:editId="2073F741">
          <wp:simplePos x="0" y="0"/>
          <wp:positionH relativeFrom="column">
            <wp:posOffset>4762285</wp:posOffset>
          </wp:positionH>
          <wp:positionV relativeFrom="paragraph">
            <wp:posOffset>12065</wp:posOffset>
          </wp:positionV>
          <wp:extent cx="1408430" cy="372110"/>
          <wp:effectExtent l="0" t="0" r="1270" b="8890"/>
          <wp:wrapNone/>
          <wp:docPr id="81" name="Obraz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372110"/>
                  </a:xfrm>
                  <a:prstGeom prst="rect">
                    <a:avLst/>
                  </a:prstGeom>
                  <a:noFill/>
                </pic:spPr>
              </pic:pic>
            </a:graphicData>
          </a:graphic>
          <wp14:sizeRelH relativeFrom="page">
            <wp14:pctWidth>0</wp14:pctWidth>
          </wp14:sizeRelH>
          <wp14:sizeRelV relativeFrom="page">
            <wp14:pctHeight>0</wp14:pctHeight>
          </wp14:sizeRelV>
        </wp:anchor>
      </w:drawing>
    </w:r>
    <w:r>
      <w:tab/>
    </w:r>
  </w:p>
  <w:p w14:paraId="0A3550D2" w14:textId="166BC460" w:rsidR="00A04F99" w:rsidRDefault="00A04F99">
    <w:pPr>
      <w:pStyle w:val="Nagwek"/>
    </w:pPr>
  </w:p>
  <w:p w14:paraId="16F131FC" w14:textId="6CD27C38" w:rsidR="00A04F99" w:rsidRDefault="00A04F99">
    <w:pPr>
      <w:pStyle w:val="Nagwek"/>
    </w:pPr>
  </w:p>
  <w:p w14:paraId="1DC1AA0B" w14:textId="29A52E0E" w:rsidR="00A04F99" w:rsidRDefault="00A04F99">
    <w:pPr>
      <w:pStyle w:val="Nagwek"/>
    </w:pPr>
  </w:p>
  <w:p w14:paraId="40E4A28E" w14:textId="4D581AF6" w:rsidR="00A04F99" w:rsidRPr="009E50EA" w:rsidRDefault="0030560E" w:rsidP="0030560E">
    <w:pPr>
      <w:pStyle w:val="Nagwek"/>
      <w:tabs>
        <w:tab w:val="clear" w:pos="9406"/>
        <w:tab w:val="right" w:pos="9467"/>
      </w:tabs>
      <w:jc w:val="center"/>
      <w:rPr>
        <w:rFonts w:ascii="Verdana" w:hAnsi="Verdana"/>
        <w:sz w:val="18"/>
        <w:szCs w:val="18"/>
        <w:lang w:val="pl-PL"/>
      </w:rPr>
    </w:pPr>
    <w:r>
      <w:rPr>
        <w:rFonts w:ascii="Verdana" w:hAnsi="Verdana"/>
        <w:sz w:val="18"/>
        <w:szCs w:val="18"/>
        <w:lang w:val="pl-PL"/>
      </w:rPr>
      <w:tab/>
    </w:r>
    <w:r>
      <w:rPr>
        <w:rFonts w:ascii="Verdana" w:hAnsi="Verdana"/>
        <w:sz w:val="18"/>
        <w:szCs w:val="18"/>
        <w:lang w:val="pl-PL"/>
      </w:rPr>
      <w:tab/>
    </w:r>
    <w:r w:rsidR="00A04F99" w:rsidRPr="009E50EA">
      <w:rPr>
        <w:rFonts w:ascii="Verdana" w:hAnsi="Verdana"/>
        <w:sz w:val="18"/>
        <w:szCs w:val="18"/>
        <w:lang w:val="pl-PL"/>
      </w:rPr>
      <w:t>Zestawienie</w:t>
    </w:r>
    <w:r w:rsidR="0016067F" w:rsidRPr="009E50EA">
      <w:rPr>
        <w:rFonts w:ascii="Verdana" w:hAnsi="Verdana"/>
        <w:sz w:val="18"/>
        <w:szCs w:val="18"/>
        <w:lang w:val="pl-PL"/>
      </w:rPr>
      <w:t xml:space="preserve"> – </w:t>
    </w:r>
    <w:r w:rsidR="00AA41AF">
      <w:rPr>
        <w:rFonts w:ascii="Verdana" w:hAnsi="Verdana"/>
        <w:sz w:val="18"/>
        <w:szCs w:val="18"/>
        <w:lang w:val="pl-PL"/>
      </w:rPr>
      <w:t>Tajne więzienia</w:t>
    </w:r>
  </w:p>
  <w:p w14:paraId="2685FF40" w14:textId="540F091A" w:rsidR="00A04F99" w:rsidRDefault="00A04F99">
    <w:pPr>
      <w:pStyle w:val="Nagwek"/>
    </w:pPr>
    <w:r>
      <w:rPr>
        <w:noProof/>
        <w:lang w:val="pl-PL" w:eastAsia="pl-PL"/>
      </w:rPr>
      <w:drawing>
        <wp:anchor distT="0" distB="0" distL="114300" distR="114300" simplePos="0" relativeHeight="251660288" behindDoc="0" locked="0" layoutInCell="1" allowOverlap="1" wp14:anchorId="02AB8003" wp14:editId="077954DA">
          <wp:simplePos x="0" y="0"/>
          <wp:positionH relativeFrom="column">
            <wp:posOffset>-216750</wp:posOffset>
          </wp:positionH>
          <wp:positionV relativeFrom="paragraph">
            <wp:posOffset>113665</wp:posOffset>
          </wp:positionV>
          <wp:extent cx="6773545" cy="12065"/>
          <wp:effectExtent l="0" t="0" r="0" b="0"/>
          <wp:wrapNone/>
          <wp:docPr id="82"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73545" cy="12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87CCD"/>
    <w:multiLevelType w:val="hybridMultilevel"/>
    <w:tmpl w:val="59FEBE44"/>
    <w:lvl w:ilvl="0" w:tplc="DF160B1C">
      <w:start w:val="2"/>
      <w:numFmt w:val="decimal"/>
      <w:lvlText w:val="%1."/>
      <w:lvlJc w:val="left"/>
    </w:lvl>
    <w:lvl w:ilvl="1" w:tplc="832A65FE">
      <w:numFmt w:val="decimal"/>
      <w:lvlText w:val=""/>
      <w:lvlJc w:val="left"/>
    </w:lvl>
    <w:lvl w:ilvl="2" w:tplc="5C1C2178">
      <w:numFmt w:val="decimal"/>
      <w:lvlText w:val=""/>
      <w:lvlJc w:val="left"/>
    </w:lvl>
    <w:lvl w:ilvl="3" w:tplc="732CEC5C">
      <w:numFmt w:val="decimal"/>
      <w:lvlText w:val=""/>
      <w:lvlJc w:val="left"/>
    </w:lvl>
    <w:lvl w:ilvl="4" w:tplc="0C2063F0">
      <w:numFmt w:val="decimal"/>
      <w:lvlText w:val=""/>
      <w:lvlJc w:val="left"/>
    </w:lvl>
    <w:lvl w:ilvl="5" w:tplc="67C69440">
      <w:numFmt w:val="decimal"/>
      <w:lvlText w:val=""/>
      <w:lvlJc w:val="left"/>
    </w:lvl>
    <w:lvl w:ilvl="6" w:tplc="038444B8">
      <w:numFmt w:val="decimal"/>
      <w:lvlText w:val=""/>
      <w:lvlJc w:val="left"/>
    </w:lvl>
    <w:lvl w:ilvl="7" w:tplc="C584E9CC">
      <w:numFmt w:val="decimal"/>
      <w:lvlText w:val=""/>
      <w:lvlJc w:val="left"/>
    </w:lvl>
    <w:lvl w:ilvl="8" w:tplc="BB24EDD6">
      <w:numFmt w:val="decimal"/>
      <w:lvlText w:val=""/>
      <w:lvlJc w:val="left"/>
    </w:lvl>
  </w:abstractNum>
  <w:abstractNum w:abstractNumId="1" w15:restartNumberingAfterBreak="0">
    <w:nsid w:val="643C9869"/>
    <w:multiLevelType w:val="hybridMultilevel"/>
    <w:tmpl w:val="394C9C4C"/>
    <w:lvl w:ilvl="0" w:tplc="7520C0FE">
      <w:start w:val="1"/>
      <w:numFmt w:val="decimal"/>
      <w:lvlText w:val="%1"/>
      <w:lvlJc w:val="left"/>
    </w:lvl>
    <w:lvl w:ilvl="1" w:tplc="71820300">
      <w:start w:val="2"/>
      <w:numFmt w:val="decimal"/>
      <w:lvlText w:val="%2."/>
      <w:lvlJc w:val="left"/>
    </w:lvl>
    <w:lvl w:ilvl="2" w:tplc="7304DA86">
      <w:numFmt w:val="decimal"/>
      <w:lvlText w:val=""/>
      <w:lvlJc w:val="left"/>
    </w:lvl>
    <w:lvl w:ilvl="3" w:tplc="F5E020A4">
      <w:numFmt w:val="decimal"/>
      <w:lvlText w:val=""/>
      <w:lvlJc w:val="left"/>
    </w:lvl>
    <w:lvl w:ilvl="4" w:tplc="BC4E9DA0">
      <w:numFmt w:val="decimal"/>
      <w:lvlText w:val=""/>
      <w:lvlJc w:val="left"/>
    </w:lvl>
    <w:lvl w:ilvl="5" w:tplc="8BB4E63C">
      <w:numFmt w:val="decimal"/>
      <w:lvlText w:val=""/>
      <w:lvlJc w:val="left"/>
    </w:lvl>
    <w:lvl w:ilvl="6" w:tplc="4A2AABEA">
      <w:numFmt w:val="decimal"/>
      <w:lvlText w:val=""/>
      <w:lvlJc w:val="left"/>
    </w:lvl>
    <w:lvl w:ilvl="7" w:tplc="E6446114">
      <w:numFmt w:val="decimal"/>
      <w:lvlText w:val=""/>
      <w:lvlJc w:val="left"/>
    </w:lvl>
    <w:lvl w:ilvl="8" w:tplc="9E7A21EE">
      <w:numFmt w:val="decimal"/>
      <w:lvlText w:val=""/>
      <w:lvlJc w:val="left"/>
    </w:lvl>
  </w:abstractNum>
  <w:abstractNum w:abstractNumId="2" w15:restartNumberingAfterBreak="0">
    <w:nsid w:val="66334873"/>
    <w:multiLevelType w:val="hybridMultilevel"/>
    <w:tmpl w:val="04A81822"/>
    <w:lvl w:ilvl="0" w:tplc="1B2CC2BA">
      <w:start w:val="2"/>
      <w:numFmt w:val="decimal"/>
      <w:lvlText w:val="%1"/>
      <w:lvlJc w:val="left"/>
    </w:lvl>
    <w:lvl w:ilvl="1" w:tplc="F0D0EF78">
      <w:numFmt w:val="decimal"/>
      <w:lvlText w:val=""/>
      <w:lvlJc w:val="left"/>
    </w:lvl>
    <w:lvl w:ilvl="2" w:tplc="5470DC68">
      <w:numFmt w:val="decimal"/>
      <w:lvlText w:val=""/>
      <w:lvlJc w:val="left"/>
    </w:lvl>
    <w:lvl w:ilvl="3" w:tplc="FA1465D6">
      <w:numFmt w:val="decimal"/>
      <w:lvlText w:val=""/>
      <w:lvlJc w:val="left"/>
    </w:lvl>
    <w:lvl w:ilvl="4" w:tplc="32C2C50A">
      <w:numFmt w:val="decimal"/>
      <w:lvlText w:val=""/>
      <w:lvlJc w:val="left"/>
    </w:lvl>
    <w:lvl w:ilvl="5" w:tplc="8FF63CF0">
      <w:numFmt w:val="decimal"/>
      <w:lvlText w:val=""/>
      <w:lvlJc w:val="left"/>
    </w:lvl>
    <w:lvl w:ilvl="6" w:tplc="16B4622E">
      <w:numFmt w:val="decimal"/>
      <w:lvlText w:val=""/>
      <w:lvlJc w:val="left"/>
    </w:lvl>
    <w:lvl w:ilvl="7" w:tplc="DF660212">
      <w:numFmt w:val="decimal"/>
      <w:lvlText w:val=""/>
      <w:lvlJc w:val="left"/>
    </w:lvl>
    <w:lvl w:ilvl="8" w:tplc="CF801E6A">
      <w:numFmt w:val="decimal"/>
      <w:lvlText w:val=""/>
      <w:lvlJc w:val="left"/>
    </w:lvl>
  </w:abstractNum>
  <w:num w:numId="1" w16cid:durableId="2039621273">
    <w:abstractNumId w:val="1"/>
  </w:num>
  <w:num w:numId="2" w16cid:durableId="1767651301">
    <w:abstractNumId w:val="2"/>
  </w:num>
  <w:num w:numId="3" w16cid:durableId="64142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14"/>
    <w:rsid w:val="00003670"/>
    <w:rsid w:val="0000464B"/>
    <w:rsid w:val="000046E3"/>
    <w:rsid w:val="00004A6B"/>
    <w:rsid w:val="00004B7E"/>
    <w:rsid w:val="00011D8B"/>
    <w:rsid w:val="00032BBC"/>
    <w:rsid w:val="00034491"/>
    <w:rsid w:val="00037830"/>
    <w:rsid w:val="00041311"/>
    <w:rsid w:val="000469B6"/>
    <w:rsid w:val="00050809"/>
    <w:rsid w:val="000517E7"/>
    <w:rsid w:val="000764C3"/>
    <w:rsid w:val="00083882"/>
    <w:rsid w:val="000B5582"/>
    <w:rsid w:val="000B627F"/>
    <w:rsid w:val="000B6BD3"/>
    <w:rsid w:val="000C5427"/>
    <w:rsid w:val="000D110F"/>
    <w:rsid w:val="000E0736"/>
    <w:rsid w:val="000E1DAE"/>
    <w:rsid w:val="000F48A8"/>
    <w:rsid w:val="00100C59"/>
    <w:rsid w:val="00101E26"/>
    <w:rsid w:val="00102AA8"/>
    <w:rsid w:val="001043FB"/>
    <w:rsid w:val="00113D35"/>
    <w:rsid w:val="001149D3"/>
    <w:rsid w:val="0012310E"/>
    <w:rsid w:val="00142DCC"/>
    <w:rsid w:val="00150E47"/>
    <w:rsid w:val="0015731C"/>
    <w:rsid w:val="0016067F"/>
    <w:rsid w:val="0016304F"/>
    <w:rsid w:val="00171A93"/>
    <w:rsid w:val="00186BEA"/>
    <w:rsid w:val="00186D0B"/>
    <w:rsid w:val="00190521"/>
    <w:rsid w:val="00191A2C"/>
    <w:rsid w:val="00191B99"/>
    <w:rsid w:val="00192043"/>
    <w:rsid w:val="00192665"/>
    <w:rsid w:val="00196666"/>
    <w:rsid w:val="00196749"/>
    <w:rsid w:val="001A3D77"/>
    <w:rsid w:val="001A56C8"/>
    <w:rsid w:val="001A6C66"/>
    <w:rsid w:val="001C0390"/>
    <w:rsid w:val="001D18D2"/>
    <w:rsid w:val="001D1A10"/>
    <w:rsid w:val="001D2429"/>
    <w:rsid w:val="001D2DB8"/>
    <w:rsid w:val="001D35CF"/>
    <w:rsid w:val="001D3777"/>
    <w:rsid w:val="001E0479"/>
    <w:rsid w:val="001E3CFC"/>
    <w:rsid w:val="001F3A07"/>
    <w:rsid w:val="00200B1E"/>
    <w:rsid w:val="0020467B"/>
    <w:rsid w:val="00204BB2"/>
    <w:rsid w:val="00206410"/>
    <w:rsid w:val="00224E09"/>
    <w:rsid w:val="002255D2"/>
    <w:rsid w:val="00225631"/>
    <w:rsid w:val="002266DD"/>
    <w:rsid w:val="002303B8"/>
    <w:rsid w:val="00236EAF"/>
    <w:rsid w:val="00243F8B"/>
    <w:rsid w:val="00246D22"/>
    <w:rsid w:val="0026277C"/>
    <w:rsid w:val="00270FBC"/>
    <w:rsid w:val="00271CF8"/>
    <w:rsid w:val="00281B8E"/>
    <w:rsid w:val="00281E78"/>
    <w:rsid w:val="00281EB7"/>
    <w:rsid w:val="00286B8F"/>
    <w:rsid w:val="00290D7B"/>
    <w:rsid w:val="002949FB"/>
    <w:rsid w:val="002A3149"/>
    <w:rsid w:val="002A54A4"/>
    <w:rsid w:val="002A5C5B"/>
    <w:rsid w:val="002A61B0"/>
    <w:rsid w:val="002B431E"/>
    <w:rsid w:val="002C0E80"/>
    <w:rsid w:val="002C3BB2"/>
    <w:rsid w:val="002D2477"/>
    <w:rsid w:val="002D53D9"/>
    <w:rsid w:val="002E25D9"/>
    <w:rsid w:val="002E63E1"/>
    <w:rsid w:val="002F5571"/>
    <w:rsid w:val="00304766"/>
    <w:rsid w:val="003053CA"/>
    <w:rsid w:val="0030560E"/>
    <w:rsid w:val="00306A08"/>
    <w:rsid w:val="0031212F"/>
    <w:rsid w:val="00326E39"/>
    <w:rsid w:val="0034201B"/>
    <w:rsid w:val="0034694D"/>
    <w:rsid w:val="003523E2"/>
    <w:rsid w:val="00371FC6"/>
    <w:rsid w:val="00377921"/>
    <w:rsid w:val="00391776"/>
    <w:rsid w:val="00391B25"/>
    <w:rsid w:val="003939B7"/>
    <w:rsid w:val="003A280C"/>
    <w:rsid w:val="003B3421"/>
    <w:rsid w:val="003B507B"/>
    <w:rsid w:val="003E0544"/>
    <w:rsid w:val="003E1D84"/>
    <w:rsid w:val="003E3EE7"/>
    <w:rsid w:val="003E4D46"/>
    <w:rsid w:val="003E5E75"/>
    <w:rsid w:val="003E60D2"/>
    <w:rsid w:val="003E7120"/>
    <w:rsid w:val="003F404A"/>
    <w:rsid w:val="003F4FC0"/>
    <w:rsid w:val="004117A1"/>
    <w:rsid w:val="00417156"/>
    <w:rsid w:val="004278F8"/>
    <w:rsid w:val="00450568"/>
    <w:rsid w:val="004640B4"/>
    <w:rsid w:val="00472F8E"/>
    <w:rsid w:val="00490018"/>
    <w:rsid w:val="00495FB1"/>
    <w:rsid w:val="00497968"/>
    <w:rsid w:val="004B3978"/>
    <w:rsid w:val="004B4AF9"/>
    <w:rsid w:val="004C65BC"/>
    <w:rsid w:val="004C79F5"/>
    <w:rsid w:val="004D377B"/>
    <w:rsid w:val="004E7EFF"/>
    <w:rsid w:val="004F06CD"/>
    <w:rsid w:val="004F50E1"/>
    <w:rsid w:val="00502F9A"/>
    <w:rsid w:val="00510FC3"/>
    <w:rsid w:val="00543B66"/>
    <w:rsid w:val="0054510F"/>
    <w:rsid w:val="00545C48"/>
    <w:rsid w:val="00554F35"/>
    <w:rsid w:val="005556C7"/>
    <w:rsid w:val="005575E9"/>
    <w:rsid w:val="00562FDE"/>
    <w:rsid w:val="00573A10"/>
    <w:rsid w:val="005756B3"/>
    <w:rsid w:val="0057757E"/>
    <w:rsid w:val="0059454E"/>
    <w:rsid w:val="005A1317"/>
    <w:rsid w:val="005A7721"/>
    <w:rsid w:val="005C0376"/>
    <w:rsid w:val="005C60E5"/>
    <w:rsid w:val="005D7C4E"/>
    <w:rsid w:val="005E17CD"/>
    <w:rsid w:val="005F26AE"/>
    <w:rsid w:val="00601689"/>
    <w:rsid w:val="00601ABA"/>
    <w:rsid w:val="00603C80"/>
    <w:rsid w:val="00604E9D"/>
    <w:rsid w:val="0061024C"/>
    <w:rsid w:val="006125F1"/>
    <w:rsid w:val="00617CD7"/>
    <w:rsid w:val="006323A5"/>
    <w:rsid w:val="006353D9"/>
    <w:rsid w:val="006368D9"/>
    <w:rsid w:val="00640D2C"/>
    <w:rsid w:val="00644839"/>
    <w:rsid w:val="00663A0A"/>
    <w:rsid w:val="00670814"/>
    <w:rsid w:val="00672EDF"/>
    <w:rsid w:val="00680480"/>
    <w:rsid w:val="00686A71"/>
    <w:rsid w:val="00686D7A"/>
    <w:rsid w:val="006910F8"/>
    <w:rsid w:val="006A1603"/>
    <w:rsid w:val="006A2FA9"/>
    <w:rsid w:val="006A6797"/>
    <w:rsid w:val="006D143F"/>
    <w:rsid w:val="006E0BF6"/>
    <w:rsid w:val="006E28B5"/>
    <w:rsid w:val="006E7007"/>
    <w:rsid w:val="007216D3"/>
    <w:rsid w:val="0073169F"/>
    <w:rsid w:val="00733956"/>
    <w:rsid w:val="007405E2"/>
    <w:rsid w:val="00740DEA"/>
    <w:rsid w:val="00747A6F"/>
    <w:rsid w:val="0075465A"/>
    <w:rsid w:val="007704CF"/>
    <w:rsid w:val="007729F6"/>
    <w:rsid w:val="00774F13"/>
    <w:rsid w:val="00777803"/>
    <w:rsid w:val="0078331F"/>
    <w:rsid w:val="0079093D"/>
    <w:rsid w:val="00791566"/>
    <w:rsid w:val="007956B0"/>
    <w:rsid w:val="007A3AB7"/>
    <w:rsid w:val="007B51D2"/>
    <w:rsid w:val="007D2117"/>
    <w:rsid w:val="007E1610"/>
    <w:rsid w:val="007E5081"/>
    <w:rsid w:val="007E7D00"/>
    <w:rsid w:val="007F6F44"/>
    <w:rsid w:val="007F79D4"/>
    <w:rsid w:val="00803010"/>
    <w:rsid w:val="0081301D"/>
    <w:rsid w:val="00814EC6"/>
    <w:rsid w:val="00816212"/>
    <w:rsid w:val="00821F36"/>
    <w:rsid w:val="00830ADC"/>
    <w:rsid w:val="00834383"/>
    <w:rsid w:val="00836175"/>
    <w:rsid w:val="00841B8A"/>
    <w:rsid w:val="00845A8D"/>
    <w:rsid w:val="008460A3"/>
    <w:rsid w:val="008517F8"/>
    <w:rsid w:val="00867D8C"/>
    <w:rsid w:val="0087519C"/>
    <w:rsid w:val="00885945"/>
    <w:rsid w:val="008A2D2C"/>
    <w:rsid w:val="008B5B2F"/>
    <w:rsid w:val="008C2F4A"/>
    <w:rsid w:val="008D4D2A"/>
    <w:rsid w:val="008E0593"/>
    <w:rsid w:val="008E6FA7"/>
    <w:rsid w:val="00910F63"/>
    <w:rsid w:val="00935847"/>
    <w:rsid w:val="00937C66"/>
    <w:rsid w:val="009515E6"/>
    <w:rsid w:val="009678B0"/>
    <w:rsid w:val="009727FF"/>
    <w:rsid w:val="009A08C3"/>
    <w:rsid w:val="009A21D0"/>
    <w:rsid w:val="009A4899"/>
    <w:rsid w:val="009E16A8"/>
    <w:rsid w:val="009E50EA"/>
    <w:rsid w:val="009F00E4"/>
    <w:rsid w:val="009F258B"/>
    <w:rsid w:val="009F447D"/>
    <w:rsid w:val="00A04F99"/>
    <w:rsid w:val="00A06AA4"/>
    <w:rsid w:val="00A10B78"/>
    <w:rsid w:val="00A12F72"/>
    <w:rsid w:val="00A15F89"/>
    <w:rsid w:val="00A16F2C"/>
    <w:rsid w:val="00A22080"/>
    <w:rsid w:val="00A32E7D"/>
    <w:rsid w:val="00A35907"/>
    <w:rsid w:val="00A37456"/>
    <w:rsid w:val="00A45291"/>
    <w:rsid w:val="00A476F2"/>
    <w:rsid w:val="00A6030C"/>
    <w:rsid w:val="00A67794"/>
    <w:rsid w:val="00A705D6"/>
    <w:rsid w:val="00A8211C"/>
    <w:rsid w:val="00A82628"/>
    <w:rsid w:val="00AA3D5E"/>
    <w:rsid w:val="00AA41AF"/>
    <w:rsid w:val="00AA5444"/>
    <w:rsid w:val="00AB0194"/>
    <w:rsid w:val="00AB2DAB"/>
    <w:rsid w:val="00AB5394"/>
    <w:rsid w:val="00AB7855"/>
    <w:rsid w:val="00AC122B"/>
    <w:rsid w:val="00AC5588"/>
    <w:rsid w:val="00AC5636"/>
    <w:rsid w:val="00AC6A2C"/>
    <w:rsid w:val="00AD0EEE"/>
    <w:rsid w:val="00AD6E36"/>
    <w:rsid w:val="00AE3445"/>
    <w:rsid w:val="00AE3F83"/>
    <w:rsid w:val="00AE5A76"/>
    <w:rsid w:val="00AF6699"/>
    <w:rsid w:val="00B0306A"/>
    <w:rsid w:val="00B122E4"/>
    <w:rsid w:val="00B15A46"/>
    <w:rsid w:val="00B17BB4"/>
    <w:rsid w:val="00B235DF"/>
    <w:rsid w:val="00B249A0"/>
    <w:rsid w:val="00B32FB6"/>
    <w:rsid w:val="00B3304A"/>
    <w:rsid w:val="00B33F8D"/>
    <w:rsid w:val="00B354A9"/>
    <w:rsid w:val="00B3744A"/>
    <w:rsid w:val="00B40727"/>
    <w:rsid w:val="00B458AC"/>
    <w:rsid w:val="00B47D93"/>
    <w:rsid w:val="00B54266"/>
    <w:rsid w:val="00B54522"/>
    <w:rsid w:val="00B572AA"/>
    <w:rsid w:val="00B57A10"/>
    <w:rsid w:val="00B60945"/>
    <w:rsid w:val="00B8422E"/>
    <w:rsid w:val="00BB1CE7"/>
    <w:rsid w:val="00BB4354"/>
    <w:rsid w:val="00BB6FDF"/>
    <w:rsid w:val="00BC2169"/>
    <w:rsid w:val="00BD0820"/>
    <w:rsid w:val="00BD0A19"/>
    <w:rsid w:val="00BD2095"/>
    <w:rsid w:val="00BE622F"/>
    <w:rsid w:val="00BF25CB"/>
    <w:rsid w:val="00BF40FC"/>
    <w:rsid w:val="00BF4FAD"/>
    <w:rsid w:val="00BF5A47"/>
    <w:rsid w:val="00BF7D78"/>
    <w:rsid w:val="00C0481A"/>
    <w:rsid w:val="00C14C54"/>
    <w:rsid w:val="00C26377"/>
    <w:rsid w:val="00C31261"/>
    <w:rsid w:val="00C36C6B"/>
    <w:rsid w:val="00C374AE"/>
    <w:rsid w:val="00C52653"/>
    <w:rsid w:val="00C5475D"/>
    <w:rsid w:val="00C741C3"/>
    <w:rsid w:val="00C866FB"/>
    <w:rsid w:val="00C87B2C"/>
    <w:rsid w:val="00C93D9D"/>
    <w:rsid w:val="00C94313"/>
    <w:rsid w:val="00C9533D"/>
    <w:rsid w:val="00C97996"/>
    <w:rsid w:val="00CA0F6B"/>
    <w:rsid w:val="00CA2531"/>
    <w:rsid w:val="00CA5684"/>
    <w:rsid w:val="00CA6399"/>
    <w:rsid w:val="00CE2AB0"/>
    <w:rsid w:val="00CE728B"/>
    <w:rsid w:val="00D018B1"/>
    <w:rsid w:val="00D034F0"/>
    <w:rsid w:val="00D04A26"/>
    <w:rsid w:val="00D14187"/>
    <w:rsid w:val="00D146F5"/>
    <w:rsid w:val="00D26A76"/>
    <w:rsid w:val="00D27FF3"/>
    <w:rsid w:val="00D4441C"/>
    <w:rsid w:val="00D468D3"/>
    <w:rsid w:val="00D5515A"/>
    <w:rsid w:val="00D722B9"/>
    <w:rsid w:val="00D92A86"/>
    <w:rsid w:val="00DA43A5"/>
    <w:rsid w:val="00DA6C3C"/>
    <w:rsid w:val="00DC5275"/>
    <w:rsid w:val="00DD317B"/>
    <w:rsid w:val="00DE2CB3"/>
    <w:rsid w:val="00DE5AE9"/>
    <w:rsid w:val="00E02FB4"/>
    <w:rsid w:val="00E04406"/>
    <w:rsid w:val="00E06B85"/>
    <w:rsid w:val="00E150AB"/>
    <w:rsid w:val="00E17633"/>
    <w:rsid w:val="00E241DE"/>
    <w:rsid w:val="00E41AEC"/>
    <w:rsid w:val="00E743C1"/>
    <w:rsid w:val="00E7719D"/>
    <w:rsid w:val="00E77435"/>
    <w:rsid w:val="00E80F58"/>
    <w:rsid w:val="00E81D3E"/>
    <w:rsid w:val="00E81EBC"/>
    <w:rsid w:val="00EA14BD"/>
    <w:rsid w:val="00EA1881"/>
    <w:rsid w:val="00EA4412"/>
    <w:rsid w:val="00EB2BCF"/>
    <w:rsid w:val="00EB3A78"/>
    <w:rsid w:val="00EB3F2A"/>
    <w:rsid w:val="00EB4AF2"/>
    <w:rsid w:val="00ED6748"/>
    <w:rsid w:val="00F04EF9"/>
    <w:rsid w:val="00F15066"/>
    <w:rsid w:val="00F26426"/>
    <w:rsid w:val="00F30381"/>
    <w:rsid w:val="00F31339"/>
    <w:rsid w:val="00F31974"/>
    <w:rsid w:val="00F36118"/>
    <w:rsid w:val="00F445D1"/>
    <w:rsid w:val="00F5532E"/>
    <w:rsid w:val="00F64399"/>
    <w:rsid w:val="00F65EDA"/>
    <w:rsid w:val="00F75AE0"/>
    <w:rsid w:val="00FA21E3"/>
    <w:rsid w:val="00FA3643"/>
    <w:rsid w:val="00FA4834"/>
    <w:rsid w:val="00FB456F"/>
    <w:rsid w:val="00FB69B0"/>
    <w:rsid w:val="00FC0868"/>
    <w:rsid w:val="00FC39EA"/>
    <w:rsid w:val="00FD1F49"/>
    <w:rsid w:val="00FD41F5"/>
    <w:rsid w:val="00FE622F"/>
    <w:rsid w:val="00FF0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485DF"/>
  <w15:docId w15:val="{D0693FB0-F87A-4093-9FE8-4D395CDA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25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A6797"/>
    <w:rPr>
      <w:sz w:val="20"/>
      <w:szCs w:val="20"/>
    </w:rPr>
  </w:style>
  <w:style w:type="character" w:customStyle="1" w:styleId="TekstprzypisudolnegoZnak">
    <w:name w:val="Tekst przypisu dolnego Znak"/>
    <w:basedOn w:val="Domylnaczcionkaakapitu"/>
    <w:link w:val="Tekstprzypisudolnego"/>
    <w:uiPriority w:val="99"/>
    <w:semiHidden/>
    <w:rsid w:val="006A6797"/>
    <w:rPr>
      <w:sz w:val="20"/>
      <w:szCs w:val="20"/>
    </w:rPr>
  </w:style>
  <w:style w:type="character" w:styleId="Odwoanieprzypisudolnego">
    <w:name w:val="footnote reference"/>
    <w:basedOn w:val="Domylnaczcionkaakapitu"/>
    <w:uiPriority w:val="99"/>
    <w:semiHidden/>
    <w:unhideWhenUsed/>
    <w:rsid w:val="006A6797"/>
    <w:rPr>
      <w:vertAlign w:val="superscript"/>
    </w:rPr>
  </w:style>
  <w:style w:type="character" w:styleId="Hipercze">
    <w:name w:val="Hyperlink"/>
    <w:basedOn w:val="Domylnaczcionkaakapitu"/>
    <w:uiPriority w:val="99"/>
    <w:unhideWhenUsed/>
    <w:rsid w:val="00BF40FC"/>
    <w:rPr>
      <w:color w:val="0563C1" w:themeColor="hyperlink"/>
      <w:u w:val="single"/>
    </w:rPr>
  </w:style>
  <w:style w:type="character" w:customStyle="1" w:styleId="Nierozpoznanawzmianka1">
    <w:name w:val="Nierozpoznana wzmianka1"/>
    <w:basedOn w:val="Domylnaczcionkaakapitu"/>
    <w:uiPriority w:val="99"/>
    <w:semiHidden/>
    <w:unhideWhenUsed/>
    <w:rsid w:val="00BF40FC"/>
    <w:rPr>
      <w:color w:val="605E5C"/>
      <w:shd w:val="clear" w:color="auto" w:fill="E1DFDD"/>
    </w:rPr>
  </w:style>
  <w:style w:type="paragraph" w:styleId="Nagwek">
    <w:name w:val="header"/>
    <w:basedOn w:val="Normalny"/>
    <w:link w:val="NagwekZnak"/>
    <w:uiPriority w:val="99"/>
    <w:unhideWhenUsed/>
    <w:rsid w:val="00A476F2"/>
    <w:pPr>
      <w:tabs>
        <w:tab w:val="center" w:pos="4703"/>
        <w:tab w:val="right" w:pos="9406"/>
      </w:tabs>
    </w:pPr>
  </w:style>
  <w:style w:type="character" w:customStyle="1" w:styleId="NagwekZnak">
    <w:name w:val="Nagłówek Znak"/>
    <w:basedOn w:val="Domylnaczcionkaakapitu"/>
    <w:link w:val="Nagwek"/>
    <w:uiPriority w:val="99"/>
    <w:rsid w:val="00A476F2"/>
  </w:style>
  <w:style w:type="paragraph" w:styleId="Stopka">
    <w:name w:val="footer"/>
    <w:basedOn w:val="Normalny"/>
    <w:link w:val="StopkaZnak"/>
    <w:uiPriority w:val="99"/>
    <w:unhideWhenUsed/>
    <w:rsid w:val="00A476F2"/>
    <w:pPr>
      <w:tabs>
        <w:tab w:val="center" w:pos="4703"/>
        <w:tab w:val="right" w:pos="9406"/>
      </w:tabs>
    </w:pPr>
  </w:style>
  <w:style w:type="character" w:customStyle="1" w:styleId="StopkaZnak">
    <w:name w:val="Stopka Znak"/>
    <w:basedOn w:val="Domylnaczcionkaakapitu"/>
    <w:link w:val="Stopka"/>
    <w:uiPriority w:val="99"/>
    <w:rsid w:val="00A476F2"/>
  </w:style>
  <w:style w:type="character" w:styleId="Odwoaniedokomentarza">
    <w:name w:val="annotation reference"/>
    <w:basedOn w:val="Domylnaczcionkaakapitu"/>
    <w:uiPriority w:val="99"/>
    <w:semiHidden/>
    <w:unhideWhenUsed/>
    <w:rsid w:val="00011D8B"/>
    <w:rPr>
      <w:sz w:val="16"/>
      <w:szCs w:val="16"/>
    </w:rPr>
  </w:style>
  <w:style w:type="paragraph" w:styleId="Tekstkomentarza">
    <w:name w:val="annotation text"/>
    <w:basedOn w:val="Normalny"/>
    <w:link w:val="TekstkomentarzaZnak"/>
    <w:uiPriority w:val="99"/>
    <w:semiHidden/>
    <w:unhideWhenUsed/>
    <w:rsid w:val="00011D8B"/>
    <w:rPr>
      <w:sz w:val="20"/>
      <w:szCs w:val="20"/>
    </w:rPr>
  </w:style>
  <w:style w:type="character" w:customStyle="1" w:styleId="TekstkomentarzaZnak">
    <w:name w:val="Tekst komentarza Znak"/>
    <w:basedOn w:val="Domylnaczcionkaakapitu"/>
    <w:link w:val="Tekstkomentarza"/>
    <w:uiPriority w:val="99"/>
    <w:semiHidden/>
    <w:rsid w:val="00011D8B"/>
    <w:rPr>
      <w:sz w:val="20"/>
      <w:szCs w:val="20"/>
    </w:rPr>
  </w:style>
  <w:style w:type="paragraph" w:styleId="Tematkomentarza">
    <w:name w:val="annotation subject"/>
    <w:basedOn w:val="Tekstkomentarza"/>
    <w:next w:val="Tekstkomentarza"/>
    <w:link w:val="TematkomentarzaZnak"/>
    <w:uiPriority w:val="99"/>
    <w:semiHidden/>
    <w:unhideWhenUsed/>
    <w:rsid w:val="00011D8B"/>
    <w:rPr>
      <w:b/>
      <w:bCs/>
    </w:rPr>
  </w:style>
  <w:style w:type="character" w:customStyle="1" w:styleId="TematkomentarzaZnak">
    <w:name w:val="Temat komentarza Znak"/>
    <w:basedOn w:val="TekstkomentarzaZnak"/>
    <w:link w:val="Tematkomentarza"/>
    <w:uiPriority w:val="99"/>
    <w:semiHidden/>
    <w:rsid w:val="00011D8B"/>
    <w:rPr>
      <w:b/>
      <w:bCs/>
      <w:sz w:val="20"/>
      <w:szCs w:val="20"/>
    </w:rPr>
  </w:style>
  <w:style w:type="paragraph" w:styleId="Tekstdymka">
    <w:name w:val="Balloon Text"/>
    <w:basedOn w:val="Normalny"/>
    <w:link w:val="TekstdymkaZnak"/>
    <w:uiPriority w:val="99"/>
    <w:semiHidden/>
    <w:unhideWhenUsed/>
    <w:rsid w:val="00011D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D8B"/>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204BB2"/>
    <w:rPr>
      <w:color w:val="605E5C"/>
      <w:shd w:val="clear" w:color="auto" w:fill="E1DFDD"/>
    </w:rPr>
  </w:style>
  <w:style w:type="character" w:styleId="UyteHipercze">
    <w:name w:val="FollowedHyperlink"/>
    <w:basedOn w:val="Domylnaczcionkaakapitu"/>
    <w:uiPriority w:val="99"/>
    <w:semiHidden/>
    <w:unhideWhenUsed/>
    <w:rsid w:val="005E17CD"/>
    <w:rPr>
      <w:color w:val="954F72" w:themeColor="followedHyperlink"/>
      <w:u w:val="single"/>
    </w:rPr>
  </w:style>
  <w:style w:type="character" w:styleId="Nierozpoznanawzmianka">
    <w:name w:val="Unresolved Mention"/>
    <w:basedOn w:val="Domylnaczcionkaakapitu"/>
    <w:uiPriority w:val="99"/>
    <w:semiHidden/>
    <w:unhideWhenUsed/>
    <w:rsid w:val="002C0E80"/>
    <w:rPr>
      <w:color w:val="605E5C"/>
      <w:shd w:val="clear" w:color="auto" w:fill="E1DFDD"/>
    </w:rPr>
  </w:style>
  <w:style w:type="paragraph" w:styleId="NormalnyWeb">
    <w:name w:val="Normal (Web)"/>
    <w:basedOn w:val="Normalny"/>
    <w:uiPriority w:val="99"/>
    <w:semiHidden/>
    <w:unhideWhenUsed/>
    <w:rsid w:val="001E3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74158">
      <w:bodyDiv w:val="1"/>
      <w:marLeft w:val="0"/>
      <w:marRight w:val="0"/>
      <w:marTop w:val="0"/>
      <w:marBottom w:val="0"/>
      <w:divBdr>
        <w:top w:val="none" w:sz="0" w:space="0" w:color="auto"/>
        <w:left w:val="none" w:sz="0" w:space="0" w:color="auto"/>
        <w:bottom w:val="none" w:sz="0" w:space="0" w:color="auto"/>
        <w:right w:val="none" w:sz="0" w:space="0" w:color="auto"/>
      </w:divBdr>
    </w:div>
    <w:div w:id="1006707518">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661888573">
      <w:bodyDiv w:val="1"/>
      <w:marLeft w:val="0"/>
      <w:marRight w:val="0"/>
      <w:marTop w:val="0"/>
      <w:marBottom w:val="0"/>
      <w:divBdr>
        <w:top w:val="none" w:sz="0" w:space="0" w:color="auto"/>
        <w:left w:val="none" w:sz="0" w:space="0" w:color="auto"/>
        <w:bottom w:val="none" w:sz="0" w:space="0" w:color="auto"/>
        <w:right w:val="none" w:sz="0" w:space="0" w:color="auto"/>
      </w:divBdr>
    </w:div>
    <w:div w:id="1965773168">
      <w:bodyDiv w:val="1"/>
      <w:marLeft w:val="0"/>
      <w:marRight w:val="0"/>
      <w:marTop w:val="0"/>
      <w:marBottom w:val="0"/>
      <w:divBdr>
        <w:top w:val="none" w:sz="0" w:space="0" w:color="auto"/>
        <w:left w:val="none" w:sz="0" w:space="0" w:color="auto"/>
        <w:bottom w:val="none" w:sz="0" w:space="0" w:color="auto"/>
        <w:right w:val="none" w:sz="0" w:space="0" w:color="auto"/>
      </w:divBdr>
    </w:div>
    <w:div w:id="20331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udoc.echr.coe.int/eng-pres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hudoc.echr.coe.int/eng-pres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pres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doc.echr.coe.int/fre-press" TargetMode="External"/><Relationship Id="rId23" Type="http://schemas.openxmlformats.org/officeDocument/2006/relationships/fontTable" Target="fontTable.xml"/><Relationship Id="rId10" Type="http://schemas.openxmlformats.org/officeDocument/2006/relationships/hyperlink" Target="https://hudoc.echr.coe.int/eng-pres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hyperlink" Target="https://hudoc.echr.coe.int/eng-pres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92CE-C3E2-49B8-A0D6-0B3F982C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2538</Words>
  <Characters>15228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Szponar Paweł  (DWMPC)</cp:lastModifiedBy>
  <cp:revision>2</cp:revision>
  <dcterms:created xsi:type="dcterms:W3CDTF">2024-11-26T13:03:00Z</dcterms:created>
  <dcterms:modified xsi:type="dcterms:W3CDTF">2024-11-29T10:54:00Z</dcterms:modified>
</cp:coreProperties>
</file>