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B0ECF3" w14:textId="77777777" w:rsidR="00824928" w:rsidRDefault="00000000">
      <w:pPr>
        <w:spacing w:after="80"/>
        <w:jc w:val="right"/>
      </w:pPr>
      <w:r>
        <w:rPr>
          <w:rFonts w:ascii="Arial" w:eastAsia="Arial" w:hAnsi="Arial" w:cs="Arial"/>
          <w:color w:val="777777"/>
          <w:sz w:val="21"/>
          <w:szCs w:val="21"/>
        </w:rPr>
        <w:t>Warszawa, 9 czerwca 2026 r.</w:t>
      </w:r>
    </w:p>
    <w:p w14:paraId="5F7EF70C" w14:textId="77777777" w:rsidR="00824928" w:rsidRDefault="00000000">
      <w:pPr>
        <w:spacing w:after="80"/>
      </w:pPr>
      <w:r>
        <w:rPr>
          <w:rFonts w:ascii="Arial" w:eastAsia="Arial" w:hAnsi="Arial" w:cs="Arial"/>
          <w:sz w:val="21"/>
          <w:szCs w:val="21"/>
        </w:rPr>
        <w:t>Do: Ministerstwo Cyfryzacji</w:t>
      </w:r>
    </w:p>
    <w:p w14:paraId="24D88038" w14:textId="77777777" w:rsidR="00824928" w:rsidRDefault="00000000">
      <w:pPr>
        <w:spacing w:after="160"/>
      </w:pPr>
      <w:r>
        <w:rPr>
          <w:rFonts w:ascii="Arial" w:eastAsia="Arial" w:hAnsi="Arial" w:cs="Arial"/>
          <w:sz w:val="21"/>
          <w:szCs w:val="21"/>
        </w:rPr>
        <w:t>konsultacje_cyber@cyfra.gov.pl</w:t>
      </w:r>
    </w:p>
    <w:p w14:paraId="20BBBDA9" w14:textId="77777777" w:rsidR="00824928" w:rsidRDefault="00000000">
      <w:pPr>
        <w:spacing w:before="80" w:after="160"/>
        <w:jc w:val="center"/>
        <w:rPr>
          <w:rFonts w:ascii="Arial" w:eastAsia="Arial" w:hAnsi="Arial" w:cs="Arial"/>
          <w:b/>
          <w:bCs/>
          <w:color w:val="1F3864"/>
          <w:sz w:val="26"/>
          <w:szCs w:val="26"/>
        </w:rPr>
      </w:pPr>
      <w:r>
        <w:rPr>
          <w:rFonts w:ascii="Arial" w:eastAsia="Arial" w:hAnsi="Arial" w:cs="Arial"/>
          <w:b/>
          <w:bCs/>
          <w:color w:val="1F3864"/>
          <w:sz w:val="26"/>
          <w:szCs w:val="26"/>
        </w:rPr>
        <w:t xml:space="preserve">Uwagi do projektu zestawienia dokumentów normalizacyjnych </w:t>
      </w:r>
    </w:p>
    <w:p w14:paraId="5D67C3A6" w14:textId="77777777" w:rsidR="00824928" w:rsidRDefault="00000000">
      <w:pPr>
        <w:spacing w:before="80" w:after="160"/>
        <w:jc w:val="center"/>
      </w:pPr>
      <w:r>
        <w:rPr>
          <w:rFonts w:ascii="Arial" w:eastAsia="Arial" w:hAnsi="Arial" w:cs="Arial"/>
          <w:b/>
          <w:bCs/>
          <w:color w:val="1F3864"/>
          <w:sz w:val="26"/>
          <w:szCs w:val="26"/>
        </w:rPr>
        <w:t>(art. 45 ust. 3 KSC)</w:t>
      </w:r>
    </w:p>
    <w:p w14:paraId="70C9AD8A" w14:textId="77777777" w:rsidR="00824928" w:rsidRDefault="00000000">
      <w:pPr>
        <w:spacing w:after="120"/>
        <w:jc w:val="both"/>
      </w:pP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Xopero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 xml:space="preserve"> Software S.A. to polski dostawca oprogramowania do backupów i ochrony danych, z kapitałem w całości polskim. Jako podmiot objęty przepisami KSC stosujemy na co dzień standardy wymienione w projekcie zestawienia. Poniżej przedstawiamy sześć uwag do projektu oraz listę propozycji uzupełnień technicznych (załącznik CISO).</w:t>
      </w:r>
    </w:p>
    <w:p w14:paraId="0413791A" w14:textId="77777777" w:rsidR="00824928" w:rsidRDefault="00824928">
      <w:pPr>
        <w:spacing w:after="120"/>
      </w:pPr>
    </w:p>
    <w:p w14:paraId="7A19988F" w14:textId="77777777" w:rsidR="00824928" w:rsidRDefault="00000000">
      <w:pPr>
        <w:spacing w:before="240" w:after="120"/>
      </w:pPr>
      <w:r>
        <w:rPr>
          <w:rFonts w:ascii="Arial" w:eastAsia="Arial" w:hAnsi="Arial" w:cs="Arial"/>
          <w:b/>
          <w:bCs/>
          <w:color w:val="1F3864"/>
          <w:sz w:val="24"/>
          <w:szCs w:val="24"/>
        </w:rPr>
        <w:t>Uwagi do projektu zestawienia</w:t>
      </w:r>
    </w:p>
    <w:p w14:paraId="42FE960B" w14:textId="77777777" w:rsidR="00824928" w:rsidRDefault="00824928">
      <w:pPr>
        <w:spacing w:after="120"/>
      </w:pPr>
    </w:p>
    <w:tbl>
      <w:tblPr>
        <w:tblStyle w:val="a"/>
        <w:tblW w:w="920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61"/>
        <w:gridCol w:w="8439"/>
      </w:tblGrid>
      <w:tr w:rsidR="00824928" w14:paraId="180296C5" w14:textId="77777777">
        <w:tc>
          <w:tcPr>
            <w:tcW w:w="761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BCEF3A5" w14:textId="77777777" w:rsidR="00824928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>1</w:t>
            </w:r>
          </w:p>
        </w:tc>
        <w:tc>
          <w:tcPr>
            <w:tcW w:w="843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9E2F3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0D65DE01" w14:textId="77777777" w:rsidR="00824928" w:rsidRDefault="00000000">
            <w:r>
              <w:rPr>
                <w:rFonts w:ascii="Arial" w:eastAsia="Arial" w:hAnsi="Arial" w:cs="Arial"/>
                <w:b/>
                <w:bCs/>
                <w:color w:val="1F3864"/>
                <w:sz w:val="22"/>
                <w:szCs w:val="22"/>
              </w:rPr>
              <w:t>Normy płatne stanowią ponad dwie trzecie zestawienia</w:t>
            </w:r>
          </w:p>
        </w:tc>
      </w:tr>
      <w:tr w:rsidR="00824928" w14:paraId="258690D9" w14:textId="77777777">
        <w:tc>
          <w:tcPr>
            <w:tcW w:w="761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65EC534" w14:textId="77777777" w:rsidR="00824928" w:rsidRDefault="00000000">
            <w:pPr>
              <w:jc w:val="center"/>
            </w:pPr>
            <w:r>
              <w:rPr>
                <w:rFonts w:ascii="Arial" w:eastAsia="Arial" w:hAnsi="Arial" w:cs="Arial"/>
                <w:color w:val="555555"/>
                <w:sz w:val="18"/>
                <w:szCs w:val="18"/>
              </w:rPr>
              <w:t>Uwaga</w:t>
            </w:r>
          </w:p>
        </w:tc>
        <w:tc>
          <w:tcPr>
            <w:tcW w:w="843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6CC03A39" w14:textId="77777777" w:rsidR="00824928" w:rsidRDefault="00000000">
            <w:pPr>
              <w:jc w:val="both"/>
            </w:pPr>
            <w:r>
              <w:rPr>
                <w:rFonts w:ascii="Arial" w:eastAsia="Arial" w:hAnsi="Arial" w:cs="Arial"/>
                <w:sz w:val="21"/>
                <w:szCs w:val="21"/>
              </w:rPr>
              <w:t>36 z 53 pozycji (ok. 68%) to normy wydawane przez PKN/ISO, które kosztują od kilkuset do kilku tysięcy złotych za sztukę. Duże firmy i korporacje zagraniczne mają dostęp grupowy. Małe i średnie polskie firmy muszą kupować każdą normę osobno.</w:t>
            </w:r>
          </w:p>
        </w:tc>
      </w:tr>
      <w:tr w:rsidR="00824928" w14:paraId="45FDB749" w14:textId="77777777">
        <w:tc>
          <w:tcPr>
            <w:tcW w:w="761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BF3E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66F9D4A" w14:textId="77777777" w:rsidR="00824928" w:rsidRDefault="00000000">
            <w:pPr>
              <w:jc w:val="center"/>
            </w:pPr>
            <w:proofErr w:type="spellStart"/>
            <w:r>
              <w:rPr>
                <w:rFonts w:ascii="Arial" w:eastAsia="Arial" w:hAnsi="Arial" w:cs="Arial"/>
                <w:color w:val="375623"/>
                <w:sz w:val="18"/>
                <w:szCs w:val="18"/>
              </w:rPr>
              <w:t>Propo-zycja</w:t>
            </w:r>
            <w:proofErr w:type="spellEnd"/>
          </w:p>
        </w:tc>
        <w:tc>
          <w:tcPr>
            <w:tcW w:w="843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9F0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72F1EC28" w14:textId="77777777" w:rsidR="00824928" w:rsidRDefault="00000000">
            <w:pPr>
              <w:jc w:val="both"/>
            </w:pPr>
            <w:r>
              <w:rPr>
                <w:rFonts w:ascii="Arial" w:eastAsia="Arial" w:hAnsi="Arial" w:cs="Arial"/>
                <w:sz w:val="21"/>
                <w:szCs w:val="21"/>
              </w:rPr>
              <w:t>Prosimy o podjęcie przez Ministerstwo Cyfryzacji rozmów z PKN w sprawie zbiorowego dostępu do kluczowych norm KSC dla podmiotów objętych ustawą. W międzyczasie prosimy o wyraźne wyróżnienie bezpłatnych dokumentów jako rekomendowanego punktu startowego dla mniejszych firm.</w:t>
            </w:r>
          </w:p>
        </w:tc>
      </w:tr>
    </w:tbl>
    <w:p w14:paraId="316D55FE" w14:textId="77777777" w:rsidR="00824928" w:rsidRDefault="00824928">
      <w:pPr>
        <w:spacing w:after="120"/>
      </w:pPr>
    </w:p>
    <w:tbl>
      <w:tblPr>
        <w:tblStyle w:val="a0"/>
        <w:tblW w:w="920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61"/>
        <w:gridCol w:w="8439"/>
      </w:tblGrid>
      <w:tr w:rsidR="00824928" w14:paraId="0281036A" w14:textId="77777777">
        <w:tc>
          <w:tcPr>
            <w:tcW w:w="761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A88CF62" w14:textId="77777777" w:rsidR="00824928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>2</w:t>
            </w:r>
          </w:p>
        </w:tc>
        <w:tc>
          <w:tcPr>
            <w:tcW w:w="843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9E2F3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7D88C1D5" w14:textId="77777777" w:rsidR="00824928" w:rsidRDefault="00000000">
            <w:r>
              <w:rPr>
                <w:rFonts w:ascii="Arial" w:eastAsia="Arial" w:hAnsi="Arial" w:cs="Arial"/>
                <w:b/>
                <w:bCs/>
                <w:color w:val="1F3864"/>
                <w:sz w:val="22"/>
                <w:szCs w:val="22"/>
              </w:rPr>
              <w:t>Brak wskazania dla małych firm bez własnego zespołu IT</w:t>
            </w:r>
          </w:p>
        </w:tc>
      </w:tr>
      <w:tr w:rsidR="00824928" w14:paraId="39311B4E" w14:textId="77777777">
        <w:tc>
          <w:tcPr>
            <w:tcW w:w="761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A6CB6E0" w14:textId="77777777" w:rsidR="00824928" w:rsidRDefault="00000000">
            <w:pPr>
              <w:jc w:val="center"/>
            </w:pPr>
            <w:r>
              <w:rPr>
                <w:rFonts w:ascii="Arial" w:eastAsia="Arial" w:hAnsi="Arial" w:cs="Arial"/>
                <w:color w:val="555555"/>
                <w:sz w:val="18"/>
                <w:szCs w:val="18"/>
              </w:rPr>
              <w:t>Uwaga</w:t>
            </w:r>
          </w:p>
        </w:tc>
        <w:tc>
          <w:tcPr>
            <w:tcW w:w="843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27B08027" w14:textId="77777777" w:rsidR="00824928" w:rsidRDefault="00000000">
            <w:pPr>
              <w:jc w:val="both"/>
            </w:pPr>
            <w:r>
              <w:rPr>
                <w:rFonts w:ascii="Arial" w:eastAsia="Arial" w:hAnsi="Arial" w:cs="Arial"/>
                <w:sz w:val="21"/>
                <w:szCs w:val="21"/>
              </w:rPr>
              <w:t>Zestawienie dzieli podmioty na trzy poziomy dojrzałości, ale nie odpowiada na pytanie: co ma robić firma, która nie ma własnego specjalisty ds. bezpieczeństwa? Większość małych podmiotów KSC jest właśnie w takiej sytuacji.</w:t>
            </w:r>
          </w:p>
        </w:tc>
      </w:tr>
      <w:tr w:rsidR="00824928" w14:paraId="4B87D833" w14:textId="77777777">
        <w:tc>
          <w:tcPr>
            <w:tcW w:w="761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BF3E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BF14F96" w14:textId="77777777" w:rsidR="00824928" w:rsidRDefault="00000000">
            <w:pPr>
              <w:jc w:val="center"/>
            </w:pPr>
            <w:proofErr w:type="spellStart"/>
            <w:r>
              <w:rPr>
                <w:rFonts w:ascii="Arial" w:eastAsia="Arial" w:hAnsi="Arial" w:cs="Arial"/>
                <w:color w:val="375623"/>
                <w:sz w:val="18"/>
                <w:szCs w:val="18"/>
              </w:rPr>
              <w:t>Propo-zycja</w:t>
            </w:r>
            <w:proofErr w:type="spellEnd"/>
          </w:p>
        </w:tc>
        <w:tc>
          <w:tcPr>
            <w:tcW w:w="843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9F0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6386F592" w14:textId="77777777" w:rsidR="00824928" w:rsidRDefault="00000000">
            <w:pPr>
              <w:jc w:val="both"/>
            </w:pPr>
            <w:r>
              <w:rPr>
                <w:rFonts w:ascii="Arial" w:eastAsia="Arial" w:hAnsi="Arial" w:cs="Arial"/>
                <w:sz w:val="21"/>
                <w:szCs w:val="21"/>
              </w:rPr>
              <w:t>Prosimy o dodanie krótkiej listy „minimum dla małej firmy‟ — kilku bezpłatnych dokumentów, które wystarczają do podstawowej zgodności z KSC bez zatrudniania zewnętrznych konsultantów. Byłoby to zgodne z zasadą proporcjonalności z art. 21 ust. 1 NIS2.</w:t>
            </w:r>
          </w:p>
        </w:tc>
      </w:tr>
    </w:tbl>
    <w:p w14:paraId="357E0787" w14:textId="77777777" w:rsidR="00824928" w:rsidRDefault="00824928">
      <w:pPr>
        <w:spacing w:after="120"/>
      </w:pPr>
    </w:p>
    <w:tbl>
      <w:tblPr>
        <w:tblStyle w:val="a1"/>
        <w:tblW w:w="920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61"/>
        <w:gridCol w:w="8439"/>
      </w:tblGrid>
      <w:tr w:rsidR="00824928" w14:paraId="34DA39DF" w14:textId="77777777">
        <w:tc>
          <w:tcPr>
            <w:tcW w:w="761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F38834" w14:textId="77777777" w:rsidR="00824928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>3</w:t>
            </w:r>
          </w:p>
        </w:tc>
        <w:tc>
          <w:tcPr>
            <w:tcW w:w="843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9E2F3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1FBD1BA5" w14:textId="77777777" w:rsidR="00824928" w:rsidRDefault="00000000">
            <w:r>
              <w:rPr>
                <w:rFonts w:ascii="Arial" w:eastAsia="Arial" w:hAnsi="Arial" w:cs="Arial"/>
                <w:b/>
                <w:bCs/>
                <w:color w:val="1F3864"/>
                <w:sz w:val="22"/>
                <w:szCs w:val="22"/>
              </w:rPr>
              <w:t>Certyfikaty dla dostawców — ryzyko wykluczenia polskich firm</w:t>
            </w:r>
          </w:p>
        </w:tc>
      </w:tr>
      <w:tr w:rsidR="00824928" w14:paraId="3DB25ACC" w14:textId="77777777">
        <w:tc>
          <w:tcPr>
            <w:tcW w:w="761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2EAEAF1" w14:textId="77777777" w:rsidR="00824928" w:rsidRDefault="00000000">
            <w:pPr>
              <w:jc w:val="center"/>
            </w:pPr>
            <w:r>
              <w:rPr>
                <w:rFonts w:ascii="Arial" w:eastAsia="Arial" w:hAnsi="Arial" w:cs="Arial"/>
                <w:color w:val="555555"/>
                <w:sz w:val="18"/>
                <w:szCs w:val="18"/>
              </w:rPr>
              <w:t>Uwaga</w:t>
            </w:r>
          </w:p>
        </w:tc>
        <w:tc>
          <w:tcPr>
            <w:tcW w:w="843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7943EB9A" w14:textId="77777777" w:rsidR="00824928" w:rsidRDefault="00000000">
            <w:pPr>
              <w:jc w:val="both"/>
            </w:pPr>
            <w:r>
              <w:rPr>
                <w:rFonts w:ascii="Arial" w:eastAsia="Arial" w:hAnsi="Arial" w:cs="Arial"/>
                <w:sz w:val="21"/>
                <w:szCs w:val="21"/>
              </w:rPr>
              <w:t>W załączniku CISO wnioskujemy o włączenie do zestawienia standardów łańcucha dostaw, w tym certyfikatów takich jak SOC 2 czy EUCS, które kosztują kilkadziesiąt tysięcy dolarów rocznie. Bez wyraźnego zastrzeżenia pomocniczości większe firmy mogą zacząć wymagać tych certyfikatów od swoich dostawców. W efekcie polskie firmy SaaS bez certyfikatu staną się niekonkurencyjne.</w:t>
            </w:r>
          </w:p>
        </w:tc>
      </w:tr>
      <w:tr w:rsidR="00824928" w14:paraId="519C2D60" w14:textId="77777777">
        <w:tc>
          <w:tcPr>
            <w:tcW w:w="761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BF3E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E5214A7" w14:textId="77777777" w:rsidR="00824928" w:rsidRDefault="00000000">
            <w:pPr>
              <w:jc w:val="center"/>
            </w:pPr>
            <w:proofErr w:type="spellStart"/>
            <w:r>
              <w:rPr>
                <w:rFonts w:ascii="Arial" w:eastAsia="Arial" w:hAnsi="Arial" w:cs="Arial"/>
                <w:color w:val="375623"/>
                <w:sz w:val="18"/>
                <w:szCs w:val="18"/>
              </w:rPr>
              <w:t>Propo-zycja</w:t>
            </w:r>
            <w:proofErr w:type="spellEnd"/>
          </w:p>
        </w:tc>
        <w:tc>
          <w:tcPr>
            <w:tcW w:w="843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9F0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2DEF54FD" w14:textId="77777777" w:rsidR="00824928" w:rsidRDefault="00000000">
            <w:pPr>
              <w:jc w:val="both"/>
            </w:pPr>
            <w:r>
              <w:rPr>
                <w:rFonts w:ascii="Arial" w:eastAsia="Arial" w:hAnsi="Arial" w:cs="Arial"/>
                <w:sz w:val="21"/>
                <w:szCs w:val="21"/>
              </w:rPr>
              <w:t>Prosimy, aby przy każdym standardzie certyfikacyjnym dotyczącym oceny dostawców — zarówno już zawartym w projekcie zestawienia, jak i ewentualnie włączonych później — pojawiła się krótka nota, że certyfikat jest jednym z możliwych dowodów bezpieczeństwa, nie zaś wymogiem bezwzględnym. Takie podejście wynika wprost z art. 21 ust. 1 NIS2, który nakazuje stosowanie środków proporcjonalnych do wielkości i profilu ryzyka podmiotu.</w:t>
            </w:r>
          </w:p>
        </w:tc>
      </w:tr>
    </w:tbl>
    <w:p w14:paraId="6F858FF1" w14:textId="77777777" w:rsidR="00824928" w:rsidRDefault="00824928">
      <w:pPr>
        <w:spacing w:after="120"/>
      </w:pPr>
    </w:p>
    <w:p w14:paraId="71F0091C" w14:textId="77777777" w:rsidR="00824928" w:rsidRDefault="00824928">
      <w:pPr>
        <w:spacing w:after="120"/>
      </w:pPr>
    </w:p>
    <w:tbl>
      <w:tblPr>
        <w:tblStyle w:val="a2"/>
        <w:tblW w:w="920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61"/>
        <w:gridCol w:w="8439"/>
      </w:tblGrid>
      <w:tr w:rsidR="00824928" w14:paraId="15E8AC74" w14:textId="77777777">
        <w:tc>
          <w:tcPr>
            <w:tcW w:w="761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9A5B0E" w14:textId="77777777" w:rsidR="00824928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lastRenderedPageBreak/>
              <w:t>4</w:t>
            </w:r>
          </w:p>
        </w:tc>
        <w:tc>
          <w:tcPr>
            <w:tcW w:w="843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9E2F3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5CA3E081" w14:textId="77777777" w:rsidR="00824928" w:rsidRDefault="00000000">
            <w:r>
              <w:rPr>
                <w:rFonts w:ascii="Arial" w:eastAsia="Arial" w:hAnsi="Arial" w:cs="Arial"/>
                <w:b/>
                <w:bCs/>
                <w:color w:val="1F3864"/>
                <w:sz w:val="22"/>
                <w:szCs w:val="22"/>
              </w:rPr>
              <w:t>Brak polskich materiałów źródłowych</w:t>
            </w:r>
          </w:p>
        </w:tc>
      </w:tr>
      <w:tr w:rsidR="00824928" w14:paraId="1EE9059E" w14:textId="77777777">
        <w:tc>
          <w:tcPr>
            <w:tcW w:w="761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A2C8DB9" w14:textId="77777777" w:rsidR="00824928" w:rsidRDefault="00000000">
            <w:pPr>
              <w:jc w:val="center"/>
            </w:pPr>
            <w:r>
              <w:rPr>
                <w:rFonts w:ascii="Arial" w:eastAsia="Arial" w:hAnsi="Arial" w:cs="Arial"/>
                <w:color w:val="555555"/>
                <w:sz w:val="18"/>
                <w:szCs w:val="18"/>
              </w:rPr>
              <w:t>Uwaga</w:t>
            </w:r>
          </w:p>
        </w:tc>
        <w:tc>
          <w:tcPr>
            <w:tcW w:w="843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3A45B2CC" w14:textId="77777777" w:rsidR="00824928" w:rsidRDefault="00000000">
            <w:pPr>
              <w:jc w:val="both"/>
            </w:pPr>
            <w:r>
              <w:rPr>
                <w:rFonts w:ascii="Arial" w:eastAsia="Arial" w:hAnsi="Arial" w:cs="Arial"/>
                <w:sz w:val="21"/>
                <w:szCs w:val="21"/>
              </w:rPr>
              <w:t>Zestawienie nie zawiera żadnego polskojęzycznego dokumentu. Tymczasem CERT Polska i CSIRT NASK publikują bezpłatne poradniki (m.in. „Bezpieczna Firma‟) napisane z myślą o polskich realiach. Podobne materiały wydaje KNF dla sektora finansowego.</w:t>
            </w:r>
          </w:p>
        </w:tc>
      </w:tr>
      <w:tr w:rsidR="00824928" w14:paraId="362D3538" w14:textId="77777777">
        <w:tc>
          <w:tcPr>
            <w:tcW w:w="761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BF3E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C893924" w14:textId="77777777" w:rsidR="00824928" w:rsidRDefault="00000000">
            <w:pPr>
              <w:jc w:val="center"/>
            </w:pPr>
            <w:proofErr w:type="spellStart"/>
            <w:r>
              <w:rPr>
                <w:rFonts w:ascii="Arial" w:eastAsia="Arial" w:hAnsi="Arial" w:cs="Arial"/>
                <w:color w:val="375623"/>
                <w:sz w:val="18"/>
                <w:szCs w:val="18"/>
              </w:rPr>
              <w:t>Propo-zycja</w:t>
            </w:r>
            <w:proofErr w:type="spellEnd"/>
          </w:p>
        </w:tc>
        <w:tc>
          <w:tcPr>
            <w:tcW w:w="843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9F0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67620380" w14:textId="77777777" w:rsidR="00824928" w:rsidRDefault="00000000">
            <w:pPr>
              <w:jc w:val="both"/>
            </w:pPr>
            <w:r>
              <w:rPr>
                <w:rFonts w:ascii="Arial" w:eastAsia="Arial" w:hAnsi="Arial" w:cs="Arial"/>
                <w:sz w:val="21"/>
                <w:szCs w:val="21"/>
              </w:rPr>
              <w:t>Prosimy o dodanie osobnej sekcji „Dokumenty krajowe‟ z materiałami CERT Polska, CSIRT NASK i KNF. Dla wielu podmiotów — szczególnie tych wdrażających SZBI po raz pierwszy — będą one bardziej dostępne niż anglojęzyczne normy międzynarodowe.</w:t>
            </w:r>
          </w:p>
        </w:tc>
      </w:tr>
    </w:tbl>
    <w:p w14:paraId="7F5F7883" w14:textId="77777777" w:rsidR="00824928" w:rsidRDefault="00824928">
      <w:pPr>
        <w:spacing w:after="120"/>
      </w:pPr>
    </w:p>
    <w:tbl>
      <w:tblPr>
        <w:tblStyle w:val="a3"/>
        <w:tblW w:w="920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61"/>
        <w:gridCol w:w="8439"/>
      </w:tblGrid>
      <w:tr w:rsidR="00824928" w14:paraId="509F6D58" w14:textId="77777777">
        <w:tc>
          <w:tcPr>
            <w:tcW w:w="761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C9F2B42" w14:textId="77777777" w:rsidR="00824928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>5</w:t>
            </w:r>
          </w:p>
        </w:tc>
        <w:tc>
          <w:tcPr>
            <w:tcW w:w="843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9E2F3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514B4B95" w14:textId="77777777" w:rsidR="00824928" w:rsidRDefault="00000000">
            <w:r>
              <w:rPr>
                <w:rFonts w:ascii="Arial" w:eastAsia="Arial" w:hAnsi="Arial" w:cs="Arial"/>
                <w:b/>
                <w:bCs/>
                <w:color w:val="1F3864"/>
                <w:sz w:val="22"/>
                <w:szCs w:val="22"/>
              </w:rPr>
              <w:t>Ocena dostawców bez kryterium kraju pochodzenia</w:t>
            </w:r>
          </w:p>
        </w:tc>
      </w:tr>
      <w:tr w:rsidR="00824928" w14:paraId="7751AD74" w14:textId="77777777">
        <w:tc>
          <w:tcPr>
            <w:tcW w:w="761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F32971F" w14:textId="77777777" w:rsidR="00824928" w:rsidRDefault="00000000">
            <w:pPr>
              <w:jc w:val="center"/>
            </w:pPr>
            <w:r>
              <w:rPr>
                <w:rFonts w:ascii="Arial" w:eastAsia="Arial" w:hAnsi="Arial" w:cs="Arial"/>
                <w:color w:val="555555"/>
                <w:sz w:val="18"/>
                <w:szCs w:val="18"/>
              </w:rPr>
              <w:t>Uwaga</w:t>
            </w:r>
          </w:p>
        </w:tc>
        <w:tc>
          <w:tcPr>
            <w:tcW w:w="843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22DC450C" w14:textId="77777777" w:rsidR="00824928" w:rsidRDefault="00000000">
            <w:pPr>
              <w:jc w:val="both"/>
            </w:pPr>
            <w:r>
              <w:rPr>
                <w:rFonts w:ascii="Arial" w:eastAsia="Arial" w:hAnsi="Arial" w:cs="Arial"/>
                <w:sz w:val="21"/>
                <w:szCs w:val="21"/>
              </w:rPr>
              <w:t xml:space="preserve">Zestawienie pomija kwestię, skąd pochodzi dostawca i gdzie są przechowywane dane. Tymczasem NIS2 (motyw 86) oraz ENISA Supply Chain </w:t>
            </w:r>
            <w:proofErr w:type="spellStart"/>
            <w:r>
              <w:rPr>
                <w:rFonts w:ascii="Arial" w:eastAsia="Arial" w:hAnsi="Arial" w:cs="Arial"/>
                <w:sz w:val="21"/>
                <w:szCs w:val="21"/>
              </w:rPr>
              <w:t>Threat</w:t>
            </w:r>
            <w:proofErr w:type="spellEnd"/>
            <w:r>
              <w:rPr>
                <w:rFonts w:ascii="Arial" w:eastAsia="Arial" w:hAnsi="Arial" w:cs="Arial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1"/>
                <w:szCs w:val="21"/>
              </w:rPr>
              <w:t>Landscape</w:t>
            </w:r>
            <w:proofErr w:type="spellEnd"/>
            <w:r>
              <w:rPr>
                <w:rFonts w:ascii="Arial" w:eastAsia="Arial" w:hAnsi="Arial" w:cs="Arial"/>
                <w:sz w:val="21"/>
                <w:szCs w:val="21"/>
              </w:rPr>
              <w:t xml:space="preserve"> — dokument już ujęty w projekcie zestawienia — wprost wskazują ryzyko związane z dostawcami spoza Unii Europejskiej.</w:t>
            </w:r>
          </w:p>
        </w:tc>
      </w:tr>
      <w:tr w:rsidR="00824928" w14:paraId="382DED3D" w14:textId="77777777">
        <w:tc>
          <w:tcPr>
            <w:tcW w:w="761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BF3E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3784204" w14:textId="77777777" w:rsidR="00824928" w:rsidRDefault="00000000">
            <w:pPr>
              <w:jc w:val="center"/>
            </w:pPr>
            <w:proofErr w:type="spellStart"/>
            <w:r>
              <w:rPr>
                <w:rFonts w:ascii="Arial" w:eastAsia="Arial" w:hAnsi="Arial" w:cs="Arial"/>
                <w:color w:val="375623"/>
                <w:sz w:val="18"/>
                <w:szCs w:val="18"/>
              </w:rPr>
              <w:t>Propo-zycja</w:t>
            </w:r>
            <w:proofErr w:type="spellEnd"/>
          </w:p>
        </w:tc>
        <w:tc>
          <w:tcPr>
            <w:tcW w:w="843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9F0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07894522" w14:textId="77777777" w:rsidR="00824928" w:rsidRDefault="00000000">
            <w:pPr>
              <w:jc w:val="both"/>
            </w:pPr>
            <w:r>
              <w:rPr>
                <w:rFonts w:ascii="Arial" w:eastAsia="Arial" w:hAnsi="Arial" w:cs="Arial"/>
                <w:sz w:val="21"/>
                <w:szCs w:val="21"/>
              </w:rPr>
              <w:t>Prosimy o wskazanie w sekcji dotyczącej łańcucha dostaw, że ocena ryzyka dostawcy powinna uwzględniać również kraj przechowywania danych i ewentualne powiązania kapitałowe z podmiotami spoza UE/EOG. To nie wymaga zmian legislacyjnych — wystarczy krótka nota w zestawieniu.</w:t>
            </w:r>
          </w:p>
        </w:tc>
      </w:tr>
    </w:tbl>
    <w:p w14:paraId="54F3065D" w14:textId="77777777" w:rsidR="00824928" w:rsidRDefault="00824928">
      <w:pPr>
        <w:spacing w:after="120"/>
      </w:pPr>
    </w:p>
    <w:tbl>
      <w:tblPr>
        <w:tblStyle w:val="a4"/>
        <w:tblW w:w="920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61"/>
        <w:gridCol w:w="8439"/>
      </w:tblGrid>
      <w:tr w:rsidR="00824928" w14:paraId="01B72197" w14:textId="77777777">
        <w:tc>
          <w:tcPr>
            <w:tcW w:w="761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A480963" w14:textId="77777777" w:rsidR="00824928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>6</w:t>
            </w:r>
          </w:p>
        </w:tc>
        <w:tc>
          <w:tcPr>
            <w:tcW w:w="843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9E2F3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089CC826" w14:textId="77777777" w:rsidR="00824928" w:rsidRDefault="00000000">
            <w:r>
              <w:rPr>
                <w:rFonts w:ascii="Arial" w:eastAsia="Arial" w:hAnsi="Arial" w:cs="Arial"/>
                <w:b/>
                <w:bCs/>
                <w:color w:val="1F3864"/>
                <w:sz w:val="22"/>
                <w:szCs w:val="22"/>
              </w:rPr>
              <w:t xml:space="preserve">Zaawansowane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1F3864"/>
                <w:sz w:val="22"/>
                <w:szCs w:val="22"/>
              </w:rPr>
              <w:t>frameworki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1F3864"/>
                <w:sz w:val="22"/>
                <w:szCs w:val="22"/>
              </w:rPr>
              <w:t xml:space="preserve"> bez informacji o wymaganiach kompetencyjnych</w:t>
            </w:r>
          </w:p>
        </w:tc>
      </w:tr>
      <w:tr w:rsidR="00824928" w14:paraId="3141BBF6" w14:textId="77777777">
        <w:tc>
          <w:tcPr>
            <w:tcW w:w="761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99051C7" w14:textId="77777777" w:rsidR="00824928" w:rsidRDefault="00000000">
            <w:pPr>
              <w:jc w:val="center"/>
            </w:pPr>
            <w:r>
              <w:rPr>
                <w:rFonts w:ascii="Arial" w:eastAsia="Arial" w:hAnsi="Arial" w:cs="Arial"/>
                <w:color w:val="555555"/>
                <w:sz w:val="18"/>
                <w:szCs w:val="18"/>
              </w:rPr>
              <w:t>Uwaga</w:t>
            </w:r>
          </w:p>
        </w:tc>
        <w:tc>
          <w:tcPr>
            <w:tcW w:w="843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609E3AC7" w14:textId="77777777" w:rsidR="00824928" w:rsidRDefault="00000000">
            <w:pPr>
              <w:jc w:val="both"/>
            </w:pPr>
            <w:r>
              <w:rPr>
                <w:rFonts w:ascii="Arial" w:eastAsia="Arial" w:hAnsi="Arial" w:cs="Arial"/>
                <w:sz w:val="21"/>
                <w:szCs w:val="21"/>
              </w:rPr>
              <w:t xml:space="preserve">Projekt zestawienia zawiera TIBER-EU — </w:t>
            </w:r>
            <w:proofErr w:type="spellStart"/>
            <w:r>
              <w:rPr>
                <w:rFonts w:ascii="Arial" w:eastAsia="Arial" w:hAnsi="Arial" w:cs="Arial"/>
                <w:sz w:val="21"/>
                <w:szCs w:val="21"/>
              </w:rPr>
              <w:t>framework</w:t>
            </w:r>
            <w:proofErr w:type="spellEnd"/>
            <w:r>
              <w:rPr>
                <w:rFonts w:ascii="Arial" w:eastAsia="Arial" w:hAnsi="Arial" w:cs="Arial"/>
                <w:sz w:val="21"/>
                <w:szCs w:val="21"/>
              </w:rPr>
              <w:t xml:space="preserve"> testów odporności dedykowany sektorowi finansowemu, wymagający zaawansowanego zespołu SOC i zewnętrznych specjalistów. W załączniku CISO proponujemy również MITRE ATT&amp;CK i D3FEND — narzędzia o podobnym profilu. Żadna z tych pozycji nie zawiera informacji o rzeczywistych wymaganiach wdrożeniowych.</w:t>
            </w:r>
          </w:p>
        </w:tc>
      </w:tr>
      <w:tr w:rsidR="00824928" w14:paraId="17616C63" w14:textId="77777777">
        <w:tc>
          <w:tcPr>
            <w:tcW w:w="761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BF3E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1D493C6" w14:textId="77777777" w:rsidR="00824928" w:rsidRDefault="00000000">
            <w:pPr>
              <w:jc w:val="center"/>
            </w:pPr>
            <w:proofErr w:type="spellStart"/>
            <w:r>
              <w:rPr>
                <w:rFonts w:ascii="Arial" w:eastAsia="Arial" w:hAnsi="Arial" w:cs="Arial"/>
                <w:color w:val="375623"/>
                <w:sz w:val="18"/>
                <w:szCs w:val="18"/>
              </w:rPr>
              <w:t>Propo-zycja</w:t>
            </w:r>
            <w:proofErr w:type="spellEnd"/>
          </w:p>
        </w:tc>
        <w:tc>
          <w:tcPr>
            <w:tcW w:w="843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9F0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1335F0BE" w14:textId="77777777" w:rsidR="00824928" w:rsidRDefault="00000000">
            <w:pPr>
              <w:jc w:val="both"/>
            </w:pPr>
            <w:r>
              <w:rPr>
                <w:rFonts w:ascii="Arial" w:eastAsia="Arial" w:hAnsi="Arial" w:cs="Arial"/>
                <w:sz w:val="21"/>
                <w:szCs w:val="21"/>
              </w:rPr>
              <w:t>Prosimy o dodanie przy tego typu pozycjach krótkiej informacji, że są przeznaczone dla organizacji posiadających własny lub zewnętrzny zespół SOC. Zapobiegnie to sytuacji, w której większe firmy zaczną wymagać znajomości tych narzędzi od mniejszych dostawców usług IT.</w:t>
            </w:r>
          </w:p>
        </w:tc>
      </w:tr>
    </w:tbl>
    <w:p w14:paraId="0F87D0C2" w14:textId="77777777" w:rsidR="00824928" w:rsidRDefault="00824928">
      <w:pPr>
        <w:spacing w:after="120"/>
      </w:pPr>
    </w:p>
    <w:p w14:paraId="68605E31" w14:textId="77777777" w:rsidR="00824928" w:rsidRDefault="00824928">
      <w:pPr>
        <w:spacing w:after="120"/>
      </w:pPr>
    </w:p>
    <w:tbl>
      <w:tblPr>
        <w:tblStyle w:val="a5"/>
        <w:tblW w:w="920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61"/>
        <w:gridCol w:w="8439"/>
      </w:tblGrid>
      <w:tr w:rsidR="00824928" w14:paraId="561BFFAB" w14:textId="77777777">
        <w:tc>
          <w:tcPr>
            <w:tcW w:w="761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40A7516" w14:textId="77777777" w:rsidR="00824928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>7</w:t>
            </w:r>
          </w:p>
        </w:tc>
        <w:tc>
          <w:tcPr>
            <w:tcW w:w="843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D9E2F3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303AAD6D" w14:textId="77777777" w:rsidR="00824928" w:rsidRDefault="00000000">
            <w:r>
              <w:rPr>
                <w:rFonts w:ascii="Arial" w:eastAsia="Arial" w:hAnsi="Arial" w:cs="Arial"/>
                <w:b/>
                <w:bCs/>
                <w:color w:val="1F3864"/>
                <w:sz w:val="22"/>
                <w:szCs w:val="22"/>
              </w:rPr>
              <w:t>Pamięć masowa (ISO/IEC 27040) pominięta w Ciągłości Działania (CD)</w:t>
            </w:r>
          </w:p>
        </w:tc>
      </w:tr>
      <w:tr w:rsidR="00824928" w14:paraId="1DC03E11" w14:textId="77777777">
        <w:tc>
          <w:tcPr>
            <w:tcW w:w="761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5F5F5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B2C317E" w14:textId="77777777" w:rsidR="00824928" w:rsidRDefault="00000000">
            <w:pPr>
              <w:jc w:val="center"/>
            </w:pPr>
            <w:r>
              <w:rPr>
                <w:rFonts w:ascii="Arial" w:eastAsia="Arial" w:hAnsi="Arial" w:cs="Arial"/>
                <w:color w:val="555555"/>
                <w:sz w:val="18"/>
                <w:szCs w:val="18"/>
              </w:rPr>
              <w:t>Uwaga</w:t>
            </w:r>
          </w:p>
        </w:tc>
        <w:tc>
          <w:tcPr>
            <w:tcW w:w="843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3973779B" w14:textId="77777777" w:rsidR="00824928" w:rsidRDefault="00000000">
            <w:pPr>
              <w:jc w:val="both"/>
            </w:pPr>
            <w:r>
              <w:rPr>
                <w:rFonts w:ascii="Arial" w:eastAsia="Arial" w:hAnsi="Arial" w:cs="Arial"/>
                <w:sz w:val="21"/>
                <w:szCs w:val="21"/>
              </w:rPr>
              <w:t xml:space="preserve">W dobie ataków </w:t>
            </w:r>
            <w:proofErr w:type="spellStart"/>
            <w:r>
              <w:rPr>
                <w:rFonts w:ascii="Arial" w:eastAsia="Arial" w:hAnsi="Arial" w:cs="Arial"/>
                <w:sz w:val="21"/>
                <w:szCs w:val="21"/>
              </w:rPr>
              <w:t>ransomware</w:t>
            </w:r>
            <w:proofErr w:type="spellEnd"/>
            <w:r>
              <w:rPr>
                <w:rFonts w:ascii="Arial" w:eastAsia="Arial" w:hAnsi="Arial" w:cs="Arial"/>
                <w:sz w:val="21"/>
                <w:szCs w:val="21"/>
              </w:rPr>
              <w:t xml:space="preserve">, które w pierwszej kolejności próbują zniszczyć lub zaszyfrować kopie zapasowe, bezpieczne przechowywanie danych (w tym architektura WORM i </w:t>
            </w:r>
            <w:proofErr w:type="spellStart"/>
            <w:r>
              <w:rPr>
                <w:rFonts w:ascii="Arial" w:eastAsia="Arial" w:hAnsi="Arial" w:cs="Arial"/>
                <w:sz w:val="21"/>
                <w:szCs w:val="21"/>
              </w:rPr>
              <w:t>immutable</w:t>
            </w:r>
            <w:proofErr w:type="spellEnd"/>
            <w:r>
              <w:rPr>
                <w:rFonts w:ascii="Arial" w:eastAsia="Arial" w:hAnsi="Arial" w:cs="Arial"/>
                <w:sz w:val="21"/>
                <w:szCs w:val="21"/>
              </w:rPr>
              <w:t xml:space="preserve"> backup) stanowi kręgosłup odtwarzania awaryjnego. Izolacja danych i bezpieczeństwo </w:t>
            </w:r>
            <w:proofErr w:type="spellStart"/>
            <w:r>
              <w:rPr>
                <w:rFonts w:ascii="Arial" w:eastAsia="Arial" w:hAnsi="Arial" w:cs="Arial"/>
                <w:sz w:val="21"/>
                <w:szCs w:val="21"/>
              </w:rPr>
              <w:t>storage'u</w:t>
            </w:r>
            <w:proofErr w:type="spellEnd"/>
            <w:r>
              <w:rPr>
                <w:rFonts w:ascii="Arial" w:eastAsia="Arial" w:hAnsi="Arial" w:cs="Arial"/>
                <w:sz w:val="21"/>
                <w:szCs w:val="21"/>
              </w:rPr>
              <w:t xml:space="preserve"> to nie tylko "higiena systemowa" - warunek konieczny, by w ogóle mogła zaistnieć ciągłość działania organizacji.</w:t>
            </w:r>
          </w:p>
        </w:tc>
      </w:tr>
      <w:tr w:rsidR="00824928" w14:paraId="3D1F0930" w14:textId="77777777">
        <w:tc>
          <w:tcPr>
            <w:tcW w:w="761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BF3E8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319D3F6" w14:textId="77777777" w:rsidR="00824928" w:rsidRDefault="00000000">
            <w:pPr>
              <w:jc w:val="center"/>
            </w:pPr>
            <w:proofErr w:type="spellStart"/>
            <w:r>
              <w:rPr>
                <w:rFonts w:ascii="Arial" w:eastAsia="Arial" w:hAnsi="Arial" w:cs="Arial"/>
                <w:color w:val="375623"/>
                <w:sz w:val="18"/>
                <w:szCs w:val="18"/>
              </w:rPr>
              <w:t>Propo-zycja</w:t>
            </w:r>
            <w:proofErr w:type="spellEnd"/>
          </w:p>
        </w:tc>
        <w:tc>
          <w:tcPr>
            <w:tcW w:w="843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2F9F0"/>
            <w:tcMar>
              <w:top w:w="80" w:type="dxa"/>
              <w:left w:w="140" w:type="dxa"/>
              <w:bottom w:w="80" w:type="dxa"/>
              <w:right w:w="100" w:type="dxa"/>
            </w:tcMar>
          </w:tcPr>
          <w:p w14:paraId="40E570A4" w14:textId="77777777" w:rsidR="00824928" w:rsidRDefault="00000000">
            <w:pPr>
              <w:jc w:val="both"/>
            </w:pPr>
            <w:r>
              <w:rPr>
                <w:rFonts w:ascii="Arial" w:eastAsia="Arial" w:hAnsi="Arial" w:cs="Arial"/>
                <w:sz w:val="21"/>
                <w:szCs w:val="21"/>
              </w:rPr>
              <w:t>Bezwzględnie dodać znacznik w kolumnie Ciągłość działania (CD) dla normy ISO/IEC 27040:2016</w:t>
            </w:r>
          </w:p>
        </w:tc>
      </w:tr>
    </w:tbl>
    <w:p w14:paraId="6AB04675" w14:textId="77777777" w:rsidR="00824928" w:rsidRDefault="00824928">
      <w:pPr>
        <w:spacing w:after="120"/>
      </w:pPr>
    </w:p>
    <w:p w14:paraId="078BF669" w14:textId="77777777" w:rsidR="00824928" w:rsidRDefault="00824928">
      <w:pPr>
        <w:spacing w:after="120"/>
      </w:pPr>
    </w:p>
    <w:sdt>
      <w:sdtPr>
        <w:tag w:val="goog_rdk_0"/>
        <w:id w:val="-968111739"/>
        <w:lock w:val="contentLocked"/>
      </w:sdtPr>
      <w:sdtContent>
        <w:tbl>
          <w:tblPr>
            <w:tblStyle w:val="a6"/>
            <w:tblW w:w="9200" w:type="dxa"/>
            <w:tblInd w:w="0" w:type="dxa"/>
            <w:tbl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blBorders>
            <w:tblLayout w:type="fixed"/>
            <w:tblLook w:val="0400" w:firstRow="0" w:lastRow="0" w:firstColumn="0" w:lastColumn="0" w:noHBand="0" w:noVBand="1"/>
          </w:tblPr>
          <w:tblGrid>
            <w:gridCol w:w="761"/>
            <w:gridCol w:w="8439"/>
          </w:tblGrid>
          <w:tr w:rsidR="00824928" w14:paraId="1AA43454" w14:textId="77777777">
            <w:tc>
              <w:tcPr>
                <w:tcW w:w="761" w:type="dxa"/>
                <w:tcBorders>
                  <w:top w:val="single" w:sz="4" w:space="0" w:color="CCCCCC"/>
                  <w:left w:val="single" w:sz="4" w:space="0" w:color="CCCCCC"/>
                  <w:bottom w:val="single" w:sz="4" w:space="0" w:color="CCCCCC"/>
                  <w:right w:val="single" w:sz="4" w:space="0" w:color="CCCCCC"/>
                </w:tcBorders>
                <w:shd w:val="clear" w:color="auto" w:fill="1F3864"/>
                <w:tcMar>
                  <w:top w:w="80" w:type="dxa"/>
                  <w:left w:w="100" w:type="dxa"/>
                  <w:bottom w:w="80" w:type="dxa"/>
                  <w:right w:w="100" w:type="dxa"/>
                </w:tcMar>
              </w:tcPr>
              <w:p w14:paraId="1F78CFF2" w14:textId="77777777" w:rsidR="00824928" w:rsidRDefault="00000000">
                <w:pPr>
                  <w:jc w:val="center"/>
                </w:pPr>
                <w:r>
                  <w:rPr>
                    <w:rFonts w:ascii="Arial" w:eastAsia="Arial" w:hAnsi="Arial" w:cs="Arial"/>
                    <w:b/>
                    <w:bCs/>
                    <w:color w:val="FFFFFF"/>
                    <w:sz w:val="22"/>
                    <w:szCs w:val="22"/>
                  </w:rPr>
                  <w:t>8</w:t>
                </w:r>
              </w:p>
            </w:tc>
            <w:tc>
              <w:tcPr>
                <w:tcW w:w="8439" w:type="dxa"/>
                <w:tcBorders>
                  <w:top w:val="single" w:sz="4" w:space="0" w:color="CCCCCC"/>
                  <w:left w:val="single" w:sz="4" w:space="0" w:color="CCCCCC"/>
                  <w:bottom w:val="single" w:sz="4" w:space="0" w:color="CCCCCC"/>
                  <w:right w:val="single" w:sz="4" w:space="0" w:color="CCCCCC"/>
                </w:tcBorders>
                <w:shd w:val="clear" w:color="auto" w:fill="D9E2F3"/>
                <w:tcMar>
                  <w:top w:w="80" w:type="dxa"/>
                  <w:left w:w="140" w:type="dxa"/>
                  <w:bottom w:w="80" w:type="dxa"/>
                  <w:right w:w="100" w:type="dxa"/>
                </w:tcMar>
              </w:tcPr>
              <w:p w14:paraId="78CE3A6C" w14:textId="77777777" w:rsidR="00824928" w:rsidRDefault="00000000">
                <w:r>
                  <w:rPr>
                    <w:rFonts w:ascii="Arial" w:eastAsia="Arial" w:hAnsi="Arial" w:cs="Arial"/>
                    <w:b/>
                    <w:bCs/>
                    <w:color w:val="1F3864"/>
                    <w:sz w:val="22"/>
                    <w:szCs w:val="22"/>
                  </w:rPr>
                  <w:t>Przestarzałe standardy ciągłości IT w obliczu Ransomware (ISO/IEC 27031:2011)</w:t>
                </w:r>
              </w:p>
            </w:tc>
          </w:tr>
          <w:tr w:rsidR="00824928" w14:paraId="1CA72F4E" w14:textId="77777777">
            <w:tc>
              <w:tcPr>
                <w:tcW w:w="761" w:type="dxa"/>
                <w:tcBorders>
                  <w:top w:val="single" w:sz="4" w:space="0" w:color="CCCCCC"/>
                  <w:left w:val="single" w:sz="4" w:space="0" w:color="CCCCCC"/>
                  <w:bottom w:val="single" w:sz="4" w:space="0" w:color="CCCCCC"/>
                  <w:right w:val="single" w:sz="4" w:space="0" w:color="CCCCCC"/>
                </w:tcBorders>
                <w:shd w:val="clear" w:color="auto" w:fill="F5F5F5"/>
                <w:tcMar>
                  <w:top w:w="80" w:type="dxa"/>
                  <w:left w:w="100" w:type="dxa"/>
                  <w:bottom w:w="80" w:type="dxa"/>
                  <w:right w:w="100" w:type="dxa"/>
                </w:tcMar>
              </w:tcPr>
              <w:p w14:paraId="28782DFE" w14:textId="77777777" w:rsidR="00824928" w:rsidRDefault="00000000">
                <w:pPr>
                  <w:jc w:val="center"/>
                </w:pPr>
                <w:r>
                  <w:rPr>
                    <w:rFonts w:ascii="Arial" w:eastAsia="Arial" w:hAnsi="Arial" w:cs="Arial"/>
                    <w:color w:val="555555"/>
                    <w:sz w:val="18"/>
                    <w:szCs w:val="18"/>
                  </w:rPr>
                  <w:t>Uwaga</w:t>
                </w:r>
              </w:p>
            </w:tc>
            <w:tc>
              <w:tcPr>
                <w:tcW w:w="8439" w:type="dxa"/>
                <w:tcBorders>
                  <w:top w:val="single" w:sz="4" w:space="0" w:color="CCCCCC"/>
                  <w:left w:val="single" w:sz="4" w:space="0" w:color="CCCCCC"/>
                  <w:bottom w:val="single" w:sz="4" w:space="0" w:color="CCCCCC"/>
                  <w:right w:val="single" w:sz="4" w:space="0" w:color="CCCCCC"/>
                </w:tcBorders>
                <w:tcMar>
                  <w:top w:w="80" w:type="dxa"/>
                  <w:left w:w="140" w:type="dxa"/>
                  <w:bottom w:w="80" w:type="dxa"/>
                  <w:right w:w="100" w:type="dxa"/>
                </w:tcMar>
              </w:tcPr>
              <w:p w14:paraId="25893AF2" w14:textId="77777777" w:rsidR="00824928" w:rsidRDefault="00000000">
                <w:pPr>
                  <w:jc w:val="both"/>
                </w:pPr>
                <w:r>
                  <w:rPr>
                    <w:rFonts w:ascii="Arial" w:eastAsia="Arial" w:hAnsi="Arial" w:cs="Arial"/>
                    <w:sz w:val="21"/>
                    <w:szCs w:val="21"/>
                  </w:rPr>
                  <w:t xml:space="preserve">Standard został napisany w czasach, gdy głównym zagrożeniem dla ciągłości IT były awarie zasilania, zalania serwerowni czy błędy sprzętowe (klasyczne Disaster Recovery). Nie uwzględnia on specyfiki Cyber-Recovery, czyli sytuacji, w której sprzęt działa idealnie, </w:t>
                </w:r>
                <w:r>
                  <w:rPr>
                    <w:rFonts w:ascii="Arial" w:eastAsia="Arial" w:hAnsi="Arial" w:cs="Arial"/>
                    <w:sz w:val="21"/>
                    <w:szCs w:val="21"/>
                  </w:rPr>
                  <w:lastRenderedPageBreak/>
                  <w:t>ale całe środowisko (w tym Active Directory i systemy produkcyjne) zostało przejęte i zaszyfrowane przez aktora stanowiącego zagrożenie.</w:t>
                </w:r>
              </w:p>
            </w:tc>
          </w:tr>
          <w:tr w:rsidR="00824928" w14:paraId="57091127" w14:textId="77777777">
            <w:tc>
              <w:tcPr>
                <w:tcW w:w="761" w:type="dxa"/>
                <w:tcBorders>
                  <w:top w:val="single" w:sz="4" w:space="0" w:color="CCCCCC"/>
                  <w:left w:val="single" w:sz="4" w:space="0" w:color="CCCCCC"/>
                  <w:bottom w:val="single" w:sz="4" w:space="0" w:color="CCCCCC"/>
                  <w:right w:val="single" w:sz="4" w:space="0" w:color="CCCCCC"/>
                </w:tcBorders>
                <w:shd w:val="clear" w:color="auto" w:fill="EBF3E8"/>
                <w:tcMar>
                  <w:top w:w="80" w:type="dxa"/>
                  <w:left w:w="100" w:type="dxa"/>
                  <w:bottom w:w="80" w:type="dxa"/>
                  <w:right w:w="100" w:type="dxa"/>
                </w:tcMar>
              </w:tcPr>
              <w:p w14:paraId="54CE918F" w14:textId="77777777" w:rsidR="00824928" w:rsidRDefault="00000000">
                <w:pPr>
                  <w:jc w:val="center"/>
                </w:pPr>
                <w:r>
                  <w:rPr>
                    <w:rFonts w:ascii="Arial" w:eastAsia="Arial" w:hAnsi="Arial" w:cs="Arial"/>
                    <w:color w:val="375623"/>
                    <w:sz w:val="18"/>
                    <w:szCs w:val="18"/>
                  </w:rPr>
                  <w:lastRenderedPageBreak/>
                  <w:t>Propo-zycja</w:t>
                </w:r>
              </w:p>
            </w:tc>
            <w:tc>
              <w:tcPr>
                <w:tcW w:w="8439" w:type="dxa"/>
                <w:tcBorders>
                  <w:top w:val="single" w:sz="4" w:space="0" w:color="CCCCCC"/>
                  <w:left w:val="single" w:sz="4" w:space="0" w:color="CCCCCC"/>
                  <w:bottom w:val="single" w:sz="4" w:space="0" w:color="CCCCCC"/>
                  <w:right w:val="single" w:sz="4" w:space="0" w:color="CCCCCC"/>
                </w:tcBorders>
                <w:shd w:val="clear" w:color="auto" w:fill="F2F9F0"/>
                <w:tcMar>
                  <w:top w:w="80" w:type="dxa"/>
                  <w:left w:w="140" w:type="dxa"/>
                  <w:bottom w:w="80" w:type="dxa"/>
                  <w:right w:w="100" w:type="dxa"/>
                </w:tcMar>
              </w:tcPr>
              <w:p w14:paraId="13B30D11" w14:textId="77777777" w:rsidR="00824928" w:rsidRDefault="00000000">
                <w:pPr>
                  <w:jc w:val="both"/>
                </w:pPr>
                <w:r>
                  <w:rPr>
                    <w:rFonts w:ascii="Arial" w:eastAsia="Arial" w:hAnsi="Arial" w:cs="Arial"/>
                    <w:sz w:val="21"/>
                    <w:szCs w:val="21"/>
                  </w:rPr>
                  <w:t xml:space="preserve">W opisie dokumentu należy dodać adnotację wskazującą, że podmioty stosujące </w:t>
                </w:r>
                <w:r>
                  <w:rPr>
                    <w:rFonts w:ascii="Arial" w:eastAsia="Arial" w:hAnsi="Arial" w:cs="Arial"/>
                    <w:sz w:val="21"/>
                    <w:szCs w:val="21"/>
                  </w:rPr>
                  <w:br/>
                  <w:t xml:space="preserve">tę normę muszą uzupełnić ją o nowoczesne podejście do cyber-odporności (np. odniesienie do NIST CSF 2.0 funkcja Recover [RC]), ponieważ klasyczne plany DR z 2011 roku są bezużyteczne w starciu ze współczesnym wymuszeniem okupu: </w:t>
                </w:r>
                <w:hyperlink r:id="rId6">
                  <w:r>
                    <w:rPr>
                      <w:rFonts w:ascii="Arial" w:eastAsia="Arial" w:hAnsi="Arial" w:cs="Arial"/>
                      <w:color w:val="1155CC"/>
                      <w:sz w:val="21"/>
                      <w:szCs w:val="21"/>
                      <w:u w:val="single"/>
                    </w:rPr>
                    <w:t>https://nvlpubs.nist.gov/nistpubs/CSWP/NIST.CSWP.29.pdf</w:t>
                  </w:r>
                </w:hyperlink>
              </w:p>
            </w:tc>
          </w:tr>
        </w:tbl>
      </w:sdtContent>
    </w:sdt>
    <w:p w14:paraId="11E3E60E" w14:textId="77777777" w:rsidR="00824928" w:rsidRDefault="00824928">
      <w:pPr>
        <w:spacing w:after="120"/>
      </w:pPr>
    </w:p>
    <w:p w14:paraId="6EFD553D" w14:textId="77777777" w:rsidR="00824928" w:rsidRDefault="00824928">
      <w:pPr>
        <w:spacing w:after="120"/>
      </w:pPr>
    </w:p>
    <w:sdt>
      <w:sdtPr>
        <w:tag w:val="goog_rdk_1"/>
        <w:id w:val="-1316809356"/>
        <w:lock w:val="contentLocked"/>
      </w:sdtPr>
      <w:sdtContent>
        <w:tbl>
          <w:tblPr>
            <w:tblStyle w:val="a7"/>
            <w:tblW w:w="9200" w:type="dxa"/>
            <w:tblInd w:w="0" w:type="dxa"/>
            <w:tbl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blBorders>
            <w:tblLayout w:type="fixed"/>
            <w:tblLook w:val="0400" w:firstRow="0" w:lastRow="0" w:firstColumn="0" w:lastColumn="0" w:noHBand="0" w:noVBand="1"/>
          </w:tblPr>
          <w:tblGrid>
            <w:gridCol w:w="761"/>
            <w:gridCol w:w="8439"/>
          </w:tblGrid>
          <w:tr w:rsidR="00824928" w14:paraId="6A6921E2" w14:textId="77777777">
            <w:tc>
              <w:tcPr>
                <w:tcW w:w="761" w:type="dxa"/>
                <w:tcBorders>
                  <w:top w:val="single" w:sz="4" w:space="0" w:color="CCCCCC"/>
                  <w:left w:val="single" w:sz="4" w:space="0" w:color="CCCCCC"/>
                  <w:bottom w:val="single" w:sz="4" w:space="0" w:color="CCCCCC"/>
                  <w:right w:val="single" w:sz="4" w:space="0" w:color="CCCCCC"/>
                </w:tcBorders>
                <w:shd w:val="clear" w:color="auto" w:fill="1F3864"/>
                <w:tcMar>
                  <w:top w:w="80" w:type="dxa"/>
                  <w:left w:w="100" w:type="dxa"/>
                  <w:bottom w:w="80" w:type="dxa"/>
                  <w:right w:w="100" w:type="dxa"/>
                </w:tcMar>
              </w:tcPr>
              <w:p w14:paraId="07BC012C" w14:textId="77777777" w:rsidR="00824928" w:rsidRDefault="00000000">
                <w:pPr>
                  <w:jc w:val="center"/>
                </w:pPr>
                <w:r>
                  <w:rPr>
                    <w:rFonts w:ascii="Arial" w:eastAsia="Arial" w:hAnsi="Arial" w:cs="Arial"/>
                    <w:b/>
                    <w:bCs/>
                    <w:color w:val="FFFFFF"/>
                    <w:sz w:val="22"/>
                    <w:szCs w:val="22"/>
                  </w:rPr>
                  <w:t>9</w:t>
                </w:r>
              </w:p>
            </w:tc>
            <w:tc>
              <w:tcPr>
                <w:tcW w:w="8439" w:type="dxa"/>
                <w:tcBorders>
                  <w:top w:val="single" w:sz="4" w:space="0" w:color="CCCCCC"/>
                  <w:left w:val="single" w:sz="4" w:space="0" w:color="CCCCCC"/>
                  <w:bottom w:val="single" w:sz="4" w:space="0" w:color="CCCCCC"/>
                  <w:right w:val="single" w:sz="4" w:space="0" w:color="CCCCCC"/>
                </w:tcBorders>
                <w:shd w:val="clear" w:color="auto" w:fill="D9E2F3"/>
                <w:tcMar>
                  <w:top w:w="80" w:type="dxa"/>
                  <w:left w:w="140" w:type="dxa"/>
                  <w:bottom w:w="80" w:type="dxa"/>
                  <w:right w:w="100" w:type="dxa"/>
                </w:tcMar>
              </w:tcPr>
              <w:p w14:paraId="528599C6" w14:textId="77777777" w:rsidR="00824928" w:rsidRDefault="00000000">
                <w:r>
                  <w:rPr>
                    <w:rFonts w:ascii="Arial" w:eastAsia="Arial" w:hAnsi="Arial" w:cs="Arial"/>
                    <w:b/>
                    <w:bCs/>
                    <w:color w:val="1F3864"/>
                    <w:sz w:val="22"/>
                    <w:szCs w:val="22"/>
                  </w:rPr>
                  <w:t>Brak nacisku na testy odtwarzania danych (TA)</w:t>
                </w:r>
              </w:p>
            </w:tc>
          </w:tr>
          <w:tr w:rsidR="00824928" w14:paraId="0CD56CB7" w14:textId="77777777">
            <w:tc>
              <w:tcPr>
                <w:tcW w:w="761" w:type="dxa"/>
                <w:tcBorders>
                  <w:top w:val="single" w:sz="4" w:space="0" w:color="CCCCCC"/>
                  <w:left w:val="single" w:sz="4" w:space="0" w:color="CCCCCC"/>
                  <w:bottom w:val="single" w:sz="4" w:space="0" w:color="CCCCCC"/>
                  <w:right w:val="single" w:sz="4" w:space="0" w:color="CCCCCC"/>
                </w:tcBorders>
                <w:shd w:val="clear" w:color="auto" w:fill="F5F5F5"/>
                <w:tcMar>
                  <w:top w:w="80" w:type="dxa"/>
                  <w:left w:w="100" w:type="dxa"/>
                  <w:bottom w:w="80" w:type="dxa"/>
                  <w:right w:w="100" w:type="dxa"/>
                </w:tcMar>
              </w:tcPr>
              <w:p w14:paraId="5E45DCF3" w14:textId="77777777" w:rsidR="00824928" w:rsidRDefault="00000000">
                <w:pPr>
                  <w:jc w:val="center"/>
                </w:pPr>
                <w:r>
                  <w:rPr>
                    <w:rFonts w:ascii="Arial" w:eastAsia="Arial" w:hAnsi="Arial" w:cs="Arial"/>
                    <w:color w:val="555555"/>
                    <w:sz w:val="18"/>
                    <w:szCs w:val="18"/>
                  </w:rPr>
                  <w:t>Uwaga</w:t>
                </w:r>
              </w:p>
            </w:tc>
            <w:tc>
              <w:tcPr>
                <w:tcW w:w="8439" w:type="dxa"/>
                <w:tcBorders>
                  <w:top w:val="single" w:sz="4" w:space="0" w:color="CCCCCC"/>
                  <w:left w:val="single" w:sz="4" w:space="0" w:color="CCCCCC"/>
                  <w:bottom w:val="single" w:sz="4" w:space="0" w:color="CCCCCC"/>
                  <w:right w:val="single" w:sz="4" w:space="0" w:color="CCCCCC"/>
                </w:tcBorders>
                <w:tcMar>
                  <w:top w:w="80" w:type="dxa"/>
                  <w:left w:w="140" w:type="dxa"/>
                  <w:bottom w:w="80" w:type="dxa"/>
                  <w:right w:w="100" w:type="dxa"/>
                </w:tcMar>
              </w:tcPr>
              <w:p w14:paraId="393A4E2A" w14:textId="77777777" w:rsidR="00824928" w:rsidRDefault="00000000">
                <w:pPr>
                  <w:jc w:val="both"/>
                </w:pPr>
                <w:r>
                  <w:rPr>
                    <w:rFonts w:ascii="Arial" w:eastAsia="Arial" w:hAnsi="Arial" w:cs="Arial"/>
                    <w:sz w:val="21"/>
                    <w:szCs w:val="21"/>
                  </w:rPr>
                  <w:t>Ustawa o KSC oraz dyrektywa NIS2 wprost nakazują wdrażanie procedur zarządzania kopiami zapasowymi oraz ich weryfikację. Najważniejszym testem odporności dla większości firm nie jest audyt zgodności, ale techniczny test odtwarzania systemów z backupu. Zestawienie nie wskazuje żadnego standardu, który weryfikowałby ten proces na poziomie operacyjnym.</w:t>
                </w:r>
              </w:p>
            </w:tc>
          </w:tr>
          <w:tr w:rsidR="00824928" w14:paraId="06E3043C" w14:textId="77777777">
            <w:tc>
              <w:tcPr>
                <w:tcW w:w="761" w:type="dxa"/>
                <w:tcBorders>
                  <w:top w:val="single" w:sz="4" w:space="0" w:color="CCCCCC"/>
                  <w:left w:val="single" w:sz="4" w:space="0" w:color="CCCCCC"/>
                  <w:bottom w:val="single" w:sz="4" w:space="0" w:color="CCCCCC"/>
                  <w:right w:val="single" w:sz="4" w:space="0" w:color="CCCCCC"/>
                </w:tcBorders>
                <w:shd w:val="clear" w:color="auto" w:fill="EBF3E8"/>
                <w:tcMar>
                  <w:top w:w="80" w:type="dxa"/>
                  <w:left w:w="100" w:type="dxa"/>
                  <w:bottom w:w="80" w:type="dxa"/>
                  <w:right w:w="100" w:type="dxa"/>
                </w:tcMar>
              </w:tcPr>
              <w:p w14:paraId="72B85895" w14:textId="77777777" w:rsidR="00824928" w:rsidRDefault="00000000">
                <w:pPr>
                  <w:jc w:val="center"/>
                </w:pPr>
                <w:r>
                  <w:rPr>
                    <w:rFonts w:ascii="Arial" w:eastAsia="Arial" w:hAnsi="Arial" w:cs="Arial"/>
                    <w:color w:val="375623"/>
                    <w:sz w:val="18"/>
                    <w:szCs w:val="18"/>
                  </w:rPr>
                  <w:t>Propo-zycja</w:t>
                </w:r>
              </w:p>
            </w:tc>
            <w:tc>
              <w:tcPr>
                <w:tcW w:w="8439" w:type="dxa"/>
                <w:tcBorders>
                  <w:top w:val="single" w:sz="4" w:space="0" w:color="CCCCCC"/>
                  <w:left w:val="single" w:sz="4" w:space="0" w:color="CCCCCC"/>
                  <w:bottom w:val="single" w:sz="4" w:space="0" w:color="CCCCCC"/>
                  <w:right w:val="single" w:sz="4" w:space="0" w:color="CCCCCC"/>
                </w:tcBorders>
                <w:shd w:val="clear" w:color="auto" w:fill="F2F9F0"/>
                <w:tcMar>
                  <w:top w:w="80" w:type="dxa"/>
                  <w:left w:w="140" w:type="dxa"/>
                  <w:bottom w:w="80" w:type="dxa"/>
                  <w:right w:w="100" w:type="dxa"/>
                </w:tcMar>
              </w:tcPr>
              <w:p w14:paraId="252B3D7F" w14:textId="77777777" w:rsidR="00824928" w:rsidRDefault="00000000">
                <w:pPr>
                  <w:jc w:val="both"/>
                  <w:rPr>
                    <w:b/>
                    <w:bCs/>
                  </w:rPr>
                </w:pPr>
                <w:r>
                  <w:rPr>
                    <w:rFonts w:ascii="Arial" w:eastAsia="Arial" w:hAnsi="Arial" w:cs="Arial"/>
                    <w:sz w:val="21"/>
                    <w:szCs w:val="21"/>
                  </w:rPr>
                  <w:t xml:space="preserve">Prosimy o wyraźne zaznaczenie w opisach norm ogólnych (np. przy ISO 27001 czy CIS Controls v8), że audyty i testy (TA) muszą obligatoryjnie obejmować techniczne próby odtworzenia środowiska IT z kopii zapasowych (tzw. restore tests), </w:t>
                </w:r>
                <w:r>
                  <w:rPr>
                    <w:rFonts w:ascii="Arial" w:eastAsia="Arial" w:hAnsi="Arial" w:cs="Arial"/>
                    <w:b/>
                    <w:bCs/>
                    <w:sz w:val="21"/>
                    <w:szCs w:val="21"/>
                  </w:rPr>
                  <w:t>a nie tylko weryfikację istnienia samych polityk backupu.</w:t>
                </w:r>
              </w:p>
            </w:tc>
          </w:tr>
        </w:tbl>
      </w:sdtContent>
    </w:sdt>
    <w:p w14:paraId="4E263622" w14:textId="77777777" w:rsidR="00824928" w:rsidRDefault="00824928">
      <w:pPr>
        <w:spacing w:after="120"/>
      </w:pPr>
    </w:p>
    <w:p w14:paraId="2AF78301" w14:textId="77777777" w:rsidR="00824928" w:rsidRDefault="00824928">
      <w:pPr>
        <w:spacing w:after="120"/>
      </w:pPr>
    </w:p>
    <w:sdt>
      <w:sdtPr>
        <w:tag w:val="goog_rdk_2"/>
        <w:id w:val="-1920571595"/>
        <w:lock w:val="contentLocked"/>
      </w:sdtPr>
      <w:sdtContent>
        <w:tbl>
          <w:tblPr>
            <w:tblStyle w:val="a8"/>
            <w:tblW w:w="9200" w:type="dxa"/>
            <w:tblInd w:w="0" w:type="dxa"/>
            <w:tbl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blBorders>
            <w:tblLayout w:type="fixed"/>
            <w:tblLook w:val="0400" w:firstRow="0" w:lastRow="0" w:firstColumn="0" w:lastColumn="0" w:noHBand="0" w:noVBand="1"/>
          </w:tblPr>
          <w:tblGrid>
            <w:gridCol w:w="761"/>
            <w:gridCol w:w="8439"/>
          </w:tblGrid>
          <w:tr w:rsidR="00824928" w14:paraId="759530F1" w14:textId="77777777">
            <w:tc>
              <w:tcPr>
                <w:tcW w:w="761" w:type="dxa"/>
                <w:tcBorders>
                  <w:top w:val="single" w:sz="4" w:space="0" w:color="CCCCCC"/>
                  <w:left w:val="single" w:sz="4" w:space="0" w:color="CCCCCC"/>
                  <w:bottom w:val="single" w:sz="4" w:space="0" w:color="CCCCCC"/>
                  <w:right w:val="single" w:sz="4" w:space="0" w:color="CCCCCC"/>
                </w:tcBorders>
                <w:shd w:val="clear" w:color="auto" w:fill="1F3864"/>
                <w:tcMar>
                  <w:top w:w="80" w:type="dxa"/>
                  <w:left w:w="100" w:type="dxa"/>
                  <w:bottom w:w="80" w:type="dxa"/>
                  <w:right w:w="100" w:type="dxa"/>
                </w:tcMar>
              </w:tcPr>
              <w:p w14:paraId="7469903B" w14:textId="77777777" w:rsidR="00824928" w:rsidRDefault="00000000">
                <w:pPr>
                  <w:jc w:val="center"/>
                </w:pPr>
                <w:r>
                  <w:rPr>
                    <w:rFonts w:ascii="Arial" w:eastAsia="Arial" w:hAnsi="Arial" w:cs="Arial"/>
                    <w:b/>
                    <w:bCs/>
                    <w:color w:val="FFFFFF"/>
                    <w:sz w:val="22"/>
                    <w:szCs w:val="22"/>
                  </w:rPr>
                  <w:t>10</w:t>
                </w:r>
              </w:p>
            </w:tc>
            <w:tc>
              <w:tcPr>
                <w:tcW w:w="8439" w:type="dxa"/>
                <w:tcBorders>
                  <w:top w:val="single" w:sz="4" w:space="0" w:color="CCCCCC"/>
                  <w:left w:val="single" w:sz="4" w:space="0" w:color="CCCCCC"/>
                  <w:bottom w:val="single" w:sz="4" w:space="0" w:color="CCCCCC"/>
                  <w:right w:val="single" w:sz="4" w:space="0" w:color="CCCCCC"/>
                </w:tcBorders>
                <w:shd w:val="clear" w:color="auto" w:fill="D9E2F3"/>
                <w:tcMar>
                  <w:top w:w="80" w:type="dxa"/>
                  <w:left w:w="140" w:type="dxa"/>
                  <w:bottom w:w="80" w:type="dxa"/>
                  <w:right w:w="100" w:type="dxa"/>
                </w:tcMar>
              </w:tcPr>
              <w:p w14:paraId="10CF2398" w14:textId="77777777" w:rsidR="00824928" w:rsidRDefault="00000000">
                <w:r>
                  <w:rPr>
                    <w:rFonts w:ascii="Arial" w:eastAsia="Arial" w:hAnsi="Arial" w:cs="Arial"/>
                    <w:b/>
                    <w:bCs/>
                    <w:color w:val="1F3864"/>
                    <w:sz w:val="22"/>
                    <w:szCs w:val="22"/>
                  </w:rPr>
                  <w:t>Ogólne potraktowanie ochrony danych w opisach wiodących frameworków</w:t>
                </w:r>
              </w:p>
            </w:tc>
          </w:tr>
          <w:tr w:rsidR="00824928" w14:paraId="5DA5221F" w14:textId="77777777">
            <w:tc>
              <w:tcPr>
                <w:tcW w:w="761" w:type="dxa"/>
                <w:tcBorders>
                  <w:top w:val="single" w:sz="4" w:space="0" w:color="CCCCCC"/>
                  <w:left w:val="single" w:sz="4" w:space="0" w:color="CCCCCC"/>
                  <w:bottom w:val="single" w:sz="4" w:space="0" w:color="CCCCCC"/>
                  <w:right w:val="single" w:sz="4" w:space="0" w:color="CCCCCC"/>
                </w:tcBorders>
                <w:shd w:val="clear" w:color="auto" w:fill="F5F5F5"/>
                <w:tcMar>
                  <w:top w:w="80" w:type="dxa"/>
                  <w:left w:w="100" w:type="dxa"/>
                  <w:bottom w:w="80" w:type="dxa"/>
                  <w:right w:w="100" w:type="dxa"/>
                </w:tcMar>
              </w:tcPr>
              <w:p w14:paraId="77838CA0" w14:textId="77777777" w:rsidR="00824928" w:rsidRDefault="00000000">
                <w:pPr>
                  <w:jc w:val="center"/>
                </w:pPr>
                <w:r>
                  <w:rPr>
                    <w:rFonts w:ascii="Arial" w:eastAsia="Arial" w:hAnsi="Arial" w:cs="Arial"/>
                    <w:color w:val="555555"/>
                    <w:sz w:val="18"/>
                    <w:szCs w:val="18"/>
                  </w:rPr>
                  <w:t>Uwaga</w:t>
                </w:r>
              </w:p>
            </w:tc>
            <w:tc>
              <w:tcPr>
                <w:tcW w:w="8439" w:type="dxa"/>
                <w:tcBorders>
                  <w:top w:val="single" w:sz="4" w:space="0" w:color="CCCCCC"/>
                  <w:left w:val="single" w:sz="4" w:space="0" w:color="CCCCCC"/>
                  <w:bottom w:val="single" w:sz="4" w:space="0" w:color="CCCCCC"/>
                  <w:right w:val="single" w:sz="4" w:space="0" w:color="CCCCCC"/>
                </w:tcBorders>
                <w:tcMar>
                  <w:top w:w="80" w:type="dxa"/>
                  <w:left w:w="140" w:type="dxa"/>
                  <w:bottom w:w="80" w:type="dxa"/>
                  <w:right w:w="100" w:type="dxa"/>
                </w:tcMar>
              </w:tcPr>
              <w:p w14:paraId="0CB6D8BA" w14:textId="77777777" w:rsidR="00824928" w:rsidRDefault="00000000">
                <w:pPr>
                  <w:jc w:val="both"/>
                </w:pPr>
                <w:r>
                  <w:rPr>
                    <w:rFonts w:ascii="Arial" w:eastAsia="Arial" w:hAnsi="Arial" w:cs="Arial"/>
                    <w:sz w:val="21"/>
                    <w:szCs w:val="21"/>
                  </w:rPr>
                  <w:t>Podmioty zaczynające budowę SZBI mogą nie dostrzec, że oba te frameworki traktują ochronę danych oraz izolację kopii zapasowych jako krytyczne środki zaradcze (np. CIS Control 11: Data Protection).</w:t>
                </w:r>
              </w:p>
            </w:tc>
          </w:tr>
          <w:tr w:rsidR="00824928" w14:paraId="3DBC5149" w14:textId="77777777">
            <w:tc>
              <w:tcPr>
                <w:tcW w:w="761" w:type="dxa"/>
                <w:tcBorders>
                  <w:top w:val="single" w:sz="4" w:space="0" w:color="CCCCCC"/>
                  <w:left w:val="single" w:sz="4" w:space="0" w:color="CCCCCC"/>
                  <w:bottom w:val="single" w:sz="4" w:space="0" w:color="CCCCCC"/>
                  <w:right w:val="single" w:sz="4" w:space="0" w:color="CCCCCC"/>
                </w:tcBorders>
                <w:shd w:val="clear" w:color="auto" w:fill="EBF3E8"/>
                <w:tcMar>
                  <w:top w:w="80" w:type="dxa"/>
                  <w:left w:w="100" w:type="dxa"/>
                  <w:bottom w:w="80" w:type="dxa"/>
                  <w:right w:w="100" w:type="dxa"/>
                </w:tcMar>
              </w:tcPr>
              <w:p w14:paraId="231AF533" w14:textId="77777777" w:rsidR="00824928" w:rsidRDefault="00000000">
                <w:pPr>
                  <w:jc w:val="center"/>
                </w:pPr>
                <w:r>
                  <w:rPr>
                    <w:rFonts w:ascii="Arial" w:eastAsia="Arial" w:hAnsi="Arial" w:cs="Arial"/>
                    <w:color w:val="375623"/>
                    <w:sz w:val="18"/>
                    <w:szCs w:val="18"/>
                  </w:rPr>
                  <w:t>Propo-zycja</w:t>
                </w:r>
              </w:p>
            </w:tc>
            <w:tc>
              <w:tcPr>
                <w:tcW w:w="8439" w:type="dxa"/>
                <w:tcBorders>
                  <w:top w:val="single" w:sz="4" w:space="0" w:color="CCCCCC"/>
                  <w:left w:val="single" w:sz="4" w:space="0" w:color="CCCCCC"/>
                  <w:bottom w:val="single" w:sz="4" w:space="0" w:color="CCCCCC"/>
                  <w:right w:val="single" w:sz="4" w:space="0" w:color="CCCCCC"/>
                </w:tcBorders>
                <w:shd w:val="clear" w:color="auto" w:fill="F2F9F0"/>
                <w:tcMar>
                  <w:top w:w="80" w:type="dxa"/>
                  <w:left w:w="140" w:type="dxa"/>
                  <w:bottom w:w="80" w:type="dxa"/>
                  <w:right w:w="100" w:type="dxa"/>
                </w:tcMar>
              </w:tcPr>
              <w:p w14:paraId="5C3D7B9E" w14:textId="77777777" w:rsidR="00824928" w:rsidRDefault="00000000">
                <w:pPr>
                  <w:jc w:val="both"/>
                </w:pPr>
                <w:r>
                  <w:rPr>
                    <w:rFonts w:ascii="Arial" w:eastAsia="Arial" w:hAnsi="Arial" w:cs="Arial"/>
                    <w:sz w:val="21"/>
                    <w:szCs w:val="21"/>
                  </w:rPr>
                  <w:t>Wzbogacić opisy dla NIST CSF 2.0 oraz CIS Controls v8 w kolumnie "Opis" o wyraźne wskazanie, że definiują one konkretne wymagania dla zabezpieczania danych i procedur szybkiego odtwarzania po cyberataku.</w:t>
                </w:r>
              </w:p>
            </w:tc>
          </w:tr>
        </w:tbl>
      </w:sdtContent>
    </w:sdt>
    <w:p w14:paraId="7C874524" w14:textId="77777777" w:rsidR="00824928" w:rsidRDefault="00824928">
      <w:pPr>
        <w:spacing w:after="120"/>
      </w:pPr>
    </w:p>
    <w:p w14:paraId="6C747E4C" w14:textId="77777777" w:rsidR="00824928" w:rsidRDefault="00000000">
      <w:r>
        <w:rPr>
          <w:rFonts w:ascii="Arial" w:eastAsia="Arial" w:hAnsi="Arial" w:cs="Arial"/>
          <w:i/>
          <w:iCs/>
          <w:color w:val="777777"/>
        </w:rPr>
        <w:t>Załącznik: Zestawienie_art_45_ust_3_KSC_CISO.xlsx</w:t>
      </w:r>
    </w:p>
    <w:sectPr w:rsidR="00824928">
      <w:pgSz w:w="11906" w:h="16838"/>
      <w:pgMar w:top="1300" w:right="1300" w:bottom="1300" w:left="1300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07AF9C" w14:textId="77777777" w:rsidR="00356F3B" w:rsidRDefault="00356F3B" w:rsidP="00E93EFD">
      <w:r>
        <w:separator/>
      </w:r>
    </w:p>
  </w:endnote>
  <w:endnote w:type="continuationSeparator" w:id="0">
    <w:p w14:paraId="7BBBCE54" w14:textId="77777777" w:rsidR="00356F3B" w:rsidRDefault="00356F3B" w:rsidP="00E93E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1" w:fontKey="{AA9D6BC7-9B42-42AA-B694-1E0D75DCE4A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F85ED8DE-D69D-44C9-8865-65EC7ED386AC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3" w:fontKey="{72FEDA3C-682F-4C3F-94CC-F1EAB65B5814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0D7939" w14:textId="77777777" w:rsidR="00356F3B" w:rsidRDefault="00356F3B" w:rsidP="00E93EFD">
      <w:r>
        <w:separator/>
      </w:r>
    </w:p>
  </w:footnote>
  <w:footnote w:type="continuationSeparator" w:id="0">
    <w:p w14:paraId="1DC7949A" w14:textId="77777777" w:rsidR="00356F3B" w:rsidRDefault="00356F3B" w:rsidP="00E93EF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TrueTypeFonts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4928"/>
    <w:rsid w:val="00356F3B"/>
    <w:rsid w:val="00744BA2"/>
    <w:rsid w:val="00824928"/>
    <w:rsid w:val="00E15D29"/>
    <w:rsid w:val="00E93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18E64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pBdr>
        <w:top w:val="nil"/>
        <w:left w:val="nil"/>
        <w:bottom w:val="nil"/>
        <w:right w:val="nil"/>
        <w:between w:val="nil"/>
      </w:pBdr>
      <w:outlineLvl w:val="0"/>
    </w:pPr>
    <w:rPr>
      <w:color w:val="2E74B5"/>
      <w:sz w:val="32"/>
      <w:szCs w:val="32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1"/>
    </w:pPr>
    <w:rPr>
      <w:color w:val="2E74B5"/>
      <w:sz w:val="26"/>
      <w:szCs w:val="2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2"/>
    </w:pPr>
    <w:rPr>
      <w:color w:val="1F4D78"/>
      <w:sz w:val="24"/>
      <w:szCs w:val="24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3"/>
    </w:pPr>
    <w:rPr>
      <w:i/>
      <w:iCs/>
      <w:color w:val="2E74B5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4"/>
    </w:pPr>
    <w:rPr>
      <w:color w:val="2E74B5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pBdr>
        <w:top w:val="nil"/>
        <w:left w:val="nil"/>
        <w:bottom w:val="nil"/>
        <w:right w:val="nil"/>
        <w:between w:val="nil"/>
      </w:pBdr>
    </w:pPr>
    <w:rPr>
      <w:color w:val="000000"/>
      <w:sz w:val="56"/>
      <w:szCs w:val="56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E93EF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93EFD"/>
  </w:style>
  <w:style w:type="paragraph" w:styleId="Stopka">
    <w:name w:val="footer"/>
    <w:basedOn w:val="Normalny"/>
    <w:link w:val="StopkaZnak"/>
    <w:uiPriority w:val="99"/>
    <w:unhideWhenUsed/>
    <w:rsid w:val="00E93EF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93E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nvlpubs.nist.gov/nistpubs/CSWP/NIST.CSWP.29.pdf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1027</Words>
  <Characters>6168</Characters>
  <Application>Microsoft Office Word</Application>
  <DocSecurity>0</DocSecurity>
  <Lines>51</Lines>
  <Paragraphs>14</Paragraphs>
  <ScaleCrop>false</ScaleCrop>
  <Company/>
  <LinksUpToDate>false</LinksUpToDate>
  <CharactersWithSpaces>7181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2026-07-24T07:03:00Z</dcterms:created>
  <dcterms:modified xsi:type="dcterms:W3CDTF">2026-07-24T07:03:00Z</dcterms:modified>
</cp:coreProperties>
</file>