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1975B8" w14:textId="041CBFD8" w:rsidR="00BC4A01" w:rsidRDefault="003954E6">
      <w:pPr>
        <w:pStyle w:val="Tekstpodstawowy"/>
        <w:spacing w:before="5"/>
        <w:jc w:val="left"/>
        <w:rPr>
          <w:rFonts w:ascii="Times New Roman"/>
          <w:sz w:val="21"/>
        </w:rPr>
      </w:pPr>
      <w:r>
        <w:rPr>
          <w:noProof/>
          <w:lang w:eastAsia="pl-PL" w:bidi="ar-SA"/>
        </w:rPr>
        <w:drawing>
          <wp:anchor distT="0" distB="0" distL="0" distR="0" simplePos="0" relativeHeight="251651072" behindDoc="0" locked="0" layoutInCell="1" allowOverlap="1" wp14:anchorId="67D00891" wp14:editId="1457399A">
            <wp:simplePos x="0" y="0"/>
            <wp:positionH relativeFrom="page">
              <wp:posOffset>490220</wp:posOffset>
            </wp:positionH>
            <wp:positionV relativeFrom="paragraph">
              <wp:posOffset>3810</wp:posOffset>
            </wp:positionV>
            <wp:extent cx="2391409" cy="885189"/>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2391409" cy="885189"/>
                    </a:xfrm>
                    <a:prstGeom prst="rect">
                      <a:avLst/>
                    </a:prstGeom>
                  </pic:spPr>
                </pic:pic>
              </a:graphicData>
            </a:graphic>
          </wp:anchor>
        </w:drawing>
      </w:r>
    </w:p>
    <w:p w14:paraId="42C5EDE8" w14:textId="76E1FCCE" w:rsidR="00BC4A01" w:rsidRDefault="00BC4A01">
      <w:pPr>
        <w:pStyle w:val="Tekstpodstawowy"/>
        <w:ind w:left="8311"/>
        <w:jc w:val="left"/>
        <w:rPr>
          <w:rFonts w:ascii="Times New Roman"/>
        </w:rPr>
      </w:pPr>
    </w:p>
    <w:p w14:paraId="3E44C3DC" w14:textId="18279F2C" w:rsidR="00BC4A01" w:rsidRDefault="00BC4A01">
      <w:pPr>
        <w:pStyle w:val="Tekstpodstawowy"/>
        <w:spacing w:before="5"/>
        <w:jc w:val="left"/>
        <w:rPr>
          <w:rFonts w:ascii="Times New Roman"/>
          <w:sz w:val="29"/>
        </w:rPr>
      </w:pPr>
    </w:p>
    <w:p w14:paraId="43120B9D" w14:textId="36C1CC33" w:rsidR="003954E6" w:rsidRDefault="003954E6">
      <w:pPr>
        <w:pStyle w:val="Tekstpodstawowy"/>
        <w:spacing w:before="5"/>
        <w:jc w:val="left"/>
        <w:rPr>
          <w:rFonts w:ascii="Times New Roman"/>
          <w:sz w:val="29"/>
        </w:rPr>
      </w:pPr>
    </w:p>
    <w:p w14:paraId="43C39F03" w14:textId="132F2E0D" w:rsidR="003954E6" w:rsidRDefault="003954E6" w:rsidP="003954E6">
      <w:pPr>
        <w:pStyle w:val="Tekstpodstawowy"/>
        <w:jc w:val="left"/>
        <w:rPr>
          <w:rFonts w:ascii="Times New Roman"/>
          <w:sz w:val="29"/>
        </w:rPr>
      </w:pPr>
      <w:r>
        <w:rPr>
          <w:rFonts w:ascii="Times New Roman"/>
          <w:sz w:val="29"/>
        </w:rPr>
        <w:tab/>
      </w:r>
      <w:r>
        <w:rPr>
          <w:rFonts w:ascii="Times New Roman"/>
          <w:sz w:val="29"/>
        </w:rPr>
        <w:tab/>
      </w:r>
      <w:r>
        <w:rPr>
          <w:rFonts w:ascii="Times New Roman"/>
          <w:sz w:val="29"/>
        </w:rPr>
        <w:tab/>
      </w:r>
      <w:r>
        <w:rPr>
          <w:rFonts w:ascii="Times New Roman"/>
          <w:sz w:val="29"/>
        </w:rPr>
        <w:tab/>
      </w:r>
      <w:r>
        <w:rPr>
          <w:rFonts w:ascii="Times New Roman"/>
          <w:sz w:val="29"/>
        </w:rPr>
        <w:tab/>
      </w:r>
      <w:r>
        <w:rPr>
          <w:rFonts w:ascii="Times New Roman"/>
          <w:sz w:val="29"/>
        </w:rPr>
        <w:tab/>
      </w:r>
      <w:r>
        <w:rPr>
          <w:rFonts w:ascii="Times New Roman"/>
          <w:sz w:val="29"/>
        </w:rPr>
        <w:tab/>
      </w:r>
      <w:r w:rsidRPr="003954E6">
        <w:t>Zestawienie – Kara dożywotniego pozbawienia wolności</w:t>
      </w:r>
    </w:p>
    <w:p w14:paraId="41777909" w14:textId="6A9F8338" w:rsidR="003954E6" w:rsidRDefault="00931B71" w:rsidP="003954E6">
      <w:pPr>
        <w:spacing w:before="100"/>
        <w:ind w:right="170"/>
        <w:jc w:val="right"/>
      </w:pPr>
      <w:r>
        <w:rPr>
          <w:noProof/>
          <w:lang w:eastAsia="pl-PL" w:bidi="ar-SA"/>
        </w:rPr>
        <mc:AlternateContent>
          <mc:Choice Requires="wps">
            <w:drawing>
              <wp:anchor distT="0" distB="0" distL="0" distR="0" simplePos="0" relativeHeight="251652096" behindDoc="1" locked="0" layoutInCell="1" allowOverlap="1" wp14:anchorId="7457CFE9" wp14:editId="559FABEF">
                <wp:simplePos x="0" y="0"/>
                <wp:positionH relativeFrom="page">
                  <wp:posOffset>465455</wp:posOffset>
                </wp:positionH>
                <wp:positionV relativeFrom="paragraph">
                  <wp:posOffset>242570</wp:posOffset>
                </wp:positionV>
                <wp:extent cx="6629400" cy="0"/>
                <wp:effectExtent l="8255" t="10795" r="10795" b="8255"/>
                <wp:wrapTopAndBottom/>
                <wp:docPr id="2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877E85A" id="Line 15"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65pt,19.1pt" to="558.6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" strokecolor="gray">
                <w10:wrap type="topAndBottom" anchorx="page"/>
              </v:line>
            </w:pict>
          </mc:Fallback>
        </mc:AlternateContent>
      </w:r>
    </w:p>
    <w:p w14:paraId="4FCF49C0" w14:textId="68F8779B" w:rsidR="00213410" w:rsidRDefault="003954E6" w:rsidP="002D4778">
      <w:pPr>
        <w:tabs>
          <w:tab w:val="left" w:pos="10206"/>
        </w:tabs>
        <w:spacing w:before="100"/>
        <w:ind w:right="504"/>
        <w:jc w:val="right"/>
        <w:rPr>
          <w:color w:val="EB7E12"/>
          <w:sz w:val="18"/>
        </w:rPr>
      </w:pPr>
      <w:r w:rsidRPr="003954E6">
        <w:rPr>
          <w:sz w:val="8"/>
          <w:szCs w:val="20"/>
        </w:rPr>
        <w:t xml:space="preserve"> </w:t>
      </w:r>
      <w:r w:rsidR="00D64A51">
        <w:rPr>
          <w:color w:val="EB7E12"/>
          <w:sz w:val="18"/>
        </w:rPr>
        <w:t xml:space="preserve"> </w:t>
      </w:r>
      <w:r w:rsidR="00544964">
        <w:rPr>
          <w:color w:val="EB7E12"/>
          <w:sz w:val="18"/>
        </w:rPr>
        <w:t xml:space="preserve">grudzień </w:t>
      </w:r>
      <w:r w:rsidR="00D64A51">
        <w:rPr>
          <w:color w:val="EB7E12"/>
          <w:sz w:val="18"/>
        </w:rPr>
        <w:t xml:space="preserve">2019 </w:t>
      </w:r>
      <w:r w:rsidR="00F07230" w:rsidRPr="003954E6">
        <w:rPr>
          <w:color w:val="EB7E12"/>
          <w:sz w:val="18"/>
        </w:rPr>
        <w:t>r.</w:t>
      </w:r>
    </w:p>
    <w:p w14:paraId="5E4D2CAE" w14:textId="3D003057" w:rsidR="00BC4A01" w:rsidRPr="005600EA" w:rsidRDefault="009C4E11" w:rsidP="002D4778">
      <w:pPr>
        <w:tabs>
          <w:tab w:val="left" w:pos="10206"/>
        </w:tabs>
        <w:ind w:left="1440" w:right="504" w:firstLine="720"/>
        <w:jc w:val="right"/>
        <w:rPr>
          <w:sz w:val="18"/>
        </w:rPr>
      </w:pPr>
      <w:r>
        <w:rPr>
          <w:color w:val="EB7E12"/>
          <w:sz w:val="18"/>
        </w:rPr>
        <w:t>Niniejsze zestawienie nie jest wiążące dla Trybunału</w:t>
      </w:r>
      <w:r w:rsidR="00AC07E3">
        <w:rPr>
          <w:color w:val="EB7E12"/>
          <w:sz w:val="18"/>
        </w:rPr>
        <w:br/>
      </w:r>
      <w:r>
        <w:rPr>
          <w:color w:val="EB7E12"/>
          <w:sz w:val="18"/>
        </w:rPr>
        <w:t xml:space="preserve">i nie ma charakteru </w:t>
      </w:r>
      <w:r w:rsidR="002D4778">
        <w:rPr>
          <w:color w:val="EB7E12"/>
          <w:sz w:val="18"/>
        </w:rPr>
        <w:t>w</w:t>
      </w:r>
      <w:r>
        <w:rPr>
          <w:color w:val="EB7E12"/>
          <w:sz w:val="18"/>
        </w:rPr>
        <w:t>yc</w:t>
      </w:r>
      <w:r w:rsidR="00D329F5">
        <w:rPr>
          <w:color w:val="EB7E12"/>
          <w:sz w:val="18"/>
        </w:rPr>
        <w:t xml:space="preserve">zerpującego </w:t>
      </w:r>
    </w:p>
    <w:p w14:paraId="34AAA931" w14:textId="5B4DF2DD" w:rsidR="00114503" w:rsidRDefault="00114503" w:rsidP="00114503">
      <w:pPr>
        <w:pStyle w:val="Tekstpodstawowy"/>
        <w:spacing w:before="11"/>
        <w:ind w:firstLine="720"/>
        <w:jc w:val="left"/>
        <w:rPr>
          <w:sz w:val="19"/>
        </w:rPr>
      </w:pPr>
    </w:p>
    <w:p w14:paraId="51B7F88F" w14:textId="1252D560" w:rsidR="00BC4A01" w:rsidRDefault="00114503" w:rsidP="00652F12">
      <w:pPr>
        <w:pStyle w:val="Tekstpodstawowy"/>
        <w:spacing w:before="11"/>
        <w:ind w:left="170" w:firstLine="720"/>
        <w:jc w:val="left"/>
        <w:rPr>
          <w:sz w:val="19"/>
        </w:rPr>
      </w:pPr>
      <w:r w:rsidRPr="00E30D65">
        <w:rPr>
          <w:color w:val="F79646" w:themeColor="accent6"/>
          <w:sz w:val="19"/>
        </w:rPr>
        <w:t>Zob</w:t>
      </w:r>
      <w:r w:rsidR="00430D7A">
        <w:rPr>
          <w:color w:val="F79646" w:themeColor="accent6"/>
          <w:sz w:val="19"/>
        </w:rPr>
        <w:t>ac</w:t>
      </w:r>
      <w:r w:rsidRPr="00E30D65">
        <w:rPr>
          <w:color w:val="F79646" w:themeColor="accent6"/>
          <w:sz w:val="19"/>
        </w:rPr>
        <w:t xml:space="preserve">z również zestawienie dotyczące </w:t>
      </w:r>
      <w:r w:rsidRPr="00376FC9">
        <w:rPr>
          <w:color w:val="0070C0"/>
          <w:sz w:val="19"/>
        </w:rPr>
        <w:t>Ekstradycji i kary dożywotniego pozbawienia wolnośc</w:t>
      </w:r>
      <w:r w:rsidR="00E30D65" w:rsidRPr="00376FC9">
        <w:rPr>
          <w:color w:val="0070C0"/>
          <w:sz w:val="19"/>
        </w:rPr>
        <w:t>i</w:t>
      </w:r>
      <w:r w:rsidRPr="00376FC9">
        <w:rPr>
          <w:color w:val="0070C0"/>
          <w:sz w:val="19"/>
        </w:rPr>
        <w:t>.</w:t>
      </w:r>
    </w:p>
    <w:p w14:paraId="305ACDE0" w14:textId="53E476EE" w:rsidR="00363F68" w:rsidRPr="00A77B1B" w:rsidRDefault="00363F68" w:rsidP="0059413E">
      <w:pPr>
        <w:ind w:left="860"/>
        <w:rPr>
          <w:sz w:val="16"/>
          <w:szCs w:val="16"/>
        </w:rPr>
      </w:pPr>
      <w:r w:rsidRPr="00376FC9">
        <w:rPr>
          <w:color w:val="0070C0"/>
          <w:sz w:val="44"/>
          <w:szCs w:val="44"/>
        </w:rPr>
        <w:t>Kara dożywotniego pozbawienia wolnośc</w:t>
      </w:r>
      <w:r w:rsidR="00931B71" w:rsidRPr="00376FC9">
        <w:rPr>
          <w:noProof/>
          <w:color w:val="0070C0"/>
          <w:lang w:eastAsia="pl-PL" w:bidi="ar-SA"/>
        </w:rPr>
        <mc:AlternateContent>
          <mc:Choice Requires="wps">
            <w:drawing>
              <wp:anchor distT="0" distB="0" distL="0" distR="0" simplePos="0" relativeHeight="251654144" behindDoc="1" locked="0" layoutInCell="1" allowOverlap="1" wp14:anchorId="669F90D7" wp14:editId="2EC1158A">
                <wp:simplePos x="0" y="0"/>
                <wp:positionH relativeFrom="page">
                  <wp:posOffset>895985</wp:posOffset>
                </wp:positionH>
                <wp:positionV relativeFrom="paragraph">
                  <wp:posOffset>360045</wp:posOffset>
                </wp:positionV>
                <wp:extent cx="5768340" cy="0"/>
                <wp:effectExtent l="10160" t="18415" r="12700" b="10160"/>
                <wp:wrapTopAndBottom/>
                <wp:docPr id="1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37F0372" id="Line 11"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8.35pt" to="524.7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" strokecolor="#999" strokeweight="1.44pt">
                <w10:wrap type="topAndBottom" anchorx="page"/>
              </v:line>
            </w:pict>
          </mc:Fallback>
        </mc:AlternateContent>
      </w:r>
      <w:r w:rsidR="0059413E" w:rsidRPr="00376FC9">
        <w:rPr>
          <w:color w:val="0070C0"/>
          <w:sz w:val="44"/>
          <w:szCs w:val="44"/>
        </w:rPr>
        <w:t>i</w:t>
      </w:r>
      <w:r w:rsidR="00616929">
        <w:rPr>
          <w:color w:val="0071BB"/>
          <w:sz w:val="44"/>
          <w:szCs w:val="44"/>
        </w:rPr>
        <w:t xml:space="preserve"> </w:t>
      </w:r>
      <w:r w:rsidR="00616929" w:rsidRPr="00A77B1B">
        <w:rPr>
          <w:rStyle w:val="Odwoanieprzypisudolnego"/>
          <w:color w:val="0071BB"/>
          <w:sz w:val="4"/>
          <w:szCs w:val="4"/>
        </w:rPr>
        <w:footnoteReference w:id="1"/>
      </w:r>
    </w:p>
    <w:p w14:paraId="18A6FB44" w14:textId="0D278890" w:rsidR="005F5C64" w:rsidRDefault="005F5C64" w:rsidP="00F7083D">
      <w:pPr>
        <w:pStyle w:val="Tekstpodstawowy"/>
        <w:spacing w:before="9"/>
        <w:jc w:val="left"/>
        <w:rPr>
          <w:i/>
          <w:iCs/>
          <w:color w:val="548DD4" w:themeColor="text2" w:themeTint="99"/>
        </w:rPr>
      </w:pPr>
    </w:p>
    <w:p w14:paraId="7EB37CBF" w14:textId="77777777" w:rsidR="00AC07E3" w:rsidRPr="00D71EB6" w:rsidRDefault="00AC07E3" w:rsidP="00AC07E3">
      <w:pPr>
        <w:pStyle w:val="Tekstpodstawowy"/>
        <w:pBdr>
          <w:top w:val="single" w:sz="4" w:space="1" w:color="auto"/>
          <w:left w:val="single" w:sz="4" w:space="4" w:color="auto"/>
          <w:bottom w:val="single" w:sz="4" w:space="1" w:color="auto"/>
          <w:right w:val="single" w:sz="4" w:space="4" w:color="auto"/>
        </w:pBdr>
        <w:shd w:val="pct5" w:color="auto" w:fill="auto"/>
        <w:spacing w:before="19" w:after="240"/>
        <w:ind w:left="851" w:right="787"/>
      </w:pPr>
      <w:r w:rsidRPr="00D71EB6">
        <w:t xml:space="preserve">"... [W] kontekście dożywotniego pozbawienia wolności, </w:t>
      </w:r>
      <w:r>
        <w:rPr>
          <w:b/>
          <w:bCs/>
        </w:rPr>
        <w:t xml:space="preserve">art. </w:t>
      </w:r>
      <w:r w:rsidRPr="00A31211">
        <w:rPr>
          <w:b/>
          <w:bCs/>
        </w:rPr>
        <w:t>3</w:t>
      </w:r>
      <w:r w:rsidRPr="00114503">
        <w:rPr>
          <w:color w:val="7F7F7F" w:themeColor="text1" w:themeTint="80"/>
        </w:rPr>
        <w:t xml:space="preserve"> </w:t>
      </w:r>
      <w:r>
        <w:rPr>
          <w:color w:val="7F7F7F" w:themeColor="text1" w:themeTint="80"/>
        </w:rPr>
        <w:t>[</w:t>
      </w:r>
      <w:r w:rsidRPr="003D4C80">
        <w:rPr>
          <w:color w:val="0070C0"/>
          <w:u w:val="single"/>
        </w:rPr>
        <w:t>Europejskiej Konwencji Praw Człowieka</w:t>
      </w:r>
      <w:r w:rsidRPr="00D71EB6">
        <w:t>, który zakazuje tortur oraz nieludzkiego lub poniżającego traktowania i</w:t>
      </w:r>
      <w:r w:rsidRPr="00D71EB6">
        <w:rPr>
          <w:sz w:val="18"/>
        </w:rPr>
        <w:t xml:space="preserve"> karania </w:t>
      </w:r>
      <w:r w:rsidRPr="00D71EB6">
        <w:rPr>
          <w:rStyle w:val="Odwoanieprzypisudolnego"/>
        </w:rPr>
        <w:footnoteRef/>
      </w:r>
      <w:r w:rsidRPr="00D71EB6">
        <w:rPr>
          <w:sz w:val="18"/>
        </w:rPr>
        <w:t>]</w:t>
      </w:r>
      <w:r w:rsidRPr="00D71EB6">
        <w:t xml:space="preserve">, musi być interpretowany jako zawierający wymóg redukowalności wymiaru kary, w rozumieniu dokonania oceny umożliwiającej władzom krajowym rozważenie czy w trakcie odbywania kary u osoby skazanej na dożywocie zaszły zmiany, oraz czy na drodze do jej resocjalizacji nastąpiły postępy – na tyle znaczące aby uznać, że dalsza izolacja tej osoby nie może już być uzasadniona uprawnionymi względami penalnymi. </w:t>
      </w:r>
    </w:p>
    <w:p w14:paraId="46C5A7FE" w14:textId="77777777" w:rsidR="00AC07E3" w:rsidRPr="00D71EB6" w:rsidRDefault="00AC07E3" w:rsidP="00AC07E3">
      <w:pPr>
        <w:pStyle w:val="Tekstpodstawowy"/>
        <w:pBdr>
          <w:top w:val="single" w:sz="4" w:space="1" w:color="auto"/>
          <w:left w:val="single" w:sz="4" w:space="4" w:color="auto"/>
          <w:bottom w:val="single" w:sz="4" w:space="1" w:color="auto"/>
          <w:right w:val="single" w:sz="4" w:space="4" w:color="auto"/>
        </w:pBdr>
        <w:shd w:val="pct5" w:color="auto" w:fill="auto"/>
        <w:spacing w:before="19" w:after="240"/>
        <w:ind w:left="851" w:right="787"/>
      </w:pPr>
      <w:r w:rsidRPr="00D71EB6">
        <w:t xml:space="preserve">Jednakże [Europejski] Trybunał [Praw Człowieka] pragnie podkreślić, że – mając na względzie margines swobody decyzji przyznawany Układającym się Stronom w zakresie wymiaru sprawiedliwości w sprawach karnych i wydawania wyroków (...) – jego rolą nie jest określanie formy (wykonawcza czy sądownicza), jaką taka ocena powinna przyjąć. Z tego samego powodu nie jest zadaniem Trybunału określanie terminów dokonywania takiej oceny. Biorąc powyższe pod uwagę (...) przedstawione [Trybunałowi] materiały z zakresu prawa porównawczego i międzynarodowego wykazują wyraźne poparcie dla ustanowienia instytucji specjalnego mechanizmu gwarantującego taką ocenę nie później niż po upływie dwudziestu pięciu lat odbywania kary dożywotniego pozbawienia wolności, a następnie kolejne oceny okresowe (...). </w:t>
      </w:r>
    </w:p>
    <w:p w14:paraId="27CA97D0" w14:textId="77777777" w:rsidR="00AC07E3" w:rsidRPr="00D71EB6" w:rsidRDefault="00AC07E3" w:rsidP="00AC07E3">
      <w:pPr>
        <w:pStyle w:val="Tekstpodstawowy"/>
        <w:pBdr>
          <w:top w:val="single" w:sz="4" w:space="1" w:color="auto"/>
          <w:left w:val="single" w:sz="4" w:space="4" w:color="auto"/>
          <w:bottom w:val="single" w:sz="4" w:space="1" w:color="auto"/>
          <w:right w:val="single" w:sz="4" w:space="4" w:color="auto"/>
        </w:pBdr>
        <w:shd w:val="pct5" w:color="auto" w:fill="auto"/>
        <w:spacing w:before="19" w:after="240"/>
        <w:ind w:left="851" w:right="787"/>
      </w:pPr>
      <w:r w:rsidRPr="00D71EB6">
        <w:t>Z powyższego wynika, że w sytuacji</w:t>
      </w:r>
      <w:r>
        <w:t>,</w:t>
      </w:r>
      <w:r w:rsidRPr="00D71EB6">
        <w:t xml:space="preserve"> gdy prawo krajowe nie przewiduje możliwości dokonania takiej oceny – kara dożywotniego pozbawienia wolności nie spełnia standardów art. 3 Konwencji. </w:t>
      </w:r>
    </w:p>
    <w:p w14:paraId="222EC68E" w14:textId="77777777" w:rsidR="00AC07E3" w:rsidRPr="003954E6" w:rsidRDefault="00AC07E3" w:rsidP="00AC07E3">
      <w:pPr>
        <w:pStyle w:val="Tekstpodstawowy"/>
        <w:pBdr>
          <w:top w:val="single" w:sz="4" w:space="1" w:color="auto"/>
          <w:left w:val="single" w:sz="4" w:space="4" w:color="auto"/>
          <w:bottom w:val="single" w:sz="4" w:space="1" w:color="auto"/>
          <w:right w:val="single" w:sz="4" w:space="4" w:color="auto"/>
        </w:pBdr>
        <w:shd w:val="pct5" w:color="auto" w:fill="auto"/>
        <w:spacing w:before="19" w:after="240"/>
        <w:ind w:left="851" w:right="787"/>
        <w:rPr>
          <w:color w:val="7F7F7F" w:themeColor="text1" w:themeTint="80"/>
        </w:rPr>
      </w:pPr>
      <w:r w:rsidRPr="00D71EB6">
        <w:t xml:space="preserve">... Ponadto, ... osoba skazana na dożywocie ma prawo wiedzieć, przy rozpoczęciu wykonywania kary, co musi zrobić, żeby możliwe stało się rozpatrzenie możliwości jej zwolnienia, włącznie z tym, kiedy zostanie dokonana ocena odbywania przez nią kary lub kiedy o to będzie mogła ubiegać się. Dlatego też w sytuacji, gdy prawo wewnętrzne nie przewiduje żadnego mechanizmu lub możliwości oceny kary dożywotniego pozbawienia wolności, wynikająca stąd niezgodność z art. 3 pojawia się już w chwili wydania wyroku dożywocia, a nie na późniejszym etapie wykonywania kary." </w:t>
      </w:r>
      <w:r w:rsidRPr="00114503">
        <w:rPr>
          <w:color w:val="7F7F7F" w:themeColor="text1" w:themeTint="80"/>
        </w:rPr>
        <w:t>(</w:t>
      </w:r>
      <w:proofErr w:type="spellStart"/>
      <w:r w:rsidRPr="003D4C80">
        <w:rPr>
          <w:i/>
          <w:iCs/>
          <w:color w:val="0070C0"/>
        </w:rPr>
        <w:t>Vinter</w:t>
      </w:r>
      <w:proofErr w:type="spellEnd"/>
      <w:r w:rsidRPr="003D4C80">
        <w:rPr>
          <w:i/>
          <w:iCs/>
          <w:color w:val="0070C0"/>
        </w:rPr>
        <w:t xml:space="preserve"> i Inni przeciwko Zjednoczonemu Królestwu</w:t>
      </w:r>
      <w:r w:rsidRPr="003D4C80">
        <w:rPr>
          <w:color w:val="0070C0"/>
        </w:rPr>
        <w:t>, wyrok (Wielka Izba z dnia 9 lipca 2013 r., pkt. 119-122</w:t>
      </w:r>
      <w:r w:rsidRPr="00114503">
        <w:rPr>
          <w:color w:val="7F7F7F" w:themeColor="text1" w:themeTint="80"/>
        </w:rPr>
        <w:t>).</w:t>
      </w:r>
    </w:p>
    <w:p w14:paraId="7783EDB4" w14:textId="77777777" w:rsidR="00AC07E3" w:rsidRDefault="00AC07E3" w:rsidP="0059413E">
      <w:pPr>
        <w:pStyle w:val="Nagwek2"/>
        <w:rPr>
          <w:color w:val="0070C0"/>
        </w:rPr>
      </w:pPr>
    </w:p>
    <w:p w14:paraId="1B431478" w14:textId="77777777" w:rsidR="00AC07E3" w:rsidRDefault="00AC07E3" w:rsidP="0059413E">
      <w:pPr>
        <w:pStyle w:val="Nagwek2"/>
        <w:rPr>
          <w:color w:val="0070C0"/>
        </w:rPr>
      </w:pPr>
    </w:p>
    <w:p w14:paraId="1F4617F2" w14:textId="042E54CE" w:rsidR="00252941" w:rsidRPr="00376FC9" w:rsidRDefault="0059413E" w:rsidP="0059413E">
      <w:pPr>
        <w:pStyle w:val="Nagwek2"/>
        <w:rPr>
          <w:color w:val="0070C0"/>
        </w:rPr>
      </w:pPr>
      <w:proofErr w:type="spellStart"/>
      <w:r w:rsidRPr="00376FC9">
        <w:rPr>
          <w:color w:val="0070C0"/>
        </w:rPr>
        <w:lastRenderedPageBreak/>
        <w:t>Kafkaris</w:t>
      </w:r>
      <w:proofErr w:type="spellEnd"/>
      <w:r w:rsidRPr="00376FC9">
        <w:rPr>
          <w:color w:val="0070C0"/>
        </w:rPr>
        <w:t xml:space="preserve"> przeciwko Cyprowi </w:t>
      </w:r>
    </w:p>
    <w:p w14:paraId="682B23C2" w14:textId="69963B6C" w:rsidR="0059413E" w:rsidRPr="00F6419B" w:rsidRDefault="00252941" w:rsidP="00252941">
      <w:pPr>
        <w:spacing w:before="63" w:line="218" w:lineRule="exact"/>
        <w:ind w:left="860"/>
      </w:pPr>
      <w:r>
        <w:rPr>
          <w:color w:val="808080"/>
          <w:sz w:val="18"/>
        </w:rPr>
        <w:t xml:space="preserve">12 lutego 2008 r. (Wielka Izba – wyrok) </w:t>
      </w:r>
    </w:p>
    <w:p w14:paraId="39039210" w14:textId="07D93346" w:rsidR="00F6419B" w:rsidRDefault="0059413E" w:rsidP="00AD78C2">
      <w:pPr>
        <w:pStyle w:val="Nagwek2"/>
        <w:spacing w:before="120"/>
        <w:ind w:left="850" w:right="567"/>
        <w:rPr>
          <w:b w:val="0"/>
          <w:bCs w:val="0"/>
          <w:u w:val="none"/>
        </w:rPr>
      </w:pPr>
      <w:r w:rsidRPr="00F6419B">
        <w:rPr>
          <w:b w:val="0"/>
          <w:bCs w:val="0"/>
          <w:u w:val="none"/>
        </w:rPr>
        <w:t xml:space="preserve">Skarżący, który został </w:t>
      </w:r>
      <w:r w:rsidR="00F62C1A">
        <w:rPr>
          <w:b w:val="0"/>
          <w:bCs w:val="0"/>
          <w:u w:val="none"/>
        </w:rPr>
        <w:t xml:space="preserve">uznany za winnego </w:t>
      </w:r>
      <w:r w:rsidRPr="00F6419B">
        <w:rPr>
          <w:b w:val="0"/>
          <w:bCs w:val="0"/>
          <w:u w:val="none"/>
        </w:rPr>
        <w:t>tr</w:t>
      </w:r>
      <w:r w:rsidR="001E52F4">
        <w:rPr>
          <w:b w:val="0"/>
          <w:bCs w:val="0"/>
          <w:u w:val="none"/>
        </w:rPr>
        <w:t>z</w:t>
      </w:r>
      <w:r w:rsidR="00F62C1A">
        <w:rPr>
          <w:b w:val="0"/>
          <w:bCs w:val="0"/>
          <w:u w:val="none"/>
        </w:rPr>
        <w:t xml:space="preserve">ech </w:t>
      </w:r>
      <w:r w:rsidRPr="00F6419B">
        <w:rPr>
          <w:b w:val="0"/>
          <w:bCs w:val="0"/>
          <w:u w:val="none"/>
        </w:rPr>
        <w:t>zabójstw</w:t>
      </w:r>
      <w:r w:rsidR="00F62C1A">
        <w:rPr>
          <w:b w:val="0"/>
          <w:bCs w:val="0"/>
          <w:u w:val="none"/>
        </w:rPr>
        <w:t xml:space="preserve"> z premedytacją</w:t>
      </w:r>
      <w:r w:rsidRPr="00F6419B">
        <w:rPr>
          <w:b w:val="0"/>
          <w:bCs w:val="0"/>
          <w:u w:val="none"/>
        </w:rPr>
        <w:t xml:space="preserve">, </w:t>
      </w:r>
      <w:r w:rsidR="000852EE">
        <w:rPr>
          <w:b w:val="0"/>
          <w:bCs w:val="0"/>
          <w:u w:val="none"/>
        </w:rPr>
        <w:t xml:space="preserve">zaskarżył jego </w:t>
      </w:r>
      <w:r w:rsidRPr="00F6419B">
        <w:rPr>
          <w:b w:val="0"/>
          <w:bCs w:val="0"/>
          <w:u w:val="none"/>
        </w:rPr>
        <w:t xml:space="preserve">skazanie na karę dożywotniego pozbawienia wolności i trwającą izolację. W szczególności </w:t>
      </w:r>
      <w:r w:rsidR="00F62C1A">
        <w:rPr>
          <w:b w:val="0"/>
          <w:bCs w:val="0"/>
          <w:u w:val="none"/>
        </w:rPr>
        <w:t>twierdził</w:t>
      </w:r>
      <w:r w:rsidRPr="00F6419B">
        <w:rPr>
          <w:b w:val="0"/>
          <w:bCs w:val="0"/>
          <w:u w:val="none"/>
        </w:rPr>
        <w:t>, że obligatoryjn</w:t>
      </w:r>
      <w:r w:rsidR="000852EE">
        <w:rPr>
          <w:b w:val="0"/>
          <w:bCs w:val="0"/>
          <w:u w:val="none"/>
        </w:rPr>
        <w:t xml:space="preserve">a kara </w:t>
      </w:r>
      <w:r w:rsidRPr="00F6419B">
        <w:rPr>
          <w:b w:val="0"/>
          <w:bCs w:val="0"/>
          <w:u w:val="none"/>
        </w:rPr>
        <w:t>dożywoci</w:t>
      </w:r>
      <w:r w:rsidR="000852EE">
        <w:rPr>
          <w:b w:val="0"/>
          <w:bCs w:val="0"/>
          <w:u w:val="none"/>
        </w:rPr>
        <w:t xml:space="preserve">a </w:t>
      </w:r>
      <w:r w:rsidRPr="00F6419B">
        <w:rPr>
          <w:b w:val="0"/>
          <w:bCs w:val="0"/>
          <w:u w:val="none"/>
        </w:rPr>
        <w:t>stanowił</w:t>
      </w:r>
      <w:r w:rsidR="000852EE">
        <w:rPr>
          <w:b w:val="0"/>
          <w:bCs w:val="0"/>
          <w:u w:val="none"/>
        </w:rPr>
        <w:t xml:space="preserve">a </w:t>
      </w:r>
      <w:r w:rsidRPr="00F6419B">
        <w:rPr>
          <w:b w:val="0"/>
          <w:bCs w:val="0"/>
          <w:u w:val="none"/>
        </w:rPr>
        <w:t xml:space="preserve">nieredukowalny okres pozbawienia wolności. </w:t>
      </w:r>
      <w:r w:rsidR="00247B0C">
        <w:rPr>
          <w:b w:val="0"/>
          <w:bCs w:val="0"/>
          <w:u w:val="none"/>
        </w:rPr>
        <w:t xml:space="preserve">Wskazał </w:t>
      </w:r>
      <w:r w:rsidRPr="00F6419B">
        <w:rPr>
          <w:b w:val="0"/>
          <w:bCs w:val="0"/>
          <w:u w:val="none"/>
        </w:rPr>
        <w:t xml:space="preserve">również, że trwająca izolacja, przekraczająca w jego przypadku ustaloną przez władze więzienia datę zwolnienia, była </w:t>
      </w:r>
      <w:r w:rsidR="00DE42FD">
        <w:rPr>
          <w:b w:val="0"/>
          <w:bCs w:val="0"/>
          <w:u w:val="none"/>
        </w:rPr>
        <w:t xml:space="preserve">bezprawna </w:t>
      </w:r>
      <w:r w:rsidR="00247B0C">
        <w:rPr>
          <w:b w:val="0"/>
          <w:bCs w:val="0"/>
          <w:u w:val="none"/>
        </w:rPr>
        <w:t xml:space="preserve">i </w:t>
      </w:r>
      <w:r w:rsidRPr="00F6419B">
        <w:rPr>
          <w:b w:val="0"/>
          <w:bCs w:val="0"/>
          <w:u w:val="none"/>
        </w:rPr>
        <w:t>pozostawił</w:t>
      </w:r>
      <w:r w:rsidR="00DE42FD">
        <w:rPr>
          <w:b w:val="0"/>
          <w:bCs w:val="0"/>
          <w:u w:val="none"/>
        </w:rPr>
        <w:t xml:space="preserve">a </w:t>
      </w:r>
      <w:r w:rsidRPr="00F6419B">
        <w:rPr>
          <w:b w:val="0"/>
          <w:bCs w:val="0"/>
          <w:u w:val="none"/>
        </w:rPr>
        <w:t>go w długotrwałym stanie cierpienia i niepewności co do własnej przyszłości.</w:t>
      </w:r>
    </w:p>
    <w:p w14:paraId="573C8A4F" w14:textId="6D141336" w:rsidR="00BC1685" w:rsidRPr="00376FC9" w:rsidRDefault="0059413E" w:rsidP="00BC1685">
      <w:pPr>
        <w:pStyle w:val="Nagwek2"/>
        <w:spacing w:before="0" w:after="100" w:afterAutospacing="1"/>
        <w:ind w:left="850" w:right="567"/>
        <w:rPr>
          <w:b w:val="0"/>
          <w:bCs w:val="0"/>
          <w:color w:val="0070C0"/>
          <w:u w:val="none"/>
        </w:rPr>
      </w:pPr>
      <w:r w:rsidRPr="00376FC9">
        <w:rPr>
          <w:b w:val="0"/>
          <w:bCs w:val="0"/>
          <w:color w:val="0070C0"/>
          <w:u w:val="none"/>
        </w:rPr>
        <w:t xml:space="preserve">Europejski Trybunał Praw Człowieka uznał, że </w:t>
      </w:r>
      <w:r w:rsidRPr="003F0F25">
        <w:rPr>
          <w:color w:val="0070C0"/>
          <w:u w:val="none"/>
        </w:rPr>
        <w:t xml:space="preserve">nie doszło do naruszenia </w:t>
      </w:r>
      <w:r w:rsidR="000949F2">
        <w:rPr>
          <w:color w:val="0070C0"/>
          <w:u w:val="none"/>
        </w:rPr>
        <w:t xml:space="preserve">art. </w:t>
      </w:r>
      <w:r w:rsidRPr="003F0F25">
        <w:rPr>
          <w:color w:val="0070C0"/>
          <w:u w:val="none"/>
        </w:rPr>
        <w:t>3 Konwencji</w:t>
      </w:r>
      <w:r w:rsidRPr="00376FC9">
        <w:rPr>
          <w:b w:val="0"/>
          <w:bCs w:val="0"/>
          <w:color w:val="0070C0"/>
          <w:u w:val="none"/>
        </w:rPr>
        <w:t xml:space="preserve">. Odnośnie długości okresu pozbawienia wolności, choć szansa na zwolnienie więźniów odbywających karę dożywocia na Cyprze jest ograniczona, nie oznacza to, że kara dożywotniego pozbawienia wolności jest na Cyprze nieredukowalna i pozbawiona możliwości przedterminowego zwolnienia. Wręcz przeciwnie, kary takie były redukowalne zarówno de iure oraz de facto. </w:t>
      </w:r>
      <w:r w:rsidR="0080388E" w:rsidRPr="00376FC9">
        <w:rPr>
          <w:b w:val="0"/>
          <w:bCs w:val="0"/>
          <w:color w:val="0070C0"/>
          <w:u w:val="none"/>
        </w:rPr>
        <w:t xml:space="preserve">Wielu </w:t>
      </w:r>
      <w:r w:rsidR="004F13D3" w:rsidRPr="00376FC9">
        <w:rPr>
          <w:b w:val="0"/>
          <w:bCs w:val="0"/>
          <w:color w:val="0070C0"/>
          <w:u w:val="none"/>
        </w:rPr>
        <w:t xml:space="preserve">skazanych </w:t>
      </w:r>
      <w:r w:rsidR="0080388E" w:rsidRPr="00376FC9">
        <w:rPr>
          <w:b w:val="0"/>
          <w:bCs w:val="0"/>
          <w:color w:val="0070C0"/>
          <w:u w:val="none"/>
        </w:rPr>
        <w:t>odbywających obowiązkowe</w:t>
      </w:r>
      <w:r w:rsidR="00604494" w:rsidRPr="00376FC9">
        <w:rPr>
          <w:b w:val="0"/>
          <w:bCs w:val="0"/>
          <w:color w:val="0070C0"/>
          <w:u w:val="none"/>
        </w:rPr>
        <w:t xml:space="preserve"> kary </w:t>
      </w:r>
      <w:r w:rsidR="0080388E" w:rsidRPr="00376FC9">
        <w:rPr>
          <w:b w:val="0"/>
          <w:bCs w:val="0"/>
          <w:color w:val="0070C0"/>
          <w:u w:val="none"/>
        </w:rPr>
        <w:t xml:space="preserve">dożywocia zostało </w:t>
      </w:r>
      <w:r w:rsidR="00604494" w:rsidRPr="00376FC9">
        <w:rPr>
          <w:b w:val="0"/>
          <w:bCs w:val="0"/>
          <w:color w:val="0070C0"/>
          <w:u w:val="none"/>
        </w:rPr>
        <w:t xml:space="preserve">przedterminowo </w:t>
      </w:r>
      <w:r w:rsidR="0080388E" w:rsidRPr="00376FC9">
        <w:rPr>
          <w:b w:val="0"/>
          <w:bCs w:val="0"/>
          <w:color w:val="0070C0"/>
          <w:u w:val="none"/>
        </w:rPr>
        <w:t xml:space="preserve">zwolnionych </w:t>
      </w:r>
      <w:r w:rsidR="00604494" w:rsidRPr="00376FC9">
        <w:rPr>
          <w:b w:val="0"/>
          <w:bCs w:val="0"/>
          <w:color w:val="0070C0"/>
          <w:u w:val="none"/>
        </w:rPr>
        <w:t xml:space="preserve">w ramach konstytucyjnych uprawnień Prezydenta </w:t>
      </w:r>
      <w:r w:rsidR="0080388E" w:rsidRPr="00376FC9">
        <w:rPr>
          <w:b w:val="0"/>
          <w:bCs w:val="0"/>
          <w:color w:val="0070C0"/>
          <w:u w:val="none"/>
        </w:rPr>
        <w:t xml:space="preserve">i </w:t>
      </w:r>
      <w:r w:rsidR="00435FB9" w:rsidRPr="00376FC9">
        <w:rPr>
          <w:b w:val="0"/>
          <w:bCs w:val="0"/>
          <w:color w:val="0070C0"/>
          <w:u w:val="none"/>
        </w:rPr>
        <w:t xml:space="preserve">skazani na </w:t>
      </w:r>
      <w:r w:rsidR="0080388E" w:rsidRPr="00376FC9">
        <w:rPr>
          <w:b w:val="0"/>
          <w:bCs w:val="0"/>
          <w:color w:val="0070C0"/>
          <w:u w:val="none"/>
        </w:rPr>
        <w:t>dożyw</w:t>
      </w:r>
      <w:r w:rsidR="00435FB9" w:rsidRPr="00376FC9">
        <w:rPr>
          <w:b w:val="0"/>
          <w:bCs w:val="0"/>
          <w:color w:val="0070C0"/>
          <w:u w:val="none"/>
        </w:rPr>
        <w:t xml:space="preserve">ocie </w:t>
      </w:r>
      <w:r w:rsidR="0080388E" w:rsidRPr="00376FC9">
        <w:rPr>
          <w:b w:val="0"/>
          <w:bCs w:val="0"/>
          <w:color w:val="0070C0"/>
          <w:u w:val="none"/>
        </w:rPr>
        <w:t xml:space="preserve">w każdej chwili </w:t>
      </w:r>
      <w:r w:rsidR="00126F85" w:rsidRPr="00376FC9">
        <w:rPr>
          <w:b w:val="0"/>
          <w:bCs w:val="0"/>
          <w:color w:val="0070C0"/>
          <w:u w:val="none"/>
        </w:rPr>
        <w:t xml:space="preserve">mogli </w:t>
      </w:r>
      <w:r w:rsidR="0080388E" w:rsidRPr="00376FC9">
        <w:rPr>
          <w:b w:val="0"/>
          <w:bCs w:val="0"/>
          <w:color w:val="0070C0"/>
          <w:u w:val="none"/>
        </w:rPr>
        <w:t>skorzystać z odpowiednich przepisów, bez konieczności odby</w:t>
      </w:r>
      <w:r w:rsidR="00E63DF0" w:rsidRPr="00376FC9">
        <w:rPr>
          <w:b w:val="0"/>
          <w:bCs w:val="0"/>
          <w:color w:val="0070C0"/>
          <w:u w:val="none"/>
        </w:rPr>
        <w:t xml:space="preserve">wania </w:t>
      </w:r>
      <w:r w:rsidR="0080388E" w:rsidRPr="00376FC9">
        <w:rPr>
          <w:b w:val="0"/>
          <w:bCs w:val="0"/>
          <w:color w:val="0070C0"/>
          <w:u w:val="none"/>
        </w:rPr>
        <w:t xml:space="preserve">minimalnego okresu pozbawienia wolności. W związku z tym, </w:t>
      </w:r>
      <w:r w:rsidR="00E63DF0" w:rsidRPr="00376FC9">
        <w:rPr>
          <w:b w:val="0"/>
          <w:bCs w:val="0"/>
          <w:color w:val="0070C0"/>
          <w:u w:val="none"/>
        </w:rPr>
        <w:t>choć istniejącej procedurze istniały uchybienia</w:t>
      </w:r>
      <w:r w:rsidR="00103F95" w:rsidRPr="00376FC9">
        <w:rPr>
          <w:b w:val="0"/>
          <w:bCs w:val="0"/>
          <w:color w:val="0070C0"/>
          <w:u w:val="none"/>
        </w:rPr>
        <w:t>, a reformy</w:t>
      </w:r>
      <w:r w:rsidR="005E2716" w:rsidRPr="00376FC9">
        <w:rPr>
          <w:b w:val="0"/>
          <w:bCs w:val="0"/>
          <w:color w:val="0070C0"/>
          <w:u w:val="none"/>
        </w:rPr>
        <w:t xml:space="preserve"> były w toku </w:t>
      </w:r>
      <w:r w:rsidR="00126F85" w:rsidRPr="00376FC9">
        <w:rPr>
          <w:b w:val="0"/>
          <w:bCs w:val="0"/>
          <w:color w:val="0070C0"/>
          <w:u w:val="none"/>
        </w:rPr>
        <w:t xml:space="preserve">skarżący </w:t>
      </w:r>
      <w:r w:rsidR="0080388E" w:rsidRPr="00376FC9">
        <w:rPr>
          <w:b w:val="0"/>
          <w:bCs w:val="0"/>
          <w:color w:val="0070C0"/>
          <w:u w:val="none"/>
        </w:rPr>
        <w:t>nie m</w:t>
      </w:r>
      <w:r w:rsidR="005E2716" w:rsidRPr="00376FC9">
        <w:rPr>
          <w:b w:val="0"/>
          <w:bCs w:val="0"/>
          <w:color w:val="0070C0"/>
          <w:u w:val="none"/>
        </w:rPr>
        <w:t xml:space="preserve">iał </w:t>
      </w:r>
      <w:r w:rsidR="00D456C0" w:rsidRPr="00376FC9">
        <w:rPr>
          <w:b w:val="0"/>
          <w:bCs w:val="0"/>
          <w:color w:val="0070C0"/>
          <w:u w:val="none"/>
        </w:rPr>
        <w:t xml:space="preserve">podstaw do twierdzenia, że został pozbawiony </w:t>
      </w:r>
      <w:r w:rsidR="0080388E" w:rsidRPr="00376FC9">
        <w:rPr>
          <w:b w:val="0"/>
          <w:bCs w:val="0"/>
          <w:color w:val="0070C0"/>
          <w:u w:val="none"/>
        </w:rPr>
        <w:t>jaki</w:t>
      </w:r>
      <w:r w:rsidR="002421AD" w:rsidRPr="00376FC9">
        <w:rPr>
          <w:b w:val="0"/>
          <w:bCs w:val="0"/>
          <w:color w:val="0070C0"/>
          <w:u w:val="none"/>
        </w:rPr>
        <w:t xml:space="preserve">ejkolwiek </w:t>
      </w:r>
      <w:r w:rsidR="0080388E" w:rsidRPr="00376FC9">
        <w:rPr>
          <w:b w:val="0"/>
          <w:bCs w:val="0"/>
          <w:color w:val="0070C0"/>
          <w:u w:val="none"/>
        </w:rPr>
        <w:t xml:space="preserve">perspektyw </w:t>
      </w:r>
      <w:r w:rsidR="00D456C0" w:rsidRPr="00376FC9">
        <w:rPr>
          <w:b w:val="0"/>
          <w:bCs w:val="0"/>
          <w:color w:val="0070C0"/>
          <w:u w:val="none"/>
        </w:rPr>
        <w:t>zwolnieni</w:t>
      </w:r>
      <w:r w:rsidR="00AD78C2" w:rsidRPr="00376FC9">
        <w:rPr>
          <w:b w:val="0"/>
          <w:bCs w:val="0"/>
          <w:color w:val="0070C0"/>
          <w:u w:val="none"/>
        </w:rPr>
        <w:t>a</w:t>
      </w:r>
      <w:r w:rsidR="00D456C0" w:rsidRPr="00376FC9">
        <w:rPr>
          <w:b w:val="0"/>
          <w:bCs w:val="0"/>
          <w:color w:val="0070C0"/>
          <w:u w:val="none"/>
        </w:rPr>
        <w:t xml:space="preserve"> </w:t>
      </w:r>
      <w:r w:rsidR="0080388E" w:rsidRPr="00376FC9">
        <w:rPr>
          <w:b w:val="0"/>
          <w:bCs w:val="0"/>
          <w:color w:val="0070C0"/>
          <w:u w:val="none"/>
        </w:rPr>
        <w:t>lub że jego dalsz</w:t>
      </w:r>
      <w:r w:rsidR="00D456C0" w:rsidRPr="00376FC9">
        <w:rPr>
          <w:b w:val="0"/>
          <w:bCs w:val="0"/>
          <w:color w:val="0070C0"/>
          <w:u w:val="none"/>
        </w:rPr>
        <w:t xml:space="preserve">a izolacja </w:t>
      </w:r>
      <w:r w:rsidR="0080388E" w:rsidRPr="00376FC9">
        <w:rPr>
          <w:b w:val="0"/>
          <w:bCs w:val="0"/>
          <w:color w:val="0070C0"/>
          <w:u w:val="none"/>
        </w:rPr>
        <w:t>- choć dług</w:t>
      </w:r>
      <w:r w:rsidR="005E42B4" w:rsidRPr="00376FC9">
        <w:rPr>
          <w:b w:val="0"/>
          <w:bCs w:val="0"/>
          <w:color w:val="0070C0"/>
          <w:u w:val="none"/>
        </w:rPr>
        <w:t xml:space="preserve">a </w:t>
      </w:r>
      <w:r w:rsidR="0080388E" w:rsidRPr="00376FC9">
        <w:rPr>
          <w:b w:val="0"/>
          <w:bCs w:val="0"/>
          <w:color w:val="0070C0"/>
          <w:u w:val="none"/>
        </w:rPr>
        <w:t>- stanowił</w:t>
      </w:r>
      <w:r w:rsidR="005E42B4" w:rsidRPr="00376FC9">
        <w:rPr>
          <w:b w:val="0"/>
          <w:bCs w:val="0"/>
          <w:color w:val="0070C0"/>
          <w:u w:val="none"/>
        </w:rPr>
        <w:t>a</w:t>
      </w:r>
      <w:r w:rsidR="0080388E" w:rsidRPr="00376FC9">
        <w:rPr>
          <w:b w:val="0"/>
          <w:bCs w:val="0"/>
          <w:color w:val="0070C0"/>
          <w:u w:val="none"/>
        </w:rPr>
        <w:t xml:space="preserve"> nieludzkie lub poniżające traktowanie. </w:t>
      </w:r>
    </w:p>
    <w:p w14:paraId="4F8B1C0B" w14:textId="74E50C07" w:rsidR="003D4C80" w:rsidRDefault="0059413E" w:rsidP="003D4C80">
      <w:pPr>
        <w:pStyle w:val="Nagwek2"/>
        <w:spacing w:before="0" w:after="100" w:afterAutospacing="1"/>
        <w:ind w:left="850" w:right="567"/>
        <w:rPr>
          <w:b w:val="0"/>
          <w:bCs w:val="0"/>
          <w:u w:val="none"/>
        </w:rPr>
      </w:pPr>
      <w:r w:rsidRPr="003D4C80">
        <w:rPr>
          <w:b w:val="0"/>
          <w:bCs w:val="0"/>
          <w:u w:val="none"/>
        </w:rPr>
        <w:t xml:space="preserve">Zobacz również: </w:t>
      </w:r>
      <w:r w:rsidRPr="00EE132F">
        <w:rPr>
          <w:i/>
          <w:iCs/>
          <w:color w:val="0070C0"/>
        </w:rPr>
        <w:t>Kafkaris przeciwko Cyprowi</w:t>
      </w:r>
      <w:r w:rsidRPr="003D4C80">
        <w:rPr>
          <w:b w:val="0"/>
          <w:bCs w:val="0"/>
          <w:u w:val="none"/>
        </w:rPr>
        <w:t xml:space="preserve">, decyzja w sprawie dopuszczalności z dnia </w:t>
      </w:r>
      <w:r w:rsidR="003160D7">
        <w:rPr>
          <w:b w:val="0"/>
          <w:bCs w:val="0"/>
          <w:u w:val="none"/>
        </w:rPr>
        <w:br/>
      </w:r>
      <w:r w:rsidRPr="003D4C80">
        <w:rPr>
          <w:b w:val="0"/>
          <w:bCs w:val="0"/>
          <w:u w:val="none"/>
        </w:rPr>
        <w:t xml:space="preserve">21 lipca 2011 </w:t>
      </w:r>
      <w:r w:rsidR="003160D7">
        <w:rPr>
          <w:b w:val="0"/>
          <w:bCs w:val="0"/>
          <w:u w:val="none"/>
        </w:rPr>
        <w:t>r.</w:t>
      </w:r>
      <w:r w:rsidRPr="003D4C80">
        <w:rPr>
          <w:b w:val="0"/>
          <w:bCs w:val="0"/>
          <w:u w:val="none"/>
        </w:rPr>
        <w:t>(uznająca skargę za niedopuszczalną, ponieważ była zasadniczo taka sama, jak poprzednia);</w:t>
      </w:r>
      <w:r w:rsidRPr="00376FC9">
        <w:t xml:space="preserve"> </w:t>
      </w:r>
      <w:r w:rsidRPr="00376FC9">
        <w:rPr>
          <w:i/>
          <w:iCs/>
          <w:color w:val="0070C0"/>
        </w:rPr>
        <w:t>Lynch i Whelan przeciwko Irlandii</w:t>
      </w:r>
      <w:r w:rsidRPr="003D4C80">
        <w:rPr>
          <w:b w:val="0"/>
          <w:bCs w:val="0"/>
          <w:u w:val="none"/>
        </w:rPr>
        <w:t>, decyzja w sprawie dopuszczalności z dnia 18 czerwca 2013 r.</w:t>
      </w:r>
    </w:p>
    <w:p w14:paraId="0591F8FD" w14:textId="77777777" w:rsidR="003D4C80" w:rsidRPr="00A80FD2" w:rsidRDefault="0059413E" w:rsidP="003D4C80">
      <w:pPr>
        <w:pStyle w:val="Nagwek2"/>
        <w:spacing w:before="0"/>
        <w:ind w:left="850" w:right="567"/>
        <w:rPr>
          <w:color w:val="0070C0"/>
        </w:rPr>
      </w:pPr>
      <w:r w:rsidRPr="00A80FD2">
        <w:rPr>
          <w:color w:val="0070C0"/>
        </w:rPr>
        <w:t>Garaqin przeciwko Włochom</w:t>
      </w:r>
    </w:p>
    <w:p w14:paraId="63836AC4" w14:textId="63A831C8" w:rsidR="003D4C80" w:rsidRPr="003D4C80" w:rsidRDefault="003D4C80" w:rsidP="000C68F1">
      <w:pPr>
        <w:pStyle w:val="Nagwek2"/>
        <w:spacing w:before="0"/>
        <w:ind w:left="850" w:right="567"/>
        <w:rPr>
          <w:b w:val="0"/>
          <w:bCs w:val="0"/>
          <w:sz w:val="18"/>
          <w:szCs w:val="18"/>
          <w:u w:val="none"/>
        </w:rPr>
      </w:pPr>
      <w:r w:rsidRPr="003160D7">
        <w:rPr>
          <w:b w:val="0"/>
          <w:bCs w:val="0"/>
          <w:i/>
          <w:iCs/>
          <w:color w:val="808080"/>
          <w:sz w:val="18"/>
          <w:szCs w:val="18"/>
          <w:u w:val="none"/>
        </w:rPr>
        <w:t>2</w:t>
      </w:r>
      <w:r w:rsidR="00710646">
        <w:rPr>
          <w:b w:val="0"/>
          <w:bCs w:val="0"/>
          <w:color w:val="808080"/>
          <w:sz w:val="18"/>
          <w:szCs w:val="18"/>
          <w:u w:val="none"/>
        </w:rPr>
        <w:t xml:space="preserve">8 kwietnia </w:t>
      </w:r>
      <w:r w:rsidRPr="003D4C80">
        <w:rPr>
          <w:b w:val="0"/>
          <w:bCs w:val="0"/>
          <w:color w:val="808080"/>
          <w:sz w:val="18"/>
          <w:szCs w:val="18"/>
          <w:u w:val="none"/>
        </w:rPr>
        <w:t>2008 r. (</w:t>
      </w:r>
      <w:r w:rsidR="00710646">
        <w:rPr>
          <w:b w:val="0"/>
          <w:bCs w:val="0"/>
          <w:color w:val="808080"/>
          <w:sz w:val="18"/>
          <w:szCs w:val="18"/>
          <w:u w:val="none"/>
        </w:rPr>
        <w:t>decyzja w sprawie dopuszczalności</w:t>
      </w:r>
      <w:r w:rsidRPr="003D4C80">
        <w:rPr>
          <w:b w:val="0"/>
          <w:bCs w:val="0"/>
          <w:color w:val="808080"/>
          <w:sz w:val="18"/>
          <w:szCs w:val="18"/>
          <w:u w:val="none"/>
        </w:rPr>
        <w:t>)</w:t>
      </w:r>
    </w:p>
    <w:p w14:paraId="0975C1B1" w14:textId="40DB687B" w:rsidR="000C68F1" w:rsidRDefault="0059413E" w:rsidP="000C68F1">
      <w:pPr>
        <w:pStyle w:val="Nagwek2"/>
        <w:spacing w:before="0"/>
        <w:ind w:left="850" w:right="567"/>
        <w:rPr>
          <w:b w:val="0"/>
          <w:bCs w:val="0"/>
          <w:u w:val="none"/>
        </w:rPr>
      </w:pPr>
      <w:r w:rsidRPr="003D4C80">
        <w:rPr>
          <w:b w:val="0"/>
          <w:bCs w:val="0"/>
          <w:u w:val="none"/>
        </w:rPr>
        <w:t xml:space="preserve">Skarżący został skazany przez dwa różne sądy włoskie w 1995 </w:t>
      </w:r>
      <w:r w:rsidR="003160D7">
        <w:rPr>
          <w:b w:val="0"/>
          <w:bCs w:val="0"/>
          <w:u w:val="none"/>
        </w:rPr>
        <w:t xml:space="preserve">r. </w:t>
      </w:r>
      <w:r w:rsidRPr="003D4C80">
        <w:rPr>
          <w:b w:val="0"/>
          <w:bCs w:val="0"/>
          <w:u w:val="none"/>
        </w:rPr>
        <w:t xml:space="preserve">i </w:t>
      </w:r>
      <w:r w:rsidR="00A978DE">
        <w:rPr>
          <w:b w:val="0"/>
          <w:bCs w:val="0"/>
          <w:u w:val="none"/>
        </w:rPr>
        <w:t xml:space="preserve">w </w:t>
      </w:r>
      <w:r w:rsidR="009F4492">
        <w:rPr>
          <w:b w:val="0"/>
          <w:bCs w:val="0"/>
          <w:u w:val="none"/>
        </w:rPr>
        <w:t>1</w:t>
      </w:r>
      <w:r w:rsidRPr="003D4C80">
        <w:rPr>
          <w:b w:val="0"/>
          <w:bCs w:val="0"/>
          <w:u w:val="none"/>
        </w:rPr>
        <w:t>997</w:t>
      </w:r>
      <w:r w:rsidR="009F4492">
        <w:rPr>
          <w:b w:val="0"/>
          <w:bCs w:val="0"/>
          <w:u w:val="none"/>
        </w:rPr>
        <w:t xml:space="preserve"> r</w:t>
      </w:r>
      <w:r w:rsidR="003160D7">
        <w:rPr>
          <w:b w:val="0"/>
          <w:bCs w:val="0"/>
          <w:u w:val="none"/>
        </w:rPr>
        <w:t xml:space="preserve">. </w:t>
      </w:r>
      <w:r w:rsidRPr="003D4C80">
        <w:rPr>
          <w:b w:val="0"/>
          <w:bCs w:val="0"/>
          <w:u w:val="none"/>
        </w:rPr>
        <w:t>na 28 i 30 lat pozbawienia wolności. Może spodziewać się zwolnienia w marcu 2021 r</w:t>
      </w:r>
      <w:r w:rsidR="00A978DE">
        <w:rPr>
          <w:b w:val="0"/>
          <w:bCs w:val="0"/>
          <w:u w:val="none"/>
        </w:rPr>
        <w:t>.</w:t>
      </w:r>
      <w:r w:rsidRPr="003D4C80">
        <w:rPr>
          <w:b w:val="0"/>
          <w:bCs w:val="0"/>
          <w:u w:val="none"/>
        </w:rPr>
        <w:t xml:space="preserve"> lub wcześniej </w:t>
      </w:r>
      <w:r w:rsidR="00710646">
        <w:rPr>
          <w:b w:val="0"/>
          <w:bCs w:val="0"/>
          <w:u w:val="none"/>
        </w:rPr>
        <w:br/>
      </w:r>
      <w:r w:rsidRPr="003D4C80">
        <w:rPr>
          <w:b w:val="0"/>
          <w:bCs w:val="0"/>
          <w:u w:val="none"/>
        </w:rPr>
        <w:t>w przypadku darowania kary. Jednakże, w 2006 r</w:t>
      </w:r>
      <w:r w:rsidR="00A978DE">
        <w:rPr>
          <w:b w:val="0"/>
          <w:bCs w:val="0"/>
          <w:u w:val="none"/>
        </w:rPr>
        <w:t xml:space="preserve">. </w:t>
      </w:r>
      <w:r w:rsidRPr="003D4C80">
        <w:rPr>
          <w:b w:val="0"/>
          <w:bCs w:val="0"/>
          <w:u w:val="none"/>
        </w:rPr>
        <w:t xml:space="preserve">Sesyjny Sąd Apelacyjny w Rzymie, powołując się na orzecznictwo Sądu Kasacyjnego, zadecydował, że skarżący powinien odbyć karę dożywotniego pozbawienia wolności. </w:t>
      </w:r>
    </w:p>
    <w:p w14:paraId="32E2EAD5" w14:textId="10628D64" w:rsidR="0059413E" w:rsidRPr="000C68F1" w:rsidRDefault="0059413E" w:rsidP="003D4C80">
      <w:pPr>
        <w:pStyle w:val="Nagwek2"/>
        <w:spacing w:before="0" w:after="100" w:afterAutospacing="1"/>
        <w:ind w:left="850" w:right="567"/>
        <w:rPr>
          <w:b w:val="0"/>
          <w:bCs w:val="0"/>
          <w:color w:val="0070C0"/>
          <w:u w:val="none"/>
        </w:rPr>
      </w:pPr>
      <w:r w:rsidRPr="000C68F1">
        <w:rPr>
          <w:b w:val="0"/>
          <w:bCs w:val="0"/>
          <w:color w:val="0070C0"/>
          <w:u w:val="none"/>
        </w:rPr>
        <w:t xml:space="preserve">Trybunał </w:t>
      </w:r>
      <w:r w:rsidRPr="003F0F25">
        <w:rPr>
          <w:color w:val="0070C0"/>
          <w:u w:val="none"/>
        </w:rPr>
        <w:t xml:space="preserve">uznał skargę za niedopuszczalną </w:t>
      </w:r>
      <w:r w:rsidRPr="000C68F1">
        <w:rPr>
          <w:b w:val="0"/>
          <w:bCs w:val="0"/>
          <w:color w:val="0070C0"/>
          <w:u w:val="none"/>
        </w:rPr>
        <w:t>i oczywiście bezzasadną.</w:t>
      </w:r>
      <w:r w:rsidR="00630164">
        <w:rPr>
          <w:b w:val="0"/>
          <w:bCs w:val="0"/>
          <w:color w:val="0070C0"/>
          <w:u w:val="none"/>
        </w:rPr>
        <w:t xml:space="preserve"> </w:t>
      </w:r>
      <w:r w:rsidRPr="000C68F1">
        <w:rPr>
          <w:b w:val="0"/>
          <w:bCs w:val="0"/>
          <w:color w:val="0070C0"/>
          <w:u w:val="none"/>
        </w:rPr>
        <w:t xml:space="preserve">Zauważył </w:t>
      </w:r>
      <w:r w:rsidR="002A2B4C">
        <w:rPr>
          <w:b w:val="0"/>
          <w:bCs w:val="0"/>
          <w:color w:val="0070C0"/>
          <w:u w:val="none"/>
        </w:rPr>
        <w:br/>
      </w:r>
      <w:r w:rsidRPr="000C68F1">
        <w:rPr>
          <w:b w:val="0"/>
          <w:bCs w:val="0"/>
          <w:color w:val="0070C0"/>
          <w:u w:val="none"/>
        </w:rPr>
        <w:t xml:space="preserve">w szczególności, że we włoskim systemie prawnym osobie skazanej na dożywocie mogą zostać przyznane łagodniejsze warunki osadzenia lub przedterminowe zwolnienie. Odnosząc się do zasad określonych w wyroku </w:t>
      </w:r>
      <w:r w:rsidRPr="000C68F1">
        <w:rPr>
          <w:b w:val="0"/>
          <w:bCs w:val="0"/>
          <w:i/>
          <w:iCs/>
          <w:color w:val="0070C0"/>
          <w:u w:val="none"/>
        </w:rPr>
        <w:t xml:space="preserve">Kafkaris przeciwko Cyprowi </w:t>
      </w:r>
      <w:r w:rsidRPr="000C68F1">
        <w:rPr>
          <w:b w:val="0"/>
          <w:bCs w:val="0"/>
          <w:color w:val="0070C0"/>
          <w:u w:val="none"/>
        </w:rPr>
        <w:t>(pa</w:t>
      </w:r>
      <w:r w:rsidR="002421AD" w:rsidRPr="000C68F1">
        <w:rPr>
          <w:b w:val="0"/>
          <w:bCs w:val="0"/>
          <w:color w:val="0070C0"/>
          <w:u w:val="none"/>
        </w:rPr>
        <w:t>t</w:t>
      </w:r>
      <w:r w:rsidRPr="000C68F1">
        <w:rPr>
          <w:b w:val="0"/>
          <w:bCs w:val="0"/>
          <w:color w:val="0070C0"/>
          <w:u w:val="none"/>
        </w:rPr>
        <w:t xml:space="preserve">rz </w:t>
      </w:r>
      <w:r w:rsidR="002421AD" w:rsidRPr="000C68F1">
        <w:rPr>
          <w:b w:val="0"/>
          <w:bCs w:val="0"/>
          <w:color w:val="0070C0"/>
          <w:u w:val="none"/>
        </w:rPr>
        <w:t>po</w:t>
      </w:r>
      <w:r w:rsidRPr="000C68F1">
        <w:rPr>
          <w:b w:val="0"/>
          <w:bCs w:val="0"/>
          <w:color w:val="0070C0"/>
          <w:u w:val="none"/>
        </w:rPr>
        <w:t xml:space="preserve">wyżej), Trybunał uznał, że wyroki dożywocia we Włoszech są redukowalne de iure oraz de facto. Nie można tym samym powiedzieć, że skarżący nie ma perspektywy zwolnienia, ani że samo jego osadzenie, choć długie, stanowi nieludzkie lub poniżające traktowanie. Sam fakt </w:t>
      </w:r>
      <w:r w:rsidR="00643D34">
        <w:rPr>
          <w:b w:val="0"/>
          <w:bCs w:val="0"/>
          <w:color w:val="0070C0"/>
          <w:u w:val="none"/>
        </w:rPr>
        <w:t xml:space="preserve">orzeczenia </w:t>
      </w:r>
      <w:r w:rsidRPr="000C68F1">
        <w:rPr>
          <w:b w:val="0"/>
          <w:bCs w:val="0"/>
          <w:color w:val="0070C0"/>
          <w:u w:val="none"/>
        </w:rPr>
        <w:t xml:space="preserve">kary dożywotniego pozbawienia wolności nie osiąga tym samym poziomu ciężkości wymaganego do objęcia zakresem </w:t>
      </w:r>
      <w:r w:rsidR="001C2DA8">
        <w:rPr>
          <w:b w:val="0"/>
          <w:bCs w:val="0"/>
          <w:color w:val="0070C0"/>
          <w:u w:val="none"/>
        </w:rPr>
        <w:t xml:space="preserve">art. </w:t>
      </w:r>
      <w:r w:rsidRPr="000C68F1">
        <w:rPr>
          <w:b w:val="0"/>
          <w:bCs w:val="0"/>
          <w:color w:val="0070C0"/>
          <w:u w:val="none"/>
        </w:rPr>
        <w:t>3 Konwencji.</w:t>
      </w:r>
    </w:p>
    <w:p w14:paraId="4E061AB1" w14:textId="77777777" w:rsidR="00D97FD6" w:rsidRDefault="00D97FD6" w:rsidP="0059413E">
      <w:pPr>
        <w:pStyle w:val="Nagwek2"/>
        <w:rPr>
          <w:b w:val="0"/>
          <w:bCs w:val="0"/>
          <w:i/>
          <w:iCs/>
          <w:color w:val="0070C0"/>
          <w:u w:val="none"/>
        </w:rPr>
        <w:sectPr w:rsidR="00D97FD6" w:rsidSect="00F44454">
          <w:headerReference w:type="default" r:id="rId8"/>
          <w:footerReference w:type="default" r:id="rId9"/>
          <w:headerReference w:type="first" r:id="rId10"/>
          <w:footerReference w:type="first" r:id="rId11"/>
          <w:pgSz w:w="11910" w:h="16840"/>
          <w:pgMar w:top="1460" w:right="620" w:bottom="680" w:left="580" w:header="731" w:footer="497" w:gutter="0"/>
          <w:cols w:space="708"/>
          <w:titlePg/>
          <w:docGrid w:linePitch="299"/>
        </w:sectPr>
      </w:pPr>
    </w:p>
    <w:p w14:paraId="4AAB2BD6" w14:textId="4C475449" w:rsidR="00D97FD6" w:rsidRPr="00A80FD2" w:rsidRDefault="0059413E" w:rsidP="00D71EB6">
      <w:pPr>
        <w:pStyle w:val="Nagwek2"/>
        <w:ind w:left="851"/>
        <w:rPr>
          <w:color w:val="0070C0"/>
        </w:rPr>
      </w:pPr>
      <w:r w:rsidRPr="00A80FD2">
        <w:rPr>
          <w:color w:val="0070C0"/>
        </w:rPr>
        <w:lastRenderedPageBreak/>
        <w:t>Streicher przeciwko Niemcom</w:t>
      </w:r>
    </w:p>
    <w:p w14:paraId="7A070779" w14:textId="51B60A79" w:rsidR="00D97FD6" w:rsidRPr="00A80FD2" w:rsidRDefault="0059413E" w:rsidP="00D71EB6">
      <w:pPr>
        <w:pStyle w:val="Nagwek2"/>
        <w:ind w:left="0"/>
        <w:jc w:val="left"/>
        <w:sectPr w:rsidR="00D97FD6" w:rsidRPr="00A80FD2" w:rsidSect="00D71EB6">
          <w:type w:val="continuous"/>
          <w:pgSz w:w="11910" w:h="16840"/>
          <w:pgMar w:top="1460" w:right="620" w:bottom="680" w:left="580" w:header="731" w:footer="497" w:gutter="0"/>
          <w:cols w:num="2" w:space="322"/>
          <w:titlePg/>
          <w:docGrid w:linePitch="299"/>
        </w:sectPr>
      </w:pPr>
      <w:r w:rsidRPr="00A80FD2">
        <w:rPr>
          <w:color w:val="0070C0"/>
        </w:rPr>
        <w:lastRenderedPageBreak/>
        <w:t>Meixner przeciwko Niemcom</w:t>
      </w:r>
    </w:p>
    <w:p w14:paraId="72538C28" w14:textId="681268BF" w:rsidR="00616422" w:rsidRDefault="00616422" w:rsidP="00D71EB6">
      <w:pPr>
        <w:pStyle w:val="Nagwek2"/>
        <w:spacing w:before="0"/>
        <w:ind w:left="851" w:right="850"/>
        <w:rPr>
          <w:b w:val="0"/>
          <w:bCs w:val="0"/>
          <w:color w:val="A6A6A6" w:themeColor="background1" w:themeShade="A6"/>
          <w:sz w:val="18"/>
          <w:szCs w:val="18"/>
          <w:u w:val="none"/>
        </w:rPr>
      </w:pPr>
      <w:r w:rsidRPr="00540DB1">
        <w:rPr>
          <w:b w:val="0"/>
          <w:bCs w:val="0"/>
          <w:color w:val="A6A6A6" w:themeColor="background1" w:themeShade="A6"/>
          <w:sz w:val="18"/>
          <w:szCs w:val="18"/>
          <w:u w:val="none"/>
        </w:rPr>
        <w:lastRenderedPageBreak/>
        <w:t>10 lutego 2009 r</w:t>
      </w:r>
      <w:r w:rsidR="00A978DE">
        <w:rPr>
          <w:b w:val="0"/>
          <w:bCs w:val="0"/>
          <w:color w:val="A6A6A6" w:themeColor="background1" w:themeShade="A6"/>
          <w:sz w:val="18"/>
          <w:szCs w:val="18"/>
          <w:u w:val="none"/>
        </w:rPr>
        <w:t xml:space="preserve">. </w:t>
      </w:r>
      <w:r w:rsidRPr="00540DB1">
        <w:rPr>
          <w:b w:val="0"/>
          <w:bCs w:val="0"/>
          <w:color w:val="A6A6A6" w:themeColor="background1" w:themeShade="A6"/>
          <w:sz w:val="18"/>
          <w:szCs w:val="18"/>
          <w:u w:val="none"/>
        </w:rPr>
        <w:t xml:space="preserve">(decyzja w sprawie </w:t>
      </w:r>
      <w:r>
        <w:rPr>
          <w:b w:val="0"/>
          <w:bCs w:val="0"/>
          <w:color w:val="A6A6A6" w:themeColor="background1" w:themeShade="A6"/>
          <w:sz w:val="18"/>
          <w:szCs w:val="18"/>
          <w:u w:val="none"/>
        </w:rPr>
        <w:t>dopuszczalności</w:t>
      </w:r>
      <w:r w:rsidR="00280943">
        <w:rPr>
          <w:b w:val="0"/>
          <w:bCs w:val="0"/>
          <w:color w:val="A6A6A6" w:themeColor="background1" w:themeShade="A6"/>
          <w:sz w:val="18"/>
          <w:szCs w:val="18"/>
          <w:u w:val="none"/>
        </w:rPr>
        <w:t>)</w:t>
      </w:r>
    </w:p>
    <w:p w14:paraId="1E8F96A3" w14:textId="77777777" w:rsidR="001117BD" w:rsidRDefault="00616422" w:rsidP="00D71EB6">
      <w:pPr>
        <w:pStyle w:val="Nagwek2"/>
        <w:spacing w:before="0"/>
        <w:ind w:left="0" w:right="850"/>
        <w:rPr>
          <w:b w:val="0"/>
          <w:bCs w:val="0"/>
          <w:color w:val="A6A6A6" w:themeColor="background1" w:themeShade="A6"/>
          <w:sz w:val="18"/>
          <w:szCs w:val="18"/>
          <w:u w:val="none"/>
        </w:rPr>
      </w:pPr>
      <w:r>
        <w:rPr>
          <w:b w:val="0"/>
          <w:bCs w:val="0"/>
          <w:color w:val="A6A6A6" w:themeColor="background1" w:themeShade="A6"/>
          <w:sz w:val="18"/>
          <w:szCs w:val="18"/>
          <w:u w:val="none"/>
        </w:rPr>
        <w:lastRenderedPageBreak/>
        <w:t>3 listopad</w:t>
      </w:r>
      <w:r w:rsidRPr="00540DB1">
        <w:rPr>
          <w:b w:val="0"/>
          <w:bCs w:val="0"/>
          <w:color w:val="A6A6A6" w:themeColor="background1" w:themeShade="A6"/>
          <w:sz w:val="18"/>
          <w:szCs w:val="18"/>
          <w:u w:val="none"/>
        </w:rPr>
        <w:t xml:space="preserve"> 2009 r. </w:t>
      </w:r>
    </w:p>
    <w:p w14:paraId="405CFA7E" w14:textId="0592B94B" w:rsidR="00616422" w:rsidRDefault="00616422" w:rsidP="00300A1E">
      <w:pPr>
        <w:pStyle w:val="Nagwek2"/>
        <w:spacing w:before="0"/>
        <w:ind w:left="0" w:right="850"/>
        <w:jc w:val="left"/>
        <w:rPr>
          <w:b w:val="0"/>
          <w:bCs w:val="0"/>
        </w:rPr>
        <w:sectPr w:rsidR="00616422" w:rsidSect="00D71EB6">
          <w:type w:val="continuous"/>
          <w:pgSz w:w="11910" w:h="16840"/>
          <w:pgMar w:top="1460" w:right="620" w:bottom="680" w:left="580" w:header="731" w:footer="497" w:gutter="0"/>
          <w:cols w:num="2" w:space="322"/>
          <w:titlePg/>
          <w:docGrid w:linePitch="299"/>
        </w:sectPr>
      </w:pPr>
      <w:r w:rsidRPr="00540DB1">
        <w:rPr>
          <w:b w:val="0"/>
          <w:bCs w:val="0"/>
          <w:color w:val="A6A6A6" w:themeColor="background1" w:themeShade="A6"/>
          <w:sz w:val="18"/>
          <w:szCs w:val="18"/>
          <w:u w:val="none"/>
        </w:rPr>
        <w:t xml:space="preserve">(decyzja w sprawie </w:t>
      </w:r>
      <w:r>
        <w:rPr>
          <w:b w:val="0"/>
          <w:bCs w:val="0"/>
          <w:color w:val="A6A6A6" w:themeColor="background1" w:themeShade="A6"/>
          <w:sz w:val="18"/>
          <w:szCs w:val="18"/>
          <w:u w:val="none"/>
        </w:rPr>
        <w:t>dopuszczalności)</w:t>
      </w:r>
    </w:p>
    <w:p w14:paraId="786B43E5" w14:textId="77777777" w:rsidR="00775068" w:rsidRDefault="00616422" w:rsidP="00353792">
      <w:pPr>
        <w:pStyle w:val="Nagwek2"/>
        <w:spacing w:before="0"/>
        <w:ind w:left="850" w:right="567"/>
        <w:rPr>
          <w:b w:val="0"/>
          <w:bCs w:val="0"/>
          <w:u w:val="none"/>
        </w:rPr>
      </w:pPr>
      <w:r w:rsidRPr="00280943">
        <w:rPr>
          <w:b w:val="0"/>
          <w:bCs w:val="0"/>
          <w:u w:val="none"/>
        </w:rPr>
        <w:lastRenderedPageBreak/>
        <w:t>Skazani na dożywotnie pozbawienie wolności skarżący zażądali zawieszenia odbywania kary po 15 więzienia. Właściwy sąd odrzucił wniosek, uzasadniając, że istniało wysokie ryzyko ponownego popełnienia przez skarżących przestępstw podczas zwolnienia.</w:t>
      </w:r>
    </w:p>
    <w:p w14:paraId="30E15CC0" w14:textId="7C9D3F75" w:rsidR="00377E19" w:rsidRDefault="0059413E" w:rsidP="0052545F">
      <w:pPr>
        <w:pStyle w:val="Nagwek2"/>
        <w:spacing w:before="0" w:after="240"/>
        <w:ind w:left="850" w:right="567"/>
        <w:rPr>
          <w:b w:val="0"/>
          <w:bCs w:val="0"/>
          <w:color w:val="0070C0"/>
          <w:u w:val="none"/>
        </w:rPr>
      </w:pPr>
      <w:r w:rsidRPr="00166273">
        <w:rPr>
          <w:b w:val="0"/>
          <w:bCs w:val="0"/>
          <w:color w:val="0070C0"/>
          <w:u w:val="none"/>
        </w:rPr>
        <w:t xml:space="preserve">Trybunał </w:t>
      </w:r>
      <w:r w:rsidRPr="003F0F25">
        <w:rPr>
          <w:color w:val="0070C0"/>
          <w:u w:val="none"/>
        </w:rPr>
        <w:t>uznał obie skargi za niedopuszczalne</w:t>
      </w:r>
      <w:r w:rsidRPr="00166273">
        <w:rPr>
          <w:b w:val="0"/>
          <w:bCs w:val="0"/>
          <w:color w:val="0070C0"/>
          <w:u w:val="none"/>
        </w:rPr>
        <w:t xml:space="preserve"> i oczywiście bezzasadne, </w:t>
      </w:r>
      <w:r w:rsidR="00377E19" w:rsidRPr="00166273">
        <w:rPr>
          <w:b w:val="0"/>
          <w:bCs w:val="0"/>
          <w:color w:val="0070C0"/>
          <w:u w:val="none"/>
        </w:rPr>
        <w:t xml:space="preserve">stwierdzając, że skarżący nie zostali pozbawieni ponownej szansy na zwolnienie, ponieważ prawo niemieckie przewidywało system zwolnień warunkowych, w związku z czym mogli oni złożyć </w:t>
      </w:r>
      <w:r w:rsidR="00377E19" w:rsidRPr="00166273">
        <w:rPr>
          <w:b w:val="0"/>
          <w:bCs w:val="0"/>
          <w:color w:val="0070C0"/>
          <w:u w:val="none"/>
        </w:rPr>
        <w:lastRenderedPageBreak/>
        <w:t>kolejny wniosek o warunkowe zwolnienie.</w:t>
      </w:r>
    </w:p>
    <w:p w14:paraId="279C33CD" w14:textId="6B328A0D" w:rsidR="003160D7" w:rsidRPr="00EE132F" w:rsidRDefault="003160D7" w:rsidP="003160D7">
      <w:pPr>
        <w:pStyle w:val="Nagwek2"/>
        <w:spacing w:before="240"/>
        <w:ind w:left="850"/>
        <w:jc w:val="left"/>
        <w:rPr>
          <w:color w:val="0070C0"/>
        </w:rPr>
      </w:pPr>
      <w:r w:rsidRPr="00EE132F">
        <w:rPr>
          <w:color w:val="0070C0"/>
        </w:rPr>
        <w:t>Léger przeciwko Francji</w:t>
      </w:r>
    </w:p>
    <w:p w14:paraId="23DE5AAB" w14:textId="49ADB7B0" w:rsidR="003160D7" w:rsidRPr="003D4C80" w:rsidRDefault="003160D7" w:rsidP="003160D7">
      <w:pPr>
        <w:pStyle w:val="Nagwek2"/>
        <w:spacing w:before="0"/>
        <w:ind w:left="850" w:right="567"/>
        <w:rPr>
          <w:b w:val="0"/>
          <w:bCs w:val="0"/>
          <w:sz w:val="18"/>
          <w:szCs w:val="18"/>
          <w:u w:val="none"/>
        </w:rPr>
      </w:pPr>
      <w:r w:rsidRPr="003D4C80">
        <w:rPr>
          <w:b w:val="0"/>
          <w:bCs w:val="0"/>
          <w:color w:val="808080"/>
          <w:sz w:val="18"/>
          <w:szCs w:val="18"/>
          <w:u w:val="none"/>
        </w:rPr>
        <w:t>2</w:t>
      </w:r>
      <w:r>
        <w:rPr>
          <w:b w:val="0"/>
          <w:bCs w:val="0"/>
          <w:color w:val="808080"/>
          <w:sz w:val="18"/>
          <w:szCs w:val="18"/>
          <w:u w:val="none"/>
        </w:rPr>
        <w:t xml:space="preserve">9 marca </w:t>
      </w:r>
      <w:r w:rsidRPr="003D4C80">
        <w:rPr>
          <w:b w:val="0"/>
          <w:bCs w:val="0"/>
          <w:color w:val="808080"/>
          <w:sz w:val="18"/>
          <w:szCs w:val="18"/>
          <w:u w:val="none"/>
        </w:rPr>
        <w:t>200</w:t>
      </w:r>
      <w:r>
        <w:rPr>
          <w:b w:val="0"/>
          <w:bCs w:val="0"/>
          <w:color w:val="808080"/>
          <w:sz w:val="18"/>
          <w:szCs w:val="18"/>
          <w:u w:val="none"/>
        </w:rPr>
        <w:t>9</w:t>
      </w:r>
      <w:r w:rsidRPr="003D4C80">
        <w:rPr>
          <w:b w:val="0"/>
          <w:bCs w:val="0"/>
          <w:color w:val="808080"/>
          <w:sz w:val="18"/>
          <w:szCs w:val="18"/>
          <w:u w:val="none"/>
        </w:rPr>
        <w:t xml:space="preserve"> r. </w:t>
      </w:r>
      <w:r>
        <w:rPr>
          <w:b w:val="0"/>
          <w:bCs w:val="0"/>
          <w:color w:val="808080"/>
          <w:sz w:val="18"/>
          <w:szCs w:val="18"/>
          <w:u w:val="none"/>
        </w:rPr>
        <w:t>(Wielka Izba - wyrok w przedmiocie skreślenia sprawy)</w:t>
      </w:r>
    </w:p>
    <w:p w14:paraId="7B322CCB" w14:textId="3FEC5D88" w:rsidR="00FF5D31" w:rsidRDefault="0059413E" w:rsidP="00353792">
      <w:pPr>
        <w:pStyle w:val="Nagwek2"/>
        <w:spacing w:before="0"/>
        <w:ind w:left="850" w:right="567"/>
        <w:rPr>
          <w:b w:val="0"/>
          <w:bCs w:val="0"/>
          <w:u w:val="none"/>
        </w:rPr>
      </w:pPr>
      <w:r w:rsidRPr="003160D7">
        <w:rPr>
          <w:b w:val="0"/>
          <w:bCs w:val="0"/>
          <w:u w:val="none"/>
        </w:rPr>
        <w:t xml:space="preserve">Skarżący został skazany na dożywotnie pozbawienie wolności w 1966 r., bez </w:t>
      </w:r>
      <w:r w:rsidR="00A978DE">
        <w:rPr>
          <w:b w:val="0"/>
          <w:bCs w:val="0"/>
          <w:u w:val="none"/>
        </w:rPr>
        <w:t>w</w:t>
      </w:r>
      <w:r w:rsidRPr="003160D7">
        <w:rPr>
          <w:b w:val="0"/>
          <w:bCs w:val="0"/>
          <w:u w:val="none"/>
        </w:rPr>
        <w:t xml:space="preserve">yznaczenia minimalnego okresu odbywania kary. Zarzucił on w szczególności, że </w:t>
      </w:r>
      <w:r w:rsidR="00E74FC9">
        <w:rPr>
          <w:b w:val="0"/>
          <w:bCs w:val="0"/>
          <w:u w:val="none"/>
        </w:rPr>
        <w:t xml:space="preserve">w praktyce </w:t>
      </w:r>
      <w:r w:rsidRPr="003160D7">
        <w:rPr>
          <w:b w:val="0"/>
          <w:bCs w:val="0"/>
          <w:u w:val="none"/>
        </w:rPr>
        <w:t xml:space="preserve">jego osadzenie trwające 41 lat było równoznaczne z karą dożywotniego pozbawienia wolności </w:t>
      </w:r>
      <w:r w:rsidR="00E74FC9">
        <w:rPr>
          <w:b w:val="0"/>
          <w:bCs w:val="0"/>
          <w:u w:val="none"/>
        </w:rPr>
        <w:br/>
      </w:r>
      <w:r w:rsidRPr="003160D7">
        <w:rPr>
          <w:b w:val="0"/>
          <w:bCs w:val="0"/>
          <w:u w:val="none"/>
        </w:rPr>
        <w:t xml:space="preserve">i tym samym stanowiło nieludzkie i poniżające traktowanie. </w:t>
      </w:r>
      <w:r w:rsidR="00E74FC9" w:rsidRPr="00E74FC9">
        <w:rPr>
          <w:b w:val="0"/>
          <w:bCs w:val="0"/>
          <w:u w:val="none"/>
        </w:rPr>
        <w:t xml:space="preserve">Zwolniony </w:t>
      </w:r>
      <w:r w:rsidR="00A8501E">
        <w:rPr>
          <w:b w:val="0"/>
          <w:bCs w:val="0"/>
          <w:u w:val="none"/>
        </w:rPr>
        <w:t xml:space="preserve">warunkowo </w:t>
      </w:r>
      <w:r w:rsidR="00353792">
        <w:rPr>
          <w:b w:val="0"/>
          <w:bCs w:val="0"/>
          <w:u w:val="none"/>
        </w:rPr>
        <w:br/>
      </w:r>
      <w:r w:rsidR="00E74FC9" w:rsidRPr="00E74FC9">
        <w:rPr>
          <w:b w:val="0"/>
          <w:bCs w:val="0"/>
          <w:u w:val="none"/>
        </w:rPr>
        <w:t xml:space="preserve">ze skutkiem od października 2005 r. do października 2015 r., skarżący zmarł w lipcu </w:t>
      </w:r>
      <w:r w:rsidR="00353792">
        <w:rPr>
          <w:b w:val="0"/>
          <w:bCs w:val="0"/>
          <w:u w:val="none"/>
        </w:rPr>
        <w:br/>
      </w:r>
      <w:r w:rsidR="00E74FC9" w:rsidRPr="00E74FC9">
        <w:rPr>
          <w:b w:val="0"/>
          <w:bCs w:val="0"/>
          <w:u w:val="none"/>
        </w:rPr>
        <w:t>2008 r</w:t>
      </w:r>
      <w:r w:rsidR="00353792">
        <w:rPr>
          <w:b w:val="0"/>
          <w:bCs w:val="0"/>
          <w:u w:val="none"/>
        </w:rPr>
        <w:t>.</w:t>
      </w:r>
      <w:r w:rsidR="00E74FC9" w:rsidRPr="00E74FC9">
        <w:rPr>
          <w:b w:val="0"/>
          <w:bCs w:val="0"/>
          <w:u w:val="none"/>
        </w:rPr>
        <w:t xml:space="preserve"> </w:t>
      </w:r>
    </w:p>
    <w:p w14:paraId="4BB315DE" w14:textId="13AC9A82" w:rsidR="00937A8D" w:rsidRDefault="0059413E" w:rsidP="00353792">
      <w:pPr>
        <w:pStyle w:val="Nagwek2"/>
        <w:spacing w:before="0"/>
        <w:ind w:left="850" w:right="567"/>
        <w:rPr>
          <w:color w:val="0070C0"/>
          <w:u w:val="none"/>
        </w:rPr>
      </w:pPr>
      <w:r w:rsidRPr="00E74FC9">
        <w:rPr>
          <w:b w:val="0"/>
          <w:bCs w:val="0"/>
          <w:color w:val="0070C0"/>
          <w:u w:val="none"/>
        </w:rPr>
        <w:t xml:space="preserve">W wyroku Izby z 11 kwietnia 2006 r., Trybunał orzekł, </w:t>
      </w:r>
      <w:r w:rsidR="00A8501E">
        <w:rPr>
          <w:b w:val="0"/>
          <w:bCs w:val="0"/>
          <w:color w:val="0070C0"/>
          <w:u w:val="none"/>
        </w:rPr>
        <w:t xml:space="preserve">większością </w:t>
      </w:r>
      <w:r w:rsidR="00404C6B">
        <w:rPr>
          <w:b w:val="0"/>
          <w:bCs w:val="0"/>
          <w:color w:val="0070C0"/>
          <w:u w:val="none"/>
        </w:rPr>
        <w:t xml:space="preserve">głosów </w:t>
      </w:r>
      <w:r w:rsidRPr="00E74FC9">
        <w:rPr>
          <w:b w:val="0"/>
          <w:bCs w:val="0"/>
          <w:color w:val="0070C0"/>
          <w:u w:val="none"/>
        </w:rPr>
        <w:t>pię</w:t>
      </w:r>
      <w:r w:rsidR="00404C6B">
        <w:rPr>
          <w:b w:val="0"/>
          <w:bCs w:val="0"/>
          <w:color w:val="0070C0"/>
          <w:u w:val="none"/>
        </w:rPr>
        <w:t xml:space="preserve">ć </w:t>
      </w:r>
      <w:r w:rsidRPr="00E74FC9">
        <w:rPr>
          <w:b w:val="0"/>
          <w:bCs w:val="0"/>
          <w:color w:val="0070C0"/>
          <w:u w:val="none"/>
        </w:rPr>
        <w:t xml:space="preserve">do dwóch, </w:t>
      </w:r>
      <w:r w:rsidR="00353792">
        <w:rPr>
          <w:b w:val="0"/>
          <w:bCs w:val="0"/>
          <w:color w:val="0070C0"/>
          <w:u w:val="none"/>
        </w:rPr>
        <w:br/>
      </w:r>
      <w:r w:rsidRPr="00E74FC9">
        <w:rPr>
          <w:b w:val="0"/>
          <w:bCs w:val="0"/>
          <w:color w:val="0070C0"/>
          <w:u w:val="none"/>
        </w:rPr>
        <w:t xml:space="preserve">że </w:t>
      </w:r>
      <w:r w:rsidRPr="003F0F25">
        <w:rPr>
          <w:color w:val="0070C0"/>
          <w:u w:val="none"/>
        </w:rPr>
        <w:t xml:space="preserve">nie doszło do naruszenia </w:t>
      </w:r>
      <w:r w:rsidR="001C2DA8">
        <w:rPr>
          <w:color w:val="0070C0"/>
          <w:u w:val="none"/>
        </w:rPr>
        <w:t>art.</w:t>
      </w:r>
      <w:r w:rsidRPr="003F0F25">
        <w:rPr>
          <w:color w:val="0070C0"/>
          <w:u w:val="none"/>
        </w:rPr>
        <w:t xml:space="preserve"> 3 Konwencji</w:t>
      </w:r>
      <w:r w:rsidRPr="00E74FC9">
        <w:rPr>
          <w:b w:val="0"/>
          <w:bCs w:val="0"/>
          <w:color w:val="0070C0"/>
          <w:u w:val="none"/>
        </w:rPr>
        <w:t xml:space="preserve">. Zwracając w szczególności uwagę na fakt, że po 15 latach pozbawienia wolności skarżący mógł w regularnych odstępach wnosić </w:t>
      </w:r>
      <w:r w:rsidR="00353792">
        <w:rPr>
          <w:b w:val="0"/>
          <w:bCs w:val="0"/>
          <w:color w:val="0070C0"/>
          <w:u w:val="none"/>
        </w:rPr>
        <w:br/>
      </w:r>
      <w:r w:rsidRPr="00E74FC9">
        <w:rPr>
          <w:b w:val="0"/>
          <w:bCs w:val="0"/>
          <w:color w:val="0070C0"/>
          <w:u w:val="none"/>
        </w:rPr>
        <w:t xml:space="preserve">o zwolnienie warunkowe i był chroniony gwarancjami proceduralnymi, Izba stwierdziła, </w:t>
      </w:r>
      <w:r w:rsidR="001E52F4">
        <w:rPr>
          <w:b w:val="0"/>
          <w:bCs w:val="0"/>
          <w:color w:val="0070C0"/>
          <w:u w:val="none"/>
        </w:rPr>
        <w:br/>
      </w:r>
      <w:r w:rsidRPr="00E74FC9">
        <w:rPr>
          <w:b w:val="0"/>
          <w:bCs w:val="0"/>
          <w:color w:val="0070C0"/>
          <w:u w:val="none"/>
        </w:rPr>
        <w:t xml:space="preserve">że skarżący nie miał podstaw do twierdzenia, iż został pozbawiony jakiejkolwiek </w:t>
      </w:r>
      <w:r w:rsidR="00A978DE" w:rsidRPr="00E74FC9">
        <w:rPr>
          <w:b w:val="0"/>
          <w:bCs w:val="0"/>
          <w:color w:val="0070C0"/>
          <w:u w:val="none"/>
        </w:rPr>
        <w:t xml:space="preserve">perspektywy </w:t>
      </w:r>
      <w:r w:rsidRPr="00E74FC9">
        <w:rPr>
          <w:b w:val="0"/>
          <w:bCs w:val="0"/>
          <w:color w:val="0070C0"/>
          <w:u w:val="none"/>
        </w:rPr>
        <w:t xml:space="preserve">na darowanie </w:t>
      </w:r>
      <w:r w:rsidR="00A978DE" w:rsidRPr="00E74FC9">
        <w:rPr>
          <w:b w:val="0"/>
          <w:bCs w:val="0"/>
          <w:color w:val="0070C0"/>
          <w:u w:val="none"/>
        </w:rPr>
        <w:t xml:space="preserve">mu </w:t>
      </w:r>
      <w:r w:rsidRPr="00E74FC9">
        <w:rPr>
          <w:b w:val="0"/>
          <w:bCs w:val="0"/>
          <w:color w:val="0070C0"/>
          <w:u w:val="none"/>
        </w:rPr>
        <w:t xml:space="preserve">części kary, która nie była nieredukowalna. W związku z tym, </w:t>
      </w:r>
      <w:r w:rsidR="00A8501E">
        <w:rPr>
          <w:b w:val="0"/>
          <w:bCs w:val="0"/>
          <w:color w:val="0070C0"/>
          <w:u w:val="none"/>
        </w:rPr>
        <w:t xml:space="preserve">przedłużająca się izolacja </w:t>
      </w:r>
      <w:r w:rsidRPr="00E74FC9">
        <w:rPr>
          <w:b w:val="0"/>
          <w:bCs w:val="0"/>
          <w:color w:val="0070C0"/>
          <w:u w:val="none"/>
        </w:rPr>
        <w:t>skarżącego, jakkolwiek dług</w:t>
      </w:r>
      <w:r w:rsidR="00A8501E">
        <w:rPr>
          <w:b w:val="0"/>
          <w:bCs w:val="0"/>
          <w:color w:val="0070C0"/>
          <w:u w:val="none"/>
        </w:rPr>
        <w:t>a</w:t>
      </w:r>
      <w:r w:rsidRPr="00E74FC9">
        <w:rPr>
          <w:b w:val="0"/>
          <w:bCs w:val="0"/>
          <w:color w:val="0070C0"/>
          <w:u w:val="none"/>
        </w:rPr>
        <w:t>, nie stanowił</w:t>
      </w:r>
      <w:r w:rsidR="00A8501E">
        <w:rPr>
          <w:b w:val="0"/>
          <w:bCs w:val="0"/>
          <w:color w:val="0070C0"/>
          <w:u w:val="none"/>
        </w:rPr>
        <w:t xml:space="preserve">a </w:t>
      </w:r>
      <w:r w:rsidRPr="00E74FC9">
        <w:rPr>
          <w:b w:val="0"/>
          <w:bCs w:val="0"/>
          <w:color w:val="0070C0"/>
          <w:u w:val="none"/>
        </w:rPr>
        <w:t xml:space="preserve">nieludzkiego lub </w:t>
      </w:r>
      <w:r w:rsidRPr="00A8501E">
        <w:rPr>
          <w:b w:val="0"/>
          <w:bCs w:val="0"/>
          <w:color w:val="0070C0"/>
          <w:u w:val="none"/>
        </w:rPr>
        <w:t>poniżającego traktowania.</w:t>
      </w:r>
      <w:r w:rsidR="00937A8D">
        <w:rPr>
          <w:color w:val="0070C0"/>
          <w:u w:val="none"/>
        </w:rPr>
        <w:t xml:space="preserve"> </w:t>
      </w:r>
    </w:p>
    <w:p w14:paraId="28DBA1BF" w14:textId="7869E3E0" w:rsidR="001D300A" w:rsidRPr="001D300A" w:rsidRDefault="001D300A" w:rsidP="00353792">
      <w:pPr>
        <w:pStyle w:val="Nagwek2"/>
        <w:spacing w:before="0" w:after="120"/>
        <w:ind w:left="850" w:right="567"/>
        <w:rPr>
          <w:b w:val="0"/>
          <w:bCs w:val="0"/>
          <w:color w:val="0070C0"/>
          <w:u w:val="none"/>
        </w:rPr>
      </w:pPr>
      <w:r w:rsidRPr="001D300A">
        <w:rPr>
          <w:b w:val="0"/>
          <w:bCs w:val="0"/>
          <w:color w:val="0070C0"/>
          <w:u w:val="none"/>
        </w:rPr>
        <w:t xml:space="preserve">We wrześniu 2006 r. skład pięciu sędziów Wielkiej Izby przyjął wniosek skarżącego </w:t>
      </w:r>
      <w:r w:rsidR="00F42ED3">
        <w:rPr>
          <w:b w:val="0"/>
          <w:bCs w:val="0"/>
          <w:color w:val="0070C0"/>
          <w:u w:val="none"/>
        </w:rPr>
        <w:br/>
      </w:r>
      <w:r w:rsidRPr="001D300A">
        <w:rPr>
          <w:b w:val="0"/>
          <w:bCs w:val="0"/>
          <w:color w:val="0070C0"/>
          <w:u w:val="none"/>
        </w:rPr>
        <w:t>o przekazanie sprawy Wielkiej Izbie</w:t>
      </w:r>
      <w:r w:rsidR="00775068">
        <w:rPr>
          <w:rStyle w:val="Odwoanieprzypisudolnego"/>
          <w:b w:val="0"/>
          <w:bCs w:val="0"/>
          <w:color w:val="0070C0"/>
          <w:u w:val="none"/>
        </w:rPr>
        <w:footnoteReference w:id="2"/>
      </w:r>
      <w:r w:rsidRPr="001D300A">
        <w:rPr>
          <w:b w:val="0"/>
          <w:bCs w:val="0"/>
          <w:color w:val="0070C0"/>
          <w:u w:val="none"/>
        </w:rPr>
        <w:t>.</w:t>
      </w:r>
      <w:r w:rsidR="00F42ED3">
        <w:rPr>
          <w:b w:val="0"/>
          <w:bCs w:val="0"/>
          <w:color w:val="0070C0"/>
          <w:u w:val="none"/>
        </w:rPr>
        <w:t xml:space="preserve"> </w:t>
      </w:r>
      <w:r w:rsidRPr="001D300A">
        <w:rPr>
          <w:b w:val="0"/>
          <w:bCs w:val="0"/>
          <w:color w:val="0070C0"/>
          <w:u w:val="none"/>
        </w:rPr>
        <w:t xml:space="preserve">W swoim wyroku z dnia 30 marca 2009 r. Wielka Izba odnotowała, że skarżący został znaleziony martwy w swoim domu 18 czerwca 2008 r. oraz że złożony wniosek o prowadzenie postępowania w jego zastępstwie został złożony przez kogoś, kto nie przedstawił żadnych dowodów dotyczących swojego statusu jako spadkobiercy lub bliskiego krewnego skarżącego ani żadnego innego uzasadnionego interesu. Wielka Izba również nie uznała, </w:t>
      </w:r>
      <w:r w:rsidR="00F42ED3">
        <w:rPr>
          <w:b w:val="0"/>
          <w:bCs w:val="0"/>
          <w:color w:val="0070C0"/>
          <w:u w:val="none"/>
        </w:rPr>
        <w:t xml:space="preserve">aby </w:t>
      </w:r>
      <w:r w:rsidRPr="001D300A">
        <w:rPr>
          <w:b w:val="0"/>
          <w:bCs w:val="0"/>
          <w:color w:val="0070C0"/>
          <w:u w:val="none"/>
        </w:rPr>
        <w:t xml:space="preserve">poszanowanie praw człowieka wymagało dalszego rozpatrywania sprawy, zważywszy że właściwe krajowe przepisy uległy w międzyczasie zmianie, a podobne problemy w innych sprawach toczących się przed Trybunałem zostały rozwiązane. Tym samym podjęto decyzję o skreśleniu sprawy z listy spraw, stosując </w:t>
      </w:r>
      <w:r w:rsidR="001C2DA8">
        <w:rPr>
          <w:b w:val="0"/>
          <w:bCs w:val="0"/>
          <w:color w:val="0070C0"/>
          <w:u w:val="none"/>
        </w:rPr>
        <w:t>a</w:t>
      </w:r>
      <w:r w:rsidRPr="001D300A">
        <w:rPr>
          <w:b w:val="0"/>
          <w:bCs w:val="0"/>
          <w:color w:val="0070C0"/>
          <w:u w:val="none"/>
        </w:rPr>
        <w:t>r</w:t>
      </w:r>
      <w:r w:rsidR="001C2DA8">
        <w:rPr>
          <w:b w:val="0"/>
          <w:bCs w:val="0"/>
          <w:color w:val="0070C0"/>
          <w:u w:val="none"/>
        </w:rPr>
        <w:t xml:space="preserve">. </w:t>
      </w:r>
      <w:r w:rsidRPr="001D300A">
        <w:rPr>
          <w:b w:val="0"/>
          <w:bCs w:val="0"/>
          <w:color w:val="0070C0"/>
          <w:u w:val="none"/>
        </w:rPr>
        <w:t>37 (skreślenie skargi z listy) Konwencji</w:t>
      </w:r>
      <w:r w:rsidR="00F42ED3">
        <w:rPr>
          <w:b w:val="0"/>
          <w:bCs w:val="0"/>
          <w:color w:val="0070C0"/>
          <w:u w:val="none"/>
        </w:rPr>
        <w:t>.</w:t>
      </w:r>
      <w:r w:rsidRPr="001D300A">
        <w:rPr>
          <w:b w:val="0"/>
          <w:bCs w:val="0"/>
          <w:color w:val="0070C0"/>
          <w:u w:val="none"/>
        </w:rPr>
        <w:t xml:space="preserve"> </w:t>
      </w:r>
    </w:p>
    <w:p w14:paraId="1F2D91FC" w14:textId="6B6CE7B9" w:rsidR="00871CF0" w:rsidRDefault="002E7973" w:rsidP="00871CF0">
      <w:pPr>
        <w:pStyle w:val="Nagwek2"/>
        <w:jc w:val="left"/>
        <w:rPr>
          <w:u w:val="none"/>
        </w:rPr>
      </w:pPr>
      <w:hyperlink r:id="rId12">
        <w:r w:rsidR="00871CF0">
          <w:rPr>
            <w:color w:val="0071BB"/>
            <w:u w:val="thick" w:color="0071BB"/>
          </w:rPr>
          <w:t>Iorgov</w:t>
        </w:r>
        <w:r w:rsidR="004F1C2C">
          <w:rPr>
            <w:color w:val="0071BB"/>
            <w:u w:val="thick" w:color="0071BB"/>
          </w:rPr>
          <w:t xml:space="preserve"> </w:t>
        </w:r>
        <w:r w:rsidR="00D372F5">
          <w:rPr>
            <w:color w:val="0071BB"/>
            <w:u w:val="thick" w:color="0071BB"/>
          </w:rPr>
          <w:t>(</w:t>
        </w:r>
        <w:r w:rsidR="004F1C2C">
          <w:rPr>
            <w:color w:val="0071BB"/>
            <w:u w:val="thick" w:color="0071BB"/>
          </w:rPr>
          <w:t>nr 2</w:t>
        </w:r>
        <w:r w:rsidR="00D372F5">
          <w:rPr>
            <w:color w:val="0071BB"/>
            <w:u w:val="thick" w:color="0071BB"/>
          </w:rPr>
          <w:t>)</w:t>
        </w:r>
        <w:r w:rsidR="00871CF0">
          <w:rPr>
            <w:color w:val="0071BB"/>
            <w:u w:val="thick" w:color="0071BB"/>
          </w:rPr>
          <w:t xml:space="preserve"> przeciwko Bułgarii </w:t>
        </w:r>
      </w:hyperlink>
    </w:p>
    <w:p w14:paraId="69DC945C" w14:textId="77777777" w:rsidR="00011A9F" w:rsidRDefault="005F5C64" w:rsidP="00EE132F">
      <w:pPr>
        <w:spacing w:line="218" w:lineRule="exact"/>
        <w:ind w:left="860"/>
        <w:rPr>
          <w:color w:val="808080"/>
          <w:sz w:val="18"/>
        </w:rPr>
      </w:pPr>
      <w:r>
        <w:rPr>
          <w:color w:val="808080"/>
          <w:sz w:val="18"/>
        </w:rPr>
        <w:t xml:space="preserve">2 </w:t>
      </w:r>
      <w:r w:rsidR="00871CF0">
        <w:rPr>
          <w:color w:val="808080"/>
          <w:sz w:val="18"/>
        </w:rPr>
        <w:t xml:space="preserve">września2010 r. </w:t>
      </w:r>
      <w:r>
        <w:rPr>
          <w:color w:val="808080"/>
          <w:sz w:val="18"/>
        </w:rPr>
        <w:t>(wyrok</w:t>
      </w:r>
      <w:r w:rsidR="00011A9F">
        <w:rPr>
          <w:color w:val="808080"/>
          <w:sz w:val="18"/>
        </w:rPr>
        <w:t>)</w:t>
      </w:r>
    </w:p>
    <w:p w14:paraId="242F0DE9" w14:textId="2D6E9291" w:rsidR="001A251C" w:rsidRDefault="001D300A" w:rsidP="00CC5FD1">
      <w:pPr>
        <w:spacing w:line="218" w:lineRule="exact"/>
        <w:ind w:left="850" w:right="567"/>
        <w:jc w:val="both"/>
        <w:rPr>
          <w:sz w:val="20"/>
          <w:szCs w:val="20"/>
        </w:rPr>
      </w:pPr>
      <w:r w:rsidRPr="001A251C">
        <w:rPr>
          <w:sz w:val="20"/>
          <w:szCs w:val="20"/>
        </w:rPr>
        <w:t>Skarżącemu, który</w:t>
      </w:r>
      <w:r w:rsidR="001A251C" w:rsidRPr="001A251C">
        <w:rPr>
          <w:sz w:val="20"/>
          <w:szCs w:val="20"/>
        </w:rPr>
        <w:t xml:space="preserve"> w 1990 r. </w:t>
      </w:r>
      <w:r w:rsidRPr="001A251C">
        <w:rPr>
          <w:sz w:val="20"/>
          <w:szCs w:val="20"/>
        </w:rPr>
        <w:t xml:space="preserve">został skazany </w:t>
      </w:r>
      <w:r w:rsidR="001A251C" w:rsidRPr="001A251C">
        <w:rPr>
          <w:sz w:val="20"/>
          <w:szCs w:val="20"/>
        </w:rPr>
        <w:t>za morderstwo</w:t>
      </w:r>
      <w:r w:rsidRPr="001A251C">
        <w:rPr>
          <w:sz w:val="20"/>
          <w:szCs w:val="20"/>
        </w:rPr>
        <w:t xml:space="preserve">, </w:t>
      </w:r>
      <w:r w:rsidR="005E7BF6">
        <w:rPr>
          <w:sz w:val="20"/>
          <w:szCs w:val="20"/>
        </w:rPr>
        <w:t>pierwotny wyrok skazujący go do na karę śmierci w 1999 r. z</w:t>
      </w:r>
      <w:r w:rsidRPr="001A251C">
        <w:rPr>
          <w:sz w:val="20"/>
          <w:szCs w:val="20"/>
        </w:rPr>
        <w:t xml:space="preserve">mieniono na karę dożywotniego pozbawienia wolności bez możliwości jej złagodzenia. Skarżący </w:t>
      </w:r>
      <w:r w:rsidR="005E7BF6">
        <w:rPr>
          <w:sz w:val="20"/>
          <w:szCs w:val="20"/>
        </w:rPr>
        <w:t xml:space="preserve">zarzucił </w:t>
      </w:r>
      <w:r w:rsidRPr="001A251C">
        <w:rPr>
          <w:sz w:val="20"/>
          <w:szCs w:val="20"/>
        </w:rPr>
        <w:t xml:space="preserve">w szczególności, że jego kara </w:t>
      </w:r>
      <w:r w:rsidR="005E7BF6">
        <w:rPr>
          <w:sz w:val="20"/>
          <w:szCs w:val="20"/>
        </w:rPr>
        <w:t>-</w:t>
      </w:r>
      <w:r w:rsidRPr="001A251C">
        <w:rPr>
          <w:sz w:val="20"/>
          <w:szCs w:val="20"/>
        </w:rPr>
        <w:t xml:space="preserve"> poprzez odmówienie mu wszelkiej możliwości przedterminowego zwolnienia – była nieludzka i poniżająca. </w:t>
      </w:r>
    </w:p>
    <w:p w14:paraId="19FD22EB" w14:textId="65802B89" w:rsidR="00AF01A7" w:rsidRDefault="001D300A" w:rsidP="0052545F">
      <w:pPr>
        <w:spacing w:after="240" w:line="218" w:lineRule="exact"/>
        <w:ind w:left="850" w:right="567"/>
        <w:jc w:val="both"/>
      </w:pPr>
      <w:r w:rsidRPr="001A251C">
        <w:rPr>
          <w:color w:val="0070C0"/>
          <w:sz w:val="20"/>
          <w:szCs w:val="20"/>
        </w:rPr>
        <w:t xml:space="preserve">Trybunał uznał, że </w:t>
      </w:r>
      <w:r w:rsidRPr="003F0F25">
        <w:rPr>
          <w:b/>
          <w:bCs/>
          <w:color w:val="0070C0"/>
          <w:sz w:val="20"/>
          <w:szCs w:val="20"/>
        </w:rPr>
        <w:t xml:space="preserve">nie doszło do naruszenia </w:t>
      </w:r>
      <w:r w:rsidR="001C2DA8">
        <w:rPr>
          <w:b/>
          <w:bCs/>
          <w:color w:val="0070C0"/>
          <w:sz w:val="20"/>
          <w:szCs w:val="20"/>
        </w:rPr>
        <w:t>art.</w:t>
      </w:r>
      <w:r w:rsidRPr="003F0F25">
        <w:rPr>
          <w:b/>
          <w:bCs/>
          <w:color w:val="0070C0"/>
          <w:sz w:val="20"/>
          <w:szCs w:val="20"/>
        </w:rPr>
        <w:t xml:space="preserve"> 3 Konwencji</w:t>
      </w:r>
      <w:r w:rsidRPr="001A251C">
        <w:rPr>
          <w:color w:val="0070C0"/>
          <w:sz w:val="20"/>
          <w:szCs w:val="20"/>
        </w:rPr>
        <w:t xml:space="preserve">. Skarżący, skazany na dożywotnie pozbawienie wolności bez możliwości złagodzenia kary, nie mógł zostać przedterminowo zwolniony zgodnie z prawem krajowym, ponieważ środek ten dotyczył tylko więźniów odbywających kary pozbawienia wolności orzeczone na czas określony. Jego kara nie mogła również zostać zamieniona na karę terminową. Niemniej możliwość zmiany kary oraz decyzja o ewentualnym zwolnieniu istniała w krajowym prawie w formie ułaskawienia lub złagodzenia kary przyznawanego przez Wiceprezydenta. Wynika z tego, że kara </w:t>
      </w:r>
      <w:r w:rsidR="00B23F10">
        <w:rPr>
          <w:color w:val="0070C0"/>
          <w:sz w:val="20"/>
          <w:szCs w:val="20"/>
        </w:rPr>
        <w:t>d</w:t>
      </w:r>
      <w:r w:rsidRPr="001A251C">
        <w:rPr>
          <w:color w:val="0070C0"/>
          <w:sz w:val="20"/>
          <w:szCs w:val="20"/>
        </w:rPr>
        <w:t xml:space="preserve">ożywotniego pozbawienia wolności bez możliwości złagodzenia kary nie była karą nieredukowalną de iure. W sprawie skarżącego Trybunał stwierdził, że w chwili złożenia skargi w sierpniu 2002 r. odbył on tylko 13 lat kary dożywotniego pozbawienia wolności. Ponadto złożył on wniosek o prezydenckie ułaskawienie, który został zbadany i odrzucony przez właściwą Komisję. Ani prawo ani władze nie stały na przeszkodzie w złożeniu nowego wniosku do Wiceprezydenta. W związku z tym nie zostało wykazane ponad wszelką </w:t>
      </w:r>
      <w:r w:rsidRPr="001A251C">
        <w:rPr>
          <w:color w:val="0070C0"/>
          <w:sz w:val="20"/>
          <w:szCs w:val="20"/>
        </w:rPr>
        <w:lastRenderedPageBreak/>
        <w:t>wątpliwość,</w:t>
      </w:r>
      <w:r w:rsidR="00D0668B">
        <w:rPr>
          <w:color w:val="0070C0"/>
          <w:sz w:val="20"/>
          <w:szCs w:val="20"/>
        </w:rPr>
        <w:t xml:space="preserve"> </w:t>
      </w:r>
      <w:r w:rsidRPr="001A251C">
        <w:rPr>
          <w:color w:val="0070C0"/>
          <w:sz w:val="20"/>
          <w:szCs w:val="20"/>
        </w:rPr>
        <w:t>że w praktyce kara skarżącego nie zostałaby nigdy skrócona. Nie ustalono również, że został pozbawiony wszelkiej szansy na zwolnienie z zakładu karnego.</w:t>
      </w:r>
    </w:p>
    <w:p w14:paraId="3F4C70EA" w14:textId="289F87E7" w:rsidR="00662688" w:rsidRDefault="001D300A" w:rsidP="00CC5FD1">
      <w:pPr>
        <w:pStyle w:val="Nagwek2"/>
        <w:spacing w:after="120"/>
        <w:ind w:left="850" w:right="567"/>
        <w:rPr>
          <w:b w:val="0"/>
          <w:bCs w:val="0"/>
          <w:u w:val="none"/>
        </w:rPr>
      </w:pPr>
      <w:r w:rsidRPr="00AF01A7">
        <w:rPr>
          <w:b w:val="0"/>
          <w:bCs w:val="0"/>
          <w:u w:val="none"/>
        </w:rPr>
        <w:t xml:space="preserve">Zobacz również, między innymi: </w:t>
      </w:r>
      <w:r w:rsidRPr="00274933">
        <w:rPr>
          <w:i/>
          <w:iCs/>
          <w:color w:val="0070C0"/>
        </w:rPr>
        <w:t>Todorov przeciwko Bułg</w:t>
      </w:r>
      <w:r w:rsidR="00103097" w:rsidRPr="00274933">
        <w:rPr>
          <w:i/>
          <w:iCs/>
          <w:color w:val="0070C0"/>
        </w:rPr>
        <w:t>a</w:t>
      </w:r>
      <w:r w:rsidRPr="00274933">
        <w:rPr>
          <w:i/>
          <w:iCs/>
          <w:color w:val="0070C0"/>
        </w:rPr>
        <w:t xml:space="preserve">rii </w:t>
      </w:r>
      <w:r w:rsidRPr="00274933">
        <w:rPr>
          <w:b w:val="0"/>
          <w:bCs w:val="0"/>
          <w:color w:val="0070C0"/>
          <w:u w:val="none"/>
        </w:rPr>
        <w:t xml:space="preserve">oraz </w:t>
      </w:r>
      <w:r w:rsidRPr="00CD6D4F">
        <w:rPr>
          <w:i/>
          <w:iCs/>
          <w:color w:val="0070C0"/>
        </w:rPr>
        <w:t>Simeonovi przeciwko Bułgarii</w:t>
      </w:r>
      <w:r w:rsidRPr="00CD6D4F">
        <w:rPr>
          <w:b w:val="0"/>
          <w:bCs w:val="0"/>
          <w:color w:val="0070C0"/>
          <w:u w:val="none"/>
        </w:rPr>
        <w:t xml:space="preserve">, decyzje w sprawie dopuszczalności z 23 sierpnia 2011 r.; </w:t>
      </w:r>
      <w:r w:rsidRPr="00CD6D4F">
        <w:rPr>
          <w:i/>
          <w:iCs/>
          <w:color w:val="0070C0"/>
        </w:rPr>
        <w:t>Dimitrov i Ribov przeciwko Bułgarii</w:t>
      </w:r>
      <w:r w:rsidRPr="00CD6D4F">
        <w:rPr>
          <w:b w:val="0"/>
          <w:bCs w:val="0"/>
          <w:color w:val="0070C0"/>
          <w:u w:val="none"/>
        </w:rPr>
        <w:t xml:space="preserve">, decyzja z 8 listopada 2011 r.; </w:t>
      </w:r>
      <w:r w:rsidRPr="00CD6D4F">
        <w:rPr>
          <w:i/>
          <w:iCs/>
          <w:color w:val="0070C0"/>
        </w:rPr>
        <w:t>Iordan Petrov przeciwko Bułgarii</w:t>
      </w:r>
      <w:r w:rsidRPr="00CD6D4F">
        <w:rPr>
          <w:b w:val="0"/>
          <w:bCs w:val="0"/>
          <w:color w:val="0070C0"/>
          <w:u w:val="none"/>
        </w:rPr>
        <w:t xml:space="preserve">, wyrok z 24 stycznia 2012 r.; </w:t>
      </w:r>
      <w:r w:rsidRPr="00CD6D4F">
        <w:rPr>
          <w:i/>
          <w:iCs/>
          <w:color w:val="0070C0"/>
        </w:rPr>
        <w:t>Kostov przeciwko Bułgarii</w:t>
      </w:r>
      <w:r w:rsidRPr="00CD6D4F">
        <w:rPr>
          <w:b w:val="0"/>
          <w:bCs w:val="0"/>
          <w:color w:val="0070C0"/>
        </w:rPr>
        <w:t>,</w:t>
      </w:r>
      <w:r w:rsidRPr="00CD6D4F">
        <w:rPr>
          <w:b w:val="0"/>
          <w:bCs w:val="0"/>
          <w:color w:val="0070C0"/>
          <w:u w:val="none"/>
        </w:rPr>
        <w:t xml:space="preserve"> </w:t>
      </w:r>
      <w:r w:rsidRPr="00274933">
        <w:rPr>
          <w:b w:val="0"/>
          <w:bCs w:val="0"/>
          <w:color w:val="0070C0"/>
          <w:u w:val="none"/>
        </w:rPr>
        <w:t>decyzja w sprawie dopuszczalności z 14 lutego 2012 r</w:t>
      </w:r>
      <w:r w:rsidR="00F7083D" w:rsidRPr="00274933">
        <w:rPr>
          <w:b w:val="0"/>
          <w:bCs w:val="0"/>
          <w:color w:val="0070C0"/>
          <w:u w:val="none"/>
        </w:rPr>
        <w:t>.</w:t>
      </w:r>
    </w:p>
    <w:p w14:paraId="4E8B826C" w14:textId="283B8FB4" w:rsidR="00A80FD2" w:rsidRPr="00CD6D4F" w:rsidRDefault="00A80FD2" w:rsidP="00A80FD2">
      <w:pPr>
        <w:pStyle w:val="Nagwek2"/>
        <w:jc w:val="left"/>
      </w:pPr>
      <w:r w:rsidRPr="00CD6D4F">
        <w:rPr>
          <w:color w:val="0070C0"/>
        </w:rPr>
        <w:t>Törköly przeciwko Węgrom</w:t>
      </w:r>
      <w:r w:rsidRPr="00CD6D4F">
        <w:t xml:space="preserve"> </w:t>
      </w:r>
    </w:p>
    <w:p w14:paraId="591747CB" w14:textId="339DAEB3" w:rsidR="00A80FD2" w:rsidRDefault="002A2B4C" w:rsidP="00EE132F">
      <w:pPr>
        <w:spacing w:line="218" w:lineRule="exact"/>
        <w:ind w:left="860"/>
        <w:rPr>
          <w:sz w:val="18"/>
        </w:rPr>
      </w:pPr>
      <w:r>
        <w:rPr>
          <w:color w:val="808080"/>
          <w:sz w:val="18"/>
        </w:rPr>
        <w:t xml:space="preserve">5 kwietnia 2011 </w:t>
      </w:r>
      <w:r w:rsidR="00A80FD2">
        <w:rPr>
          <w:color w:val="808080"/>
          <w:sz w:val="18"/>
        </w:rPr>
        <w:t>r.</w:t>
      </w:r>
      <w:r>
        <w:rPr>
          <w:color w:val="808080"/>
          <w:sz w:val="18"/>
        </w:rPr>
        <w:t xml:space="preserve"> (decyzja w sprawie dopuszczalności)</w:t>
      </w:r>
    </w:p>
    <w:p w14:paraId="0ECE8420" w14:textId="3B6C129B" w:rsidR="002A2B4C" w:rsidRPr="00D372F5" w:rsidRDefault="00D372F5" w:rsidP="00D372F5">
      <w:pPr>
        <w:pStyle w:val="Nagwek2"/>
        <w:spacing w:before="0"/>
        <w:ind w:left="850" w:right="850"/>
        <w:rPr>
          <w:b w:val="0"/>
          <w:bCs w:val="0"/>
          <w:u w:val="none"/>
        </w:rPr>
      </w:pPr>
      <w:r w:rsidRPr="00D372F5">
        <w:rPr>
          <w:b w:val="0"/>
          <w:bCs w:val="0"/>
          <w:u w:val="none"/>
        </w:rPr>
        <w:t>Ta s</w:t>
      </w:r>
      <w:r w:rsidR="001D300A" w:rsidRPr="00D372F5">
        <w:rPr>
          <w:b w:val="0"/>
          <w:bCs w:val="0"/>
          <w:u w:val="none"/>
        </w:rPr>
        <w:t xml:space="preserve">prawa dotyczyła kary dożywotniego pozbawienia wolności bez możliwości zwolnienia warunkowego przed upływem 40 lat. </w:t>
      </w:r>
    </w:p>
    <w:p w14:paraId="764ED013" w14:textId="01130E66" w:rsidR="001D300A" w:rsidRPr="00D372F5" w:rsidRDefault="001D300A" w:rsidP="00F7083D">
      <w:pPr>
        <w:pStyle w:val="Nagwek2"/>
        <w:spacing w:before="0" w:after="120"/>
        <w:ind w:left="850" w:right="567"/>
        <w:rPr>
          <w:b w:val="0"/>
          <w:bCs w:val="0"/>
          <w:color w:val="0070C0"/>
          <w:u w:val="none"/>
        </w:rPr>
      </w:pPr>
      <w:r w:rsidRPr="00D372F5">
        <w:rPr>
          <w:b w:val="0"/>
          <w:bCs w:val="0"/>
          <w:color w:val="0070C0"/>
          <w:u w:val="none"/>
        </w:rPr>
        <w:t xml:space="preserve">Trybunał </w:t>
      </w:r>
      <w:r w:rsidRPr="003F0F25">
        <w:rPr>
          <w:color w:val="0070C0"/>
          <w:u w:val="none"/>
        </w:rPr>
        <w:t xml:space="preserve">uznał skargę za niedopuszczalną </w:t>
      </w:r>
      <w:r w:rsidRPr="00D372F5">
        <w:rPr>
          <w:b w:val="0"/>
          <w:bCs w:val="0"/>
          <w:color w:val="0070C0"/>
          <w:u w:val="none"/>
        </w:rPr>
        <w:t>jako oczywiście bezzasadną w zakresie zarzutu nieludzkiego i poniżającego traktowania. Choć skarżący kwalifikowałby się do zwolnienia warunkowego w 2044</w:t>
      </w:r>
      <w:r w:rsidR="00CD6D4F">
        <w:rPr>
          <w:b w:val="0"/>
          <w:bCs w:val="0"/>
          <w:color w:val="0070C0"/>
          <w:u w:val="none"/>
        </w:rPr>
        <w:t xml:space="preserve"> </w:t>
      </w:r>
      <w:r w:rsidR="00CD6D4F" w:rsidRPr="00D372F5">
        <w:rPr>
          <w:b w:val="0"/>
          <w:bCs w:val="0"/>
          <w:color w:val="0070C0"/>
          <w:u w:val="none"/>
        </w:rPr>
        <w:t>r</w:t>
      </w:r>
      <w:r w:rsidR="00CD6D4F">
        <w:rPr>
          <w:b w:val="0"/>
          <w:bCs w:val="0"/>
          <w:color w:val="0070C0"/>
          <w:u w:val="none"/>
        </w:rPr>
        <w:t>.</w:t>
      </w:r>
      <w:r w:rsidRPr="00D372F5">
        <w:rPr>
          <w:b w:val="0"/>
          <w:bCs w:val="0"/>
          <w:color w:val="0070C0"/>
          <w:u w:val="none"/>
        </w:rPr>
        <w:t xml:space="preserve">, to jest w wieku 75 lat, Trybunał uznał, że wyrok wydany w sprawie skarżącego gwarantował odległą, ale realną szansę na zwolnienie. Ponadto Trybunał zauważył, że w dowolnym momencie po skazaniu skarżącemu może zostać przyznane prezydenckie ułaskawienie. Trybunał stwierdził zatem, że kara dożywocia była redukowalna de iure oraz de facto. </w:t>
      </w:r>
    </w:p>
    <w:p w14:paraId="0A39E0E4" w14:textId="3A2226AE" w:rsidR="00871CF0" w:rsidRDefault="002E7973" w:rsidP="00871CF0">
      <w:pPr>
        <w:pStyle w:val="Nagwek2"/>
        <w:jc w:val="left"/>
        <w:rPr>
          <w:u w:val="none"/>
        </w:rPr>
      </w:pPr>
      <w:hyperlink r:id="rId13">
        <w:r w:rsidR="00871CF0">
          <w:rPr>
            <w:color w:val="0071BB"/>
            <w:u w:val="thick" w:color="0071BB"/>
          </w:rPr>
          <w:t>Vinter i Inni przeciwko Zjednoczonemu Królestwu</w:t>
        </w:r>
      </w:hyperlink>
    </w:p>
    <w:p w14:paraId="1399085F" w14:textId="77777777" w:rsidR="000A08AC" w:rsidRDefault="002A2B4C" w:rsidP="00EE132F">
      <w:pPr>
        <w:spacing w:line="218" w:lineRule="exact"/>
        <w:ind w:left="860"/>
        <w:rPr>
          <w:color w:val="808080"/>
          <w:sz w:val="18"/>
        </w:rPr>
      </w:pPr>
      <w:r>
        <w:rPr>
          <w:color w:val="808080"/>
          <w:sz w:val="18"/>
        </w:rPr>
        <w:t>9</w:t>
      </w:r>
      <w:r w:rsidR="00871CF0">
        <w:rPr>
          <w:color w:val="808080"/>
          <w:sz w:val="18"/>
        </w:rPr>
        <w:t xml:space="preserve"> lipca </w:t>
      </w:r>
      <w:r>
        <w:rPr>
          <w:color w:val="808080"/>
          <w:sz w:val="18"/>
        </w:rPr>
        <w:t>2013 r.</w:t>
      </w:r>
      <w:r w:rsidR="002359EE">
        <w:rPr>
          <w:color w:val="808080"/>
          <w:sz w:val="18"/>
        </w:rPr>
        <w:t xml:space="preserve"> (Wielka Izba – wyrok)</w:t>
      </w:r>
    </w:p>
    <w:p w14:paraId="7A3021A7" w14:textId="6C8E5D75" w:rsidR="000A08AC" w:rsidRDefault="001D300A" w:rsidP="000A08AC">
      <w:pPr>
        <w:spacing w:line="218" w:lineRule="exact"/>
        <w:ind w:left="850" w:right="567"/>
        <w:jc w:val="both"/>
        <w:rPr>
          <w:sz w:val="20"/>
          <w:szCs w:val="20"/>
        </w:rPr>
      </w:pPr>
      <w:r w:rsidRPr="000A08AC">
        <w:rPr>
          <w:sz w:val="20"/>
          <w:szCs w:val="20"/>
        </w:rPr>
        <w:t xml:space="preserve">W niniejszej sprawie trzej skarżący otrzymali kary bezwzględnego dożywocia, co oznacza, że mogli zostać zwolnieni tylko w drodze dyskrecjonalnej decyzji Ministra Sprawiedliwości kierującego się </w:t>
      </w:r>
      <w:r w:rsidR="007C1C52">
        <w:rPr>
          <w:sz w:val="20"/>
          <w:szCs w:val="20"/>
        </w:rPr>
        <w:t xml:space="preserve">względami współczucia </w:t>
      </w:r>
      <w:r w:rsidRPr="000A08AC">
        <w:rPr>
          <w:sz w:val="20"/>
          <w:szCs w:val="20"/>
        </w:rPr>
        <w:t xml:space="preserve">(np. w przypadku nieuleczalnej choroby lub poważnej niepełnosprawności). Skarżący podnieśli, że ich dożywotnie osadzenie stanowiło nieludzkie i poniżające traktowanie, ponieważ pozbawieni zostali szansy na zwolnienie. </w:t>
      </w:r>
    </w:p>
    <w:p w14:paraId="3F6E5E60" w14:textId="14238425" w:rsidR="00E74FC9" w:rsidRDefault="001D300A" w:rsidP="00037C02">
      <w:pPr>
        <w:spacing w:line="218" w:lineRule="exact"/>
        <w:ind w:left="850" w:right="567"/>
        <w:jc w:val="both"/>
      </w:pPr>
      <w:r w:rsidRPr="00A24464">
        <w:rPr>
          <w:color w:val="0070C0"/>
          <w:sz w:val="20"/>
          <w:szCs w:val="20"/>
        </w:rPr>
        <w:t xml:space="preserve">Wielka Izba stwierdziła, że </w:t>
      </w:r>
      <w:r w:rsidRPr="00E14BE0">
        <w:rPr>
          <w:b/>
          <w:bCs/>
          <w:color w:val="0070C0"/>
          <w:sz w:val="20"/>
          <w:szCs w:val="20"/>
        </w:rPr>
        <w:t xml:space="preserve">doszło do naruszenia </w:t>
      </w:r>
      <w:r w:rsidR="00CE02DE">
        <w:rPr>
          <w:b/>
          <w:bCs/>
          <w:color w:val="0070C0"/>
          <w:sz w:val="20"/>
          <w:szCs w:val="20"/>
        </w:rPr>
        <w:t>art.</w:t>
      </w:r>
      <w:r w:rsidRPr="00E14BE0">
        <w:rPr>
          <w:b/>
          <w:bCs/>
          <w:color w:val="0070C0"/>
          <w:sz w:val="20"/>
          <w:szCs w:val="20"/>
        </w:rPr>
        <w:t xml:space="preserve"> 3 Konwencji</w:t>
      </w:r>
      <w:r w:rsidRPr="00A24464">
        <w:rPr>
          <w:color w:val="0070C0"/>
          <w:sz w:val="20"/>
          <w:szCs w:val="20"/>
        </w:rPr>
        <w:t>, uznając, że postanowienia tego przepisu nie zostały spełnione w odniesieniu do żadnego z trzech skarżących. Trybunał uznał w szczególności, że aby kara dożywotniego więzienia pozosta</w:t>
      </w:r>
      <w:r w:rsidR="008149DA">
        <w:rPr>
          <w:color w:val="0070C0"/>
          <w:sz w:val="20"/>
          <w:szCs w:val="20"/>
        </w:rPr>
        <w:t>wa</w:t>
      </w:r>
      <w:r w:rsidRPr="00A24464">
        <w:rPr>
          <w:color w:val="0070C0"/>
          <w:sz w:val="20"/>
          <w:szCs w:val="20"/>
        </w:rPr>
        <w:t xml:space="preserve">ła w zgodzie z </w:t>
      </w:r>
      <w:r w:rsidR="00B02036">
        <w:rPr>
          <w:color w:val="0070C0"/>
          <w:sz w:val="20"/>
          <w:szCs w:val="20"/>
        </w:rPr>
        <w:t xml:space="preserve">art. </w:t>
      </w:r>
      <w:r w:rsidRPr="00A24464">
        <w:rPr>
          <w:color w:val="0070C0"/>
          <w:sz w:val="20"/>
          <w:szCs w:val="20"/>
        </w:rPr>
        <w:t xml:space="preserve">3, musi być redukowalna lub innymi słowy musi istnieć szansa na zwolnienie więźnia oraz możliwość dokonania oceny kary. Trybunał zauważył, że </w:t>
      </w:r>
      <w:r w:rsidR="008149DA">
        <w:rPr>
          <w:color w:val="0070C0"/>
          <w:sz w:val="20"/>
          <w:szCs w:val="20"/>
        </w:rPr>
        <w:t>w p</w:t>
      </w:r>
      <w:r w:rsidRPr="00A24464">
        <w:rPr>
          <w:color w:val="0070C0"/>
          <w:sz w:val="20"/>
          <w:szCs w:val="20"/>
        </w:rPr>
        <w:t>raw</w:t>
      </w:r>
      <w:r w:rsidR="008149DA">
        <w:rPr>
          <w:color w:val="0070C0"/>
          <w:sz w:val="20"/>
          <w:szCs w:val="20"/>
        </w:rPr>
        <w:t xml:space="preserve">ie europejskim i międzynarodowym, a także w </w:t>
      </w:r>
      <w:r w:rsidRPr="00A24464">
        <w:rPr>
          <w:color w:val="0070C0"/>
          <w:sz w:val="20"/>
          <w:szCs w:val="20"/>
        </w:rPr>
        <w:t>prakty</w:t>
      </w:r>
      <w:r w:rsidR="008149DA">
        <w:rPr>
          <w:color w:val="0070C0"/>
          <w:sz w:val="20"/>
          <w:szCs w:val="20"/>
        </w:rPr>
        <w:t xml:space="preserve">ce istnieje wyraźne </w:t>
      </w:r>
      <w:r w:rsidRPr="00A24464">
        <w:rPr>
          <w:color w:val="0070C0"/>
          <w:sz w:val="20"/>
          <w:szCs w:val="20"/>
        </w:rPr>
        <w:t>poparcie dla tych zasad, a znaczna większość Układających się Stron Konwencji w ogóle nie nakłada kar dożywo</w:t>
      </w:r>
      <w:r w:rsidR="008149DA">
        <w:rPr>
          <w:color w:val="0070C0"/>
          <w:sz w:val="20"/>
          <w:szCs w:val="20"/>
        </w:rPr>
        <w:t>tniego pozbawienia wolnośc</w:t>
      </w:r>
      <w:r w:rsidRPr="00A24464">
        <w:rPr>
          <w:color w:val="0070C0"/>
          <w:sz w:val="20"/>
          <w:szCs w:val="20"/>
        </w:rPr>
        <w:t>i, a jeśli t</w:t>
      </w:r>
      <w:r w:rsidR="008149DA">
        <w:rPr>
          <w:color w:val="0070C0"/>
          <w:sz w:val="20"/>
          <w:szCs w:val="20"/>
        </w:rPr>
        <w:t>ak</w:t>
      </w:r>
      <w:r w:rsidRPr="00A24464">
        <w:rPr>
          <w:color w:val="0070C0"/>
          <w:sz w:val="20"/>
          <w:szCs w:val="20"/>
        </w:rPr>
        <w:t xml:space="preserve">, </w:t>
      </w:r>
      <w:r w:rsidR="008149DA">
        <w:rPr>
          <w:color w:val="0070C0"/>
          <w:sz w:val="20"/>
          <w:szCs w:val="20"/>
        </w:rPr>
        <w:t xml:space="preserve">to </w:t>
      </w:r>
      <w:r w:rsidRPr="00A24464">
        <w:rPr>
          <w:color w:val="0070C0"/>
          <w:sz w:val="20"/>
          <w:szCs w:val="20"/>
        </w:rPr>
        <w:t>przewidują możliwość dokonania oceny kar dożywotniego pozbawienia wolności po określonym czasie (z</w:t>
      </w:r>
      <w:r w:rsidR="00D458DB">
        <w:rPr>
          <w:color w:val="0070C0"/>
          <w:sz w:val="20"/>
          <w:szCs w:val="20"/>
        </w:rPr>
        <w:t>azwyczaj po</w:t>
      </w:r>
      <w:r w:rsidRPr="00A24464">
        <w:rPr>
          <w:color w:val="0070C0"/>
          <w:sz w:val="20"/>
          <w:szCs w:val="20"/>
        </w:rPr>
        <w:t xml:space="preserve"> 25 latach pozbawienia wolności). W sprawie skarżących, Trybunał zauważył, że przepisy krajowe dotyczące uprawnienia Ministra Sprawiedliwości </w:t>
      </w:r>
      <w:r w:rsidR="00BB2A4C">
        <w:rPr>
          <w:color w:val="0070C0"/>
          <w:sz w:val="20"/>
          <w:szCs w:val="20"/>
        </w:rPr>
        <w:t>[</w:t>
      </w:r>
      <w:r w:rsidR="004F1C2C" w:rsidRPr="00BB2A4C">
        <w:rPr>
          <w:i/>
          <w:iCs/>
          <w:color w:val="0070C0"/>
          <w:sz w:val="20"/>
          <w:szCs w:val="20"/>
        </w:rPr>
        <w:t>Justice Secretary</w:t>
      </w:r>
      <w:r w:rsidR="00BB2A4C">
        <w:rPr>
          <w:color w:val="0070C0"/>
          <w:sz w:val="20"/>
          <w:szCs w:val="20"/>
        </w:rPr>
        <w:t>]</w:t>
      </w:r>
      <w:r w:rsidR="004F1C2C">
        <w:rPr>
          <w:color w:val="0070C0"/>
          <w:sz w:val="20"/>
          <w:szCs w:val="20"/>
        </w:rPr>
        <w:t xml:space="preserve"> </w:t>
      </w:r>
      <w:r w:rsidRPr="00A24464">
        <w:rPr>
          <w:color w:val="0070C0"/>
          <w:sz w:val="20"/>
          <w:szCs w:val="20"/>
        </w:rPr>
        <w:t>do zwolnienia osoby odbywającej karę bezwzględnego dożywocia były niejasne. Ponadto, przed 2003 r. ocena zasadności stosowania dożywotniego pozbawienia dożywocia dokonywana była</w:t>
      </w:r>
      <w:r w:rsidR="004F1C2C">
        <w:rPr>
          <w:color w:val="0070C0"/>
          <w:sz w:val="20"/>
          <w:szCs w:val="20"/>
        </w:rPr>
        <w:t xml:space="preserve"> </w:t>
      </w:r>
      <w:r w:rsidRPr="00A24464">
        <w:rPr>
          <w:color w:val="0070C0"/>
          <w:sz w:val="20"/>
          <w:szCs w:val="20"/>
        </w:rPr>
        <w:t>automatycznie przez Ministra po odbyciu przez skazanego dwudziestu pięciu lat kary dożywotniego pozbawienia wolności. Mechanizm ten został wyeliminowany w 2003 r., a</w:t>
      </w:r>
      <w:r w:rsidR="00F67EA0">
        <w:rPr>
          <w:color w:val="0070C0"/>
          <w:sz w:val="20"/>
          <w:szCs w:val="20"/>
        </w:rPr>
        <w:t>le</w:t>
      </w:r>
      <w:r w:rsidRPr="00A24464">
        <w:rPr>
          <w:color w:val="0070C0"/>
          <w:sz w:val="20"/>
          <w:szCs w:val="20"/>
        </w:rPr>
        <w:t xml:space="preserve"> nie zastąpiła go żadna alternatywna procedura. W tych okolicznościach, Trybunał nie został przekonany, iż kary dożywotniego pozbawienia wolności orzeczone wobec skarżących były zgodne z Konwencją. Jednakże</w:t>
      </w:r>
      <w:r w:rsidR="00103097">
        <w:rPr>
          <w:color w:val="0070C0"/>
          <w:sz w:val="20"/>
          <w:szCs w:val="20"/>
        </w:rPr>
        <w:t>,</w:t>
      </w:r>
      <w:r w:rsidRPr="00A24464">
        <w:rPr>
          <w:color w:val="0070C0"/>
          <w:sz w:val="20"/>
          <w:szCs w:val="20"/>
        </w:rPr>
        <w:t xml:space="preserve"> stwierdzając w przedmiotowej sprawie naruszenie</w:t>
      </w:r>
      <w:r w:rsidR="00103097">
        <w:rPr>
          <w:color w:val="0070C0"/>
          <w:sz w:val="20"/>
          <w:szCs w:val="20"/>
        </w:rPr>
        <w:t>,</w:t>
      </w:r>
      <w:r w:rsidRPr="00A24464">
        <w:rPr>
          <w:color w:val="0070C0"/>
          <w:sz w:val="20"/>
          <w:szCs w:val="20"/>
        </w:rPr>
        <w:t xml:space="preserve"> Trybunał nie zamierzał dać skarżącym </w:t>
      </w:r>
      <w:r w:rsidR="00D372F5">
        <w:rPr>
          <w:color w:val="0070C0"/>
          <w:sz w:val="20"/>
          <w:szCs w:val="20"/>
        </w:rPr>
        <w:t>żadnej perspektywy r</w:t>
      </w:r>
      <w:r w:rsidRPr="00A24464">
        <w:rPr>
          <w:color w:val="0070C0"/>
          <w:sz w:val="20"/>
          <w:szCs w:val="20"/>
        </w:rPr>
        <w:t>ychłe</w:t>
      </w:r>
      <w:r w:rsidR="00D372F5">
        <w:rPr>
          <w:color w:val="0070C0"/>
          <w:sz w:val="20"/>
          <w:szCs w:val="20"/>
        </w:rPr>
        <w:t>go zwolnienia</w:t>
      </w:r>
      <w:r w:rsidRPr="00A24464">
        <w:rPr>
          <w:color w:val="0070C0"/>
          <w:sz w:val="20"/>
          <w:szCs w:val="20"/>
        </w:rPr>
        <w:t>. To, czy powinni zostać zwolnieni zależałoby, przykładowo, od tego czy wciąż istnieją uzasadnione podstawy o charakterze penalnym do ich dalszego osadzenia oraz czy powinni pozosta</w:t>
      </w:r>
      <w:r w:rsidR="00D372F5">
        <w:rPr>
          <w:color w:val="0070C0"/>
          <w:sz w:val="20"/>
          <w:szCs w:val="20"/>
        </w:rPr>
        <w:t xml:space="preserve">wać osadzeni </w:t>
      </w:r>
      <w:r w:rsidRPr="00A24464">
        <w:rPr>
          <w:color w:val="0070C0"/>
          <w:sz w:val="20"/>
          <w:szCs w:val="20"/>
        </w:rPr>
        <w:t>ze względu na stwarzane przez nich zagrożenie. Kwestie te nie zostały w niniejszej sprawie podniesione i nie stanowiły argumentu przedstawionego przed Trybunałem.</w:t>
      </w:r>
      <w:r w:rsidRPr="000A08AC">
        <w:rPr>
          <w:sz w:val="20"/>
          <w:szCs w:val="20"/>
        </w:rPr>
        <w:t xml:space="preserve"> </w:t>
      </w:r>
    </w:p>
    <w:bookmarkStart w:id="0" w:name="_Hlk44600288"/>
    <w:p w14:paraId="130648FB" w14:textId="0714C07A" w:rsidR="00103097" w:rsidRPr="00EE132F" w:rsidRDefault="00D61386" w:rsidP="00103097">
      <w:pPr>
        <w:pStyle w:val="Nagwek2"/>
        <w:spacing w:before="240"/>
        <w:ind w:left="850"/>
        <w:jc w:val="left"/>
        <w:rPr>
          <w:color w:val="0070C0"/>
        </w:rPr>
      </w:pPr>
      <w:r w:rsidRPr="00EE132F">
        <w:rPr>
          <w:color w:val="0070C0"/>
        </w:rPr>
        <w:fldChar w:fldCharType="begin"/>
      </w:r>
      <w:r w:rsidRPr="00EE132F">
        <w:rPr>
          <w:color w:val="0070C0"/>
        </w:rPr>
        <w:instrText xml:space="preserve"> HYPERLINK "http://cmiskp.echr.coe.int/tkp197/view.asp?action=html&amp;amp;documentId=695496&amp;amp;portal=hbkm&amp;amp;source=externalbydocnumber&amp;amp;table=F69A27FD8FB86142BF01C1166DEA398649" \h </w:instrText>
      </w:r>
      <w:r w:rsidRPr="00EE132F">
        <w:rPr>
          <w:color w:val="0070C0"/>
        </w:rPr>
        <w:fldChar w:fldCharType="separate"/>
      </w:r>
      <w:proofErr w:type="spellStart"/>
      <w:r w:rsidR="00353792" w:rsidRPr="00EE132F">
        <w:rPr>
          <w:color w:val="0070C0"/>
        </w:rPr>
        <w:t>Öcalan</w:t>
      </w:r>
      <w:proofErr w:type="spellEnd"/>
      <w:r w:rsidR="00353792" w:rsidRPr="00EE132F">
        <w:rPr>
          <w:color w:val="0070C0"/>
        </w:rPr>
        <w:t xml:space="preserve"> przeciwko Turcji (nr. 2)</w:t>
      </w:r>
      <w:r w:rsidRPr="00EE132F">
        <w:rPr>
          <w:color w:val="0070C0"/>
        </w:rPr>
        <w:fldChar w:fldCharType="end"/>
      </w:r>
    </w:p>
    <w:p w14:paraId="732A707D" w14:textId="560E0904" w:rsidR="00103097" w:rsidRPr="008A3009" w:rsidRDefault="00103097" w:rsidP="00103097">
      <w:pPr>
        <w:pStyle w:val="Nagwek2"/>
        <w:spacing w:before="0"/>
        <w:ind w:left="850" w:right="567"/>
        <w:rPr>
          <w:b w:val="0"/>
          <w:bCs w:val="0"/>
          <w:color w:val="A6A6A6" w:themeColor="background1" w:themeShade="A6"/>
          <w:sz w:val="18"/>
          <w:szCs w:val="18"/>
          <w:u w:val="none"/>
        </w:rPr>
      </w:pPr>
      <w:r w:rsidRPr="008A3009">
        <w:rPr>
          <w:b w:val="0"/>
          <w:bCs w:val="0"/>
          <w:color w:val="A6A6A6" w:themeColor="background1" w:themeShade="A6"/>
          <w:sz w:val="18"/>
          <w:szCs w:val="18"/>
          <w:u w:val="none"/>
        </w:rPr>
        <w:t>8 marca 2014  r. (wyrok)</w:t>
      </w:r>
    </w:p>
    <w:bookmarkEnd w:id="0"/>
    <w:p w14:paraId="621F5771" w14:textId="1B407C3A" w:rsidR="00B67DD1" w:rsidRPr="008A3009" w:rsidRDefault="00631167" w:rsidP="00D71EB6">
      <w:pPr>
        <w:spacing w:line="218" w:lineRule="exact"/>
        <w:ind w:left="850" w:right="567"/>
        <w:jc w:val="both"/>
        <w:rPr>
          <w:sz w:val="20"/>
          <w:szCs w:val="20"/>
        </w:rPr>
      </w:pPr>
      <w:r w:rsidRPr="008A3009">
        <w:rPr>
          <w:sz w:val="20"/>
          <w:szCs w:val="20"/>
        </w:rPr>
        <w:t>S</w:t>
      </w:r>
      <w:r w:rsidR="00E232B2" w:rsidRPr="008A3009">
        <w:rPr>
          <w:sz w:val="20"/>
          <w:szCs w:val="20"/>
        </w:rPr>
        <w:t xml:space="preserve">karżący, założyciel PKK (Kurdyjska Partia Pracy), będącej organizacją nielegalną, zaskarżył przede wszystkim nieredukowalny charakter </w:t>
      </w:r>
      <w:r w:rsidR="00643D34" w:rsidRPr="008A3009">
        <w:rPr>
          <w:sz w:val="20"/>
          <w:szCs w:val="20"/>
        </w:rPr>
        <w:t xml:space="preserve">orzeczonej wobec niego </w:t>
      </w:r>
      <w:r w:rsidR="00E232B2" w:rsidRPr="008A3009">
        <w:rPr>
          <w:sz w:val="20"/>
          <w:szCs w:val="20"/>
        </w:rPr>
        <w:t>kary dożywotniego pozbawienia wolności, a także warunki osadzenia w zakładzie karnym İmralı (Bursa, Turcja). W następstwie zniesienia w prawie tureckim, w sierpniu 2002 r</w:t>
      </w:r>
      <w:r w:rsidR="00103097" w:rsidRPr="008A3009">
        <w:rPr>
          <w:sz w:val="20"/>
          <w:szCs w:val="20"/>
        </w:rPr>
        <w:t>.</w:t>
      </w:r>
      <w:r w:rsidR="00E232B2" w:rsidRPr="008A3009">
        <w:rPr>
          <w:sz w:val="20"/>
          <w:szCs w:val="20"/>
        </w:rPr>
        <w:t xml:space="preserve">, kary </w:t>
      </w:r>
      <w:r w:rsidR="00E232B2" w:rsidRPr="008A3009">
        <w:rPr>
          <w:sz w:val="20"/>
          <w:szCs w:val="20"/>
        </w:rPr>
        <w:lastRenderedPageBreak/>
        <w:t>śmierci w czasie pokoju, Sąd Bezpieczeństwa Państwa w Ankarze zamienił skarżącemu, w październiku 2002 r</w:t>
      </w:r>
      <w:r w:rsidR="00103097" w:rsidRPr="008A3009">
        <w:rPr>
          <w:sz w:val="20"/>
          <w:szCs w:val="20"/>
        </w:rPr>
        <w:t>.,</w:t>
      </w:r>
      <w:r w:rsidR="00E232B2" w:rsidRPr="008A3009">
        <w:rPr>
          <w:sz w:val="20"/>
          <w:szCs w:val="20"/>
        </w:rPr>
        <w:t xml:space="preserve"> karę śmierci na karę dożywotniego pozbawienia wolności. </w:t>
      </w:r>
    </w:p>
    <w:p w14:paraId="69B5C385" w14:textId="28F6C315" w:rsidR="005F7C34" w:rsidRDefault="00E232B2" w:rsidP="0052545F">
      <w:pPr>
        <w:spacing w:after="240" w:line="218" w:lineRule="exact"/>
        <w:ind w:left="850" w:right="567"/>
        <w:jc w:val="both"/>
        <w:rPr>
          <w:color w:val="808080"/>
          <w:sz w:val="20"/>
          <w:szCs w:val="20"/>
        </w:rPr>
      </w:pPr>
      <w:r w:rsidRPr="00B67DD1">
        <w:rPr>
          <w:color w:val="0070C0"/>
          <w:sz w:val="20"/>
          <w:szCs w:val="20"/>
        </w:rPr>
        <w:t xml:space="preserve">Trybunał stwierdził, że </w:t>
      </w:r>
      <w:r w:rsidRPr="00E14BE0">
        <w:rPr>
          <w:b/>
          <w:bCs/>
          <w:color w:val="0070C0"/>
          <w:sz w:val="20"/>
          <w:szCs w:val="20"/>
        </w:rPr>
        <w:t xml:space="preserve">doszło do naruszenia </w:t>
      </w:r>
      <w:r w:rsidR="00B02036">
        <w:rPr>
          <w:b/>
          <w:bCs/>
          <w:color w:val="0070C0"/>
          <w:sz w:val="20"/>
          <w:szCs w:val="20"/>
        </w:rPr>
        <w:t>art.</w:t>
      </w:r>
      <w:r w:rsidRPr="00E14BE0">
        <w:rPr>
          <w:b/>
          <w:bCs/>
          <w:color w:val="0070C0"/>
          <w:sz w:val="20"/>
          <w:szCs w:val="20"/>
        </w:rPr>
        <w:t xml:space="preserve"> 3 Konwencji</w:t>
      </w:r>
      <w:r w:rsidRPr="00B67DD1">
        <w:rPr>
          <w:color w:val="0070C0"/>
          <w:sz w:val="20"/>
          <w:szCs w:val="20"/>
        </w:rPr>
        <w:t xml:space="preserve"> w zakresie orzeczonej wobec skarżącego kary dożywotniego pozbawienia wolności bez możliwości warunkowego zwolnienia, uznając iż w przypadku braku jakiegokolwiek mechanizmu oceny, kara dożywotniego więzienia orzeczona wobec skarżącego była karą nieredukowalną, </w:t>
      </w:r>
      <w:r w:rsidR="00B67DD1">
        <w:rPr>
          <w:color w:val="0070C0"/>
          <w:sz w:val="20"/>
          <w:szCs w:val="20"/>
        </w:rPr>
        <w:br/>
      </w:r>
      <w:r w:rsidRPr="00B67DD1">
        <w:rPr>
          <w:color w:val="0070C0"/>
          <w:sz w:val="20"/>
          <w:szCs w:val="20"/>
        </w:rPr>
        <w:t>co stanowiło nieludzkie traktowanie. Trybunał zauważył w szczególności, że ze względu na status skarżącego jako osoby skazanej na dożywocie za zbrodnię przeciwko bezpieczeństwu państwa, ubieganie się o zwolnienie było wyraźnie zakazane na przestrzeni całego okresu odbywania kary. Ponadto, mimo iż faktycznie w prawie tureckim Prezydent miał prawo nakazać zwolnienie osoby dożywotni</w:t>
      </w:r>
      <w:r w:rsidR="00103097" w:rsidRPr="00B67DD1">
        <w:rPr>
          <w:color w:val="0070C0"/>
          <w:sz w:val="20"/>
          <w:szCs w:val="20"/>
        </w:rPr>
        <w:t>o</w:t>
      </w:r>
      <w:r w:rsidRPr="00B67DD1">
        <w:rPr>
          <w:color w:val="0070C0"/>
          <w:sz w:val="20"/>
          <w:szCs w:val="20"/>
        </w:rPr>
        <w:t xml:space="preserve"> skazanej</w:t>
      </w:r>
      <w:r w:rsidR="008A1E24">
        <w:rPr>
          <w:color w:val="0070C0"/>
          <w:sz w:val="20"/>
          <w:szCs w:val="20"/>
        </w:rPr>
        <w:t>, która jest starsza lub chora</w:t>
      </w:r>
      <w:r w:rsidRPr="00B67DD1">
        <w:rPr>
          <w:color w:val="0070C0"/>
          <w:sz w:val="20"/>
          <w:szCs w:val="20"/>
        </w:rPr>
        <w:t>, stanowiło to zwolnienie z</w:t>
      </w:r>
      <w:r w:rsidR="007C1C52">
        <w:rPr>
          <w:color w:val="0070C0"/>
          <w:sz w:val="20"/>
          <w:szCs w:val="20"/>
        </w:rPr>
        <w:t xml:space="preserve">e względów </w:t>
      </w:r>
      <w:r w:rsidR="00037C02">
        <w:rPr>
          <w:color w:val="0070C0"/>
          <w:sz w:val="20"/>
          <w:szCs w:val="20"/>
        </w:rPr>
        <w:t xml:space="preserve">współczucia </w:t>
      </w:r>
      <w:r w:rsidR="00C56AB5">
        <w:rPr>
          <w:color w:val="0070C0"/>
          <w:sz w:val="20"/>
          <w:szCs w:val="20"/>
        </w:rPr>
        <w:t>[</w:t>
      </w:r>
      <w:r w:rsidR="00037C02">
        <w:rPr>
          <w:color w:val="0070C0"/>
          <w:sz w:val="20"/>
          <w:szCs w:val="20"/>
        </w:rPr>
        <w:t>compassiona</w:t>
      </w:r>
      <w:r w:rsidR="002D4778">
        <w:rPr>
          <w:color w:val="0070C0"/>
          <w:sz w:val="20"/>
          <w:szCs w:val="20"/>
        </w:rPr>
        <w:t>te</w:t>
      </w:r>
      <w:r w:rsidR="00037C02">
        <w:rPr>
          <w:color w:val="0070C0"/>
          <w:sz w:val="20"/>
          <w:szCs w:val="20"/>
        </w:rPr>
        <w:t xml:space="preserve"> grounds</w:t>
      </w:r>
      <w:r w:rsidR="00C56AB5">
        <w:rPr>
          <w:color w:val="0070C0"/>
          <w:sz w:val="20"/>
          <w:szCs w:val="20"/>
        </w:rPr>
        <w:t>]</w:t>
      </w:r>
      <w:r w:rsidR="00037C02">
        <w:rPr>
          <w:color w:val="0070C0"/>
          <w:sz w:val="20"/>
          <w:szCs w:val="20"/>
        </w:rPr>
        <w:t xml:space="preserve">, </w:t>
      </w:r>
      <w:r w:rsidRPr="00B67DD1">
        <w:rPr>
          <w:color w:val="0070C0"/>
          <w:sz w:val="20"/>
          <w:szCs w:val="20"/>
        </w:rPr>
        <w:t xml:space="preserve">co jest okolicznością odmienną od "szansy na zwolnienie". Choć turecki ustawodawca regularnie uchwalał ustawy dotyczące generalnej lub częściowej amnestii, Trybunałowi nie </w:t>
      </w:r>
      <w:r w:rsidR="003C525E">
        <w:rPr>
          <w:color w:val="0070C0"/>
          <w:sz w:val="20"/>
          <w:szCs w:val="20"/>
        </w:rPr>
        <w:t xml:space="preserve">wykazano aby był </w:t>
      </w:r>
      <w:r w:rsidRPr="00B67DD1">
        <w:rPr>
          <w:color w:val="0070C0"/>
          <w:sz w:val="20"/>
          <w:szCs w:val="20"/>
        </w:rPr>
        <w:t xml:space="preserve">przygotowywany rządowy plan dotyczący skarżącego </w:t>
      </w:r>
      <w:r w:rsidR="000B2EB5">
        <w:rPr>
          <w:color w:val="0070C0"/>
          <w:sz w:val="20"/>
          <w:szCs w:val="20"/>
        </w:rPr>
        <w:t xml:space="preserve">lub żeby </w:t>
      </w:r>
      <w:r w:rsidR="003C525E">
        <w:rPr>
          <w:color w:val="0070C0"/>
          <w:sz w:val="20"/>
          <w:szCs w:val="20"/>
        </w:rPr>
        <w:t xml:space="preserve">w związku z tym zaoferowano mu </w:t>
      </w:r>
      <w:r w:rsidRPr="00B67DD1">
        <w:rPr>
          <w:color w:val="0070C0"/>
          <w:sz w:val="20"/>
          <w:szCs w:val="20"/>
        </w:rPr>
        <w:t>szans</w:t>
      </w:r>
      <w:r w:rsidR="003C525E">
        <w:rPr>
          <w:color w:val="0070C0"/>
          <w:sz w:val="20"/>
          <w:szCs w:val="20"/>
        </w:rPr>
        <w:t xml:space="preserve">ę </w:t>
      </w:r>
      <w:r w:rsidR="000B2EB5">
        <w:rPr>
          <w:color w:val="0070C0"/>
          <w:sz w:val="20"/>
          <w:szCs w:val="20"/>
        </w:rPr>
        <w:t xml:space="preserve">na </w:t>
      </w:r>
      <w:r w:rsidRPr="00B67DD1">
        <w:rPr>
          <w:color w:val="0070C0"/>
          <w:sz w:val="20"/>
          <w:szCs w:val="20"/>
        </w:rPr>
        <w:t>zwolnienie.</w:t>
      </w:r>
      <w:r w:rsidR="008A1E24" w:rsidRPr="008A1E24">
        <w:rPr>
          <w:color w:val="808080"/>
          <w:sz w:val="20"/>
          <w:szCs w:val="20"/>
        </w:rPr>
        <w:t xml:space="preserve"> </w:t>
      </w:r>
    </w:p>
    <w:p w14:paraId="1984791F" w14:textId="49D27E37" w:rsidR="005F7C34" w:rsidRPr="009B2B8C" w:rsidRDefault="008A1E24" w:rsidP="00100A18">
      <w:pPr>
        <w:spacing w:line="218" w:lineRule="exact"/>
        <w:ind w:left="850" w:right="567"/>
        <w:jc w:val="both"/>
        <w:rPr>
          <w:sz w:val="20"/>
          <w:szCs w:val="20"/>
        </w:rPr>
      </w:pPr>
      <w:r w:rsidRPr="009B2B8C">
        <w:rPr>
          <w:sz w:val="20"/>
          <w:szCs w:val="20"/>
        </w:rPr>
        <w:t xml:space="preserve">Zob. również: </w:t>
      </w:r>
      <w:r w:rsidRPr="00C71183">
        <w:rPr>
          <w:b/>
          <w:bCs/>
          <w:i/>
          <w:iCs/>
          <w:color w:val="0070C0"/>
          <w:sz w:val="20"/>
          <w:szCs w:val="20"/>
          <w:u w:val="single"/>
        </w:rPr>
        <w:t>Kaytan przeciwko Turcji</w:t>
      </w:r>
      <w:r w:rsidRPr="009B2B8C">
        <w:rPr>
          <w:sz w:val="20"/>
          <w:szCs w:val="20"/>
        </w:rPr>
        <w:t>, wyrok z dnia 15 września 2015 r.;</w:t>
      </w:r>
      <w:r w:rsidRPr="008A1E24">
        <w:rPr>
          <w:color w:val="808080"/>
          <w:sz w:val="20"/>
          <w:szCs w:val="20"/>
        </w:rPr>
        <w:t xml:space="preserve"> </w:t>
      </w:r>
      <w:r w:rsidRPr="00C71183">
        <w:rPr>
          <w:b/>
          <w:bCs/>
          <w:i/>
          <w:iCs/>
          <w:color w:val="0070C0"/>
          <w:sz w:val="20"/>
          <w:szCs w:val="20"/>
          <w:u w:val="single"/>
        </w:rPr>
        <w:t>Gurban przeciwko Turcji</w:t>
      </w:r>
      <w:r w:rsidRPr="009B2B8C">
        <w:rPr>
          <w:sz w:val="20"/>
          <w:szCs w:val="20"/>
        </w:rPr>
        <w:t>, wyrok z dnia 15 grudnia 2015 r.;</w:t>
      </w:r>
      <w:r w:rsidRPr="008A1E24">
        <w:rPr>
          <w:color w:val="808080"/>
          <w:sz w:val="20"/>
          <w:szCs w:val="20"/>
        </w:rPr>
        <w:t xml:space="preserve"> </w:t>
      </w:r>
      <w:r w:rsidRPr="00C71183">
        <w:rPr>
          <w:b/>
          <w:bCs/>
          <w:i/>
          <w:iCs/>
          <w:color w:val="0070C0"/>
          <w:sz w:val="20"/>
          <w:szCs w:val="20"/>
          <w:u w:val="single"/>
        </w:rPr>
        <w:t>Boltan przeciwko Turcji</w:t>
      </w:r>
      <w:r w:rsidRPr="009B2B8C">
        <w:rPr>
          <w:sz w:val="20"/>
          <w:szCs w:val="20"/>
        </w:rPr>
        <w:t xml:space="preserve">, wyrok </w:t>
      </w:r>
      <w:r w:rsidR="00EE132F">
        <w:rPr>
          <w:sz w:val="20"/>
          <w:szCs w:val="20"/>
        </w:rPr>
        <w:br/>
      </w:r>
      <w:r w:rsidRPr="009B2B8C">
        <w:rPr>
          <w:sz w:val="20"/>
          <w:szCs w:val="20"/>
        </w:rPr>
        <w:t>z dnia 12 lutego 20</w:t>
      </w:r>
      <w:r w:rsidR="005F7C34" w:rsidRPr="009B2B8C">
        <w:rPr>
          <w:sz w:val="20"/>
          <w:szCs w:val="20"/>
        </w:rPr>
        <w:t>1</w:t>
      </w:r>
      <w:r w:rsidRPr="009B2B8C">
        <w:rPr>
          <w:sz w:val="20"/>
          <w:szCs w:val="20"/>
        </w:rPr>
        <w:t>9 r.</w:t>
      </w:r>
      <w:r w:rsidR="00AE1813">
        <w:rPr>
          <w:rStyle w:val="Odwoanieprzypisudolnego"/>
          <w:sz w:val="20"/>
          <w:szCs w:val="20"/>
        </w:rPr>
        <w:footnoteReference w:id="3"/>
      </w:r>
    </w:p>
    <w:p w14:paraId="7294869D" w14:textId="5EC7898F" w:rsidR="00662688" w:rsidRPr="00EE132F" w:rsidRDefault="002E7973" w:rsidP="00631167">
      <w:pPr>
        <w:pStyle w:val="Nagwek2"/>
        <w:ind w:left="850" w:right="794"/>
        <w:rPr>
          <w:color w:val="0070C0"/>
        </w:rPr>
      </w:pPr>
      <w:hyperlink r:id="rId14">
        <w:r w:rsidR="00AA1655" w:rsidRPr="00EE132F">
          <w:rPr>
            <w:color w:val="0070C0"/>
          </w:rPr>
          <w:t xml:space="preserve">László Magyar </w:t>
        </w:r>
        <w:r w:rsidR="00662688" w:rsidRPr="00EE132F">
          <w:rPr>
            <w:color w:val="0070C0"/>
          </w:rPr>
          <w:t>przeciwko Węgrom</w:t>
        </w:r>
      </w:hyperlink>
    </w:p>
    <w:p w14:paraId="46FD2B6C" w14:textId="1FDEE0A8" w:rsidR="008D7D89" w:rsidRPr="00636ED9" w:rsidRDefault="00AD22DB" w:rsidP="00AD22DB">
      <w:pPr>
        <w:spacing w:line="218" w:lineRule="exact"/>
        <w:ind w:left="850" w:right="794"/>
        <w:jc w:val="both"/>
        <w:rPr>
          <w:color w:val="A6A6A6" w:themeColor="background1" w:themeShade="A6"/>
          <w:sz w:val="18"/>
        </w:rPr>
      </w:pPr>
      <w:r w:rsidRPr="00636ED9">
        <w:rPr>
          <w:color w:val="A6A6A6" w:themeColor="background1" w:themeShade="A6"/>
          <w:sz w:val="18"/>
          <w:szCs w:val="18"/>
        </w:rPr>
        <w:t>2</w:t>
      </w:r>
      <w:r w:rsidR="008D7D89" w:rsidRPr="00636ED9">
        <w:rPr>
          <w:color w:val="A6A6A6" w:themeColor="background1" w:themeShade="A6"/>
          <w:sz w:val="18"/>
        </w:rPr>
        <w:t>0</w:t>
      </w:r>
      <w:r w:rsidR="00662688" w:rsidRPr="00636ED9">
        <w:rPr>
          <w:color w:val="A6A6A6" w:themeColor="background1" w:themeShade="A6"/>
          <w:sz w:val="18"/>
        </w:rPr>
        <w:t xml:space="preserve"> ma</w:t>
      </w:r>
      <w:r w:rsidR="008D7D89" w:rsidRPr="00636ED9">
        <w:rPr>
          <w:color w:val="A6A6A6" w:themeColor="background1" w:themeShade="A6"/>
          <w:sz w:val="18"/>
        </w:rPr>
        <w:t xml:space="preserve">ja </w:t>
      </w:r>
      <w:r w:rsidR="00662688" w:rsidRPr="00636ED9">
        <w:rPr>
          <w:color w:val="A6A6A6" w:themeColor="background1" w:themeShade="A6"/>
          <w:sz w:val="18"/>
        </w:rPr>
        <w:t>2014 r. (wyrok)</w:t>
      </w:r>
    </w:p>
    <w:p w14:paraId="751ABCDE" w14:textId="1C2D5054" w:rsidR="00BA40B4" w:rsidRPr="009B2B8C" w:rsidRDefault="00E232B2" w:rsidP="00571179">
      <w:pPr>
        <w:spacing w:line="218" w:lineRule="exact"/>
        <w:ind w:left="850" w:right="567"/>
        <w:jc w:val="both"/>
        <w:rPr>
          <w:sz w:val="20"/>
          <w:szCs w:val="20"/>
        </w:rPr>
      </w:pPr>
      <w:r w:rsidRPr="009B2B8C">
        <w:rPr>
          <w:sz w:val="20"/>
          <w:szCs w:val="20"/>
        </w:rPr>
        <w:t>Skarżący został skazany za morderstwo, napad oraz szereg innych przestępstw na karę dożywotniego pozbawienia wolności bez możliwości ubiegania się o warunkowe zwolnienie. Cho</w:t>
      </w:r>
      <w:r w:rsidR="00BA40B4">
        <w:rPr>
          <w:sz w:val="20"/>
          <w:szCs w:val="20"/>
        </w:rPr>
        <w:t xml:space="preserve">ciaż </w:t>
      </w:r>
      <w:r w:rsidRPr="009B2B8C">
        <w:rPr>
          <w:sz w:val="20"/>
          <w:szCs w:val="20"/>
        </w:rPr>
        <w:t>węgierska ustawa zasadnicza gwarant</w:t>
      </w:r>
      <w:r w:rsidR="00BA40B4">
        <w:rPr>
          <w:sz w:val="20"/>
          <w:szCs w:val="20"/>
        </w:rPr>
        <w:t xml:space="preserve">owała </w:t>
      </w:r>
      <w:r w:rsidRPr="009B2B8C">
        <w:rPr>
          <w:sz w:val="20"/>
          <w:szCs w:val="20"/>
        </w:rPr>
        <w:t>możliwość prezydenckiego ułaskawienia, od</w:t>
      </w:r>
      <w:r w:rsidR="000373F9" w:rsidRPr="009B2B8C">
        <w:rPr>
          <w:sz w:val="20"/>
          <w:szCs w:val="20"/>
        </w:rPr>
        <w:t xml:space="preserve"> </w:t>
      </w:r>
      <w:r w:rsidRPr="009B2B8C">
        <w:rPr>
          <w:sz w:val="20"/>
          <w:szCs w:val="20"/>
        </w:rPr>
        <w:t xml:space="preserve">momentu wprowadzenia kary dożywotniego pozbawienia wolności </w:t>
      </w:r>
      <w:r w:rsidR="00571179">
        <w:rPr>
          <w:sz w:val="20"/>
          <w:szCs w:val="20"/>
        </w:rPr>
        <w:br/>
      </w:r>
      <w:r w:rsidRPr="009B2B8C">
        <w:rPr>
          <w:sz w:val="20"/>
          <w:szCs w:val="20"/>
        </w:rPr>
        <w:t>w 1999 r. nie została wydana decyzja o zastosowaniu prawa łaski</w:t>
      </w:r>
      <w:r w:rsidR="00BA40B4">
        <w:rPr>
          <w:sz w:val="20"/>
          <w:szCs w:val="20"/>
        </w:rPr>
        <w:t xml:space="preserve"> wobec ż</w:t>
      </w:r>
      <w:r w:rsidR="00BA40B4" w:rsidRPr="00BA40B4">
        <w:rPr>
          <w:sz w:val="20"/>
          <w:szCs w:val="20"/>
        </w:rPr>
        <w:t>ad</w:t>
      </w:r>
      <w:r w:rsidR="00BA40B4">
        <w:rPr>
          <w:sz w:val="20"/>
          <w:szCs w:val="20"/>
        </w:rPr>
        <w:t>n</w:t>
      </w:r>
      <w:r w:rsidR="00BA40B4" w:rsidRPr="00BA40B4">
        <w:rPr>
          <w:sz w:val="20"/>
          <w:szCs w:val="20"/>
        </w:rPr>
        <w:t>ego więźnia odbywającego taki wyrok.</w:t>
      </w:r>
      <w:r w:rsidR="00BA40B4">
        <w:rPr>
          <w:sz w:val="20"/>
          <w:szCs w:val="20"/>
        </w:rPr>
        <w:t xml:space="preserve"> </w:t>
      </w:r>
      <w:r w:rsidRPr="009B2B8C">
        <w:rPr>
          <w:sz w:val="20"/>
          <w:szCs w:val="20"/>
        </w:rPr>
        <w:t>Skarżący</w:t>
      </w:r>
      <w:r w:rsidR="00BA40B4">
        <w:rPr>
          <w:sz w:val="20"/>
          <w:szCs w:val="20"/>
        </w:rPr>
        <w:t xml:space="preserve"> zarzucał </w:t>
      </w:r>
      <w:r w:rsidRPr="009B2B8C">
        <w:rPr>
          <w:sz w:val="20"/>
          <w:szCs w:val="20"/>
        </w:rPr>
        <w:t xml:space="preserve">przede wszystkim, że jego dożywotnie osadzenie bez możliwości ubiegania się o zwolnienie warunkowe stanowiło nieludzkie </w:t>
      </w:r>
      <w:r w:rsidR="00571179">
        <w:rPr>
          <w:sz w:val="20"/>
          <w:szCs w:val="20"/>
        </w:rPr>
        <w:br/>
      </w:r>
      <w:r w:rsidRPr="009B2B8C">
        <w:rPr>
          <w:sz w:val="20"/>
          <w:szCs w:val="20"/>
        </w:rPr>
        <w:t xml:space="preserve">i poniżające traktowanie z powodu braku możliwości redukcji kary. </w:t>
      </w:r>
    </w:p>
    <w:p w14:paraId="59C443AD" w14:textId="56807841" w:rsidR="00E232B2" w:rsidRPr="00AD22DB" w:rsidRDefault="00E232B2" w:rsidP="00100A18">
      <w:pPr>
        <w:spacing w:line="218" w:lineRule="exact"/>
        <w:ind w:left="850" w:right="567"/>
        <w:jc w:val="both"/>
        <w:rPr>
          <w:color w:val="0070C0"/>
          <w:sz w:val="20"/>
          <w:szCs w:val="20"/>
        </w:rPr>
      </w:pPr>
      <w:r w:rsidRPr="00AD22DB">
        <w:rPr>
          <w:color w:val="0070C0"/>
          <w:sz w:val="20"/>
          <w:szCs w:val="20"/>
        </w:rPr>
        <w:t xml:space="preserve">Trybunał stwierdził, że doszło do </w:t>
      </w:r>
      <w:r w:rsidRPr="00034695">
        <w:rPr>
          <w:b/>
          <w:bCs/>
          <w:color w:val="0070C0"/>
          <w:sz w:val="20"/>
          <w:szCs w:val="20"/>
        </w:rPr>
        <w:t xml:space="preserve">naruszenia </w:t>
      </w:r>
      <w:r w:rsidR="00B02036">
        <w:rPr>
          <w:b/>
          <w:bCs/>
          <w:color w:val="0070C0"/>
          <w:sz w:val="20"/>
          <w:szCs w:val="20"/>
        </w:rPr>
        <w:t>art.</w:t>
      </w:r>
      <w:r w:rsidRPr="00034695">
        <w:rPr>
          <w:b/>
          <w:bCs/>
          <w:color w:val="0070C0"/>
          <w:sz w:val="20"/>
          <w:szCs w:val="20"/>
        </w:rPr>
        <w:t xml:space="preserve"> 3 Konwencji</w:t>
      </w:r>
      <w:r w:rsidRPr="00AD22DB">
        <w:rPr>
          <w:color w:val="0070C0"/>
          <w:sz w:val="20"/>
          <w:szCs w:val="20"/>
        </w:rPr>
        <w:t xml:space="preserve"> w zakresie </w:t>
      </w:r>
      <w:r w:rsidR="00643D34" w:rsidRPr="00AD22DB">
        <w:rPr>
          <w:color w:val="0070C0"/>
          <w:sz w:val="20"/>
          <w:szCs w:val="20"/>
        </w:rPr>
        <w:t xml:space="preserve">orzeczonej wobec </w:t>
      </w:r>
      <w:r w:rsidRPr="00AD22DB">
        <w:rPr>
          <w:color w:val="0070C0"/>
          <w:sz w:val="20"/>
          <w:szCs w:val="20"/>
        </w:rPr>
        <w:t xml:space="preserve">skarżącego kary dożywotniego pozbawienia wolności bez możliwości warunkowego zwolnienia. W szczególności nie zostało wykazane, </w:t>
      </w:r>
      <w:r w:rsidR="008C65FD" w:rsidRPr="00AD22DB">
        <w:rPr>
          <w:color w:val="0070C0"/>
          <w:sz w:val="20"/>
          <w:szCs w:val="20"/>
        </w:rPr>
        <w:t>a</w:t>
      </w:r>
      <w:r w:rsidRPr="00AD22DB">
        <w:rPr>
          <w:color w:val="0070C0"/>
          <w:sz w:val="20"/>
          <w:szCs w:val="20"/>
        </w:rPr>
        <w:t>by węgierskie przepisy zezwalały więźniom odbywającym kary dożywocia na pozyskanie wiedzy odnośnie tego co muszą zrobić, aby ubiegać się o zwolnienie i na jakich warunkach. Ponadto przepisy nie gwarantowały należytego uwzględnienia zmian w życiu osadzonych i ich postępów w zakresie resocjalizacji. W związku z tym Trybunał uznał, że kara orzeczona wobec skarżącego nie może zostać uznan</w:t>
      </w:r>
      <w:r w:rsidR="0016316C">
        <w:rPr>
          <w:color w:val="0070C0"/>
          <w:sz w:val="20"/>
          <w:szCs w:val="20"/>
        </w:rPr>
        <w:t>a</w:t>
      </w:r>
      <w:r w:rsidRPr="00AD22DB">
        <w:rPr>
          <w:color w:val="0070C0"/>
          <w:sz w:val="20"/>
          <w:szCs w:val="20"/>
        </w:rPr>
        <w:t xml:space="preserve"> za redukowalną, co stanowi naruszenie </w:t>
      </w:r>
      <w:r w:rsidR="00D42360">
        <w:rPr>
          <w:color w:val="0070C0"/>
          <w:sz w:val="20"/>
          <w:szCs w:val="20"/>
        </w:rPr>
        <w:t xml:space="preserve">art. </w:t>
      </w:r>
      <w:r w:rsidRPr="00AD22DB">
        <w:rPr>
          <w:color w:val="0070C0"/>
          <w:sz w:val="20"/>
          <w:szCs w:val="20"/>
        </w:rPr>
        <w:t xml:space="preserve">3. Ponadto, Trybunał uznał, że przedmiotowa sprawa ujawniła problem systemowy, który może doprowadzić do podobnych skarg. Tym samym, w celu prawidłowego wykonania wyroku, Trybunał wezwał Węgry, na podstawie </w:t>
      </w:r>
      <w:r w:rsidR="00B02036">
        <w:rPr>
          <w:b/>
          <w:bCs/>
          <w:color w:val="0070C0"/>
          <w:sz w:val="20"/>
          <w:szCs w:val="20"/>
        </w:rPr>
        <w:t>art.</w:t>
      </w:r>
      <w:r w:rsidRPr="00034695">
        <w:rPr>
          <w:b/>
          <w:bCs/>
          <w:color w:val="0070C0"/>
          <w:sz w:val="20"/>
          <w:szCs w:val="20"/>
        </w:rPr>
        <w:t xml:space="preserve"> 46</w:t>
      </w:r>
      <w:r w:rsidRPr="00AD22DB">
        <w:rPr>
          <w:color w:val="0070C0"/>
          <w:sz w:val="20"/>
          <w:szCs w:val="20"/>
        </w:rPr>
        <w:t xml:space="preserve"> (moc obowiązująca oraz wykonanie wyroków) Konwencji, do wprowadzenia reformy systemu dokonywania oceny kar dożywotniego pozbawienia wolności w celu zagwarantowania możliwości każdorazowego badania, czy dalsze osadzenie opiera się na uzasadnionych przyczynach oraz w celu zapewnienia </w:t>
      </w:r>
      <w:r w:rsidR="00E14BE0">
        <w:rPr>
          <w:color w:val="0070C0"/>
          <w:sz w:val="20"/>
          <w:szCs w:val="20"/>
        </w:rPr>
        <w:t>więźniom odbywającym kar</w:t>
      </w:r>
      <w:r w:rsidR="003F0F25">
        <w:rPr>
          <w:color w:val="0070C0"/>
          <w:sz w:val="20"/>
          <w:szCs w:val="20"/>
        </w:rPr>
        <w:t xml:space="preserve">y </w:t>
      </w:r>
      <w:r w:rsidR="00E14BE0">
        <w:rPr>
          <w:color w:val="0070C0"/>
          <w:sz w:val="20"/>
          <w:szCs w:val="20"/>
        </w:rPr>
        <w:t>dożywo</w:t>
      </w:r>
      <w:r w:rsidR="003F0F25">
        <w:rPr>
          <w:color w:val="0070C0"/>
          <w:sz w:val="20"/>
          <w:szCs w:val="20"/>
        </w:rPr>
        <w:t xml:space="preserve">cia </w:t>
      </w:r>
      <w:r w:rsidRPr="00AD22DB">
        <w:rPr>
          <w:color w:val="0070C0"/>
          <w:sz w:val="20"/>
          <w:szCs w:val="20"/>
        </w:rPr>
        <w:t>wiedzy na temat tego, co muszą zrobić</w:t>
      </w:r>
      <w:r w:rsidR="003F0F25">
        <w:rPr>
          <w:color w:val="0070C0"/>
          <w:sz w:val="20"/>
          <w:szCs w:val="20"/>
        </w:rPr>
        <w:t>,</w:t>
      </w:r>
      <w:r w:rsidRPr="00AD22DB">
        <w:rPr>
          <w:color w:val="0070C0"/>
          <w:sz w:val="20"/>
          <w:szCs w:val="20"/>
        </w:rPr>
        <w:t xml:space="preserve"> aby ich sprawa została rozpatrzona w kontekście zwolnienia i na jakich warunkach. Trybunał potwierdził również, że Strony korzystają z szerokiej swobody ("margines swobodnej oceny") w decydowaniu o właściwej długości kary pozbawienia wolności za poszczególne przestępstwa. Tym samym fakt, ż</w:t>
      </w:r>
      <w:r w:rsidR="0016316C">
        <w:rPr>
          <w:color w:val="0070C0"/>
          <w:sz w:val="20"/>
          <w:szCs w:val="20"/>
        </w:rPr>
        <w:t>e</w:t>
      </w:r>
      <w:r w:rsidRPr="00AD22DB">
        <w:rPr>
          <w:color w:val="0070C0"/>
          <w:sz w:val="20"/>
          <w:szCs w:val="20"/>
        </w:rPr>
        <w:t xml:space="preserve"> kara dożywotniego więzienia może zostać ostatecznie odbyta w całości nie sprawia, że stanowi to naruszenie </w:t>
      </w:r>
      <w:r w:rsidR="00D42360">
        <w:rPr>
          <w:color w:val="0070C0"/>
          <w:sz w:val="20"/>
          <w:szCs w:val="20"/>
        </w:rPr>
        <w:t xml:space="preserve">art. </w:t>
      </w:r>
      <w:r w:rsidRPr="00AD22DB">
        <w:rPr>
          <w:color w:val="0070C0"/>
          <w:sz w:val="20"/>
          <w:szCs w:val="20"/>
        </w:rPr>
        <w:t>3 Konwencji. W związku z powyższym dokonanie oceny kar dożywotniego pozbawienia wolności nie musi koniecznie prowadzić do zwolnienia danych więźniów</w:t>
      </w:r>
      <w:r w:rsidR="00C71183">
        <w:rPr>
          <w:color w:val="0070C0"/>
          <w:sz w:val="20"/>
          <w:szCs w:val="20"/>
        </w:rPr>
        <w:t>.</w:t>
      </w:r>
    </w:p>
    <w:p w14:paraId="117DCB08" w14:textId="77777777" w:rsidR="00B62DEA" w:rsidRPr="00C71183" w:rsidRDefault="009B2B8C" w:rsidP="002D4778">
      <w:pPr>
        <w:spacing w:before="240" w:line="218" w:lineRule="exact"/>
        <w:ind w:left="860"/>
        <w:jc w:val="both"/>
        <w:rPr>
          <w:b/>
          <w:bCs/>
          <w:color w:val="0070C0"/>
          <w:sz w:val="20"/>
          <w:szCs w:val="20"/>
        </w:rPr>
      </w:pPr>
      <w:proofErr w:type="spellStart"/>
      <w:r w:rsidRPr="00C71183">
        <w:rPr>
          <w:b/>
          <w:bCs/>
          <w:color w:val="0070C0"/>
          <w:sz w:val="20"/>
          <w:szCs w:val="20"/>
        </w:rPr>
        <w:t>Harakchiev</w:t>
      </w:r>
      <w:proofErr w:type="spellEnd"/>
      <w:r w:rsidRPr="00C71183">
        <w:rPr>
          <w:b/>
          <w:bCs/>
          <w:color w:val="0070C0"/>
          <w:sz w:val="20"/>
          <w:szCs w:val="20"/>
        </w:rPr>
        <w:t xml:space="preserve"> i </w:t>
      </w:r>
      <w:proofErr w:type="spellStart"/>
      <w:r w:rsidRPr="00C71183">
        <w:rPr>
          <w:b/>
          <w:bCs/>
          <w:color w:val="0070C0"/>
          <w:sz w:val="20"/>
          <w:szCs w:val="20"/>
        </w:rPr>
        <w:t>Tolumov</w:t>
      </w:r>
      <w:proofErr w:type="spellEnd"/>
      <w:r w:rsidRPr="00C71183">
        <w:rPr>
          <w:b/>
          <w:bCs/>
          <w:color w:val="0070C0"/>
          <w:sz w:val="20"/>
          <w:szCs w:val="20"/>
        </w:rPr>
        <w:t xml:space="preserve"> przeciwko Bułgarii</w:t>
      </w:r>
    </w:p>
    <w:p w14:paraId="362530EB" w14:textId="3829C928" w:rsidR="00287AC3" w:rsidRDefault="009B2B8C" w:rsidP="009B2B8C">
      <w:pPr>
        <w:spacing w:line="218" w:lineRule="exact"/>
        <w:ind w:left="860"/>
        <w:jc w:val="both"/>
        <w:rPr>
          <w:color w:val="808080"/>
          <w:sz w:val="18"/>
        </w:rPr>
      </w:pPr>
      <w:r w:rsidRPr="00636ED9">
        <w:rPr>
          <w:color w:val="A6A6A6" w:themeColor="background1" w:themeShade="A6"/>
          <w:sz w:val="18"/>
        </w:rPr>
        <w:t>8 lipca 2014 r. (wyrok)</w:t>
      </w:r>
    </w:p>
    <w:p w14:paraId="64DDF97B" w14:textId="27EEAE5D" w:rsidR="00C71183" w:rsidRDefault="009B2B8C" w:rsidP="00D71EB6">
      <w:pPr>
        <w:spacing w:line="218" w:lineRule="exact"/>
        <w:ind w:left="850" w:right="567"/>
        <w:jc w:val="both"/>
        <w:rPr>
          <w:color w:val="808080"/>
          <w:sz w:val="18"/>
        </w:rPr>
      </w:pPr>
      <w:r w:rsidRPr="00C71183">
        <w:rPr>
          <w:sz w:val="20"/>
          <w:szCs w:val="20"/>
        </w:rPr>
        <w:t xml:space="preserve">Sprawa w swojej istocie dotyczyła kary dożywotniego pozbawienia wolności bez możliwości jej złagodzenia, która została wprowadzona w Bułgarii w grudniu 1998 r. po zniesieniu kary </w:t>
      </w:r>
      <w:r w:rsidR="00D71EB6">
        <w:rPr>
          <w:sz w:val="20"/>
          <w:szCs w:val="20"/>
        </w:rPr>
        <w:t xml:space="preserve"> </w:t>
      </w:r>
      <w:r w:rsidRPr="00C71183">
        <w:rPr>
          <w:sz w:val="20"/>
          <w:szCs w:val="20"/>
        </w:rPr>
        <w:lastRenderedPageBreak/>
        <w:t xml:space="preserve">śmierci, a także surowych warunków osadzenia, w których przetrzymywani są więźniowie odbywający kary dożywocia. Obaj skarżący odbywali kary dożywotniego pozbawienia wolności. Pierwszy skarżący bez możliwości jej złagodzenia, drugi – z możliwością złagodzenia kary. Obydwoje zaskarżyli warunki osadzenia oraz brak skutecznego krajowego środka ochrony. Ponadto pierwszy skarżący utrzymywał, że orzeczona wobec niego kara dożywotniego pozbawienia wolności bez możliwości złagodzenia kary stanowi nieludzkie </w:t>
      </w:r>
      <w:r w:rsidR="00122D4A">
        <w:rPr>
          <w:sz w:val="20"/>
          <w:szCs w:val="20"/>
        </w:rPr>
        <w:br/>
      </w:r>
      <w:r w:rsidRPr="00C71183">
        <w:rPr>
          <w:sz w:val="20"/>
          <w:szCs w:val="20"/>
        </w:rPr>
        <w:t>i poniżające traktowanie, ponieważ implikuje ona brak szans na resocjalizację i konieczność spędzenia reszty życia w zakładzie karnym.</w:t>
      </w:r>
      <w:r w:rsidRPr="009B2B8C">
        <w:rPr>
          <w:color w:val="808080"/>
          <w:sz w:val="18"/>
        </w:rPr>
        <w:t xml:space="preserve"> </w:t>
      </w:r>
    </w:p>
    <w:p w14:paraId="38074652" w14:textId="531C1A8C" w:rsidR="00C71183" w:rsidRDefault="009B2B8C" w:rsidP="00122D4A">
      <w:pPr>
        <w:spacing w:line="218" w:lineRule="exact"/>
        <w:ind w:left="850" w:right="567"/>
        <w:jc w:val="both"/>
        <w:rPr>
          <w:color w:val="808080"/>
          <w:sz w:val="18"/>
        </w:rPr>
      </w:pPr>
      <w:r w:rsidRPr="00C71183">
        <w:rPr>
          <w:color w:val="0070C0"/>
          <w:sz w:val="20"/>
          <w:szCs w:val="20"/>
        </w:rPr>
        <w:t xml:space="preserve">Trybunał stwierdził, że </w:t>
      </w:r>
      <w:r w:rsidRPr="00122D4A">
        <w:rPr>
          <w:b/>
          <w:bCs/>
          <w:color w:val="0070C0"/>
          <w:sz w:val="20"/>
          <w:szCs w:val="20"/>
        </w:rPr>
        <w:t xml:space="preserve">doszło do naruszenia </w:t>
      </w:r>
      <w:r w:rsidR="00B02036">
        <w:rPr>
          <w:b/>
          <w:bCs/>
          <w:color w:val="0070C0"/>
          <w:sz w:val="20"/>
          <w:szCs w:val="20"/>
        </w:rPr>
        <w:t xml:space="preserve">art. </w:t>
      </w:r>
      <w:r w:rsidRPr="00122D4A">
        <w:rPr>
          <w:b/>
          <w:bCs/>
          <w:color w:val="0070C0"/>
          <w:sz w:val="20"/>
          <w:szCs w:val="20"/>
        </w:rPr>
        <w:t>3 Konwencji</w:t>
      </w:r>
      <w:r w:rsidRPr="00C71183">
        <w:rPr>
          <w:color w:val="0070C0"/>
          <w:sz w:val="20"/>
          <w:szCs w:val="20"/>
        </w:rPr>
        <w:t xml:space="preserve"> w związku </w:t>
      </w:r>
      <w:r w:rsidR="00122D4A">
        <w:rPr>
          <w:color w:val="0070C0"/>
          <w:sz w:val="20"/>
          <w:szCs w:val="20"/>
        </w:rPr>
        <w:br/>
      </w:r>
      <w:r w:rsidRPr="00C71183">
        <w:rPr>
          <w:color w:val="0070C0"/>
          <w:sz w:val="20"/>
          <w:szCs w:val="20"/>
        </w:rPr>
        <w:t xml:space="preserve">z niemożnością uzyskania złagodzenia kary dożywotniego pozbawienia wolności przez pierwszego skarżącego od chwili, gdy wyrok stał się ostateczny. Potwierdziwszy </w:t>
      </w:r>
      <w:r w:rsidR="00122D4A">
        <w:rPr>
          <w:color w:val="0070C0"/>
          <w:sz w:val="20"/>
          <w:szCs w:val="20"/>
        </w:rPr>
        <w:br/>
      </w:r>
      <w:r w:rsidRPr="00C71183">
        <w:rPr>
          <w:color w:val="0070C0"/>
          <w:sz w:val="20"/>
          <w:szCs w:val="20"/>
        </w:rPr>
        <w:t xml:space="preserve">w szczególności, że samo orzeczenie kary dożywotniego pozbawienia wolności nie było samo w sobie sprzeczne z zakazem nieludzkiego i poniżającego traktowania określonym w </w:t>
      </w:r>
      <w:r w:rsidR="00B02036">
        <w:rPr>
          <w:color w:val="0070C0"/>
          <w:sz w:val="20"/>
          <w:szCs w:val="20"/>
        </w:rPr>
        <w:t>art.</w:t>
      </w:r>
      <w:r w:rsidRPr="00C71183">
        <w:rPr>
          <w:color w:val="0070C0"/>
          <w:sz w:val="20"/>
          <w:szCs w:val="20"/>
        </w:rPr>
        <w:t xml:space="preserve"> 3 Konwencji, Trybunał uznał, że od momentu uprawomocnienia wyroku </w:t>
      </w:r>
      <w:r w:rsidR="00122D4A">
        <w:rPr>
          <w:color w:val="0070C0"/>
          <w:sz w:val="20"/>
          <w:szCs w:val="20"/>
        </w:rPr>
        <w:t xml:space="preserve">w odniesieniu do </w:t>
      </w:r>
      <w:r w:rsidRPr="00C71183">
        <w:rPr>
          <w:color w:val="0070C0"/>
          <w:sz w:val="20"/>
          <w:szCs w:val="20"/>
        </w:rPr>
        <w:t>skarżącego – w listopadzie 2004 r. – do początku 2012 r., orzeczona wobec skarżącego kara dożywotniego pozbawienia wolności bez możliwości jej złagodzenia stanowiła nieludzkie i poniżające traktowanie, ponieważ nie zapewniono mu szansy na zwolnienie ani możliwości dokonania oceny kary dożywocia, co spotęgowane jest również surowymi warunkami osadzenia, które ograniczają możliwość resocjalizacji lub samodoskonalenia. Podczas tego okresu prezydenckie prawo łaski, mogące nadać karze skarżącego atrybut redukowalności, oraz sposób jego wykonywania były w istocie niejasne, pozbawione formalnych lub nawet nieformalnych gwarancji. Brakowało również konkretnych przykładów osób odbywających karę dożywotniego pozbawienia wolności bez możliwości złagodzenia, którym udało się uzyskać korektę tak</w:t>
      </w:r>
      <w:r w:rsidR="00CE5684">
        <w:rPr>
          <w:color w:val="0070C0"/>
          <w:sz w:val="20"/>
          <w:szCs w:val="20"/>
        </w:rPr>
        <w:t xml:space="preserve">iej </w:t>
      </w:r>
      <w:r w:rsidRPr="00C71183">
        <w:rPr>
          <w:color w:val="0070C0"/>
          <w:sz w:val="20"/>
          <w:szCs w:val="20"/>
        </w:rPr>
        <w:t xml:space="preserve">kary. Ponadto, choć Konwencja nie wymaga zapewnienia prawa do resocjalizacji, władze państwowe były zobowiązane do zapewnienia więźniom szansy, jakkolwiek odległej, na odzyskanie wolności. Aby szansa ta była autentyczna i namacalna, osadzeni odbywający karę dożywotniego pozbawienia wolności powinni mieć szansę na resocjalizację. W tym kontekście, choć Państwo </w:t>
      </w:r>
      <w:r w:rsidR="00CD1B6C">
        <w:rPr>
          <w:color w:val="0070C0"/>
          <w:sz w:val="20"/>
          <w:szCs w:val="20"/>
        </w:rPr>
        <w:t xml:space="preserve">posiadało duże pole manewru </w:t>
      </w:r>
      <w:r w:rsidRPr="00C71183">
        <w:rPr>
          <w:color w:val="0070C0"/>
          <w:sz w:val="20"/>
          <w:szCs w:val="20"/>
        </w:rPr>
        <w:t xml:space="preserve">("szeroki margines swobodnej oceny") w decydowaniu o </w:t>
      </w:r>
      <w:r w:rsidR="00CD1B6C">
        <w:rPr>
          <w:color w:val="0070C0"/>
          <w:sz w:val="20"/>
          <w:szCs w:val="20"/>
        </w:rPr>
        <w:t xml:space="preserve">takich </w:t>
      </w:r>
      <w:r w:rsidRPr="00C71183">
        <w:rPr>
          <w:color w:val="0070C0"/>
          <w:sz w:val="20"/>
          <w:szCs w:val="20"/>
        </w:rPr>
        <w:t>kwestiach</w:t>
      </w:r>
      <w:r w:rsidR="00CD1B6C">
        <w:rPr>
          <w:color w:val="0070C0"/>
          <w:sz w:val="20"/>
          <w:szCs w:val="20"/>
        </w:rPr>
        <w:t xml:space="preserve"> </w:t>
      </w:r>
      <w:r w:rsidRPr="00C71183">
        <w:rPr>
          <w:color w:val="0070C0"/>
          <w:sz w:val="20"/>
          <w:szCs w:val="20"/>
        </w:rPr>
        <w:t>jak reżim i warunki osadzenia więźniów odbywających karę dożywocia, kwestie te nie mogą zostać uznane za obojętne. Trybunał zastrzegł jednak, ż</w:t>
      </w:r>
      <w:r w:rsidR="00CD1B6C">
        <w:rPr>
          <w:color w:val="0070C0"/>
          <w:sz w:val="20"/>
          <w:szCs w:val="20"/>
        </w:rPr>
        <w:t>e</w:t>
      </w:r>
      <w:r w:rsidRPr="00C71183">
        <w:rPr>
          <w:color w:val="0070C0"/>
          <w:sz w:val="20"/>
          <w:szCs w:val="20"/>
        </w:rPr>
        <w:t xml:space="preserve"> stwierdzenie naruszenia nie może być rozumiane jako przyznanie skarżącemu szansy na niechybne zwolnienie. Wreszcie, Trybunał zauważył jednak, ż</w:t>
      </w:r>
      <w:r w:rsidR="00CD1B6C">
        <w:rPr>
          <w:color w:val="0070C0"/>
          <w:sz w:val="20"/>
          <w:szCs w:val="20"/>
        </w:rPr>
        <w:t>e</w:t>
      </w:r>
      <w:r w:rsidRPr="00C71183">
        <w:rPr>
          <w:color w:val="0070C0"/>
          <w:sz w:val="20"/>
          <w:szCs w:val="20"/>
        </w:rPr>
        <w:t xml:space="preserve"> po reformach z 2012 r. sposób wykonywania prezydenckiego prawa łaski stał się jasny, zapewniając perspektywę zwolnienia lub złagodzenia kary. Tym samym, od tego czasu nałożona na skarżącego kara pozbawienia wolności bez możliwości jej złagodzenia może, przynajmniej formalnie, zostać uznana za redukowalną.</w:t>
      </w:r>
      <w:r w:rsidR="002877A5">
        <w:rPr>
          <w:rStyle w:val="Odwoanieprzypisudolnego"/>
          <w:color w:val="0070C0"/>
          <w:sz w:val="20"/>
          <w:szCs w:val="20"/>
        </w:rPr>
        <w:footnoteReference w:id="4"/>
      </w:r>
      <w:r w:rsidRPr="009B2B8C">
        <w:rPr>
          <w:color w:val="808080"/>
          <w:sz w:val="18"/>
        </w:rPr>
        <w:t xml:space="preserve"> </w:t>
      </w:r>
    </w:p>
    <w:p w14:paraId="00F888F2" w14:textId="441EE7B2" w:rsidR="009B2B8C" w:rsidRPr="009B2B8C" w:rsidRDefault="009B2B8C" w:rsidP="00636ED9">
      <w:pPr>
        <w:spacing w:before="240" w:line="218" w:lineRule="exact"/>
        <w:ind w:left="860"/>
        <w:jc w:val="both"/>
        <w:rPr>
          <w:color w:val="808080"/>
          <w:sz w:val="18"/>
        </w:rPr>
      </w:pPr>
      <w:r w:rsidRPr="00122D4A">
        <w:rPr>
          <w:sz w:val="18"/>
        </w:rPr>
        <w:t>Zobacz również</w:t>
      </w:r>
      <w:r w:rsidRPr="009B2B8C">
        <w:rPr>
          <w:color w:val="808080"/>
          <w:sz w:val="18"/>
        </w:rPr>
        <w:t xml:space="preserve">: </w:t>
      </w:r>
      <w:r w:rsidRPr="00122D4A">
        <w:rPr>
          <w:b/>
          <w:bCs/>
          <w:i/>
          <w:iCs/>
          <w:color w:val="0070C0"/>
          <w:sz w:val="18"/>
          <w:u w:val="single"/>
        </w:rPr>
        <w:t>Manolov przeciw Bułgarii</w:t>
      </w:r>
      <w:r w:rsidRPr="00C71183">
        <w:rPr>
          <w:sz w:val="18"/>
        </w:rPr>
        <w:t>, wyrok z 4 listopada 2014 r.</w:t>
      </w:r>
      <w:r w:rsidRPr="009B2B8C">
        <w:rPr>
          <w:color w:val="808080"/>
          <w:sz w:val="18"/>
        </w:rPr>
        <w:t xml:space="preserve"> </w:t>
      </w:r>
    </w:p>
    <w:p w14:paraId="30F3265F" w14:textId="223F62A6" w:rsidR="00B62DEA" w:rsidRDefault="009B2B8C" w:rsidP="00636ED9">
      <w:pPr>
        <w:spacing w:before="240" w:line="218" w:lineRule="exact"/>
        <w:ind w:left="860"/>
        <w:jc w:val="both"/>
        <w:rPr>
          <w:b/>
          <w:bCs/>
          <w:color w:val="0070C0"/>
          <w:sz w:val="20"/>
          <w:szCs w:val="20"/>
        </w:rPr>
      </w:pPr>
      <w:r w:rsidRPr="00C71183">
        <w:rPr>
          <w:b/>
          <w:bCs/>
          <w:color w:val="0070C0"/>
          <w:sz w:val="20"/>
          <w:szCs w:val="20"/>
          <w:u w:val="single"/>
        </w:rPr>
        <w:t>Čačko przeciw Słowacji</w:t>
      </w:r>
      <w:r w:rsidRPr="00C71183">
        <w:rPr>
          <w:b/>
          <w:bCs/>
          <w:color w:val="0070C0"/>
          <w:sz w:val="20"/>
          <w:szCs w:val="20"/>
        </w:rPr>
        <w:t xml:space="preserve"> </w:t>
      </w:r>
    </w:p>
    <w:p w14:paraId="1AD98B55" w14:textId="77777777" w:rsidR="00B62DEA" w:rsidRPr="00636ED9" w:rsidRDefault="009B2B8C" w:rsidP="009B2B8C">
      <w:pPr>
        <w:spacing w:line="218" w:lineRule="exact"/>
        <w:ind w:left="860"/>
        <w:jc w:val="both"/>
        <w:rPr>
          <w:color w:val="A6A6A6" w:themeColor="background1" w:themeShade="A6"/>
          <w:sz w:val="18"/>
        </w:rPr>
      </w:pPr>
      <w:r w:rsidRPr="00636ED9">
        <w:rPr>
          <w:color w:val="A6A6A6" w:themeColor="background1" w:themeShade="A6"/>
          <w:sz w:val="18"/>
        </w:rPr>
        <w:t xml:space="preserve">22 lipca 2014 r. (wyrok) </w:t>
      </w:r>
    </w:p>
    <w:p w14:paraId="34C5F3BB" w14:textId="77777777" w:rsidR="00806793" w:rsidRDefault="009B2B8C" w:rsidP="00122D4A">
      <w:pPr>
        <w:spacing w:line="218" w:lineRule="exact"/>
        <w:ind w:left="850" w:right="567"/>
        <w:jc w:val="both"/>
        <w:rPr>
          <w:sz w:val="20"/>
          <w:szCs w:val="20"/>
        </w:rPr>
      </w:pPr>
      <w:r w:rsidRPr="002877A5">
        <w:rPr>
          <w:sz w:val="20"/>
          <w:szCs w:val="20"/>
        </w:rPr>
        <w:t xml:space="preserve">W niniejszej sprawie skarżący zarzucał, że nałożona na niego kara dożywotniego pozbawienia wolności bez możliwości zwolnienia warunkowego stanowiła nieludzkie i poniżające traktowanie, ponieważ nie dostrzegał on szansy na prezydenckie ułaskawienie lub złagodzenie kary. Podniósł również, że w ramach krajowych przepisów i praktyki nie był </w:t>
      </w:r>
      <w:r w:rsidR="00122D4A" w:rsidRPr="002877A5">
        <w:rPr>
          <w:sz w:val="20"/>
          <w:szCs w:val="20"/>
        </w:rPr>
        <w:br/>
      </w:r>
      <w:r w:rsidRPr="002877A5">
        <w:rPr>
          <w:sz w:val="20"/>
          <w:szCs w:val="20"/>
        </w:rPr>
        <w:t xml:space="preserve">w stanie uzyskać skutecznej sądowej oceny kary dożywocia. </w:t>
      </w:r>
    </w:p>
    <w:p w14:paraId="6F681406" w14:textId="5A9B240D" w:rsidR="00B62DEA" w:rsidRPr="00B802E1" w:rsidRDefault="009B2B8C" w:rsidP="00122D4A">
      <w:pPr>
        <w:spacing w:line="218" w:lineRule="exact"/>
        <w:ind w:left="850" w:right="567"/>
        <w:jc w:val="both"/>
        <w:rPr>
          <w:color w:val="0070C0"/>
          <w:sz w:val="18"/>
        </w:rPr>
      </w:pPr>
      <w:r w:rsidRPr="00806793">
        <w:rPr>
          <w:color w:val="0070C0"/>
          <w:sz w:val="20"/>
          <w:szCs w:val="20"/>
        </w:rPr>
        <w:t xml:space="preserve">Trybunał uznał, że </w:t>
      </w:r>
      <w:r w:rsidRPr="00806793">
        <w:rPr>
          <w:b/>
          <w:bCs/>
          <w:color w:val="0070C0"/>
          <w:sz w:val="20"/>
          <w:szCs w:val="20"/>
        </w:rPr>
        <w:t xml:space="preserve">nie doszło do naruszenia </w:t>
      </w:r>
      <w:r w:rsidR="00B02036">
        <w:rPr>
          <w:b/>
          <w:bCs/>
          <w:color w:val="0070C0"/>
          <w:sz w:val="20"/>
          <w:szCs w:val="20"/>
        </w:rPr>
        <w:t xml:space="preserve">art. </w:t>
      </w:r>
      <w:r w:rsidRPr="00806793">
        <w:rPr>
          <w:b/>
          <w:bCs/>
          <w:color w:val="0070C0"/>
          <w:sz w:val="20"/>
          <w:szCs w:val="20"/>
        </w:rPr>
        <w:t>3 Konwencji</w:t>
      </w:r>
      <w:r w:rsidRPr="00806793">
        <w:rPr>
          <w:color w:val="0070C0"/>
          <w:sz w:val="20"/>
          <w:szCs w:val="20"/>
        </w:rPr>
        <w:t>.</w:t>
      </w:r>
      <w:r w:rsidR="00806793" w:rsidRPr="00806793">
        <w:rPr>
          <w:color w:val="0070C0"/>
          <w:sz w:val="20"/>
          <w:szCs w:val="20"/>
        </w:rPr>
        <w:t xml:space="preserve"> </w:t>
      </w:r>
      <w:r w:rsidRPr="00B62DEA">
        <w:rPr>
          <w:color w:val="0070C0"/>
          <w:sz w:val="20"/>
          <w:szCs w:val="20"/>
        </w:rPr>
        <w:t>Trybunał zauważył w szczególności, że mechanizm oceny sądowej umożliwiający zwolnienie warunkowe osadzonych skazanych na dożywocie po 25 latach odbywania kary</w:t>
      </w:r>
      <w:r w:rsidR="00636ED9">
        <w:rPr>
          <w:color w:val="0070C0"/>
          <w:sz w:val="20"/>
          <w:szCs w:val="20"/>
        </w:rPr>
        <w:t>,</w:t>
      </w:r>
      <w:r w:rsidRPr="00B62DEA">
        <w:rPr>
          <w:color w:val="0070C0"/>
          <w:sz w:val="20"/>
          <w:szCs w:val="20"/>
        </w:rPr>
        <w:t xml:space="preserve"> został wprowadzony w styczniu 2010 r., stosunkowo krótko po skazaniu skarżącego oraz wniesieniu skargi przed Trybunał w październiku 2008 r., a także, ż</w:t>
      </w:r>
      <w:r w:rsidR="00B802E1">
        <w:rPr>
          <w:color w:val="0070C0"/>
          <w:sz w:val="20"/>
          <w:szCs w:val="20"/>
        </w:rPr>
        <w:t>e</w:t>
      </w:r>
      <w:r w:rsidRPr="00B62DEA">
        <w:rPr>
          <w:color w:val="0070C0"/>
          <w:sz w:val="20"/>
          <w:szCs w:val="20"/>
        </w:rPr>
        <w:t xml:space="preserve"> przez znaczną część tego okresu skarżący </w:t>
      </w:r>
      <w:r w:rsidRPr="00B802E1">
        <w:rPr>
          <w:color w:val="0070C0"/>
          <w:sz w:val="20"/>
          <w:szCs w:val="20"/>
        </w:rPr>
        <w:lastRenderedPageBreak/>
        <w:t xml:space="preserve">podejmował kolejne próby wykorzystania środka krajowego przed sądami. Trybunał stwierdził również, że </w:t>
      </w:r>
      <w:r w:rsidRPr="00B802E1">
        <w:rPr>
          <w:b/>
          <w:bCs/>
          <w:color w:val="0070C0"/>
          <w:sz w:val="20"/>
          <w:szCs w:val="20"/>
        </w:rPr>
        <w:t xml:space="preserve">nie doszło do naruszenia </w:t>
      </w:r>
      <w:r w:rsidR="00B02036">
        <w:rPr>
          <w:b/>
          <w:bCs/>
          <w:color w:val="0070C0"/>
          <w:sz w:val="20"/>
          <w:szCs w:val="20"/>
        </w:rPr>
        <w:t>art.</w:t>
      </w:r>
      <w:r w:rsidRPr="00B802E1">
        <w:rPr>
          <w:b/>
          <w:bCs/>
          <w:color w:val="0070C0"/>
          <w:sz w:val="20"/>
          <w:szCs w:val="20"/>
        </w:rPr>
        <w:t xml:space="preserve"> 13 </w:t>
      </w:r>
      <w:r w:rsidRPr="00B802E1">
        <w:rPr>
          <w:color w:val="0070C0"/>
          <w:sz w:val="20"/>
          <w:szCs w:val="20"/>
        </w:rPr>
        <w:t xml:space="preserve">(prawo do skutecznego środka odwoławczego) </w:t>
      </w:r>
      <w:r w:rsidRPr="00B802E1">
        <w:rPr>
          <w:b/>
          <w:bCs/>
          <w:color w:val="0070C0"/>
          <w:sz w:val="20"/>
          <w:szCs w:val="20"/>
        </w:rPr>
        <w:t xml:space="preserve">w połączeniu z </w:t>
      </w:r>
      <w:r w:rsidR="00B02036">
        <w:rPr>
          <w:b/>
          <w:bCs/>
          <w:color w:val="0070C0"/>
          <w:sz w:val="20"/>
          <w:szCs w:val="20"/>
        </w:rPr>
        <w:t>art.</w:t>
      </w:r>
      <w:r w:rsidRPr="00B802E1">
        <w:rPr>
          <w:b/>
          <w:bCs/>
          <w:color w:val="0070C0"/>
          <w:sz w:val="20"/>
          <w:szCs w:val="20"/>
        </w:rPr>
        <w:t xml:space="preserve"> 3 Konwencji</w:t>
      </w:r>
      <w:r w:rsidRPr="00B802E1">
        <w:rPr>
          <w:color w:val="0070C0"/>
          <w:sz w:val="20"/>
          <w:szCs w:val="20"/>
        </w:rPr>
        <w:t>.</w:t>
      </w:r>
      <w:r w:rsidRPr="00B802E1">
        <w:rPr>
          <w:color w:val="0070C0"/>
          <w:sz w:val="18"/>
        </w:rPr>
        <w:t xml:space="preserve"> </w:t>
      </w:r>
    </w:p>
    <w:p w14:paraId="6F6A32EF" w14:textId="79EAC0CF" w:rsidR="00B62DEA" w:rsidRDefault="00B62DEA" w:rsidP="009B2B8C">
      <w:pPr>
        <w:spacing w:line="218" w:lineRule="exact"/>
        <w:ind w:left="860"/>
        <w:jc w:val="both"/>
        <w:rPr>
          <w:color w:val="808080"/>
          <w:sz w:val="18"/>
        </w:rPr>
      </w:pPr>
    </w:p>
    <w:p w14:paraId="426AB0F0" w14:textId="0BD585E4" w:rsidR="00AE2D47" w:rsidRPr="009B2B8C" w:rsidRDefault="00AE2D47" w:rsidP="00AE2D47">
      <w:pPr>
        <w:spacing w:line="218" w:lineRule="exact"/>
        <w:ind w:left="860"/>
        <w:jc w:val="both"/>
        <w:rPr>
          <w:color w:val="808080"/>
          <w:sz w:val="18"/>
        </w:rPr>
      </w:pPr>
      <w:r w:rsidRPr="00122D4A">
        <w:rPr>
          <w:sz w:val="18"/>
        </w:rPr>
        <w:t>Zobacz również</w:t>
      </w:r>
      <w:r w:rsidRPr="009B2B8C">
        <w:rPr>
          <w:color w:val="808080"/>
          <w:sz w:val="18"/>
        </w:rPr>
        <w:t xml:space="preserve">: </w:t>
      </w:r>
      <w:r>
        <w:rPr>
          <w:b/>
          <w:bCs/>
          <w:i/>
          <w:iCs/>
          <w:color w:val="0070C0"/>
          <w:sz w:val="18"/>
          <w:u w:val="single"/>
        </w:rPr>
        <w:t xml:space="preserve">Koky </w:t>
      </w:r>
      <w:r w:rsidRPr="00122D4A">
        <w:rPr>
          <w:b/>
          <w:bCs/>
          <w:i/>
          <w:iCs/>
          <w:color w:val="0070C0"/>
          <w:sz w:val="18"/>
          <w:u w:val="single"/>
        </w:rPr>
        <w:t xml:space="preserve">przeciw </w:t>
      </w:r>
      <w:r>
        <w:rPr>
          <w:b/>
          <w:bCs/>
          <w:i/>
          <w:iCs/>
          <w:color w:val="0070C0"/>
          <w:sz w:val="18"/>
          <w:u w:val="single"/>
        </w:rPr>
        <w:t>Słowacji</w:t>
      </w:r>
      <w:r w:rsidRPr="00C71183">
        <w:rPr>
          <w:sz w:val="18"/>
        </w:rPr>
        <w:t xml:space="preserve">, </w:t>
      </w:r>
      <w:r>
        <w:rPr>
          <w:sz w:val="18"/>
        </w:rPr>
        <w:t xml:space="preserve">decyzja o dopuszczalności </w:t>
      </w:r>
      <w:r w:rsidRPr="00C71183">
        <w:rPr>
          <w:sz w:val="18"/>
        </w:rPr>
        <w:t xml:space="preserve">z </w:t>
      </w:r>
      <w:r>
        <w:rPr>
          <w:sz w:val="18"/>
        </w:rPr>
        <w:t xml:space="preserve">16 maja </w:t>
      </w:r>
      <w:r w:rsidRPr="00C71183">
        <w:rPr>
          <w:sz w:val="18"/>
        </w:rPr>
        <w:t>201</w:t>
      </w:r>
      <w:r>
        <w:rPr>
          <w:sz w:val="18"/>
        </w:rPr>
        <w:t>7</w:t>
      </w:r>
      <w:r w:rsidRPr="00C71183">
        <w:rPr>
          <w:sz w:val="18"/>
        </w:rPr>
        <w:t xml:space="preserve"> r.</w:t>
      </w:r>
      <w:r w:rsidRPr="009B2B8C">
        <w:rPr>
          <w:color w:val="808080"/>
          <w:sz w:val="18"/>
        </w:rPr>
        <w:t xml:space="preserve"> </w:t>
      </w:r>
    </w:p>
    <w:p w14:paraId="2A741587" w14:textId="77777777" w:rsidR="00AE2D47" w:rsidRDefault="00AE2D47" w:rsidP="009B2B8C">
      <w:pPr>
        <w:spacing w:line="218" w:lineRule="exact"/>
        <w:ind w:left="860"/>
        <w:jc w:val="both"/>
        <w:rPr>
          <w:color w:val="808080"/>
          <w:sz w:val="18"/>
        </w:rPr>
      </w:pPr>
    </w:p>
    <w:p w14:paraId="205DD630" w14:textId="77777777" w:rsidR="00B62DEA" w:rsidRPr="002877A5" w:rsidRDefault="009B2B8C" w:rsidP="009B2B8C">
      <w:pPr>
        <w:spacing w:line="218" w:lineRule="exact"/>
        <w:ind w:left="860"/>
        <w:jc w:val="both"/>
        <w:rPr>
          <w:b/>
          <w:bCs/>
          <w:color w:val="0070C0"/>
          <w:sz w:val="20"/>
          <w:szCs w:val="20"/>
          <w:u w:val="single"/>
        </w:rPr>
      </w:pPr>
      <w:r w:rsidRPr="002877A5">
        <w:rPr>
          <w:b/>
          <w:bCs/>
          <w:color w:val="0070C0"/>
          <w:sz w:val="20"/>
          <w:szCs w:val="20"/>
          <w:u w:val="single"/>
        </w:rPr>
        <w:t>Bodein przeciwko Francji</w:t>
      </w:r>
    </w:p>
    <w:p w14:paraId="77D0FE62" w14:textId="77777777" w:rsidR="00B62DEA" w:rsidRPr="00B02036" w:rsidRDefault="009B2B8C" w:rsidP="009B2B8C">
      <w:pPr>
        <w:spacing w:line="218" w:lineRule="exact"/>
        <w:ind w:left="860"/>
        <w:jc w:val="both"/>
        <w:rPr>
          <w:color w:val="A6A6A6" w:themeColor="background1" w:themeShade="A6"/>
          <w:sz w:val="18"/>
        </w:rPr>
      </w:pPr>
      <w:r w:rsidRPr="00B02036">
        <w:rPr>
          <w:color w:val="A6A6A6" w:themeColor="background1" w:themeShade="A6"/>
          <w:sz w:val="18"/>
        </w:rPr>
        <w:t xml:space="preserve">13 listopada 2014 r. (wyrok) </w:t>
      </w:r>
    </w:p>
    <w:p w14:paraId="6DC99200" w14:textId="3C85C58C" w:rsidR="00354C42" w:rsidRDefault="009B2B8C" w:rsidP="00122D4A">
      <w:pPr>
        <w:spacing w:line="218" w:lineRule="exact"/>
        <w:ind w:left="850" w:right="567"/>
        <w:jc w:val="both"/>
        <w:rPr>
          <w:sz w:val="20"/>
          <w:szCs w:val="20"/>
        </w:rPr>
      </w:pPr>
      <w:r w:rsidRPr="002877A5">
        <w:rPr>
          <w:sz w:val="20"/>
          <w:szCs w:val="20"/>
        </w:rPr>
        <w:t xml:space="preserve">Przedmiotowa sprawa dotyczyła orzeczonej wobec skarżącego kary dożywotniego pozbawienia wolności bez możliwości obniżenia kary. Skarżący zarzucał, że jego kara była sprzeczna z </w:t>
      </w:r>
      <w:r w:rsidR="00B02036">
        <w:rPr>
          <w:sz w:val="20"/>
          <w:szCs w:val="20"/>
        </w:rPr>
        <w:t xml:space="preserve">art. </w:t>
      </w:r>
      <w:r w:rsidRPr="002877A5">
        <w:rPr>
          <w:sz w:val="20"/>
          <w:szCs w:val="20"/>
        </w:rPr>
        <w:t>3 Konwencji, ponieważ – jego zdaniem – nie otrzymał on możliwości jakiejkolwiek korekty kary ani szansy na uzyskanie żadnej innej formy wcześniejszego zwolnienia.</w:t>
      </w:r>
    </w:p>
    <w:p w14:paraId="541A67FD" w14:textId="4764B15C" w:rsidR="009B2B8C" w:rsidRPr="009B2B8C" w:rsidRDefault="009B2B8C" w:rsidP="008923B0">
      <w:pPr>
        <w:spacing w:line="218" w:lineRule="exact"/>
        <w:ind w:left="850" w:right="567"/>
        <w:jc w:val="both"/>
        <w:rPr>
          <w:color w:val="808080"/>
          <w:sz w:val="18"/>
        </w:rPr>
      </w:pPr>
      <w:r w:rsidRPr="00354C42">
        <w:rPr>
          <w:color w:val="0070C0"/>
          <w:sz w:val="20"/>
          <w:szCs w:val="20"/>
        </w:rPr>
        <w:t>Trybunał powtórzył w szczególności, że kara dożywotniego pozba</w:t>
      </w:r>
      <w:r w:rsidR="00AE2D47">
        <w:rPr>
          <w:color w:val="0070C0"/>
          <w:sz w:val="20"/>
          <w:szCs w:val="20"/>
        </w:rPr>
        <w:t>w</w:t>
      </w:r>
      <w:r w:rsidRPr="00354C42">
        <w:rPr>
          <w:color w:val="0070C0"/>
          <w:sz w:val="20"/>
          <w:szCs w:val="20"/>
        </w:rPr>
        <w:t xml:space="preserve">ienia wolności była zgodna z </w:t>
      </w:r>
      <w:r w:rsidR="00B02036">
        <w:rPr>
          <w:color w:val="0070C0"/>
          <w:sz w:val="20"/>
          <w:szCs w:val="20"/>
        </w:rPr>
        <w:t xml:space="preserve">art. </w:t>
      </w:r>
      <w:r w:rsidRPr="00354C42">
        <w:rPr>
          <w:color w:val="0070C0"/>
          <w:sz w:val="20"/>
          <w:szCs w:val="20"/>
        </w:rPr>
        <w:t xml:space="preserve">3 Konwencji, </w:t>
      </w:r>
      <w:r w:rsidR="00AE2D47">
        <w:rPr>
          <w:color w:val="0070C0"/>
          <w:sz w:val="20"/>
          <w:szCs w:val="20"/>
        </w:rPr>
        <w:t xml:space="preserve">jeśli </w:t>
      </w:r>
      <w:r w:rsidRPr="00354C42">
        <w:rPr>
          <w:color w:val="0070C0"/>
          <w:sz w:val="20"/>
          <w:szCs w:val="20"/>
        </w:rPr>
        <w:t xml:space="preserve">była redukowalna lub innymi słowy, jeśli istniała możliwość dokonania oceny kary, </w:t>
      </w:r>
      <w:r w:rsidR="00B77132">
        <w:rPr>
          <w:color w:val="0070C0"/>
          <w:sz w:val="20"/>
          <w:szCs w:val="20"/>
        </w:rPr>
        <w:t xml:space="preserve">o czym </w:t>
      </w:r>
      <w:r w:rsidRPr="00354C42">
        <w:rPr>
          <w:color w:val="0070C0"/>
          <w:sz w:val="20"/>
          <w:szCs w:val="20"/>
        </w:rPr>
        <w:t xml:space="preserve">osadzony został powiadomiony na początku odbywania kary w zakresie wszystkich obowiązujących terminów i warunków. Ponadto forma oceny, jak również okres odbywania kary zanim taka ocena mogłaby mieć miejsce, leżała </w:t>
      </w:r>
      <w:r w:rsidR="00AE1813" w:rsidRPr="00354C42">
        <w:rPr>
          <w:color w:val="0070C0"/>
          <w:sz w:val="20"/>
          <w:szCs w:val="20"/>
        </w:rPr>
        <w:br/>
      </w:r>
      <w:r w:rsidRPr="00354C42">
        <w:rPr>
          <w:color w:val="0070C0"/>
          <w:sz w:val="20"/>
          <w:szCs w:val="20"/>
        </w:rPr>
        <w:t xml:space="preserve">w granicach marginesu swobodnej oceny Państwa. Wreszcie, pojawiła się w prawie porównawczym i międzynarodowym wyraźna tendencja opowiadająca się za mechanizmem gwarantującym ocenę kar dożywotniego pozbawienia wolności najpóźniej po 25 latach od ich orzeczenia. W niniejszej sprawie, Trybunał stwierdził, iż nie doszło do naruszenia </w:t>
      </w:r>
      <w:r w:rsidR="00D42360">
        <w:rPr>
          <w:color w:val="0070C0"/>
          <w:sz w:val="20"/>
          <w:szCs w:val="20"/>
        </w:rPr>
        <w:t xml:space="preserve">art. </w:t>
      </w:r>
      <w:r w:rsidRPr="00354C42">
        <w:rPr>
          <w:color w:val="0070C0"/>
          <w:sz w:val="20"/>
          <w:szCs w:val="20"/>
        </w:rPr>
        <w:t>3 Konwencji, stwierdziwszy, że prawo francuskie w wystarczającym stopniu zapewniało możliwość oceny kar dożywotniego pozbawienia wolności. W świetle swobody decyzyjnej ("margines swobody decyzji") pozostawionej Państwom w zakresie prawa karnego</w:t>
      </w:r>
      <w:r w:rsidR="002877A5" w:rsidRPr="00354C42">
        <w:rPr>
          <w:color w:val="0070C0"/>
          <w:sz w:val="20"/>
          <w:szCs w:val="20"/>
        </w:rPr>
        <w:br/>
      </w:r>
      <w:r w:rsidRPr="00354C42">
        <w:rPr>
          <w:color w:val="0070C0"/>
          <w:sz w:val="20"/>
          <w:szCs w:val="20"/>
        </w:rPr>
        <w:t xml:space="preserve">i orzekania należy stwierdzić, że kara orzeczona wobec skarżącego była redukowalna </w:t>
      </w:r>
      <w:r w:rsidR="00B802E1">
        <w:rPr>
          <w:color w:val="0070C0"/>
          <w:sz w:val="20"/>
          <w:szCs w:val="20"/>
        </w:rPr>
        <w:br/>
      </w:r>
      <w:r w:rsidRPr="00354C42">
        <w:rPr>
          <w:color w:val="0070C0"/>
          <w:sz w:val="20"/>
          <w:szCs w:val="20"/>
        </w:rPr>
        <w:t xml:space="preserve">w rozumieniu </w:t>
      </w:r>
      <w:r w:rsidR="00B02036">
        <w:rPr>
          <w:color w:val="0070C0"/>
          <w:sz w:val="20"/>
          <w:szCs w:val="20"/>
        </w:rPr>
        <w:t xml:space="preserve">art. </w:t>
      </w:r>
      <w:r w:rsidRPr="00354C42">
        <w:rPr>
          <w:color w:val="0070C0"/>
          <w:sz w:val="20"/>
          <w:szCs w:val="20"/>
        </w:rPr>
        <w:t>3. Trybunał zauważył, że prawo francuskie zapewniało możliwość sądowej oceny sytuacji osoby skazanej oraz korektę kary po 30 latach osadzenia. Trybunał uznał, że tak</w:t>
      </w:r>
      <w:r w:rsidR="00D61386">
        <w:rPr>
          <w:color w:val="0070C0"/>
          <w:sz w:val="20"/>
          <w:szCs w:val="20"/>
        </w:rPr>
        <w:t xml:space="preserve">a weryfikacja, </w:t>
      </w:r>
      <w:r w:rsidRPr="00354C42">
        <w:rPr>
          <w:color w:val="0070C0"/>
          <w:sz w:val="20"/>
          <w:szCs w:val="20"/>
        </w:rPr>
        <w:t>któr</w:t>
      </w:r>
      <w:r w:rsidR="00D61386">
        <w:rPr>
          <w:color w:val="0070C0"/>
          <w:sz w:val="20"/>
          <w:szCs w:val="20"/>
        </w:rPr>
        <w:t>a</w:t>
      </w:r>
      <w:r w:rsidRPr="00354C42">
        <w:rPr>
          <w:color w:val="0070C0"/>
          <w:sz w:val="20"/>
          <w:szCs w:val="20"/>
        </w:rPr>
        <w:t xml:space="preserve"> miał</w:t>
      </w:r>
      <w:r w:rsidR="00D81247">
        <w:rPr>
          <w:color w:val="0070C0"/>
          <w:sz w:val="20"/>
          <w:szCs w:val="20"/>
        </w:rPr>
        <w:t>a</w:t>
      </w:r>
      <w:r w:rsidRPr="00354C42">
        <w:rPr>
          <w:color w:val="0070C0"/>
          <w:sz w:val="20"/>
          <w:szCs w:val="20"/>
        </w:rPr>
        <w:t xml:space="preserve"> na celu ocenę niebezpieczeństwa </w:t>
      </w:r>
      <w:r w:rsidR="00B62DEA" w:rsidRPr="00354C42">
        <w:rPr>
          <w:color w:val="0070C0"/>
          <w:sz w:val="20"/>
          <w:szCs w:val="20"/>
        </w:rPr>
        <w:t>stwarzanego przez więźnia i zmiany jego zachowania podczas odbywania kary, nie pozostawia</w:t>
      </w:r>
      <w:r w:rsidR="00D61386">
        <w:rPr>
          <w:color w:val="0070C0"/>
          <w:sz w:val="20"/>
          <w:szCs w:val="20"/>
        </w:rPr>
        <w:t xml:space="preserve"> </w:t>
      </w:r>
      <w:r w:rsidR="00B62DEA" w:rsidRPr="00354C42">
        <w:rPr>
          <w:color w:val="0070C0"/>
          <w:sz w:val="20"/>
          <w:szCs w:val="20"/>
        </w:rPr>
        <w:t xml:space="preserve">żadnych wątpliwości co do istnienia "szansy zwolnienia" od </w:t>
      </w:r>
      <w:r w:rsidR="00D81247">
        <w:rPr>
          <w:color w:val="0070C0"/>
          <w:sz w:val="20"/>
          <w:szCs w:val="20"/>
        </w:rPr>
        <w:t xml:space="preserve">chwili </w:t>
      </w:r>
      <w:r w:rsidR="00D61386">
        <w:rPr>
          <w:color w:val="0070C0"/>
          <w:sz w:val="20"/>
          <w:szCs w:val="20"/>
        </w:rPr>
        <w:t>wydania wyroku</w:t>
      </w:r>
      <w:r w:rsidR="00B62DEA" w:rsidRPr="00354C42">
        <w:rPr>
          <w:color w:val="0070C0"/>
          <w:sz w:val="20"/>
          <w:szCs w:val="20"/>
        </w:rPr>
        <w:t xml:space="preserve">. W sprawie skarżącego, po odliczeniu okresu </w:t>
      </w:r>
      <w:r w:rsidR="00A676E1">
        <w:rPr>
          <w:color w:val="0070C0"/>
          <w:sz w:val="20"/>
          <w:szCs w:val="20"/>
        </w:rPr>
        <w:t>tymczasowego aresztowania</w:t>
      </w:r>
      <w:r w:rsidR="00B62DEA" w:rsidRPr="00354C42">
        <w:rPr>
          <w:color w:val="0070C0"/>
          <w:sz w:val="20"/>
          <w:szCs w:val="20"/>
        </w:rPr>
        <w:t>, kara orzeczona wobec niego kwalifikowałaby się do oceny w 2034</w:t>
      </w:r>
      <w:r w:rsidR="00D81247">
        <w:rPr>
          <w:color w:val="0070C0"/>
          <w:sz w:val="20"/>
          <w:szCs w:val="20"/>
        </w:rPr>
        <w:t xml:space="preserve"> r.</w:t>
      </w:r>
      <w:r w:rsidR="00B62DEA" w:rsidRPr="00354C42">
        <w:rPr>
          <w:color w:val="0070C0"/>
          <w:sz w:val="20"/>
          <w:szCs w:val="20"/>
        </w:rPr>
        <w:t>,</w:t>
      </w:r>
      <w:r w:rsidR="00D81247">
        <w:rPr>
          <w:color w:val="0070C0"/>
          <w:sz w:val="20"/>
          <w:szCs w:val="20"/>
        </w:rPr>
        <w:t xml:space="preserve"> </w:t>
      </w:r>
      <w:r w:rsidR="00B62DEA" w:rsidRPr="00354C42">
        <w:rPr>
          <w:color w:val="0070C0"/>
          <w:sz w:val="20"/>
          <w:szCs w:val="20"/>
        </w:rPr>
        <w:t xml:space="preserve">to jest 26 lat po skazaniu przez  </w:t>
      </w:r>
      <w:r w:rsidR="00A676E1">
        <w:rPr>
          <w:color w:val="0070C0"/>
          <w:sz w:val="20"/>
          <w:szCs w:val="20"/>
        </w:rPr>
        <w:t>s</w:t>
      </w:r>
      <w:r w:rsidR="00B62DEA" w:rsidRPr="00354C42">
        <w:rPr>
          <w:color w:val="0070C0"/>
          <w:sz w:val="20"/>
          <w:szCs w:val="20"/>
        </w:rPr>
        <w:t xml:space="preserve">ąd </w:t>
      </w:r>
      <w:r w:rsidR="00A676E1">
        <w:rPr>
          <w:color w:val="0070C0"/>
          <w:sz w:val="20"/>
          <w:szCs w:val="20"/>
        </w:rPr>
        <w:t xml:space="preserve">[Assize Court] </w:t>
      </w:r>
      <w:r w:rsidR="00B62DEA" w:rsidRPr="00354C42">
        <w:rPr>
          <w:color w:val="0070C0"/>
          <w:sz w:val="20"/>
          <w:szCs w:val="20"/>
        </w:rPr>
        <w:t>na karę dożywotniego pozbawienia wolności</w:t>
      </w:r>
      <w:r w:rsidR="00A676E1">
        <w:rPr>
          <w:color w:val="0070C0"/>
          <w:sz w:val="20"/>
          <w:szCs w:val="20"/>
        </w:rPr>
        <w:t>.</w:t>
      </w:r>
    </w:p>
    <w:p w14:paraId="518E90C6" w14:textId="65122B8A" w:rsidR="00244B64" w:rsidRDefault="00BB2283" w:rsidP="00584174">
      <w:pPr>
        <w:spacing w:before="240" w:line="218" w:lineRule="exact"/>
        <w:ind w:left="860"/>
        <w:jc w:val="both"/>
        <w:rPr>
          <w:color w:val="000000" w:themeColor="text1"/>
          <w:sz w:val="20"/>
          <w:szCs w:val="20"/>
        </w:rPr>
      </w:pPr>
      <w:r w:rsidRPr="00B802E1">
        <w:rPr>
          <w:color w:val="000000" w:themeColor="text1"/>
          <w:sz w:val="20"/>
          <w:szCs w:val="20"/>
        </w:rPr>
        <w:t>Zobacz również</w:t>
      </w:r>
      <w:r w:rsidR="00CB6D27" w:rsidRPr="00B802E1">
        <w:rPr>
          <w:color w:val="000000" w:themeColor="text1"/>
          <w:sz w:val="20"/>
          <w:szCs w:val="20"/>
        </w:rPr>
        <w:t>:</w:t>
      </w:r>
      <w:r w:rsidR="00CB6D27" w:rsidRPr="00B802E1">
        <w:rPr>
          <w:color w:val="808080"/>
          <w:sz w:val="20"/>
          <w:szCs w:val="20"/>
        </w:rPr>
        <w:t xml:space="preserve"> </w:t>
      </w:r>
      <w:r w:rsidR="002D4778">
        <w:rPr>
          <w:b/>
          <w:bCs/>
          <w:i/>
          <w:iCs/>
          <w:color w:val="0070C0"/>
          <w:sz w:val="20"/>
          <w:szCs w:val="20"/>
          <w:u w:val="single"/>
        </w:rPr>
        <w:t>Vella przeciwko</w:t>
      </w:r>
      <w:r w:rsidR="00CB6D27" w:rsidRPr="00B802E1">
        <w:rPr>
          <w:b/>
          <w:bCs/>
          <w:i/>
          <w:iCs/>
          <w:color w:val="0070C0"/>
          <w:sz w:val="20"/>
          <w:szCs w:val="20"/>
          <w:u w:val="single"/>
        </w:rPr>
        <w:t xml:space="preserve"> Mal</w:t>
      </w:r>
      <w:r w:rsidR="002D4778">
        <w:rPr>
          <w:b/>
          <w:bCs/>
          <w:i/>
          <w:iCs/>
          <w:color w:val="0070C0"/>
          <w:sz w:val="20"/>
          <w:szCs w:val="20"/>
          <w:u w:val="single"/>
        </w:rPr>
        <w:t>cie</w:t>
      </w:r>
      <w:r w:rsidR="00CB6D27" w:rsidRPr="00B802E1">
        <w:rPr>
          <w:color w:val="000000" w:themeColor="text1"/>
          <w:sz w:val="20"/>
          <w:szCs w:val="20"/>
        </w:rPr>
        <w:t>, dec</w:t>
      </w:r>
      <w:r w:rsidRPr="00B802E1">
        <w:rPr>
          <w:color w:val="000000" w:themeColor="text1"/>
          <w:sz w:val="20"/>
          <w:szCs w:val="20"/>
        </w:rPr>
        <w:t xml:space="preserve">yzja </w:t>
      </w:r>
      <w:r w:rsidR="00CB6D27" w:rsidRPr="00B802E1">
        <w:rPr>
          <w:color w:val="000000" w:themeColor="text1"/>
          <w:sz w:val="20"/>
          <w:szCs w:val="20"/>
        </w:rPr>
        <w:t>(</w:t>
      </w:r>
      <w:r w:rsidRPr="00B802E1">
        <w:rPr>
          <w:color w:val="000000" w:themeColor="text1"/>
          <w:sz w:val="20"/>
          <w:szCs w:val="20"/>
        </w:rPr>
        <w:t>Komitet</w:t>
      </w:r>
      <w:r w:rsidR="00CB6D27" w:rsidRPr="00B802E1">
        <w:rPr>
          <w:color w:val="000000" w:themeColor="text1"/>
          <w:sz w:val="20"/>
          <w:szCs w:val="20"/>
        </w:rPr>
        <w:t xml:space="preserve">) </w:t>
      </w:r>
      <w:r w:rsidRPr="00B802E1">
        <w:rPr>
          <w:color w:val="000000" w:themeColor="text1"/>
          <w:sz w:val="20"/>
          <w:szCs w:val="20"/>
        </w:rPr>
        <w:t xml:space="preserve">z </w:t>
      </w:r>
      <w:r w:rsidR="00CB6D27" w:rsidRPr="00B802E1">
        <w:rPr>
          <w:color w:val="000000" w:themeColor="text1"/>
          <w:sz w:val="20"/>
          <w:szCs w:val="20"/>
        </w:rPr>
        <w:t xml:space="preserve">19 </w:t>
      </w:r>
      <w:r w:rsidRPr="00B802E1">
        <w:rPr>
          <w:color w:val="000000" w:themeColor="text1"/>
          <w:sz w:val="20"/>
          <w:szCs w:val="20"/>
        </w:rPr>
        <w:t xml:space="preserve">listopada </w:t>
      </w:r>
      <w:r w:rsidR="00CB6D27" w:rsidRPr="00B802E1">
        <w:rPr>
          <w:color w:val="000000" w:themeColor="text1"/>
          <w:sz w:val="20"/>
          <w:szCs w:val="20"/>
        </w:rPr>
        <w:t>2019</w:t>
      </w:r>
      <w:r w:rsidRPr="00B802E1">
        <w:rPr>
          <w:color w:val="000000" w:themeColor="text1"/>
          <w:sz w:val="20"/>
          <w:szCs w:val="20"/>
        </w:rPr>
        <w:t xml:space="preserve"> r.</w:t>
      </w:r>
      <w:r w:rsidR="00CB6D27" w:rsidRPr="00B802E1">
        <w:rPr>
          <w:color w:val="000000" w:themeColor="text1"/>
          <w:sz w:val="20"/>
          <w:szCs w:val="20"/>
        </w:rPr>
        <w:t xml:space="preserve"> </w:t>
      </w:r>
    </w:p>
    <w:p w14:paraId="0587F67D" w14:textId="77777777" w:rsidR="00244B64" w:rsidRDefault="00244B64" w:rsidP="00244B64">
      <w:pPr>
        <w:spacing w:line="218" w:lineRule="exact"/>
        <w:ind w:left="860"/>
        <w:jc w:val="both"/>
        <w:rPr>
          <w:color w:val="000000" w:themeColor="text1"/>
          <w:sz w:val="20"/>
          <w:szCs w:val="20"/>
        </w:rPr>
      </w:pPr>
    </w:p>
    <w:p w14:paraId="51B4AAD6" w14:textId="3AB33437" w:rsidR="00244B64" w:rsidRDefault="00244B64" w:rsidP="00244B64">
      <w:pPr>
        <w:spacing w:line="218" w:lineRule="exact"/>
        <w:ind w:left="860"/>
        <w:jc w:val="both"/>
        <w:rPr>
          <w:color w:val="808080"/>
          <w:sz w:val="18"/>
        </w:rPr>
      </w:pPr>
      <w:r w:rsidRPr="00CD7973">
        <w:rPr>
          <w:b/>
          <w:bCs/>
          <w:color w:val="0070C0"/>
          <w:sz w:val="20"/>
          <w:szCs w:val="20"/>
          <w:u w:val="single"/>
        </w:rPr>
        <w:t xml:space="preserve">Murray </w:t>
      </w:r>
      <w:r w:rsidR="002D4778">
        <w:rPr>
          <w:b/>
          <w:bCs/>
          <w:color w:val="0070C0"/>
          <w:sz w:val="20"/>
          <w:szCs w:val="20"/>
          <w:u w:val="single"/>
        </w:rPr>
        <w:t>przeciwko Niderlandom</w:t>
      </w:r>
      <w:r w:rsidRPr="00CD7973">
        <w:rPr>
          <w:color w:val="808080"/>
          <w:sz w:val="18"/>
        </w:rPr>
        <w:t xml:space="preserve"> </w:t>
      </w:r>
    </w:p>
    <w:p w14:paraId="4E58CE7F" w14:textId="77777777" w:rsidR="00244B64" w:rsidRDefault="00244B64" w:rsidP="00244B64">
      <w:pPr>
        <w:spacing w:line="218" w:lineRule="exact"/>
        <w:ind w:left="860"/>
        <w:jc w:val="both"/>
        <w:rPr>
          <w:color w:val="A6A6A6" w:themeColor="background1" w:themeShade="A6"/>
          <w:sz w:val="18"/>
        </w:rPr>
      </w:pPr>
      <w:r w:rsidRPr="00270F20">
        <w:rPr>
          <w:color w:val="A6A6A6" w:themeColor="background1" w:themeShade="A6"/>
          <w:sz w:val="18"/>
        </w:rPr>
        <w:t>26 kwiecień 2016 r.(Wielka Izba – wyrok)</w:t>
      </w:r>
    </w:p>
    <w:p w14:paraId="0FA0F80C" w14:textId="0CC2F0D3" w:rsidR="0052545F" w:rsidRDefault="00244B64" w:rsidP="0052545F">
      <w:pPr>
        <w:spacing w:line="218" w:lineRule="exact"/>
        <w:ind w:left="850" w:right="567"/>
        <w:jc w:val="both"/>
        <w:rPr>
          <w:color w:val="000000" w:themeColor="text1"/>
          <w:sz w:val="20"/>
          <w:szCs w:val="20"/>
        </w:rPr>
      </w:pPr>
      <w:r w:rsidRPr="00D71558">
        <w:rPr>
          <w:sz w:val="20"/>
          <w:szCs w:val="20"/>
        </w:rPr>
        <w:t xml:space="preserve">Przedmiotowa sprawa dotyczyła skargi złożonej przez osobę skazaną za zabójstwo </w:t>
      </w:r>
      <w:r w:rsidRPr="00D71558">
        <w:rPr>
          <w:sz w:val="20"/>
          <w:szCs w:val="20"/>
        </w:rPr>
        <w:br/>
        <w:t xml:space="preserve">w 1980 r., </w:t>
      </w:r>
      <w:r>
        <w:rPr>
          <w:sz w:val="20"/>
          <w:szCs w:val="20"/>
        </w:rPr>
        <w:t xml:space="preserve">następnie </w:t>
      </w:r>
      <w:r w:rsidRPr="00D71558">
        <w:rPr>
          <w:sz w:val="20"/>
          <w:szCs w:val="20"/>
        </w:rPr>
        <w:t>odbywa</w:t>
      </w:r>
      <w:r>
        <w:rPr>
          <w:sz w:val="20"/>
          <w:szCs w:val="20"/>
        </w:rPr>
        <w:t xml:space="preserve">jącą </w:t>
      </w:r>
      <w:r w:rsidRPr="00D71558">
        <w:rPr>
          <w:sz w:val="20"/>
          <w:szCs w:val="20"/>
        </w:rPr>
        <w:t xml:space="preserve">karę dożywotniego pozbawienia wolności na wyspach </w:t>
      </w:r>
      <w:r w:rsidRPr="00624159">
        <w:rPr>
          <w:color w:val="000000" w:themeColor="text1"/>
          <w:sz w:val="20"/>
          <w:szCs w:val="20"/>
        </w:rPr>
        <w:t>Curaçao i Aruba (część Królestwa Niderlandów)</w:t>
      </w:r>
      <w:r>
        <w:rPr>
          <w:color w:val="000000" w:themeColor="text1"/>
          <w:sz w:val="20"/>
          <w:szCs w:val="20"/>
        </w:rPr>
        <w:t>-</w:t>
      </w:r>
      <w:r w:rsidRPr="00624159">
        <w:rPr>
          <w:color w:val="000000" w:themeColor="text1"/>
          <w:sz w:val="20"/>
          <w:szCs w:val="20"/>
        </w:rPr>
        <w:t xml:space="preserve"> do czasu ułaskawienia go w 2014 r. </w:t>
      </w:r>
      <w:r>
        <w:rPr>
          <w:color w:val="000000" w:themeColor="text1"/>
          <w:sz w:val="20"/>
          <w:szCs w:val="20"/>
        </w:rPr>
        <w:br/>
      </w:r>
      <w:r w:rsidRPr="00624159">
        <w:rPr>
          <w:color w:val="000000" w:themeColor="text1"/>
          <w:sz w:val="20"/>
          <w:szCs w:val="20"/>
        </w:rPr>
        <w:t xml:space="preserve">z powodu pogarszającego się stanu zdrowia </w:t>
      </w:r>
      <w:r>
        <w:rPr>
          <w:color w:val="000000" w:themeColor="text1"/>
          <w:sz w:val="20"/>
          <w:szCs w:val="20"/>
        </w:rPr>
        <w:t xml:space="preserve">– od czasu </w:t>
      </w:r>
      <w:r w:rsidRPr="00624159">
        <w:rPr>
          <w:color w:val="000000" w:themeColor="text1"/>
          <w:sz w:val="20"/>
          <w:szCs w:val="20"/>
        </w:rPr>
        <w:t xml:space="preserve">wyroku </w:t>
      </w:r>
      <w:r>
        <w:rPr>
          <w:color w:val="000000" w:themeColor="text1"/>
          <w:sz w:val="20"/>
          <w:szCs w:val="20"/>
        </w:rPr>
        <w:t xml:space="preserve">skazującego na </w:t>
      </w:r>
      <w:r w:rsidRPr="00624159">
        <w:rPr>
          <w:color w:val="000000" w:themeColor="text1"/>
          <w:sz w:val="20"/>
          <w:szCs w:val="20"/>
        </w:rPr>
        <w:t>dożywo</w:t>
      </w:r>
      <w:r>
        <w:rPr>
          <w:color w:val="000000" w:themeColor="text1"/>
          <w:sz w:val="20"/>
          <w:szCs w:val="20"/>
        </w:rPr>
        <w:t xml:space="preserve">cie </w:t>
      </w:r>
      <w:r w:rsidRPr="00624159">
        <w:rPr>
          <w:color w:val="000000" w:themeColor="text1"/>
          <w:sz w:val="20"/>
          <w:szCs w:val="20"/>
        </w:rPr>
        <w:t>bez realnej perspektywy uwolnienia. Skarżący - który w międzyczasie zmarł</w:t>
      </w:r>
      <w:r>
        <w:rPr>
          <w:rStyle w:val="Odwoanieprzypisudolnego"/>
          <w:color w:val="000000" w:themeColor="text1"/>
          <w:sz w:val="20"/>
          <w:szCs w:val="20"/>
        </w:rPr>
        <w:footnoteReference w:id="5"/>
      </w:r>
      <w:r w:rsidRPr="00624159">
        <w:rPr>
          <w:color w:val="000000" w:themeColor="text1"/>
          <w:sz w:val="20"/>
          <w:szCs w:val="20"/>
        </w:rPr>
        <w:t xml:space="preserve"> - utrzymywał w szczególności, że nie z</w:t>
      </w:r>
      <w:r>
        <w:rPr>
          <w:color w:val="000000" w:themeColor="text1"/>
          <w:sz w:val="20"/>
          <w:szCs w:val="20"/>
        </w:rPr>
        <w:t xml:space="preserve">ostał objęty </w:t>
      </w:r>
      <w:r w:rsidRPr="00624159">
        <w:rPr>
          <w:color w:val="000000" w:themeColor="text1"/>
          <w:sz w:val="20"/>
          <w:szCs w:val="20"/>
        </w:rPr>
        <w:t>specjaln</w:t>
      </w:r>
      <w:r>
        <w:rPr>
          <w:color w:val="000000" w:themeColor="text1"/>
          <w:sz w:val="20"/>
          <w:szCs w:val="20"/>
        </w:rPr>
        <w:t xml:space="preserve">ym </w:t>
      </w:r>
      <w:r w:rsidRPr="00624159">
        <w:rPr>
          <w:color w:val="000000" w:themeColor="text1"/>
          <w:sz w:val="20"/>
          <w:szCs w:val="20"/>
        </w:rPr>
        <w:t>system</w:t>
      </w:r>
      <w:r>
        <w:rPr>
          <w:color w:val="000000" w:themeColor="text1"/>
          <w:sz w:val="20"/>
          <w:szCs w:val="20"/>
        </w:rPr>
        <w:t xml:space="preserve">em odbywania kary dla </w:t>
      </w:r>
      <w:r w:rsidRPr="00624159">
        <w:rPr>
          <w:color w:val="000000" w:themeColor="text1"/>
          <w:sz w:val="20"/>
          <w:szCs w:val="20"/>
        </w:rPr>
        <w:t xml:space="preserve">więźniów </w:t>
      </w:r>
      <w:r w:rsidR="0052545F">
        <w:rPr>
          <w:color w:val="000000" w:themeColor="text1"/>
          <w:sz w:val="20"/>
          <w:szCs w:val="20"/>
        </w:rPr>
        <w:br/>
      </w:r>
      <w:r w:rsidRPr="00624159">
        <w:rPr>
          <w:color w:val="000000" w:themeColor="text1"/>
          <w:sz w:val="20"/>
          <w:szCs w:val="20"/>
        </w:rPr>
        <w:t xml:space="preserve">z problemami psychiatrycznymi. Chociaż wkrótce po złożeniu </w:t>
      </w:r>
      <w:r>
        <w:rPr>
          <w:color w:val="000000" w:themeColor="text1"/>
          <w:sz w:val="20"/>
          <w:szCs w:val="20"/>
        </w:rPr>
        <w:t xml:space="preserve">przez niego skargi </w:t>
      </w:r>
      <w:r w:rsidRPr="00624159">
        <w:rPr>
          <w:color w:val="000000" w:themeColor="text1"/>
          <w:sz w:val="20"/>
          <w:szCs w:val="20"/>
        </w:rPr>
        <w:t>do Trybunału wprowadzono prawny mechanizm weryfik</w:t>
      </w:r>
      <w:r>
        <w:rPr>
          <w:color w:val="000000" w:themeColor="text1"/>
          <w:sz w:val="20"/>
          <w:szCs w:val="20"/>
        </w:rPr>
        <w:t xml:space="preserve">owania </w:t>
      </w:r>
      <w:r w:rsidRPr="00624159">
        <w:rPr>
          <w:color w:val="000000" w:themeColor="text1"/>
          <w:sz w:val="20"/>
          <w:szCs w:val="20"/>
        </w:rPr>
        <w:t>wyroków dożywocia, argumentował on, że de facto nie miał perspektyw na zwolnienie, ponieważ nigdy nie był poddany żadnemu leczeniu psychiatrycznemu</w:t>
      </w:r>
      <w:r>
        <w:rPr>
          <w:color w:val="000000" w:themeColor="text1"/>
          <w:sz w:val="20"/>
          <w:szCs w:val="20"/>
        </w:rPr>
        <w:t xml:space="preserve"> i dlatego </w:t>
      </w:r>
      <w:r w:rsidRPr="00624159">
        <w:rPr>
          <w:color w:val="000000" w:themeColor="text1"/>
          <w:sz w:val="20"/>
          <w:szCs w:val="20"/>
        </w:rPr>
        <w:t xml:space="preserve">ryzyko ponownego popełnienia przez niego przestępstwa nadal </w:t>
      </w:r>
      <w:r>
        <w:rPr>
          <w:color w:val="000000" w:themeColor="text1"/>
          <w:sz w:val="20"/>
          <w:szCs w:val="20"/>
        </w:rPr>
        <w:t xml:space="preserve">mogło być </w:t>
      </w:r>
      <w:r w:rsidRPr="00624159">
        <w:rPr>
          <w:color w:val="000000" w:themeColor="text1"/>
          <w:sz w:val="20"/>
          <w:szCs w:val="20"/>
        </w:rPr>
        <w:t>uważane za zbyt wysokie, aby kwalifikowa</w:t>
      </w:r>
      <w:r>
        <w:rPr>
          <w:color w:val="000000" w:themeColor="text1"/>
          <w:sz w:val="20"/>
          <w:szCs w:val="20"/>
        </w:rPr>
        <w:t>ł</w:t>
      </w:r>
      <w:r w:rsidRPr="00624159">
        <w:rPr>
          <w:color w:val="000000" w:themeColor="text1"/>
          <w:sz w:val="20"/>
          <w:szCs w:val="20"/>
        </w:rPr>
        <w:t xml:space="preserve"> się do zwolnienia.</w:t>
      </w:r>
      <w:r>
        <w:rPr>
          <w:color w:val="000000" w:themeColor="text1"/>
          <w:sz w:val="20"/>
          <w:szCs w:val="20"/>
        </w:rPr>
        <w:t xml:space="preserve"> </w:t>
      </w:r>
    </w:p>
    <w:p w14:paraId="6AD0AC91" w14:textId="6373CF6B" w:rsidR="00BB5BE8" w:rsidRDefault="00244B64" w:rsidP="00BB5BE8">
      <w:pPr>
        <w:spacing w:after="240" w:line="218" w:lineRule="exact"/>
        <w:ind w:left="850" w:right="567"/>
        <w:jc w:val="both"/>
        <w:rPr>
          <w:color w:val="0070C0"/>
          <w:sz w:val="20"/>
          <w:szCs w:val="20"/>
        </w:rPr>
      </w:pPr>
      <w:r w:rsidRPr="0061612F">
        <w:rPr>
          <w:color w:val="0070C0"/>
          <w:sz w:val="20"/>
          <w:szCs w:val="20"/>
        </w:rPr>
        <w:t>Trybunał orzekł</w:t>
      </w:r>
      <w:r>
        <w:rPr>
          <w:color w:val="0070C0"/>
          <w:sz w:val="20"/>
          <w:szCs w:val="20"/>
        </w:rPr>
        <w:t>,</w:t>
      </w:r>
      <w:r w:rsidRPr="0061612F">
        <w:rPr>
          <w:color w:val="0070C0"/>
          <w:sz w:val="20"/>
          <w:szCs w:val="20"/>
        </w:rPr>
        <w:t xml:space="preserve"> że </w:t>
      </w:r>
      <w:r w:rsidRPr="0061612F">
        <w:rPr>
          <w:b/>
          <w:bCs/>
          <w:color w:val="0070C0"/>
          <w:sz w:val="20"/>
          <w:szCs w:val="20"/>
        </w:rPr>
        <w:t xml:space="preserve">doszło do naruszenia art. 3 </w:t>
      </w:r>
      <w:r>
        <w:rPr>
          <w:b/>
          <w:bCs/>
          <w:color w:val="0070C0"/>
          <w:sz w:val="20"/>
          <w:szCs w:val="20"/>
        </w:rPr>
        <w:t>K</w:t>
      </w:r>
      <w:r w:rsidRPr="0061612F">
        <w:rPr>
          <w:b/>
          <w:bCs/>
          <w:color w:val="0070C0"/>
          <w:sz w:val="20"/>
          <w:szCs w:val="20"/>
        </w:rPr>
        <w:t>onwencji</w:t>
      </w:r>
      <w:r w:rsidRPr="0061612F">
        <w:rPr>
          <w:color w:val="0070C0"/>
          <w:sz w:val="20"/>
          <w:szCs w:val="20"/>
        </w:rPr>
        <w:t xml:space="preserve">. Podkreślił w szczególności, że zgodnie z </w:t>
      </w:r>
      <w:r>
        <w:rPr>
          <w:color w:val="0070C0"/>
          <w:sz w:val="20"/>
          <w:szCs w:val="20"/>
        </w:rPr>
        <w:t xml:space="preserve">jego linią </w:t>
      </w:r>
      <w:r w:rsidRPr="0061612F">
        <w:rPr>
          <w:color w:val="0070C0"/>
          <w:sz w:val="20"/>
          <w:szCs w:val="20"/>
        </w:rPr>
        <w:t>orzecznic</w:t>
      </w:r>
      <w:r>
        <w:rPr>
          <w:color w:val="0070C0"/>
          <w:sz w:val="20"/>
          <w:szCs w:val="20"/>
        </w:rPr>
        <w:t>zą, P</w:t>
      </w:r>
      <w:r w:rsidRPr="0061612F">
        <w:rPr>
          <w:color w:val="0070C0"/>
          <w:sz w:val="20"/>
          <w:szCs w:val="20"/>
        </w:rPr>
        <w:t xml:space="preserve">aństwa mają duże pole manewru ("margines oceny") przy określaniu, jakie środki są niezbędne, aby </w:t>
      </w:r>
      <w:r w:rsidR="00731E13">
        <w:rPr>
          <w:color w:val="0070C0"/>
          <w:sz w:val="20"/>
          <w:szCs w:val="20"/>
        </w:rPr>
        <w:t xml:space="preserve">zapewnić </w:t>
      </w:r>
      <w:r w:rsidRPr="0061612F">
        <w:rPr>
          <w:color w:val="0070C0"/>
          <w:sz w:val="20"/>
          <w:szCs w:val="20"/>
        </w:rPr>
        <w:t xml:space="preserve">więźniowi </w:t>
      </w:r>
      <w:r>
        <w:rPr>
          <w:color w:val="0070C0"/>
          <w:sz w:val="20"/>
          <w:szCs w:val="20"/>
        </w:rPr>
        <w:t xml:space="preserve">odbywającemu karę </w:t>
      </w:r>
      <w:r w:rsidRPr="0061612F">
        <w:rPr>
          <w:color w:val="0070C0"/>
          <w:sz w:val="20"/>
          <w:szCs w:val="20"/>
        </w:rPr>
        <w:t>dożywo</w:t>
      </w:r>
      <w:r>
        <w:rPr>
          <w:color w:val="0070C0"/>
          <w:sz w:val="20"/>
          <w:szCs w:val="20"/>
        </w:rPr>
        <w:t xml:space="preserve">cia </w:t>
      </w:r>
      <w:r w:rsidRPr="0061612F">
        <w:rPr>
          <w:color w:val="0070C0"/>
          <w:sz w:val="20"/>
          <w:szCs w:val="20"/>
        </w:rPr>
        <w:t>możliwość re</w:t>
      </w:r>
      <w:r>
        <w:rPr>
          <w:color w:val="0070C0"/>
          <w:sz w:val="20"/>
          <w:szCs w:val="20"/>
        </w:rPr>
        <w:t>socjalizacji</w:t>
      </w:r>
      <w:r w:rsidRPr="0061612F">
        <w:rPr>
          <w:color w:val="0070C0"/>
          <w:sz w:val="20"/>
          <w:szCs w:val="20"/>
        </w:rPr>
        <w:t xml:space="preserve">. Jednak, </w:t>
      </w:r>
      <w:r>
        <w:rPr>
          <w:color w:val="0070C0"/>
          <w:sz w:val="20"/>
          <w:szCs w:val="20"/>
        </w:rPr>
        <w:t>pomimo tego</w:t>
      </w:r>
      <w:r w:rsidR="00BB5BE8">
        <w:rPr>
          <w:color w:val="0070C0"/>
          <w:sz w:val="20"/>
          <w:szCs w:val="20"/>
        </w:rPr>
        <w:t>,</w:t>
      </w:r>
      <w:r>
        <w:rPr>
          <w:color w:val="0070C0"/>
          <w:sz w:val="20"/>
          <w:szCs w:val="20"/>
        </w:rPr>
        <w:t xml:space="preserve"> </w:t>
      </w:r>
      <w:r w:rsidRPr="0061612F">
        <w:rPr>
          <w:color w:val="0070C0"/>
          <w:sz w:val="20"/>
          <w:szCs w:val="20"/>
        </w:rPr>
        <w:t xml:space="preserve">że </w:t>
      </w:r>
      <w:r>
        <w:rPr>
          <w:color w:val="0070C0"/>
          <w:sz w:val="20"/>
          <w:szCs w:val="20"/>
        </w:rPr>
        <w:t xml:space="preserve">skarżący </w:t>
      </w:r>
      <w:r w:rsidRPr="0061612F">
        <w:rPr>
          <w:color w:val="0070C0"/>
          <w:sz w:val="20"/>
          <w:szCs w:val="20"/>
        </w:rPr>
        <w:t xml:space="preserve">przed skazaniem </w:t>
      </w:r>
      <w:r>
        <w:rPr>
          <w:color w:val="0070C0"/>
          <w:sz w:val="20"/>
          <w:szCs w:val="20"/>
        </w:rPr>
        <w:t xml:space="preserve">go </w:t>
      </w:r>
      <w:r w:rsidRPr="0061612F">
        <w:rPr>
          <w:color w:val="0070C0"/>
          <w:sz w:val="20"/>
          <w:szCs w:val="20"/>
        </w:rPr>
        <w:t>na karę dożywotniego więzienia</w:t>
      </w:r>
      <w:r>
        <w:rPr>
          <w:color w:val="0070C0"/>
          <w:sz w:val="20"/>
          <w:szCs w:val="20"/>
        </w:rPr>
        <w:t xml:space="preserve"> </w:t>
      </w:r>
      <w:r w:rsidRPr="0061612F">
        <w:rPr>
          <w:color w:val="0070C0"/>
          <w:sz w:val="20"/>
          <w:szCs w:val="20"/>
        </w:rPr>
        <w:t xml:space="preserve">został </w:t>
      </w:r>
      <w:r>
        <w:rPr>
          <w:color w:val="0070C0"/>
          <w:sz w:val="20"/>
          <w:szCs w:val="20"/>
        </w:rPr>
        <w:t xml:space="preserve">uznany za osobę </w:t>
      </w:r>
      <w:r w:rsidRPr="0061612F">
        <w:rPr>
          <w:color w:val="0070C0"/>
          <w:sz w:val="20"/>
          <w:szCs w:val="20"/>
        </w:rPr>
        <w:t>wymagając</w:t>
      </w:r>
      <w:r>
        <w:rPr>
          <w:color w:val="0070C0"/>
          <w:sz w:val="20"/>
          <w:szCs w:val="20"/>
        </w:rPr>
        <w:t xml:space="preserve">ą </w:t>
      </w:r>
      <w:r w:rsidRPr="0061612F">
        <w:rPr>
          <w:color w:val="0070C0"/>
          <w:sz w:val="20"/>
          <w:szCs w:val="20"/>
        </w:rPr>
        <w:t xml:space="preserve">leczenia, nie przeprowadzono dalszych </w:t>
      </w:r>
      <w:r>
        <w:rPr>
          <w:color w:val="0070C0"/>
          <w:sz w:val="20"/>
          <w:szCs w:val="20"/>
        </w:rPr>
        <w:t xml:space="preserve">analiz </w:t>
      </w:r>
      <w:r w:rsidR="00BB5BE8">
        <w:rPr>
          <w:color w:val="0070C0"/>
          <w:sz w:val="20"/>
          <w:szCs w:val="20"/>
        </w:rPr>
        <w:t xml:space="preserve">pod kątem </w:t>
      </w:r>
      <w:r>
        <w:rPr>
          <w:color w:val="0070C0"/>
          <w:sz w:val="20"/>
          <w:szCs w:val="20"/>
        </w:rPr>
        <w:t xml:space="preserve">rodzaju </w:t>
      </w:r>
      <w:r w:rsidRPr="0061612F">
        <w:rPr>
          <w:color w:val="0070C0"/>
          <w:sz w:val="20"/>
          <w:szCs w:val="20"/>
        </w:rPr>
        <w:t xml:space="preserve">leczenia, które </w:t>
      </w:r>
      <w:r>
        <w:rPr>
          <w:color w:val="0070C0"/>
          <w:sz w:val="20"/>
          <w:szCs w:val="20"/>
        </w:rPr>
        <w:t xml:space="preserve">powinno być </w:t>
      </w:r>
      <w:r w:rsidRPr="0061612F">
        <w:rPr>
          <w:color w:val="0070C0"/>
          <w:sz w:val="20"/>
          <w:szCs w:val="20"/>
        </w:rPr>
        <w:t xml:space="preserve">wymagane i </w:t>
      </w:r>
      <w:r>
        <w:rPr>
          <w:color w:val="0070C0"/>
          <w:sz w:val="20"/>
          <w:szCs w:val="20"/>
        </w:rPr>
        <w:t xml:space="preserve">mogłoby </w:t>
      </w:r>
      <w:r w:rsidRPr="0061612F">
        <w:rPr>
          <w:color w:val="0070C0"/>
          <w:sz w:val="20"/>
          <w:szCs w:val="20"/>
        </w:rPr>
        <w:t xml:space="preserve">zostać </w:t>
      </w:r>
      <w:r>
        <w:rPr>
          <w:color w:val="0070C0"/>
          <w:sz w:val="20"/>
          <w:szCs w:val="20"/>
        </w:rPr>
        <w:t>zapewnione</w:t>
      </w:r>
      <w:r w:rsidRPr="0061612F">
        <w:rPr>
          <w:color w:val="0070C0"/>
          <w:sz w:val="20"/>
          <w:szCs w:val="20"/>
        </w:rPr>
        <w:t xml:space="preserve">. W </w:t>
      </w:r>
      <w:r>
        <w:rPr>
          <w:color w:val="0070C0"/>
          <w:sz w:val="20"/>
          <w:szCs w:val="20"/>
        </w:rPr>
        <w:t xml:space="preserve">rezultacie </w:t>
      </w:r>
      <w:r w:rsidRPr="0061612F">
        <w:rPr>
          <w:color w:val="0070C0"/>
          <w:sz w:val="20"/>
          <w:szCs w:val="20"/>
        </w:rPr>
        <w:t xml:space="preserve">w </w:t>
      </w:r>
      <w:r w:rsidR="00277561">
        <w:rPr>
          <w:color w:val="0070C0"/>
          <w:sz w:val="20"/>
          <w:szCs w:val="20"/>
        </w:rPr>
        <w:t xml:space="preserve">czasie, kiedy skarżący składał swoją skargę </w:t>
      </w:r>
      <w:r w:rsidRPr="0061612F">
        <w:rPr>
          <w:color w:val="0070C0"/>
          <w:sz w:val="20"/>
          <w:szCs w:val="20"/>
        </w:rPr>
        <w:lastRenderedPageBreak/>
        <w:t>do Trybunału, jak</w:t>
      </w:r>
      <w:r>
        <w:rPr>
          <w:color w:val="0070C0"/>
          <w:sz w:val="20"/>
          <w:szCs w:val="20"/>
        </w:rPr>
        <w:t>i</w:t>
      </w:r>
      <w:r w:rsidRPr="0061612F">
        <w:rPr>
          <w:color w:val="0070C0"/>
          <w:sz w:val="20"/>
          <w:szCs w:val="20"/>
        </w:rPr>
        <w:t xml:space="preserve">kolwiek </w:t>
      </w:r>
      <w:r w:rsidR="00277561">
        <w:rPr>
          <w:color w:val="0070C0"/>
          <w:sz w:val="20"/>
          <w:szCs w:val="20"/>
        </w:rPr>
        <w:t xml:space="preserve">jego </w:t>
      </w:r>
      <w:r w:rsidRPr="0061612F">
        <w:rPr>
          <w:color w:val="0070C0"/>
          <w:sz w:val="20"/>
          <w:szCs w:val="20"/>
        </w:rPr>
        <w:t>wniosek o ułaskawienie</w:t>
      </w:r>
      <w:r>
        <w:rPr>
          <w:color w:val="0070C0"/>
          <w:sz w:val="20"/>
          <w:szCs w:val="20"/>
        </w:rPr>
        <w:t>,</w:t>
      </w:r>
      <w:r w:rsidRPr="0061612F">
        <w:rPr>
          <w:color w:val="0070C0"/>
          <w:sz w:val="20"/>
          <w:szCs w:val="20"/>
        </w:rPr>
        <w:t xml:space="preserve"> w praktyce nie mógł doprowadzić do jego zwolnienia. W związku z tym jego kara dożywocia de facto </w:t>
      </w:r>
      <w:r>
        <w:rPr>
          <w:color w:val="0070C0"/>
          <w:sz w:val="20"/>
          <w:szCs w:val="20"/>
        </w:rPr>
        <w:t>nie był</w:t>
      </w:r>
      <w:r w:rsidR="00E7648B">
        <w:rPr>
          <w:color w:val="0070C0"/>
          <w:sz w:val="20"/>
          <w:szCs w:val="20"/>
        </w:rPr>
        <w:t>a</w:t>
      </w:r>
      <w:r>
        <w:rPr>
          <w:color w:val="0070C0"/>
          <w:sz w:val="20"/>
          <w:szCs w:val="20"/>
        </w:rPr>
        <w:t xml:space="preserve"> redukowalna</w:t>
      </w:r>
      <w:r w:rsidRPr="0061612F">
        <w:rPr>
          <w:color w:val="0070C0"/>
          <w:sz w:val="20"/>
          <w:szCs w:val="20"/>
        </w:rPr>
        <w:t xml:space="preserve">, jak </w:t>
      </w:r>
      <w:r>
        <w:rPr>
          <w:color w:val="0070C0"/>
          <w:sz w:val="20"/>
          <w:szCs w:val="20"/>
        </w:rPr>
        <w:t xml:space="preserve">tego </w:t>
      </w:r>
      <w:r w:rsidRPr="0061612F">
        <w:rPr>
          <w:color w:val="0070C0"/>
          <w:sz w:val="20"/>
          <w:szCs w:val="20"/>
        </w:rPr>
        <w:t>wymaga orzecznictwo Trybunału</w:t>
      </w:r>
      <w:r>
        <w:rPr>
          <w:color w:val="0070C0"/>
          <w:sz w:val="20"/>
          <w:szCs w:val="20"/>
        </w:rPr>
        <w:t xml:space="preserve"> </w:t>
      </w:r>
      <w:r w:rsidR="00BB5BE8">
        <w:rPr>
          <w:color w:val="0070C0"/>
          <w:sz w:val="20"/>
          <w:szCs w:val="20"/>
        </w:rPr>
        <w:t xml:space="preserve">dotyczące </w:t>
      </w:r>
      <w:r w:rsidR="00CD4F6B">
        <w:rPr>
          <w:color w:val="0070C0"/>
          <w:sz w:val="20"/>
          <w:szCs w:val="20"/>
        </w:rPr>
        <w:t>art.</w:t>
      </w:r>
      <w:r>
        <w:rPr>
          <w:color w:val="0070C0"/>
          <w:sz w:val="20"/>
          <w:szCs w:val="20"/>
        </w:rPr>
        <w:t xml:space="preserve"> </w:t>
      </w:r>
      <w:r w:rsidRPr="0061612F">
        <w:rPr>
          <w:color w:val="0070C0"/>
          <w:sz w:val="20"/>
          <w:szCs w:val="20"/>
        </w:rPr>
        <w:t xml:space="preserve">3 </w:t>
      </w:r>
      <w:r>
        <w:rPr>
          <w:color w:val="0070C0"/>
          <w:sz w:val="20"/>
          <w:szCs w:val="20"/>
        </w:rPr>
        <w:t>K</w:t>
      </w:r>
      <w:r w:rsidRPr="0061612F">
        <w:rPr>
          <w:color w:val="0070C0"/>
          <w:sz w:val="20"/>
          <w:szCs w:val="20"/>
        </w:rPr>
        <w:t xml:space="preserve">onwencji. </w:t>
      </w:r>
    </w:p>
    <w:p w14:paraId="04E5A0D3" w14:textId="024BF4BE" w:rsidR="00BB5BE8" w:rsidRDefault="00244B64" w:rsidP="00BB5BE8">
      <w:pPr>
        <w:spacing w:line="218" w:lineRule="exact"/>
        <w:ind w:left="850" w:right="567"/>
        <w:jc w:val="both"/>
        <w:rPr>
          <w:b/>
          <w:bCs/>
          <w:color w:val="0070C0"/>
          <w:sz w:val="18"/>
          <w:u w:val="single"/>
        </w:rPr>
      </w:pPr>
      <w:r w:rsidRPr="00B81801">
        <w:rPr>
          <w:b/>
          <w:bCs/>
          <w:color w:val="0070C0"/>
          <w:sz w:val="20"/>
          <w:szCs w:val="20"/>
          <w:u w:val="single"/>
        </w:rPr>
        <w:t xml:space="preserve">T.P. </w:t>
      </w:r>
      <w:r w:rsidR="00300A1E">
        <w:rPr>
          <w:b/>
          <w:bCs/>
          <w:color w:val="0070C0"/>
          <w:sz w:val="20"/>
          <w:szCs w:val="20"/>
          <w:u w:val="single"/>
        </w:rPr>
        <w:t>i</w:t>
      </w:r>
      <w:r w:rsidRPr="00B81801">
        <w:rPr>
          <w:b/>
          <w:bCs/>
          <w:color w:val="0070C0"/>
          <w:sz w:val="20"/>
          <w:szCs w:val="20"/>
          <w:u w:val="single"/>
        </w:rPr>
        <w:t xml:space="preserve"> A.T. przeciwko Węgrom </w:t>
      </w:r>
      <w:r w:rsidRPr="00B81801">
        <w:rPr>
          <w:b/>
          <w:bCs/>
          <w:color w:val="0070C0"/>
          <w:sz w:val="18"/>
          <w:u w:val="single"/>
        </w:rPr>
        <w:t>(nr skarg: 37871/14 i 73986/14)</w:t>
      </w:r>
    </w:p>
    <w:p w14:paraId="3C76B0A8" w14:textId="77777777" w:rsidR="00BE78FD" w:rsidRDefault="00244B64" w:rsidP="00BE78FD">
      <w:pPr>
        <w:spacing w:line="218" w:lineRule="exact"/>
        <w:ind w:left="850" w:right="567"/>
        <w:jc w:val="both"/>
        <w:rPr>
          <w:color w:val="A6A6A6" w:themeColor="background1" w:themeShade="A6"/>
          <w:sz w:val="18"/>
        </w:rPr>
      </w:pPr>
      <w:r w:rsidRPr="00CD7973">
        <w:rPr>
          <w:color w:val="A6A6A6" w:themeColor="background1" w:themeShade="A6"/>
          <w:sz w:val="18"/>
        </w:rPr>
        <w:t>4 październik</w:t>
      </w:r>
      <w:r w:rsidR="00BB5BE8">
        <w:rPr>
          <w:color w:val="A6A6A6" w:themeColor="background1" w:themeShade="A6"/>
          <w:sz w:val="18"/>
        </w:rPr>
        <w:t>a</w:t>
      </w:r>
      <w:r w:rsidRPr="00CD7973">
        <w:rPr>
          <w:color w:val="A6A6A6" w:themeColor="background1" w:themeShade="A6"/>
          <w:sz w:val="18"/>
        </w:rPr>
        <w:t xml:space="preserve"> 2016 r. (wyrok)</w:t>
      </w:r>
    </w:p>
    <w:p w14:paraId="4EBAC61F" w14:textId="77777777" w:rsidR="00BE78FD" w:rsidRDefault="00BE78FD" w:rsidP="00BE78FD">
      <w:pPr>
        <w:spacing w:line="218" w:lineRule="exact"/>
        <w:ind w:left="850" w:right="567"/>
        <w:jc w:val="both"/>
        <w:rPr>
          <w:sz w:val="20"/>
          <w:szCs w:val="20"/>
        </w:rPr>
      </w:pPr>
      <w:r>
        <w:rPr>
          <w:sz w:val="20"/>
          <w:szCs w:val="20"/>
        </w:rPr>
        <w:t>Sp</w:t>
      </w:r>
      <w:r w:rsidR="00BB5BE8">
        <w:rPr>
          <w:sz w:val="20"/>
          <w:szCs w:val="20"/>
        </w:rPr>
        <w:t xml:space="preserve">rawa </w:t>
      </w:r>
      <w:r w:rsidR="00244B64" w:rsidRPr="002D798A">
        <w:rPr>
          <w:sz w:val="20"/>
          <w:szCs w:val="20"/>
        </w:rPr>
        <w:t>ta dotyczyła nowych przepisów wprowadzonych na Węgrzech w 2015 r. w celu weryfikacji wyroków skazujących</w:t>
      </w:r>
      <w:r w:rsidR="00244B64">
        <w:rPr>
          <w:rStyle w:val="Odwoanieprzypisudolnego"/>
          <w:sz w:val="20"/>
          <w:szCs w:val="20"/>
        </w:rPr>
        <w:footnoteReference w:id="6"/>
      </w:r>
      <w:r w:rsidR="00244B64" w:rsidRPr="002D798A">
        <w:rPr>
          <w:sz w:val="20"/>
          <w:szCs w:val="20"/>
        </w:rPr>
        <w:t xml:space="preserve"> na karę dożywocia. Skarżący zarzucali, że pomimo nowych przepisów, które wprowadziły automatyczną weryfikację wyroków skazujących na karę dożywocia - w ramach obowiązkowej procedury ułaskawienia - po 40 latach, ich wyroki pozostały nieludzkie i poniżające, ponieważ nie mieli nadziei na zwolnienie. </w:t>
      </w:r>
    </w:p>
    <w:p w14:paraId="766FF79C" w14:textId="6CE92A3D" w:rsidR="00E7648B" w:rsidRDefault="00244B64" w:rsidP="00E7648B">
      <w:pPr>
        <w:spacing w:after="240" w:line="218" w:lineRule="exact"/>
        <w:ind w:left="850" w:right="567"/>
        <w:jc w:val="both"/>
        <w:rPr>
          <w:color w:val="0070C0"/>
          <w:sz w:val="20"/>
          <w:szCs w:val="20"/>
        </w:rPr>
      </w:pPr>
      <w:r w:rsidRPr="002D798A">
        <w:rPr>
          <w:color w:val="0070C0"/>
          <w:sz w:val="20"/>
          <w:szCs w:val="20"/>
        </w:rPr>
        <w:t xml:space="preserve">Trybunał uznał, że </w:t>
      </w:r>
      <w:r w:rsidRPr="002D798A">
        <w:rPr>
          <w:b/>
          <w:bCs/>
          <w:color w:val="0070C0"/>
          <w:sz w:val="20"/>
          <w:szCs w:val="20"/>
        </w:rPr>
        <w:t xml:space="preserve">nastąpiło naruszenie art. 3 </w:t>
      </w:r>
      <w:r>
        <w:rPr>
          <w:b/>
          <w:bCs/>
          <w:color w:val="0070C0"/>
          <w:sz w:val="20"/>
          <w:szCs w:val="20"/>
        </w:rPr>
        <w:t>K</w:t>
      </w:r>
      <w:r w:rsidRPr="002D798A">
        <w:rPr>
          <w:b/>
          <w:bCs/>
          <w:color w:val="0070C0"/>
          <w:sz w:val="20"/>
          <w:szCs w:val="20"/>
        </w:rPr>
        <w:t>onwencji</w:t>
      </w:r>
      <w:r w:rsidRPr="002D798A">
        <w:rPr>
          <w:color w:val="0070C0"/>
          <w:sz w:val="20"/>
          <w:szCs w:val="20"/>
        </w:rPr>
        <w:t xml:space="preserve">. Stwierdził on w szczególności, że zmuszanie więźnia do oczekiwania na ułaskawienie po raz pierwszy </w:t>
      </w:r>
      <w:r>
        <w:rPr>
          <w:color w:val="0070C0"/>
          <w:sz w:val="20"/>
          <w:szCs w:val="20"/>
        </w:rPr>
        <w:t xml:space="preserve">przez </w:t>
      </w:r>
      <w:r w:rsidRPr="002D798A">
        <w:rPr>
          <w:color w:val="0070C0"/>
          <w:sz w:val="20"/>
          <w:szCs w:val="20"/>
        </w:rPr>
        <w:t xml:space="preserve">40 lat było zbyt długie </w:t>
      </w:r>
      <w:r>
        <w:rPr>
          <w:color w:val="0070C0"/>
          <w:sz w:val="20"/>
          <w:szCs w:val="20"/>
        </w:rPr>
        <w:t xml:space="preserve">oraz </w:t>
      </w:r>
      <w:r w:rsidRPr="002D798A">
        <w:rPr>
          <w:color w:val="0070C0"/>
          <w:sz w:val="20"/>
          <w:szCs w:val="20"/>
        </w:rPr>
        <w:t xml:space="preserve">że w </w:t>
      </w:r>
      <w:r>
        <w:rPr>
          <w:color w:val="0070C0"/>
          <w:sz w:val="20"/>
          <w:szCs w:val="20"/>
        </w:rPr>
        <w:t xml:space="preserve">żadnym wypadku </w:t>
      </w:r>
      <w:r w:rsidRPr="002D798A">
        <w:rPr>
          <w:color w:val="0070C0"/>
          <w:sz w:val="20"/>
          <w:szCs w:val="20"/>
        </w:rPr>
        <w:t>pozostał</w:t>
      </w:r>
      <w:r>
        <w:rPr>
          <w:color w:val="0070C0"/>
          <w:sz w:val="20"/>
          <w:szCs w:val="20"/>
        </w:rPr>
        <w:t xml:space="preserve">a </w:t>
      </w:r>
      <w:r w:rsidRPr="002D798A">
        <w:rPr>
          <w:color w:val="0070C0"/>
          <w:sz w:val="20"/>
          <w:szCs w:val="20"/>
        </w:rPr>
        <w:t xml:space="preserve">części procedury przewidzianej w nowych przepisach </w:t>
      </w:r>
      <w:r>
        <w:rPr>
          <w:color w:val="0070C0"/>
          <w:sz w:val="20"/>
          <w:szCs w:val="20"/>
        </w:rPr>
        <w:t xml:space="preserve">nie dawała </w:t>
      </w:r>
      <w:r w:rsidRPr="002D798A">
        <w:rPr>
          <w:color w:val="0070C0"/>
          <w:sz w:val="20"/>
          <w:szCs w:val="20"/>
        </w:rPr>
        <w:t xml:space="preserve">wystarczających </w:t>
      </w:r>
      <w:r>
        <w:rPr>
          <w:color w:val="0070C0"/>
          <w:sz w:val="20"/>
          <w:szCs w:val="20"/>
        </w:rPr>
        <w:t>gwarancji</w:t>
      </w:r>
      <w:r w:rsidRPr="002D798A">
        <w:rPr>
          <w:color w:val="0070C0"/>
          <w:sz w:val="20"/>
          <w:szCs w:val="20"/>
        </w:rPr>
        <w:t>. Trybunał nie był zatem przekonany, że w momencie wydania wyroku w tej sprawie można było uznać, że wyroki dożywotnie</w:t>
      </w:r>
      <w:r>
        <w:rPr>
          <w:color w:val="0070C0"/>
          <w:sz w:val="20"/>
          <w:szCs w:val="20"/>
        </w:rPr>
        <w:t xml:space="preserve">go pozbawienia wolności </w:t>
      </w:r>
      <w:r w:rsidRPr="002D798A">
        <w:rPr>
          <w:color w:val="0070C0"/>
          <w:sz w:val="20"/>
          <w:szCs w:val="20"/>
        </w:rPr>
        <w:t>skarżących da</w:t>
      </w:r>
      <w:r>
        <w:rPr>
          <w:color w:val="0070C0"/>
          <w:sz w:val="20"/>
          <w:szCs w:val="20"/>
        </w:rPr>
        <w:t xml:space="preserve">wały </w:t>
      </w:r>
      <w:r w:rsidRPr="002D798A">
        <w:rPr>
          <w:color w:val="0070C0"/>
          <w:sz w:val="20"/>
          <w:szCs w:val="20"/>
        </w:rPr>
        <w:t xml:space="preserve">im perspektywę uwolnienia lub możliwość </w:t>
      </w:r>
      <w:r>
        <w:rPr>
          <w:color w:val="0070C0"/>
          <w:sz w:val="20"/>
          <w:szCs w:val="20"/>
        </w:rPr>
        <w:t>zweryfikowania kary</w:t>
      </w:r>
      <w:r w:rsidRPr="002D798A">
        <w:rPr>
          <w:color w:val="0070C0"/>
          <w:sz w:val="20"/>
          <w:szCs w:val="20"/>
        </w:rPr>
        <w:t xml:space="preserve">, a zatem przepisy te nie były zgodne z </w:t>
      </w:r>
      <w:r w:rsidR="00CD4F6B">
        <w:rPr>
          <w:color w:val="0070C0"/>
          <w:sz w:val="20"/>
          <w:szCs w:val="20"/>
        </w:rPr>
        <w:t xml:space="preserve">art. </w:t>
      </w:r>
      <w:r w:rsidRPr="002D798A">
        <w:rPr>
          <w:color w:val="0070C0"/>
          <w:sz w:val="20"/>
          <w:szCs w:val="20"/>
        </w:rPr>
        <w:t xml:space="preserve">3 </w:t>
      </w:r>
      <w:r>
        <w:rPr>
          <w:color w:val="0070C0"/>
          <w:sz w:val="20"/>
          <w:szCs w:val="20"/>
        </w:rPr>
        <w:t>K</w:t>
      </w:r>
      <w:r w:rsidRPr="002D798A">
        <w:rPr>
          <w:color w:val="0070C0"/>
          <w:sz w:val="20"/>
          <w:szCs w:val="20"/>
        </w:rPr>
        <w:t>onwencji.</w:t>
      </w:r>
    </w:p>
    <w:p w14:paraId="0732456A" w14:textId="77777777" w:rsidR="000F0FCF" w:rsidRDefault="00244B64" w:rsidP="000F0FCF">
      <w:pPr>
        <w:spacing w:line="218" w:lineRule="exact"/>
        <w:ind w:left="850" w:right="567"/>
        <w:jc w:val="both"/>
        <w:rPr>
          <w:b/>
          <w:bCs/>
          <w:color w:val="0070C0"/>
          <w:sz w:val="20"/>
          <w:szCs w:val="20"/>
          <w:u w:val="single"/>
        </w:rPr>
      </w:pPr>
      <w:r w:rsidRPr="00BF0B1D">
        <w:rPr>
          <w:b/>
          <w:bCs/>
          <w:color w:val="0070C0"/>
          <w:sz w:val="20"/>
          <w:szCs w:val="20"/>
          <w:u w:val="single"/>
        </w:rPr>
        <w:t xml:space="preserve">Hutchinson </w:t>
      </w:r>
      <w:r>
        <w:rPr>
          <w:b/>
          <w:bCs/>
          <w:color w:val="0070C0"/>
          <w:sz w:val="20"/>
          <w:szCs w:val="20"/>
          <w:u w:val="single"/>
        </w:rPr>
        <w:t>przeciwko Zjednoczonemu Królestwu</w:t>
      </w:r>
    </w:p>
    <w:p w14:paraId="3F88874E" w14:textId="4F443857" w:rsidR="002B2561" w:rsidRDefault="00244B64" w:rsidP="00CD06C5">
      <w:pPr>
        <w:spacing w:line="218" w:lineRule="exact"/>
        <w:ind w:left="850" w:right="567"/>
        <w:jc w:val="both"/>
        <w:rPr>
          <w:color w:val="A6A6A6" w:themeColor="background1" w:themeShade="A6"/>
          <w:sz w:val="18"/>
        </w:rPr>
      </w:pPr>
      <w:r w:rsidRPr="002C7385">
        <w:rPr>
          <w:color w:val="A6A6A6" w:themeColor="background1" w:themeShade="A6"/>
          <w:sz w:val="18"/>
        </w:rPr>
        <w:t xml:space="preserve">17 stycznia 2017 r. (Wielka Izba – wyrok) </w:t>
      </w:r>
    </w:p>
    <w:p w14:paraId="2547726C" w14:textId="77777777" w:rsidR="00DD4D4E" w:rsidRDefault="00244B64" w:rsidP="00DD4D4E">
      <w:pPr>
        <w:spacing w:line="218" w:lineRule="exact"/>
        <w:ind w:left="850" w:right="567"/>
        <w:jc w:val="both"/>
        <w:rPr>
          <w:sz w:val="20"/>
          <w:szCs w:val="20"/>
        </w:rPr>
      </w:pPr>
      <w:r w:rsidRPr="00B7779B">
        <w:rPr>
          <w:sz w:val="20"/>
          <w:szCs w:val="20"/>
        </w:rPr>
        <w:t xml:space="preserve">W 1984 r. skarżący został skazany za kradzież z włamaniem, gwałt i trzy zabójstwa. Sędzia skazał go na karę dożywotniego pozbawienia wolności z możliwością zwolnienia warunkowego po minimalnym rekomendowanym okresie 18 lat. W 1994 r. Minister Sprawiedliwości poinformował wnioskodawcę, że zdecydował się nałożyć cały wymiar kary dożywotniego pozbawienia wolności, a w maju 2008 r. Sąd Najwyższy uznał, że nie było podstaw do odstąpienia od tej decyzji, zważywszy na powagę popełnionych przestępstw. Odwołanie skarżącego zostało odrzucone przez Sąd Apelacyjny w październiku 2008 r. </w:t>
      </w:r>
      <w:r w:rsidR="00CD06C5">
        <w:rPr>
          <w:sz w:val="20"/>
          <w:szCs w:val="20"/>
        </w:rPr>
        <w:t>P</w:t>
      </w:r>
      <w:r w:rsidRPr="00B7779B">
        <w:rPr>
          <w:sz w:val="20"/>
          <w:szCs w:val="20"/>
        </w:rPr>
        <w:t>rze</w:t>
      </w:r>
      <w:r w:rsidR="00CD06C5">
        <w:rPr>
          <w:sz w:val="20"/>
          <w:szCs w:val="20"/>
        </w:rPr>
        <w:t xml:space="preserve">d </w:t>
      </w:r>
      <w:r w:rsidRPr="00B7779B">
        <w:rPr>
          <w:sz w:val="20"/>
          <w:szCs w:val="20"/>
        </w:rPr>
        <w:t>Europejskim Trybunałem</w:t>
      </w:r>
      <w:r w:rsidR="00CD06C5">
        <w:rPr>
          <w:sz w:val="20"/>
          <w:szCs w:val="20"/>
        </w:rPr>
        <w:t xml:space="preserve"> s</w:t>
      </w:r>
      <w:r w:rsidR="00CD06C5" w:rsidRPr="00B7779B">
        <w:rPr>
          <w:sz w:val="20"/>
          <w:szCs w:val="20"/>
        </w:rPr>
        <w:t>karżący podnosi</w:t>
      </w:r>
      <w:r w:rsidR="00CD06C5">
        <w:rPr>
          <w:sz w:val="20"/>
          <w:szCs w:val="20"/>
        </w:rPr>
        <w:t>ł</w:t>
      </w:r>
      <w:r w:rsidRPr="00B7779B">
        <w:rPr>
          <w:sz w:val="20"/>
          <w:szCs w:val="20"/>
        </w:rPr>
        <w:t>, że orzeczona wobec niego kara dożywocia stanowi nieludzkie i poniżające traktowanie, ponieważ pozbawiony został perspektywy zwolnienia.</w:t>
      </w:r>
    </w:p>
    <w:p w14:paraId="264B660E" w14:textId="36054CD1" w:rsidR="001D4601" w:rsidRDefault="00244B64" w:rsidP="001D4601">
      <w:pPr>
        <w:spacing w:after="240" w:line="218" w:lineRule="exact"/>
        <w:ind w:left="850" w:right="567"/>
        <w:jc w:val="both"/>
        <w:rPr>
          <w:color w:val="0070C0"/>
          <w:sz w:val="20"/>
          <w:szCs w:val="20"/>
        </w:rPr>
      </w:pPr>
      <w:r w:rsidRPr="00CD06C5">
        <w:rPr>
          <w:color w:val="0070C0"/>
          <w:sz w:val="20"/>
          <w:szCs w:val="20"/>
        </w:rPr>
        <w:t xml:space="preserve">Wielka Izba orzekła, że </w:t>
      </w:r>
      <w:r w:rsidR="0074541A" w:rsidRPr="0074541A">
        <w:rPr>
          <w:b/>
          <w:bCs/>
          <w:color w:val="0070C0"/>
          <w:sz w:val="20"/>
          <w:szCs w:val="20"/>
        </w:rPr>
        <w:t xml:space="preserve">nie </w:t>
      </w:r>
      <w:r w:rsidRPr="0074541A">
        <w:rPr>
          <w:b/>
          <w:bCs/>
          <w:color w:val="0070C0"/>
          <w:sz w:val="20"/>
          <w:szCs w:val="20"/>
        </w:rPr>
        <w:t xml:space="preserve">doszło do naruszenia </w:t>
      </w:r>
      <w:r w:rsidR="00CD4F6B">
        <w:rPr>
          <w:b/>
          <w:bCs/>
          <w:color w:val="0070C0"/>
          <w:sz w:val="20"/>
          <w:szCs w:val="20"/>
        </w:rPr>
        <w:t>art.</w:t>
      </w:r>
      <w:r w:rsidRPr="0074541A">
        <w:rPr>
          <w:b/>
          <w:bCs/>
          <w:color w:val="0070C0"/>
          <w:sz w:val="20"/>
          <w:szCs w:val="20"/>
        </w:rPr>
        <w:t xml:space="preserve"> 3 Konwencji</w:t>
      </w:r>
      <w:r w:rsidRPr="00CD06C5">
        <w:rPr>
          <w:color w:val="0070C0"/>
          <w:sz w:val="20"/>
          <w:szCs w:val="20"/>
        </w:rPr>
        <w:t xml:space="preserve">. Powtórzyła </w:t>
      </w:r>
      <w:r w:rsidR="00CD06C5">
        <w:rPr>
          <w:color w:val="0070C0"/>
          <w:sz w:val="20"/>
          <w:szCs w:val="20"/>
        </w:rPr>
        <w:br/>
      </w:r>
      <w:r w:rsidRPr="00CD06C5">
        <w:rPr>
          <w:color w:val="0070C0"/>
          <w:sz w:val="20"/>
          <w:szCs w:val="20"/>
        </w:rPr>
        <w:t>w szczególności, że Konwencja nie zabrania orzekania kary dożywocia wobec osób skazanych za szczególnie poważne przestępstwa, takie jak morderstwo. Jednakże, aby pozostawać w zgodzie Konwencją, musi istnieć zarówno perspektywa uwolnienia więźnia, jak i możliwość weryfikacji jego wyroku. W niniejszej sprawie Wielka Izba uznała, że sądy</w:t>
      </w:r>
      <w:r w:rsidR="00CD06C5" w:rsidRPr="00CD06C5">
        <w:rPr>
          <w:color w:val="0070C0"/>
          <w:sz w:val="20"/>
          <w:szCs w:val="20"/>
        </w:rPr>
        <w:t xml:space="preserve"> brytyjskie </w:t>
      </w:r>
      <w:r w:rsidR="000012A0">
        <w:rPr>
          <w:color w:val="0070C0"/>
          <w:sz w:val="20"/>
          <w:szCs w:val="20"/>
        </w:rPr>
        <w:t xml:space="preserve">wyjaśniły </w:t>
      </w:r>
      <w:r w:rsidR="00CD06C5" w:rsidRPr="00CD06C5">
        <w:rPr>
          <w:color w:val="0070C0"/>
          <w:sz w:val="20"/>
          <w:szCs w:val="20"/>
        </w:rPr>
        <w:t xml:space="preserve">problem braku jasności w prawie krajowym w zakresie weryfikacji wyroków dożywocia. Stwierdzona w wyroku w sprawie </w:t>
      </w:r>
      <w:r w:rsidR="00CD06C5" w:rsidRPr="00CD06C5">
        <w:rPr>
          <w:i/>
          <w:iCs/>
          <w:color w:val="0070C0"/>
          <w:sz w:val="20"/>
          <w:szCs w:val="20"/>
        </w:rPr>
        <w:t xml:space="preserve">Vinter i Inni </w:t>
      </w:r>
      <w:r w:rsidR="00CD06C5" w:rsidRPr="00CD06C5">
        <w:rPr>
          <w:color w:val="0070C0"/>
          <w:sz w:val="20"/>
          <w:szCs w:val="20"/>
        </w:rPr>
        <w:t>z 9 lipca 2013 r. (zob. powyżej) rozbieżność pomiędzy prawem a opublikowaną oficjalną polityką Zjednoczonego Królestwa została niewątpliwie wyjaśniona, przez brytyjski sąd apelacyjny w orzeczeniu</w:t>
      </w:r>
      <w:r w:rsidR="0074541A">
        <w:rPr>
          <w:color w:val="0070C0"/>
          <w:sz w:val="20"/>
          <w:szCs w:val="20"/>
        </w:rPr>
        <w:t xml:space="preserve"> </w:t>
      </w:r>
      <w:r w:rsidR="00CD06C5" w:rsidRPr="00CD06C5">
        <w:rPr>
          <w:color w:val="0070C0"/>
          <w:sz w:val="20"/>
          <w:szCs w:val="20"/>
        </w:rPr>
        <w:t>potwierdzającym ustawowy obowiązek Sekretarza Stanu ds. Sprawiedliwości do wykonywania uprawnień w zakresie zwalniania więźniów skazanych na dożywotnią karę pozbawienia wolności w sposób zgodny z Konwencją. Ponadto Sąd Apelacyjny wyjaśnił zakres i podstawy kontroli przeprowadzanej przez Sekretarza Stanu, sposób jej przeprowadzania, a także obowiązek Sekretarza Stanu do zwolnienia więźnia odbywającego dożywotnią karę pozbawienia Wolności, w przypadku gdy dalsze kontynuowanie jego detencji nie może być już dłużej uzasadnione. Wielka Izba podkreśliła również ważną rolę Ustawy o prawach człowieka</w:t>
      </w:r>
      <w:r w:rsidR="00E415D1">
        <w:rPr>
          <w:color w:val="0070C0"/>
          <w:sz w:val="20"/>
          <w:szCs w:val="20"/>
        </w:rPr>
        <w:t xml:space="preserve"> [HRA]</w:t>
      </w:r>
      <w:r w:rsidR="00CD06C5" w:rsidRPr="00CD06C5">
        <w:rPr>
          <w:color w:val="0070C0"/>
          <w:sz w:val="20"/>
          <w:szCs w:val="20"/>
        </w:rPr>
        <w:t xml:space="preserve">, wskazując, że </w:t>
      </w:r>
      <w:r w:rsidR="0039149A">
        <w:rPr>
          <w:color w:val="0070C0"/>
          <w:sz w:val="20"/>
          <w:szCs w:val="20"/>
        </w:rPr>
        <w:t xml:space="preserve">jakakolwiek krytyka </w:t>
      </w:r>
      <w:r w:rsidR="00CD06C5" w:rsidRPr="00CD06C5">
        <w:rPr>
          <w:color w:val="0070C0"/>
          <w:sz w:val="20"/>
          <w:szCs w:val="20"/>
        </w:rPr>
        <w:t>systemu w zakresie weryfikacji wyroków skazujących na dożywocie</w:t>
      </w:r>
      <w:r w:rsidR="0039149A">
        <w:rPr>
          <w:color w:val="0070C0"/>
          <w:sz w:val="20"/>
          <w:szCs w:val="20"/>
        </w:rPr>
        <w:t xml:space="preserve"> została </w:t>
      </w:r>
      <w:r w:rsidR="005D56F9">
        <w:rPr>
          <w:color w:val="0070C0"/>
          <w:sz w:val="20"/>
          <w:szCs w:val="20"/>
        </w:rPr>
        <w:t xml:space="preserve">rozwiana </w:t>
      </w:r>
      <w:r w:rsidR="0039149A">
        <w:rPr>
          <w:color w:val="0070C0"/>
          <w:sz w:val="20"/>
          <w:szCs w:val="20"/>
        </w:rPr>
        <w:t>przez HRA</w:t>
      </w:r>
      <w:r w:rsidR="00CD06C5" w:rsidRPr="00CD06C5">
        <w:rPr>
          <w:color w:val="0070C0"/>
          <w:sz w:val="20"/>
          <w:szCs w:val="20"/>
        </w:rPr>
        <w:t>, ponieważ ustawa ta wymagała wykonywania uprawnień do zwolnienia oraz interpretowania i stosowania odpowiednich przepisów w sposób zgodny z Konwencją. W związku z tym Wielka Izba doszła do wniosku, że wyroki skazujące na karę dożywo</w:t>
      </w:r>
      <w:r w:rsidR="005D56F9">
        <w:rPr>
          <w:color w:val="0070C0"/>
          <w:sz w:val="20"/>
          <w:szCs w:val="20"/>
        </w:rPr>
        <w:t xml:space="preserve">tniego pozbawienia wolności </w:t>
      </w:r>
      <w:r w:rsidR="00CD06C5" w:rsidRPr="00CD06C5">
        <w:rPr>
          <w:color w:val="0070C0"/>
          <w:sz w:val="20"/>
          <w:szCs w:val="20"/>
        </w:rPr>
        <w:t xml:space="preserve">w Zjednoczonym Królestwie mogą być obecnie uznane za zgodne z art. 3 Konwencji. </w:t>
      </w:r>
    </w:p>
    <w:p w14:paraId="05F5282B" w14:textId="77777777" w:rsidR="00AC07E3" w:rsidRDefault="00AC07E3" w:rsidP="006063FE">
      <w:pPr>
        <w:spacing w:line="218" w:lineRule="exact"/>
        <w:ind w:left="850" w:right="567"/>
        <w:jc w:val="both"/>
        <w:rPr>
          <w:b/>
          <w:bCs/>
          <w:color w:val="0070C0"/>
          <w:sz w:val="20"/>
          <w:szCs w:val="20"/>
          <w:u w:val="single"/>
        </w:rPr>
      </w:pPr>
    </w:p>
    <w:p w14:paraId="28BCF661" w14:textId="77777777" w:rsidR="005D56F9" w:rsidRDefault="00CD06C5" w:rsidP="006063FE">
      <w:pPr>
        <w:spacing w:line="218" w:lineRule="exact"/>
        <w:ind w:left="850" w:right="567"/>
        <w:jc w:val="both"/>
        <w:rPr>
          <w:b/>
          <w:bCs/>
          <w:color w:val="0070C0"/>
          <w:sz w:val="20"/>
          <w:szCs w:val="20"/>
          <w:u w:val="single"/>
        </w:rPr>
      </w:pPr>
      <w:bookmarkStart w:id="1" w:name="_GoBack"/>
      <w:bookmarkEnd w:id="1"/>
      <w:r w:rsidRPr="00CD7973">
        <w:rPr>
          <w:b/>
          <w:bCs/>
          <w:color w:val="0070C0"/>
          <w:sz w:val="20"/>
          <w:szCs w:val="20"/>
          <w:u w:val="single"/>
        </w:rPr>
        <w:lastRenderedPageBreak/>
        <w:t xml:space="preserve">Matiošaitis i Inni przeciwko Litwie </w:t>
      </w:r>
    </w:p>
    <w:p w14:paraId="7557132B" w14:textId="77777777" w:rsidR="006063FE" w:rsidRDefault="00CD06C5" w:rsidP="006063FE">
      <w:pPr>
        <w:spacing w:line="218" w:lineRule="exact"/>
        <w:ind w:left="850" w:right="567"/>
        <w:jc w:val="both"/>
        <w:rPr>
          <w:color w:val="A6A6A6" w:themeColor="background1" w:themeShade="A6"/>
          <w:sz w:val="18"/>
        </w:rPr>
      </w:pPr>
      <w:r w:rsidRPr="00CD7973">
        <w:rPr>
          <w:color w:val="A6A6A6" w:themeColor="background1" w:themeShade="A6"/>
          <w:sz w:val="18"/>
        </w:rPr>
        <w:t xml:space="preserve">23 maj 2017 r. (wyrok) </w:t>
      </w:r>
    </w:p>
    <w:p w14:paraId="19EACD0B" w14:textId="5FC8DF48" w:rsidR="006063FE" w:rsidRDefault="00CD06C5" w:rsidP="006063FE">
      <w:pPr>
        <w:spacing w:line="218" w:lineRule="exact"/>
        <w:ind w:left="850" w:right="567"/>
        <w:jc w:val="both"/>
        <w:rPr>
          <w:sz w:val="20"/>
          <w:szCs w:val="20"/>
        </w:rPr>
      </w:pPr>
      <w:r w:rsidRPr="009307AD">
        <w:rPr>
          <w:sz w:val="20"/>
          <w:szCs w:val="20"/>
        </w:rPr>
        <w:t xml:space="preserve">Skarżący, którzy zostali skazani na karę dożywotniego więzienia, twierdzili w szczególności, że nie ma realnej perspektywy złagodzenia ich wyroków, w związku z czym nie ma perspektyw na ich uwolnienie. Skarżyli się, że kara ta była równoznaczna z traktowaniem </w:t>
      </w:r>
      <w:r w:rsidR="006063FE">
        <w:rPr>
          <w:sz w:val="20"/>
          <w:szCs w:val="20"/>
        </w:rPr>
        <w:br/>
      </w:r>
      <w:r w:rsidRPr="009307AD">
        <w:rPr>
          <w:sz w:val="20"/>
          <w:szCs w:val="20"/>
        </w:rPr>
        <w:t>z naruszeniem art. 3 Konwencji.</w:t>
      </w:r>
    </w:p>
    <w:p w14:paraId="1E8BE027" w14:textId="62ABEE7A" w:rsidR="001D4601" w:rsidRDefault="00CD06C5" w:rsidP="001D4601">
      <w:pPr>
        <w:spacing w:after="240" w:line="218" w:lineRule="exact"/>
        <w:ind w:left="850" w:right="567"/>
        <w:jc w:val="both"/>
        <w:rPr>
          <w:color w:val="0070C0"/>
          <w:sz w:val="20"/>
          <w:szCs w:val="20"/>
        </w:rPr>
      </w:pPr>
      <w:r w:rsidRPr="009307AD">
        <w:rPr>
          <w:color w:val="0070C0"/>
          <w:sz w:val="20"/>
          <w:szCs w:val="20"/>
        </w:rPr>
        <w:t xml:space="preserve">Trybunał stwierdził </w:t>
      </w:r>
      <w:r w:rsidRPr="009307AD">
        <w:rPr>
          <w:b/>
          <w:bCs/>
          <w:color w:val="0070C0"/>
          <w:sz w:val="20"/>
          <w:szCs w:val="20"/>
        </w:rPr>
        <w:t xml:space="preserve">naruszenie art. </w:t>
      </w:r>
      <w:r>
        <w:rPr>
          <w:b/>
          <w:bCs/>
          <w:color w:val="0070C0"/>
          <w:sz w:val="20"/>
          <w:szCs w:val="20"/>
        </w:rPr>
        <w:t>3</w:t>
      </w:r>
      <w:r w:rsidRPr="009307AD">
        <w:rPr>
          <w:b/>
          <w:bCs/>
          <w:color w:val="0070C0"/>
          <w:sz w:val="20"/>
          <w:szCs w:val="20"/>
        </w:rPr>
        <w:t xml:space="preserve"> </w:t>
      </w:r>
      <w:r>
        <w:rPr>
          <w:b/>
          <w:bCs/>
          <w:color w:val="0070C0"/>
          <w:sz w:val="20"/>
          <w:szCs w:val="20"/>
        </w:rPr>
        <w:t>K</w:t>
      </w:r>
      <w:r w:rsidRPr="009307AD">
        <w:rPr>
          <w:b/>
          <w:bCs/>
          <w:color w:val="0070C0"/>
          <w:sz w:val="20"/>
          <w:szCs w:val="20"/>
        </w:rPr>
        <w:t>onwencji</w:t>
      </w:r>
      <w:r w:rsidRPr="009307AD">
        <w:rPr>
          <w:color w:val="0070C0"/>
          <w:sz w:val="20"/>
          <w:szCs w:val="20"/>
        </w:rPr>
        <w:t xml:space="preserve"> w odniesieniu do sześciu skarżących, </w:t>
      </w:r>
      <w:r>
        <w:rPr>
          <w:color w:val="0070C0"/>
          <w:sz w:val="20"/>
          <w:szCs w:val="20"/>
        </w:rPr>
        <w:t xml:space="preserve">zauważając </w:t>
      </w:r>
      <w:r w:rsidRPr="009307AD">
        <w:rPr>
          <w:color w:val="0070C0"/>
          <w:sz w:val="20"/>
          <w:szCs w:val="20"/>
        </w:rPr>
        <w:t xml:space="preserve">w szczególności, że w momencie wydania niniejszego wyroku </w:t>
      </w:r>
      <w:r>
        <w:rPr>
          <w:color w:val="0070C0"/>
          <w:sz w:val="20"/>
          <w:szCs w:val="20"/>
        </w:rPr>
        <w:t xml:space="preserve">skazującego skarżących na kary </w:t>
      </w:r>
      <w:r w:rsidRPr="009307AD">
        <w:rPr>
          <w:color w:val="0070C0"/>
          <w:sz w:val="20"/>
          <w:szCs w:val="20"/>
        </w:rPr>
        <w:t>dożywotni</w:t>
      </w:r>
      <w:r>
        <w:rPr>
          <w:color w:val="0070C0"/>
          <w:sz w:val="20"/>
          <w:szCs w:val="20"/>
        </w:rPr>
        <w:t xml:space="preserve">ego pozbawiania wolności </w:t>
      </w:r>
      <w:r w:rsidRPr="009307AD">
        <w:rPr>
          <w:color w:val="0070C0"/>
          <w:sz w:val="20"/>
          <w:szCs w:val="20"/>
        </w:rPr>
        <w:t xml:space="preserve">nie można było uznać za </w:t>
      </w:r>
      <w:r w:rsidR="00832CB0">
        <w:rPr>
          <w:color w:val="0070C0"/>
          <w:sz w:val="20"/>
          <w:szCs w:val="20"/>
        </w:rPr>
        <w:t xml:space="preserve">redukowalne </w:t>
      </w:r>
      <w:r w:rsidR="00721F13">
        <w:rPr>
          <w:color w:val="0070C0"/>
          <w:sz w:val="20"/>
          <w:szCs w:val="20"/>
        </w:rPr>
        <w:t xml:space="preserve">w rozumieniu </w:t>
      </w:r>
      <w:r w:rsidR="001D4601">
        <w:rPr>
          <w:color w:val="0070C0"/>
          <w:sz w:val="20"/>
          <w:szCs w:val="20"/>
        </w:rPr>
        <w:t>art.</w:t>
      </w:r>
      <w:r w:rsidRPr="009307AD">
        <w:rPr>
          <w:color w:val="0070C0"/>
          <w:sz w:val="20"/>
          <w:szCs w:val="20"/>
        </w:rPr>
        <w:t xml:space="preserve"> 3. W odniesieniu do dwóch pozostałych skarżących Trybunał zdecydował o skreśleniu ich </w:t>
      </w:r>
      <w:r>
        <w:rPr>
          <w:color w:val="0070C0"/>
          <w:sz w:val="20"/>
          <w:szCs w:val="20"/>
        </w:rPr>
        <w:t>skarg z</w:t>
      </w:r>
      <w:r w:rsidRPr="009307AD">
        <w:rPr>
          <w:color w:val="0070C0"/>
          <w:sz w:val="20"/>
          <w:szCs w:val="20"/>
        </w:rPr>
        <w:t xml:space="preserve"> listy spraw, zgodnie z</w:t>
      </w:r>
      <w:r w:rsidRPr="004543AA">
        <w:rPr>
          <w:b/>
          <w:bCs/>
          <w:color w:val="0070C0"/>
          <w:sz w:val="20"/>
          <w:szCs w:val="20"/>
        </w:rPr>
        <w:t xml:space="preserve"> art. 37</w:t>
      </w:r>
      <w:r w:rsidRPr="009307AD">
        <w:rPr>
          <w:color w:val="0070C0"/>
          <w:sz w:val="20"/>
          <w:szCs w:val="20"/>
        </w:rPr>
        <w:t xml:space="preserve"> (skreślenie </w:t>
      </w:r>
      <w:r>
        <w:rPr>
          <w:color w:val="0070C0"/>
          <w:sz w:val="20"/>
          <w:szCs w:val="20"/>
        </w:rPr>
        <w:t>skarg</w:t>
      </w:r>
      <w:r w:rsidRPr="009307AD">
        <w:rPr>
          <w:color w:val="0070C0"/>
          <w:sz w:val="20"/>
          <w:szCs w:val="20"/>
        </w:rPr>
        <w:t xml:space="preserve">) </w:t>
      </w:r>
      <w:r>
        <w:rPr>
          <w:color w:val="0070C0"/>
          <w:sz w:val="20"/>
          <w:szCs w:val="20"/>
        </w:rPr>
        <w:t>K</w:t>
      </w:r>
      <w:r w:rsidRPr="009307AD">
        <w:rPr>
          <w:color w:val="0070C0"/>
          <w:sz w:val="20"/>
          <w:szCs w:val="20"/>
        </w:rPr>
        <w:t xml:space="preserve">onwencji, ponieważ okoliczności doprowadziły do wniosku, że nie zamierzają oni dochodzić swoich </w:t>
      </w:r>
      <w:r>
        <w:rPr>
          <w:color w:val="0070C0"/>
          <w:sz w:val="20"/>
          <w:szCs w:val="20"/>
        </w:rPr>
        <w:t>zarzutów</w:t>
      </w:r>
      <w:r w:rsidRPr="009307AD">
        <w:rPr>
          <w:color w:val="0070C0"/>
          <w:sz w:val="20"/>
          <w:szCs w:val="20"/>
        </w:rPr>
        <w:t>.</w:t>
      </w:r>
    </w:p>
    <w:p w14:paraId="6D79940B" w14:textId="4791EF33" w:rsidR="001D4601" w:rsidRDefault="00CD06C5" w:rsidP="001D4601">
      <w:pPr>
        <w:spacing w:line="218" w:lineRule="exact"/>
        <w:ind w:left="850" w:right="567"/>
        <w:jc w:val="both"/>
        <w:rPr>
          <w:b/>
          <w:bCs/>
          <w:color w:val="0070C0"/>
          <w:sz w:val="20"/>
          <w:szCs w:val="20"/>
          <w:u w:val="single"/>
        </w:rPr>
      </w:pPr>
      <w:r w:rsidRPr="00346A00">
        <w:rPr>
          <w:b/>
          <w:bCs/>
          <w:color w:val="0070C0"/>
          <w:sz w:val="20"/>
          <w:szCs w:val="20"/>
          <w:u w:val="single"/>
        </w:rPr>
        <w:t xml:space="preserve">Petukhov </w:t>
      </w:r>
      <w:r>
        <w:rPr>
          <w:b/>
          <w:bCs/>
          <w:color w:val="0070C0"/>
          <w:sz w:val="20"/>
          <w:szCs w:val="20"/>
          <w:u w:val="single"/>
        </w:rPr>
        <w:t xml:space="preserve">przeciwko </w:t>
      </w:r>
      <w:r w:rsidRPr="00346A00">
        <w:rPr>
          <w:b/>
          <w:bCs/>
          <w:color w:val="0070C0"/>
          <w:sz w:val="20"/>
          <w:szCs w:val="20"/>
          <w:u w:val="single"/>
        </w:rPr>
        <w:t>Ukrain</w:t>
      </w:r>
      <w:r w:rsidR="00300A1E">
        <w:rPr>
          <w:b/>
          <w:bCs/>
          <w:color w:val="0070C0"/>
          <w:sz w:val="20"/>
          <w:szCs w:val="20"/>
          <w:u w:val="single"/>
        </w:rPr>
        <w:t>i</w:t>
      </w:r>
      <w:r w:rsidRPr="00346A00">
        <w:rPr>
          <w:b/>
          <w:bCs/>
          <w:color w:val="0070C0"/>
          <w:sz w:val="20"/>
          <w:szCs w:val="20"/>
          <w:u w:val="single"/>
        </w:rPr>
        <w:t>e (N</w:t>
      </w:r>
      <w:r>
        <w:rPr>
          <w:b/>
          <w:bCs/>
          <w:color w:val="0070C0"/>
          <w:sz w:val="20"/>
          <w:szCs w:val="20"/>
          <w:u w:val="single"/>
        </w:rPr>
        <w:t>r</w:t>
      </w:r>
      <w:r w:rsidRPr="00346A00">
        <w:rPr>
          <w:b/>
          <w:bCs/>
          <w:color w:val="0070C0"/>
          <w:sz w:val="20"/>
          <w:szCs w:val="20"/>
          <w:u w:val="single"/>
        </w:rPr>
        <w:t xml:space="preserve"> 2)</w:t>
      </w:r>
    </w:p>
    <w:p w14:paraId="3E8506F5" w14:textId="77777777" w:rsidR="001D4601" w:rsidRDefault="00CD06C5" w:rsidP="001D4601">
      <w:pPr>
        <w:spacing w:line="218" w:lineRule="exact"/>
        <w:ind w:left="850" w:right="567"/>
        <w:jc w:val="both"/>
        <w:rPr>
          <w:color w:val="A6A6A6" w:themeColor="background1" w:themeShade="A6"/>
          <w:sz w:val="18"/>
        </w:rPr>
      </w:pPr>
      <w:r w:rsidRPr="00346A00">
        <w:rPr>
          <w:color w:val="A6A6A6" w:themeColor="background1" w:themeShade="A6"/>
          <w:sz w:val="18"/>
        </w:rPr>
        <w:t>12 marzec 2019 r. (wyrok Izby)</w:t>
      </w:r>
    </w:p>
    <w:p w14:paraId="771E3996" w14:textId="78E8A7AB" w:rsidR="001D4601" w:rsidRDefault="00CD06C5" w:rsidP="001D4601">
      <w:pPr>
        <w:spacing w:line="218" w:lineRule="exact"/>
        <w:ind w:left="850" w:right="567"/>
        <w:jc w:val="both"/>
        <w:rPr>
          <w:sz w:val="20"/>
          <w:szCs w:val="20"/>
        </w:rPr>
      </w:pPr>
      <w:r w:rsidRPr="00346A00">
        <w:rPr>
          <w:sz w:val="20"/>
          <w:szCs w:val="20"/>
        </w:rPr>
        <w:t xml:space="preserve">Sprawa ta dotyczyła głównie </w:t>
      </w:r>
      <w:r>
        <w:rPr>
          <w:sz w:val="20"/>
          <w:szCs w:val="20"/>
        </w:rPr>
        <w:t xml:space="preserve">zarzutu </w:t>
      </w:r>
      <w:r w:rsidRPr="00346A00">
        <w:rPr>
          <w:sz w:val="20"/>
          <w:szCs w:val="20"/>
        </w:rPr>
        <w:t xml:space="preserve">więźnia, że prawo ukraińskie nie przewiduje zwolnienia warunkowego dla </w:t>
      </w:r>
      <w:r>
        <w:rPr>
          <w:sz w:val="20"/>
          <w:szCs w:val="20"/>
        </w:rPr>
        <w:t xml:space="preserve">osób </w:t>
      </w:r>
      <w:r w:rsidRPr="00346A00">
        <w:rPr>
          <w:sz w:val="20"/>
          <w:szCs w:val="20"/>
        </w:rPr>
        <w:t>dożywotni</w:t>
      </w:r>
      <w:r>
        <w:rPr>
          <w:sz w:val="20"/>
          <w:szCs w:val="20"/>
        </w:rPr>
        <w:t>o pozbawionych wolności</w:t>
      </w:r>
      <w:r w:rsidRPr="00346A00">
        <w:rPr>
          <w:sz w:val="20"/>
          <w:szCs w:val="20"/>
        </w:rPr>
        <w:t>. Skarżący, odbywający karę dożywotniego więzienia od 2004 r., twierdził, że jedyną możliwoś</w:t>
      </w:r>
      <w:r>
        <w:rPr>
          <w:sz w:val="20"/>
          <w:szCs w:val="20"/>
        </w:rPr>
        <w:t xml:space="preserve">ć </w:t>
      </w:r>
      <w:r w:rsidRPr="00346A00">
        <w:rPr>
          <w:sz w:val="20"/>
          <w:szCs w:val="20"/>
        </w:rPr>
        <w:t xml:space="preserve">jego uwolnienia </w:t>
      </w:r>
      <w:r>
        <w:rPr>
          <w:sz w:val="20"/>
          <w:szCs w:val="20"/>
        </w:rPr>
        <w:t xml:space="preserve">przewidywała </w:t>
      </w:r>
      <w:r w:rsidRPr="00346A00">
        <w:rPr>
          <w:sz w:val="20"/>
          <w:szCs w:val="20"/>
        </w:rPr>
        <w:t xml:space="preserve">procedura </w:t>
      </w:r>
      <w:r>
        <w:rPr>
          <w:sz w:val="20"/>
          <w:szCs w:val="20"/>
        </w:rPr>
        <w:t xml:space="preserve">prezydenckiego </w:t>
      </w:r>
      <w:r w:rsidRPr="00346A00">
        <w:rPr>
          <w:sz w:val="20"/>
          <w:szCs w:val="20"/>
        </w:rPr>
        <w:t xml:space="preserve">ułaskawienia. Twierdził on, że w ramach tej procedury nie było jasne, co więźniowie muszą zrobić, aby zostać zwolnieni i na jakich warunkach. </w:t>
      </w:r>
    </w:p>
    <w:p w14:paraId="3FC53BA6" w14:textId="77777777" w:rsidR="00904E1E" w:rsidRDefault="00CD06C5" w:rsidP="00904E1E">
      <w:pPr>
        <w:spacing w:after="240" w:line="218" w:lineRule="exact"/>
        <w:ind w:left="850" w:right="567"/>
        <w:jc w:val="both"/>
        <w:rPr>
          <w:color w:val="0070C0"/>
          <w:sz w:val="20"/>
          <w:szCs w:val="20"/>
        </w:rPr>
      </w:pPr>
      <w:r w:rsidRPr="00354EB5">
        <w:rPr>
          <w:color w:val="0070C0"/>
          <w:sz w:val="20"/>
          <w:szCs w:val="20"/>
        </w:rPr>
        <w:t xml:space="preserve">Trybunał orzekł, że nastąpiło </w:t>
      </w:r>
      <w:r w:rsidRPr="00354EB5">
        <w:rPr>
          <w:b/>
          <w:bCs/>
          <w:color w:val="0070C0"/>
          <w:sz w:val="20"/>
          <w:szCs w:val="20"/>
        </w:rPr>
        <w:t xml:space="preserve">naruszenie </w:t>
      </w:r>
      <w:r w:rsidR="001D4601">
        <w:rPr>
          <w:b/>
          <w:bCs/>
          <w:color w:val="0070C0"/>
          <w:sz w:val="20"/>
          <w:szCs w:val="20"/>
        </w:rPr>
        <w:t>a</w:t>
      </w:r>
      <w:r w:rsidRPr="00354EB5">
        <w:rPr>
          <w:b/>
          <w:bCs/>
          <w:color w:val="0070C0"/>
          <w:sz w:val="20"/>
          <w:szCs w:val="20"/>
        </w:rPr>
        <w:t>rt. 3 Konwencji</w:t>
      </w:r>
      <w:r w:rsidRPr="00354EB5">
        <w:rPr>
          <w:color w:val="0070C0"/>
          <w:sz w:val="20"/>
          <w:szCs w:val="20"/>
        </w:rPr>
        <w:t xml:space="preserve">, ponieważ skarżący nie miał perspektyw na zwolnienie ani możliwości zweryfikowania wyroku skazującego </w:t>
      </w:r>
      <w:r w:rsidR="00721F13">
        <w:rPr>
          <w:color w:val="0070C0"/>
          <w:sz w:val="20"/>
          <w:szCs w:val="20"/>
        </w:rPr>
        <w:t xml:space="preserve">go </w:t>
      </w:r>
      <w:r w:rsidRPr="00354EB5">
        <w:rPr>
          <w:color w:val="0070C0"/>
          <w:sz w:val="20"/>
          <w:szCs w:val="20"/>
        </w:rPr>
        <w:t xml:space="preserve">na dożywocie. W szczególności, ułaskawienie prezydenta, jedyna procedura łagodzenia orzeczonych kar dożywocia na Ukrainie, nie była jasno sformułowana, ani nie miała odpowiednich gwarancji proceduralnych przeciwko nadużyciom. Ponadto na Ukrainie warunki, w jakich przebywają więźniowie, wobec których orzeczono karę dożywotniego pozbawienia wolności, uniemożliwiły im postęp na drodze do resocjalizacji, a tym samym uniemożliwiły władzom przeprowadzenie rzeczywistej weryfikacji ich wyroku. Ponadto, biorąc pod uwagę systemowy charakter problemu, Trybunał orzekł na mocy </w:t>
      </w:r>
      <w:r w:rsidRPr="00354EB5">
        <w:rPr>
          <w:b/>
          <w:bCs/>
          <w:color w:val="0070C0"/>
          <w:sz w:val="20"/>
          <w:szCs w:val="20"/>
        </w:rPr>
        <w:t xml:space="preserve">art. 46 </w:t>
      </w:r>
      <w:r w:rsidRPr="00354EB5">
        <w:rPr>
          <w:color w:val="0070C0"/>
          <w:sz w:val="20"/>
          <w:szCs w:val="20"/>
        </w:rPr>
        <w:t xml:space="preserve">(moc wiążąca i wykonywanie wyroków) </w:t>
      </w:r>
      <w:r w:rsidRPr="00354EB5">
        <w:rPr>
          <w:b/>
          <w:bCs/>
          <w:color w:val="0070C0"/>
          <w:sz w:val="20"/>
          <w:szCs w:val="20"/>
        </w:rPr>
        <w:t>Konwencji</w:t>
      </w:r>
      <w:r w:rsidRPr="00354EB5">
        <w:rPr>
          <w:color w:val="0070C0"/>
          <w:sz w:val="20"/>
          <w:szCs w:val="20"/>
        </w:rPr>
        <w:t xml:space="preserve">, że Ukraina powinna zreformować swój system weryfikowania wyroków skazujących na dożywocie poprzez badanie w każdym przypadku, czy dalsze przetrzymywanie więźniów w areszcie jest uzasadnione oraz </w:t>
      </w:r>
      <w:r w:rsidR="00904E1E">
        <w:rPr>
          <w:color w:val="0070C0"/>
          <w:sz w:val="20"/>
          <w:szCs w:val="20"/>
        </w:rPr>
        <w:t xml:space="preserve">poprzez </w:t>
      </w:r>
      <w:r w:rsidRPr="00354EB5">
        <w:rPr>
          <w:color w:val="0070C0"/>
          <w:sz w:val="20"/>
          <w:szCs w:val="20"/>
        </w:rPr>
        <w:t>umożliwienie więźniom skazanym na dożywocie możliwości przewidzenia, co muszą zrobić, aby zostać zwolnieni i na jakich warunkach.</w:t>
      </w:r>
    </w:p>
    <w:p w14:paraId="10915AAE" w14:textId="77777777" w:rsidR="00904E1E" w:rsidRDefault="00CD06C5" w:rsidP="00904E1E">
      <w:pPr>
        <w:spacing w:line="218" w:lineRule="exact"/>
        <w:ind w:left="850" w:right="567"/>
        <w:jc w:val="both"/>
        <w:rPr>
          <w:b/>
          <w:bCs/>
          <w:color w:val="0070C0"/>
          <w:sz w:val="20"/>
          <w:szCs w:val="20"/>
        </w:rPr>
      </w:pPr>
      <w:r w:rsidRPr="002D25DC">
        <w:rPr>
          <w:b/>
          <w:bCs/>
          <w:color w:val="0070C0"/>
          <w:sz w:val="20"/>
          <w:szCs w:val="20"/>
          <w:u w:val="single"/>
        </w:rPr>
        <w:t>Marcello Viola przeciwko Włochom (n</w:t>
      </w:r>
      <w:r>
        <w:rPr>
          <w:b/>
          <w:bCs/>
          <w:color w:val="0070C0"/>
          <w:sz w:val="20"/>
          <w:szCs w:val="20"/>
          <w:u w:val="single"/>
        </w:rPr>
        <w:t>r</w:t>
      </w:r>
      <w:r w:rsidRPr="002D25DC">
        <w:rPr>
          <w:b/>
          <w:bCs/>
          <w:color w:val="0070C0"/>
          <w:sz w:val="20"/>
          <w:szCs w:val="20"/>
          <w:u w:val="single"/>
        </w:rPr>
        <w:t xml:space="preserve"> 2)</w:t>
      </w:r>
      <w:r w:rsidRPr="002D25DC">
        <w:rPr>
          <w:b/>
          <w:bCs/>
          <w:color w:val="0070C0"/>
          <w:sz w:val="20"/>
          <w:szCs w:val="20"/>
        </w:rPr>
        <w:t xml:space="preserve"> </w:t>
      </w:r>
    </w:p>
    <w:p w14:paraId="29C74F58" w14:textId="2D8567A7" w:rsidR="00904E1E" w:rsidRDefault="00CD06C5" w:rsidP="00904E1E">
      <w:pPr>
        <w:spacing w:line="218" w:lineRule="exact"/>
        <w:ind w:left="850" w:right="567"/>
        <w:jc w:val="both"/>
        <w:rPr>
          <w:color w:val="A6A6A6" w:themeColor="background1" w:themeShade="A6"/>
          <w:sz w:val="18"/>
        </w:rPr>
      </w:pPr>
      <w:r w:rsidRPr="00CD7973">
        <w:rPr>
          <w:color w:val="A6A6A6" w:themeColor="background1" w:themeShade="A6"/>
          <w:sz w:val="18"/>
        </w:rPr>
        <w:t xml:space="preserve">13 </w:t>
      </w:r>
      <w:r w:rsidR="002847CE">
        <w:rPr>
          <w:color w:val="A6A6A6" w:themeColor="background1" w:themeShade="A6"/>
          <w:sz w:val="18"/>
        </w:rPr>
        <w:t xml:space="preserve">czerwiec </w:t>
      </w:r>
      <w:r w:rsidRPr="00CD7973">
        <w:rPr>
          <w:color w:val="A6A6A6" w:themeColor="background1" w:themeShade="A6"/>
          <w:sz w:val="18"/>
        </w:rPr>
        <w:t xml:space="preserve">2019 </w:t>
      </w:r>
      <w:r w:rsidR="002847CE">
        <w:rPr>
          <w:color w:val="A6A6A6" w:themeColor="background1" w:themeShade="A6"/>
          <w:sz w:val="18"/>
        </w:rPr>
        <w:t xml:space="preserve">r. </w:t>
      </w:r>
      <w:r w:rsidRPr="00CD7973">
        <w:rPr>
          <w:color w:val="A6A6A6" w:themeColor="background1" w:themeShade="A6"/>
          <w:sz w:val="18"/>
        </w:rPr>
        <w:t xml:space="preserve">(wyrok Izby) </w:t>
      </w:r>
    </w:p>
    <w:p w14:paraId="4DF953E3" w14:textId="77777777" w:rsidR="00A9758F" w:rsidRDefault="00CD06C5" w:rsidP="00A9758F">
      <w:pPr>
        <w:spacing w:line="218" w:lineRule="exact"/>
        <w:ind w:left="850" w:right="567"/>
        <w:jc w:val="both"/>
        <w:rPr>
          <w:sz w:val="20"/>
          <w:szCs w:val="20"/>
        </w:rPr>
      </w:pPr>
      <w:r w:rsidRPr="00575FD9">
        <w:rPr>
          <w:sz w:val="20"/>
          <w:szCs w:val="20"/>
        </w:rPr>
        <w:t xml:space="preserve">Skarżący, który brał udział w serii zdarzeń między dwoma rywalizującymi ze sobą klanami mafijnymi od połowy lat </w:t>
      </w:r>
      <w:r>
        <w:rPr>
          <w:sz w:val="20"/>
          <w:szCs w:val="20"/>
        </w:rPr>
        <w:t>19</w:t>
      </w:r>
      <w:r w:rsidRPr="00575FD9">
        <w:rPr>
          <w:sz w:val="20"/>
          <w:szCs w:val="20"/>
        </w:rPr>
        <w:t>80 do 1996 r., skarżył się w szczególności, że jego wyrok dożywocia był nieredukowalny i nie dawał mu żadnej perspektywy warunkowego zwolnienia.</w:t>
      </w:r>
    </w:p>
    <w:p w14:paraId="7757C62D" w14:textId="6C1E2354" w:rsidR="000F5850" w:rsidRDefault="00CD06C5" w:rsidP="000F5850">
      <w:pPr>
        <w:spacing w:line="218" w:lineRule="exact"/>
        <w:ind w:left="850" w:right="567"/>
        <w:jc w:val="both"/>
        <w:rPr>
          <w:color w:val="0070C0"/>
          <w:sz w:val="20"/>
          <w:szCs w:val="20"/>
        </w:rPr>
      </w:pPr>
      <w:r>
        <w:rPr>
          <w:color w:val="0070C0"/>
          <w:sz w:val="20"/>
          <w:szCs w:val="20"/>
        </w:rPr>
        <w:t>T</w:t>
      </w:r>
      <w:r w:rsidRPr="00575FD9">
        <w:rPr>
          <w:color w:val="0070C0"/>
          <w:sz w:val="20"/>
          <w:szCs w:val="20"/>
        </w:rPr>
        <w:t xml:space="preserve">rybunał uznał, że </w:t>
      </w:r>
      <w:r w:rsidRPr="00575FD9">
        <w:rPr>
          <w:b/>
          <w:bCs/>
          <w:color w:val="0070C0"/>
          <w:sz w:val="20"/>
          <w:szCs w:val="20"/>
        </w:rPr>
        <w:t xml:space="preserve">nastąpiło naruszenie art. 3 </w:t>
      </w:r>
      <w:r>
        <w:rPr>
          <w:b/>
          <w:bCs/>
          <w:color w:val="0070C0"/>
          <w:sz w:val="20"/>
          <w:szCs w:val="20"/>
        </w:rPr>
        <w:t>K</w:t>
      </w:r>
      <w:r w:rsidRPr="00575FD9">
        <w:rPr>
          <w:b/>
          <w:bCs/>
          <w:color w:val="0070C0"/>
          <w:sz w:val="20"/>
          <w:szCs w:val="20"/>
        </w:rPr>
        <w:t>onwencji.</w:t>
      </w:r>
      <w:r w:rsidRPr="00575FD9">
        <w:rPr>
          <w:color w:val="0070C0"/>
          <w:sz w:val="20"/>
          <w:szCs w:val="20"/>
        </w:rPr>
        <w:t xml:space="preserve"> Powtórzył w szczególności, </w:t>
      </w:r>
      <w:r w:rsidR="00A9758F">
        <w:rPr>
          <w:color w:val="0070C0"/>
          <w:sz w:val="20"/>
          <w:szCs w:val="20"/>
        </w:rPr>
        <w:br/>
      </w:r>
      <w:r w:rsidRPr="00575FD9">
        <w:rPr>
          <w:color w:val="0070C0"/>
          <w:sz w:val="20"/>
          <w:szCs w:val="20"/>
        </w:rPr>
        <w:t xml:space="preserve">że u podstaw systemu </w:t>
      </w:r>
      <w:r>
        <w:rPr>
          <w:color w:val="0070C0"/>
          <w:sz w:val="20"/>
          <w:szCs w:val="20"/>
        </w:rPr>
        <w:t>K</w:t>
      </w:r>
      <w:r w:rsidRPr="00575FD9">
        <w:rPr>
          <w:color w:val="0070C0"/>
          <w:sz w:val="20"/>
          <w:szCs w:val="20"/>
        </w:rPr>
        <w:t xml:space="preserve">onwencji </w:t>
      </w:r>
      <w:r>
        <w:rPr>
          <w:color w:val="0070C0"/>
          <w:sz w:val="20"/>
          <w:szCs w:val="20"/>
        </w:rPr>
        <w:t xml:space="preserve">leży </w:t>
      </w:r>
      <w:r w:rsidRPr="00575FD9">
        <w:rPr>
          <w:color w:val="0070C0"/>
          <w:sz w:val="20"/>
          <w:szCs w:val="20"/>
        </w:rPr>
        <w:t xml:space="preserve">godność </w:t>
      </w:r>
      <w:r>
        <w:rPr>
          <w:color w:val="0070C0"/>
          <w:sz w:val="20"/>
          <w:szCs w:val="20"/>
        </w:rPr>
        <w:t xml:space="preserve">ludzka </w:t>
      </w:r>
      <w:r w:rsidRPr="00575FD9">
        <w:rPr>
          <w:color w:val="0070C0"/>
          <w:sz w:val="20"/>
          <w:szCs w:val="20"/>
        </w:rPr>
        <w:t>i że niedopuszczalne jest pozbawianie osób ich wolności bez dążenia do ich re</w:t>
      </w:r>
      <w:r>
        <w:rPr>
          <w:color w:val="0070C0"/>
          <w:sz w:val="20"/>
          <w:szCs w:val="20"/>
        </w:rPr>
        <w:t xml:space="preserve">socjalizacji </w:t>
      </w:r>
      <w:r w:rsidRPr="00575FD9">
        <w:rPr>
          <w:color w:val="0070C0"/>
          <w:sz w:val="20"/>
          <w:szCs w:val="20"/>
        </w:rPr>
        <w:t xml:space="preserve">i zapewnienia im szansy odzyskania tej wolności w przyszłości. W związku z tym Trybunał </w:t>
      </w:r>
      <w:r w:rsidR="00A9758F">
        <w:rPr>
          <w:color w:val="0070C0"/>
          <w:sz w:val="20"/>
          <w:szCs w:val="20"/>
        </w:rPr>
        <w:t>stwierdził</w:t>
      </w:r>
      <w:r w:rsidRPr="00575FD9">
        <w:rPr>
          <w:color w:val="0070C0"/>
          <w:sz w:val="20"/>
          <w:szCs w:val="20"/>
        </w:rPr>
        <w:t xml:space="preserve">, że kara dożywotniego pozbawienia wolności </w:t>
      </w:r>
      <w:r>
        <w:rPr>
          <w:color w:val="0070C0"/>
          <w:sz w:val="20"/>
          <w:szCs w:val="20"/>
        </w:rPr>
        <w:t xml:space="preserve">orzeczona wobec skarżącego </w:t>
      </w:r>
      <w:r w:rsidRPr="00575FD9">
        <w:rPr>
          <w:color w:val="0070C0"/>
          <w:sz w:val="20"/>
          <w:szCs w:val="20"/>
        </w:rPr>
        <w:t xml:space="preserve">na mocy art. 4 bis </w:t>
      </w:r>
      <w:r>
        <w:rPr>
          <w:color w:val="0070C0"/>
          <w:sz w:val="20"/>
          <w:szCs w:val="20"/>
        </w:rPr>
        <w:t>U</w:t>
      </w:r>
      <w:r w:rsidRPr="00575FD9">
        <w:rPr>
          <w:color w:val="0070C0"/>
          <w:sz w:val="20"/>
          <w:szCs w:val="20"/>
        </w:rPr>
        <w:t>stawy o administracji więziennej (</w:t>
      </w:r>
      <w:r w:rsidRPr="00E24CE9">
        <w:rPr>
          <w:i/>
          <w:color w:val="0070C0"/>
          <w:sz w:val="20"/>
          <w:szCs w:val="20"/>
        </w:rPr>
        <w:t>ergastolo ostativo</w:t>
      </w:r>
      <w:r w:rsidRPr="00575FD9">
        <w:rPr>
          <w:color w:val="0070C0"/>
          <w:sz w:val="20"/>
          <w:szCs w:val="20"/>
        </w:rPr>
        <w:t xml:space="preserve">) </w:t>
      </w:r>
      <w:r>
        <w:rPr>
          <w:color w:val="0070C0"/>
          <w:sz w:val="20"/>
          <w:szCs w:val="20"/>
        </w:rPr>
        <w:t xml:space="preserve">w nadmiernym stopniu </w:t>
      </w:r>
      <w:r w:rsidRPr="00575FD9">
        <w:rPr>
          <w:color w:val="0070C0"/>
          <w:sz w:val="20"/>
          <w:szCs w:val="20"/>
        </w:rPr>
        <w:t xml:space="preserve">ograniczyła jego szanse na zwolnienie </w:t>
      </w:r>
      <w:r w:rsidR="000F5850">
        <w:rPr>
          <w:color w:val="0070C0"/>
          <w:sz w:val="20"/>
          <w:szCs w:val="20"/>
        </w:rPr>
        <w:t>oraz</w:t>
      </w:r>
      <w:r w:rsidRPr="00575FD9">
        <w:rPr>
          <w:color w:val="0070C0"/>
          <w:sz w:val="20"/>
          <w:szCs w:val="20"/>
        </w:rPr>
        <w:t xml:space="preserve"> możliwość </w:t>
      </w:r>
      <w:r>
        <w:rPr>
          <w:color w:val="0070C0"/>
          <w:sz w:val="20"/>
          <w:szCs w:val="20"/>
        </w:rPr>
        <w:t xml:space="preserve">zweryfikowania </w:t>
      </w:r>
      <w:r w:rsidRPr="00575FD9">
        <w:rPr>
          <w:color w:val="0070C0"/>
          <w:sz w:val="20"/>
          <w:szCs w:val="20"/>
        </w:rPr>
        <w:t xml:space="preserve">wyroku. W związku z tym </w:t>
      </w:r>
      <w:r>
        <w:rPr>
          <w:color w:val="0070C0"/>
          <w:sz w:val="20"/>
          <w:szCs w:val="20"/>
        </w:rPr>
        <w:t xml:space="preserve">orzeczona wobec niego kara </w:t>
      </w:r>
      <w:r w:rsidRPr="00575FD9">
        <w:rPr>
          <w:color w:val="0070C0"/>
          <w:sz w:val="20"/>
          <w:szCs w:val="20"/>
        </w:rPr>
        <w:t>nie może być uznan</w:t>
      </w:r>
      <w:r>
        <w:rPr>
          <w:color w:val="0070C0"/>
          <w:sz w:val="20"/>
          <w:szCs w:val="20"/>
        </w:rPr>
        <w:t>a</w:t>
      </w:r>
      <w:r w:rsidRPr="00575FD9">
        <w:rPr>
          <w:color w:val="0070C0"/>
          <w:sz w:val="20"/>
          <w:szCs w:val="20"/>
        </w:rPr>
        <w:t xml:space="preserve"> za podlegając</w:t>
      </w:r>
      <w:r>
        <w:rPr>
          <w:color w:val="0070C0"/>
          <w:sz w:val="20"/>
          <w:szCs w:val="20"/>
        </w:rPr>
        <w:t xml:space="preserve">ą </w:t>
      </w:r>
      <w:r w:rsidRPr="00575FD9">
        <w:rPr>
          <w:color w:val="0070C0"/>
          <w:sz w:val="20"/>
          <w:szCs w:val="20"/>
        </w:rPr>
        <w:t xml:space="preserve">redukcji </w:t>
      </w:r>
      <w:r>
        <w:rPr>
          <w:color w:val="0070C0"/>
          <w:sz w:val="20"/>
          <w:szCs w:val="20"/>
        </w:rPr>
        <w:t xml:space="preserve">w rozumieniu </w:t>
      </w:r>
      <w:r w:rsidRPr="00575FD9">
        <w:rPr>
          <w:color w:val="0070C0"/>
          <w:sz w:val="20"/>
          <w:szCs w:val="20"/>
        </w:rPr>
        <w:t xml:space="preserve">art. 3 </w:t>
      </w:r>
      <w:r>
        <w:rPr>
          <w:color w:val="0070C0"/>
          <w:sz w:val="20"/>
          <w:szCs w:val="20"/>
        </w:rPr>
        <w:t>K</w:t>
      </w:r>
      <w:r w:rsidRPr="00575FD9">
        <w:rPr>
          <w:color w:val="0070C0"/>
          <w:sz w:val="20"/>
          <w:szCs w:val="20"/>
        </w:rPr>
        <w:t xml:space="preserve">onwencji. Na mocy </w:t>
      </w:r>
      <w:r w:rsidRPr="000D281C">
        <w:rPr>
          <w:b/>
          <w:bCs/>
          <w:color w:val="0070C0"/>
          <w:sz w:val="20"/>
          <w:szCs w:val="20"/>
        </w:rPr>
        <w:t xml:space="preserve">art. 46 </w:t>
      </w:r>
      <w:r w:rsidRPr="00575FD9">
        <w:rPr>
          <w:color w:val="0070C0"/>
          <w:sz w:val="20"/>
          <w:szCs w:val="20"/>
        </w:rPr>
        <w:t xml:space="preserve">(moc wiążąca i wykonywanie orzeczeń) </w:t>
      </w:r>
      <w:r w:rsidRPr="000D281C">
        <w:rPr>
          <w:b/>
          <w:bCs/>
          <w:color w:val="0070C0"/>
          <w:sz w:val="20"/>
          <w:szCs w:val="20"/>
        </w:rPr>
        <w:t xml:space="preserve">Konwencji </w:t>
      </w:r>
      <w:r>
        <w:rPr>
          <w:color w:val="0070C0"/>
          <w:sz w:val="20"/>
          <w:szCs w:val="20"/>
        </w:rPr>
        <w:t>T</w:t>
      </w:r>
      <w:r w:rsidRPr="00575FD9">
        <w:rPr>
          <w:color w:val="0070C0"/>
          <w:sz w:val="20"/>
          <w:szCs w:val="20"/>
        </w:rPr>
        <w:t xml:space="preserve">rybunał </w:t>
      </w:r>
      <w:r w:rsidRPr="004C4937">
        <w:rPr>
          <w:color w:val="0070C0"/>
          <w:sz w:val="20"/>
          <w:szCs w:val="20"/>
        </w:rPr>
        <w:t xml:space="preserve">zauważył ponadto, że </w:t>
      </w:r>
      <w:r>
        <w:rPr>
          <w:color w:val="0070C0"/>
          <w:sz w:val="20"/>
          <w:szCs w:val="20"/>
        </w:rPr>
        <w:t>U</w:t>
      </w:r>
      <w:r w:rsidRPr="004C4937">
        <w:rPr>
          <w:color w:val="0070C0"/>
          <w:sz w:val="20"/>
          <w:szCs w:val="20"/>
        </w:rPr>
        <w:t xml:space="preserve">mawiające się </w:t>
      </w:r>
      <w:r>
        <w:rPr>
          <w:color w:val="0070C0"/>
          <w:sz w:val="20"/>
          <w:szCs w:val="20"/>
        </w:rPr>
        <w:t>P</w:t>
      </w:r>
      <w:r w:rsidRPr="004C4937">
        <w:rPr>
          <w:color w:val="0070C0"/>
          <w:sz w:val="20"/>
          <w:szCs w:val="20"/>
        </w:rPr>
        <w:t xml:space="preserve">aństwa mają szeroki margines swobody przy podejmowaniu decyzji o odpowiedniej długości kary pozbawienia wolności, a sam fakt, że w praktyce kara dożywotniego więzienia może być odbyta w całości, nie oznacza, że jest ona nieredukowalna. W związku z tym możliwość </w:t>
      </w:r>
      <w:r>
        <w:rPr>
          <w:color w:val="0070C0"/>
          <w:sz w:val="20"/>
          <w:szCs w:val="20"/>
        </w:rPr>
        <w:t xml:space="preserve">weryfikacji </w:t>
      </w:r>
      <w:r w:rsidRPr="004C4937">
        <w:rPr>
          <w:color w:val="0070C0"/>
          <w:sz w:val="20"/>
          <w:szCs w:val="20"/>
        </w:rPr>
        <w:t>wyroków skazujących na karę dożywocia wią</w:t>
      </w:r>
      <w:r>
        <w:rPr>
          <w:color w:val="0070C0"/>
          <w:sz w:val="20"/>
          <w:szCs w:val="20"/>
        </w:rPr>
        <w:t xml:space="preserve">że </w:t>
      </w:r>
      <w:r w:rsidRPr="004C4937">
        <w:rPr>
          <w:color w:val="0070C0"/>
          <w:sz w:val="20"/>
          <w:szCs w:val="20"/>
        </w:rPr>
        <w:t xml:space="preserve">się z możliwością złożenia przez osobę skazaną wniosku o zwolnienie, ale nie </w:t>
      </w:r>
      <w:r>
        <w:rPr>
          <w:color w:val="0070C0"/>
          <w:sz w:val="20"/>
          <w:szCs w:val="20"/>
        </w:rPr>
        <w:t xml:space="preserve">oznacza, że </w:t>
      </w:r>
      <w:r w:rsidRPr="004C4937">
        <w:rPr>
          <w:color w:val="0070C0"/>
          <w:sz w:val="20"/>
          <w:szCs w:val="20"/>
        </w:rPr>
        <w:t>musi ona zostać zwolniona, jeżeli nadal stanowi zagrożenie dla społeczeństwa.</w:t>
      </w:r>
    </w:p>
    <w:p w14:paraId="7340B2C7" w14:textId="77777777" w:rsidR="000B27F4" w:rsidRDefault="000B27F4" w:rsidP="000F5850">
      <w:pPr>
        <w:spacing w:line="218" w:lineRule="exact"/>
        <w:ind w:left="850" w:right="567"/>
        <w:jc w:val="both"/>
        <w:rPr>
          <w:b/>
          <w:bCs/>
          <w:color w:val="0070C0"/>
          <w:sz w:val="20"/>
          <w:szCs w:val="20"/>
          <w:u w:val="single"/>
        </w:rPr>
      </w:pPr>
    </w:p>
    <w:p w14:paraId="1644D8FE" w14:textId="03371581" w:rsidR="000F5850" w:rsidRDefault="00CD06C5" w:rsidP="000F5850">
      <w:pPr>
        <w:spacing w:line="218" w:lineRule="exact"/>
        <w:ind w:left="850" w:right="567"/>
        <w:jc w:val="both"/>
        <w:rPr>
          <w:b/>
          <w:bCs/>
          <w:color w:val="0070C0"/>
          <w:sz w:val="20"/>
          <w:szCs w:val="20"/>
          <w:u w:val="single"/>
        </w:rPr>
      </w:pPr>
      <w:r w:rsidRPr="00835DC6">
        <w:rPr>
          <w:b/>
          <w:bCs/>
          <w:color w:val="0070C0"/>
          <w:sz w:val="20"/>
          <w:szCs w:val="20"/>
          <w:u w:val="single"/>
        </w:rPr>
        <w:lastRenderedPageBreak/>
        <w:t>Dardanskiš przeciwko Litwie i 15 Innych skar</w:t>
      </w:r>
      <w:r>
        <w:rPr>
          <w:b/>
          <w:bCs/>
          <w:color w:val="0070C0"/>
          <w:sz w:val="20"/>
          <w:szCs w:val="20"/>
          <w:u w:val="single"/>
        </w:rPr>
        <w:t xml:space="preserve">żących </w:t>
      </w:r>
    </w:p>
    <w:p w14:paraId="71F3C864" w14:textId="305BA7FA" w:rsidR="00AF6DD4" w:rsidRDefault="00CD06C5" w:rsidP="003F20C0">
      <w:pPr>
        <w:spacing w:line="218" w:lineRule="exact"/>
        <w:ind w:left="850" w:right="567"/>
        <w:jc w:val="both"/>
        <w:rPr>
          <w:color w:val="A6A6A6" w:themeColor="background1" w:themeShade="A6"/>
          <w:sz w:val="18"/>
        </w:rPr>
      </w:pPr>
      <w:r w:rsidRPr="00835DC6">
        <w:rPr>
          <w:color w:val="A6A6A6" w:themeColor="background1" w:themeShade="A6"/>
          <w:sz w:val="18"/>
        </w:rPr>
        <w:t>18 czerwiec 2019 r. (decyzja o dopuszczalności)</w:t>
      </w:r>
      <w:r w:rsidR="00AF6DD4">
        <w:rPr>
          <w:color w:val="A6A6A6" w:themeColor="background1" w:themeShade="A6"/>
          <w:sz w:val="18"/>
        </w:rPr>
        <w:t xml:space="preserve"> </w:t>
      </w:r>
    </w:p>
    <w:p w14:paraId="6F1AC579" w14:textId="77777777" w:rsidR="00ED3E20" w:rsidRDefault="00CD06C5" w:rsidP="00ED3E20">
      <w:pPr>
        <w:spacing w:line="218" w:lineRule="exact"/>
        <w:ind w:left="850" w:right="567"/>
        <w:jc w:val="both"/>
        <w:rPr>
          <w:sz w:val="20"/>
          <w:szCs w:val="20"/>
        </w:rPr>
      </w:pPr>
      <w:r w:rsidRPr="00B21182">
        <w:rPr>
          <w:sz w:val="20"/>
          <w:szCs w:val="20"/>
        </w:rPr>
        <w:t xml:space="preserve">Wszyscy skarżący, którzy zostali skazani na karę dożywotniego pozbawienia wolności </w:t>
      </w:r>
      <w:r>
        <w:rPr>
          <w:sz w:val="20"/>
          <w:szCs w:val="20"/>
        </w:rPr>
        <w:br/>
      </w:r>
      <w:r w:rsidRPr="00B21182">
        <w:rPr>
          <w:sz w:val="20"/>
          <w:szCs w:val="20"/>
        </w:rPr>
        <w:t xml:space="preserve">i odbyli tę karę na Litwie, skarżyli się, że w momencie składania przez nich </w:t>
      </w:r>
      <w:r>
        <w:rPr>
          <w:sz w:val="20"/>
          <w:szCs w:val="20"/>
        </w:rPr>
        <w:t>skarg p</w:t>
      </w:r>
      <w:r w:rsidRPr="00B21182">
        <w:rPr>
          <w:sz w:val="20"/>
          <w:szCs w:val="20"/>
        </w:rPr>
        <w:t xml:space="preserve">rawo litewskie nie było zmieniane w celu dostosowania go do orzecznictwa Trybunału Europejskiego w sprawie dożywotniego pozbawienia wolności. Twierdzili oni, że ich dożywotnie uwięzienie było nieludzkim i poniżającym traktowaniem, ponieważ nie mieli nadziei na uwolnienie. </w:t>
      </w:r>
    </w:p>
    <w:p w14:paraId="4801F4E5" w14:textId="40E6A6FC" w:rsidR="00CD06C5" w:rsidRPr="00FB1F35" w:rsidRDefault="00CD06C5" w:rsidP="001E3EEC">
      <w:pPr>
        <w:spacing w:line="218" w:lineRule="exact"/>
        <w:ind w:left="850" w:right="567"/>
        <w:jc w:val="both"/>
        <w:rPr>
          <w:color w:val="808080"/>
          <w:sz w:val="20"/>
          <w:szCs w:val="20"/>
        </w:rPr>
      </w:pPr>
      <w:r w:rsidRPr="00B21182">
        <w:rPr>
          <w:color w:val="0070C0"/>
          <w:sz w:val="20"/>
          <w:szCs w:val="20"/>
        </w:rPr>
        <w:t xml:space="preserve">Trybunał </w:t>
      </w:r>
      <w:r w:rsidRPr="00F22566">
        <w:rPr>
          <w:b/>
          <w:bCs/>
          <w:color w:val="0070C0"/>
          <w:sz w:val="20"/>
          <w:szCs w:val="20"/>
        </w:rPr>
        <w:t>postanowił skreślić skargi ze swojej listy spraw</w:t>
      </w:r>
      <w:r w:rsidRPr="00B21182">
        <w:rPr>
          <w:color w:val="0070C0"/>
          <w:sz w:val="20"/>
          <w:szCs w:val="20"/>
        </w:rPr>
        <w:t>, zgodnie z</w:t>
      </w:r>
      <w:r w:rsidRPr="000018CF">
        <w:rPr>
          <w:b/>
          <w:bCs/>
          <w:color w:val="0070C0"/>
          <w:sz w:val="20"/>
          <w:szCs w:val="20"/>
        </w:rPr>
        <w:t xml:space="preserve"> </w:t>
      </w:r>
      <w:r w:rsidR="00ED3E20">
        <w:rPr>
          <w:b/>
          <w:bCs/>
          <w:color w:val="0070C0"/>
          <w:sz w:val="20"/>
          <w:szCs w:val="20"/>
        </w:rPr>
        <w:t xml:space="preserve">art. </w:t>
      </w:r>
      <w:r w:rsidRPr="000018CF">
        <w:rPr>
          <w:b/>
          <w:bCs/>
          <w:color w:val="0070C0"/>
          <w:sz w:val="20"/>
          <w:szCs w:val="20"/>
        </w:rPr>
        <w:t xml:space="preserve">37 </w:t>
      </w:r>
      <w:r w:rsidRPr="00B21182">
        <w:rPr>
          <w:color w:val="0070C0"/>
          <w:sz w:val="20"/>
          <w:szCs w:val="20"/>
        </w:rPr>
        <w:t xml:space="preserve"> (skreślenie wniosków) </w:t>
      </w:r>
      <w:r w:rsidRPr="000018CF">
        <w:rPr>
          <w:b/>
          <w:bCs/>
          <w:color w:val="0070C0"/>
          <w:sz w:val="20"/>
          <w:szCs w:val="20"/>
        </w:rPr>
        <w:t>Konwencji</w:t>
      </w:r>
      <w:r w:rsidRPr="00B21182">
        <w:rPr>
          <w:color w:val="0070C0"/>
          <w:sz w:val="20"/>
          <w:szCs w:val="20"/>
        </w:rPr>
        <w:t xml:space="preserve">, uznając, że </w:t>
      </w:r>
      <w:r>
        <w:rPr>
          <w:color w:val="0070C0"/>
          <w:sz w:val="20"/>
          <w:szCs w:val="20"/>
        </w:rPr>
        <w:t xml:space="preserve">rozpoczęta </w:t>
      </w:r>
      <w:r w:rsidRPr="00B21182">
        <w:rPr>
          <w:color w:val="0070C0"/>
          <w:sz w:val="20"/>
          <w:szCs w:val="20"/>
        </w:rPr>
        <w:t xml:space="preserve">procedura </w:t>
      </w:r>
      <w:r w:rsidR="002847CE">
        <w:rPr>
          <w:color w:val="0070C0"/>
          <w:sz w:val="20"/>
          <w:szCs w:val="20"/>
        </w:rPr>
        <w:t xml:space="preserve">łagodzenie </w:t>
      </w:r>
      <w:r>
        <w:rPr>
          <w:color w:val="0070C0"/>
          <w:sz w:val="20"/>
          <w:szCs w:val="20"/>
        </w:rPr>
        <w:t xml:space="preserve">kar </w:t>
      </w:r>
      <w:r w:rsidRPr="00B21182">
        <w:rPr>
          <w:color w:val="0070C0"/>
          <w:sz w:val="20"/>
          <w:szCs w:val="20"/>
        </w:rPr>
        <w:t xml:space="preserve">dożywotniego </w:t>
      </w:r>
      <w:r>
        <w:rPr>
          <w:color w:val="0070C0"/>
          <w:sz w:val="20"/>
          <w:szCs w:val="20"/>
        </w:rPr>
        <w:t xml:space="preserve">pozbawienia </w:t>
      </w:r>
      <w:r w:rsidR="002847CE">
        <w:rPr>
          <w:color w:val="0070C0"/>
          <w:sz w:val="20"/>
          <w:szCs w:val="20"/>
        </w:rPr>
        <w:t xml:space="preserve">oraz </w:t>
      </w:r>
      <w:r w:rsidRPr="00B21182">
        <w:rPr>
          <w:color w:val="0070C0"/>
          <w:sz w:val="20"/>
          <w:szCs w:val="20"/>
        </w:rPr>
        <w:t>jej wym</w:t>
      </w:r>
      <w:r>
        <w:rPr>
          <w:color w:val="0070C0"/>
          <w:sz w:val="20"/>
          <w:szCs w:val="20"/>
        </w:rPr>
        <w:t>agania</w:t>
      </w:r>
      <w:r w:rsidRPr="00B21182">
        <w:rPr>
          <w:color w:val="0070C0"/>
          <w:sz w:val="20"/>
          <w:szCs w:val="20"/>
        </w:rPr>
        <w:t>, przyjęte bardzo niedawno przez władze litewskie</w:t>
      </w:r>
      <w:r>
        <w:rPr>
          <w:rStyle w:val="Odwoanieprzypisudolnego"/>
          <w:color w:val="0070C0"/>
          <w:sz w:val="20"/>
          <w:szCs w:val="20"/>
        </w:rPr>
        <w:footnoteReference w:id="7"/>
      </w:r>
      <w:r w:rsidRPr="00B21182">
        <w:rPr>
          <w:color w:val="0070C0"/>
          <w:sz w:val="20"/>
          <w:szCs w:val="20"/>
        </w:rPr>
        <w:t xml:space="preserve">, stanowią odpowiedni i wystarczający środek </w:t>
      </w:r>
      <w:r w:rsidR="002847CE">
        <w:rPr>
          <w:color w:val="0070C0"/>
          <w:sz w:val="20"/>
          <w:szCs w:val="20"/>
        </w:rPr>
        <w:t xml:space="preserve">umożliwiający rozpoznanie </w:t>
      </w:r>
      <w:r>
        <w:rPr>
          <w:color w:val="0070C0"/>
          <w:sz w:val="20"/>
          <w:szCs w:val="20"/>
        </w:rPr>
        <w:t xml:space="preserve">zarzutów </w:t>
      </w:r>
      <w:r w:rsidRPr="00B21182">
        <w:rPr>
          <w:color w:val="0070C0"/>
          <w:sz w:val="20"/>
          <w:szCs w:val="20"/>
        </w:rPr>
        <w:t>skarżących.</w:t>
      </w:r>
      <w:r w:rsidR="001E3EEC">
        <w:rPr>
          <w:color w:val="0070C0"/>
          <w:sz w:val="20"/>
          <w:szCs w:val="20"/>
        </w:rPr>
        <w:t xml:space="preserve"> </w:t>
      </w:r>
      <w:r w:rsidRPr="00B21182">
        <w:rPr>
          <w:color w:val="0070C0"/>
          <w:sz w:val="20"/>
          <w:szCs w:val="20"/>
        </w:rPr>
        <w:t xml:space="preserve">Stwierdził, że </w:t>
      </w:r>
      <w:r>
        <w:rPr>
          <w:color w:val="0070C0"/>
          <w:sz w:val="20"/>
          <w:szCs w:val="20"/>
        </w:rPr>
        <w:t xml:space="preserve">obecnie </w:t>
      </w:r>
      <w:r w:rsidRPr="00B21182">
        <w:rPr>
          <w:color w:val="0070C0"/>
          <w:sz w:val="20"/>
          <w:szCs w:val="20"/>
        </w:rPr>
        <w:t xml:space="preserve">sprawa </w:t>
      </w:r>
      <w:r w:rsidR="001E3EEC">
        <w:rPr>
          <w:color w:val="0070C0"/>
          <w:sz w:val="20"/>
          <w:szCs w:val="20"/>
        </w:rPr>
        <w:t xml:space="preserve">stanowiąca </w:t>
      </w:r>
      <w:r w:rsidRPr="00B21182">
        <w:rPr>
          <w:color w:val="0070C0"/>
          <w:sz w:val="20"/>
          <w:szCs w:val="20"/>
        </w:rPr>
        <w:t>przyczyną skargi może być zatem uznana za "rozwiązaną" w rozumieniu art. 37 ust. 1 lit.</w:t>
      </w:r>
      <w:r w:rsidR="001E3EEC">
        <w:rPr>
          <w:color w:val="0070C0"/>
          <w:sz w:val="20"/>
          <w:szCs w:val="20"/>
        </w:rPr>
        <w:t xml:space="preserve"> (</w:t>
      </w:r>
      <w:r w:rsidRPr="00B21182">
        <w:rPr>
          <w:color w:val="0070C0"/>
          <w:sz w:val="20"/>
          <w:szCs w:val="20"/>
        </w:rPr>
        <w:t xml:space="preserve">b) </w:t>
      </w:r>
      <w:r>
        <w:rPr>
          <w:color w:val="0070C0"/>
          <w:sz w:val="20"/>
          <w:szCs w:val="20"/>
        </w:rPr>
        <w:t>K</w:t>
      </w:r>
      <w:r w:rsidRPr="00B21182">
        <w:rPr>
          <w:color w:val="0070C0"/>
          <w:sz w:val="20"/>
          <w:szCs w:val="20"/>
        </w:rPr>
        <w:t xml:space="preserve">onwencji. Wreszcie, żaden szczególny powód związany z poszanowaniem praw człowieka nie wymagał od Trybunału kontynuowania rozpatrywania wniosku na podstawie art. 37 ust. 1 </w:t>
      </w:r>
      <w:r>
        <w:rPr>
          <w:color w:val="0070C0"/>
          <w:sz w:val="20"/>
          <w:szCs w:val="20"/>
        </w:rPr>
        <w:t>in fine</w:t>
      </w:r>
      <w:r w:rsidR="001E3EEC">
        <w:rPr>
          <w:color w:val="0070C0"/>
          <w:sz w:val="20"/>
          <w:szCs w:val="20"/>
        </w:rPr>
        <w:t xml:space="preserve">. </w:t>
      </w:r>
    </w:p>
    <w:p w14:paraId="0E1CC478" w14:textId="6B938C62" w:rsidR="00CD06C5" w:rsidRPr="00FB1F35" w:rsidRDefault="004A212A" w:rsidP="00CD06C5">
      <w:pPr>
        <w:pStyle w:val="Tekstpodstawowy"/>
        <w:spacing w:before="2"/>
        <w:ind w:left="860" w:right="816"/>
        <w:rPr>
          <w:color w:val="0071BB"/>
        </w:rPr>
      </w:pPr>
      <w:r>
        <w:rPr>
          <w:noProof/>
          <w:color w:val="0071BB"/>
          <w:sz w:val="28"/>
          <w:szCs w:val="28"/>
          <w:lang w:eastAsia="pl-PL" w:bidi="ar-SA"/>
        </w:rPr>
        <mc:AlternateContent>
          <mc:Choice Requires="wps">
            <w:drawing>
              <wp:anchor distT="0" distB="0" distL="0" distR="0" simplePos="0" relativeHeight="251670528" behindDoc="1" locked="0" layoutInCell="1" allowOverlap="1" wp14:anchorId="76E7E1B6" wp14:editId="06583DEC">
                <wp:simplePos x="0" y="0"/>
                <wp:positionH relativeFrom="page">
                  <wp:posOffset>795020</wp:posOffset>
                </wp:positionH>
                <wp:positionV relativeFrom="paragraph">
                  <wp:posOffset>234315</wp:posOffset>
                </wp:positionV>
                <wp:extent cx="5979160" cy="2599055"/>
                <wp:effectExtent l="0" t="0" r="2540" b="0"/>
                <wp:wrapTopAndBottom/>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9160" cy="2599055"/>
                        </a:xfrm>
                        <a:prstGeom prst="rect">
                          <a:avLst/>
                        </a:prstGeom>
                        <a:solidFill>
                          <a:srgbClr val="F3F3F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39966F" w14:textId="77777777" w:rsidR="00CD06C5" w:rsidRPr="00AC07E3" w:rsidRDefault="00CD06C5" w:rsidP="00CD06C5">
                            <w:pPr>
                              <w:spacing w:after="240"/>
                              <w:ind w:right="1191"/>
                              <w:rPr>
                                <w:b/>
                                <w:color w:val="5F5F5F"/>
                                <w:sz w:val="20"/>
                              </w:rPr>
                            </w:pPr>
                            <w:r w:rsidRPr="00AC07E3">
                              <w:rPr>
                                <w:b/>
                                <w:color w:val="5F5F5F"/>
                                <w:sz w:val="20"/>
                              </w:rPr>
                              <w:t>Skargi oczekujące na rozpatrzenie</w:t>
                            </w:r>
                          </w:p>
                          <w:p w14:paraId="614D08FF" w14:textId="261867EA" w:rsidR="00CD06C5" w:rsidRPr="002D4778" w:rsidRDefault="00CD06C5" w:rsidP="00CD06C5">
                            <w:pPr>
                              <w:ind w:left="28" w:right="227"/>
                              <w:jc w:val="both"/>
                              <w:rPr>
                                <w:b/>
                                <w:color w:val="5F5F5F"/>
                                <w:sz w:val="20"/>
                                <w:szCs w:val="20"/>
                              </w:rPr>
                            </w:pPr>
                            <w:proofErr w:type="spellStart"/>
                            <w:r w:rsidRPr="002D4778">
                              <w:rPr>
                                <w:b/>
                                <w:color w:val="0070C0"/>
                                <w:sz w:val="20"/>
                                <w:szCs w:val="20"/>
                                <w:u w:val="single"/>
                              </w:rPr>
                              <w:t>Canword</w:t>
                            </w:r>
                            <w:proofErr w:type="spellEnd"/>
                            <w:r w:rsidRPr="002D4778">
                              <w:rPr>
                                <w:b/>
                                <w:color w:val="0070C0"/>
                                <w:sz w:val="20"/>
                                <w:szCs w:val="20"/>
                                <w:u w:val="single"/>
                              </w:rPr>
                              <w:t xml:space="preserve"> </w:t>
                            </w:r>
                            <w:r w:rsidR="002D4778" w:rsidRPr="002D4778">
                              <w:rPr>
                                <w:b/>
                                <w:color w:val="0070C0"/>
                                <w:sz w:val="20"/>
                                <w:szCs w:val="20"/>
                                <w:u w:val="single"/>
                              </w:rPr>
                              <w:t>przeciwko</w:t>
                            </w:r>
                            <w:r w:rsidRPr="002D4778">
                              <w:rPr>
                                <w:b/>
                                <w:color w:val="0070C0"/>
                                <w:sz w:val="20"/>
                                <w:szCs w:val="20"/>
                                <w:u w:val="single"/>
                              </w:rPr>
                              <w:t xml:space="preserve"> </w:t>
                            </w:r>
                            <w:r w:rsidR="002D4778" w:rsidRPr="002D4778">
                              <w:rPr>
                                <w:b/>
                                <w:color w:val="0070C0"/>
                                <w:sz w:val="20"/>
                                <w:szCs w:val="20"/>
                                <w:u w:val="single"/>
                              </w:rPr>
                              <w:t>Niderla</w:t>
                            </w:r>
                            <w:r w:rsidR="00300A1E">
                              <w:rPr>
                                <w:b/>
                                <w:color w:val="0070C0"/>
                                <w:sz w:val="20"/>
                                <w:szCs w:val="20"/>
                                <w:u w:val="single"/>
                              </w:rPr>
                              <w:t>n</w:t>
                            </w:r>
                            <w:r w:rsidR="002D4778" w:rsidRPr="002D4778">
                              <w:rPr>
                                <w:b/>
                                <w:color w:val="0070C0"/>
                                <w:sz w:val="20"/>
                                <w:szCs w:val="20"/>
                                <w:u w:val="single"/>
                              </w:rPr>
                              <w:t>dom</w:t>
                            </w:r>
                            <w:r w:rsidRPr="002D4778">
                              <w:rPr>
                                <w:b/>
                                <w:color w:val="0070C0"/>
                                <w:sz w:val="20"/>
                                <w:szCs w:val="20"/>
                                <w:u w:val="single"/>
                              </w:rPr>
                              <w:t xml:space="preserve"> (nr 21464/15) </w:t>
                            </w:r>
                            <w:r w:rsidR="002D4778" w:rsidRPr="002D4778">
                              <w:rPr>
                                <w:b/>
                                <w:color w:val="0070C0"/>
                                <w:sz w:val="20"/>
                                <w:szCs w:val="20"/>
                                <w:u w:val="single"/>
                              </w:rPr>
                              <w:t xml:space="preserve">oraz </w:t>
                            </w:r>
                            <w:r w:rsidRPr="002D4778">
                              <w:rPr>
                                <w:b/>
                                <w:color w:val="0070C0"/>
                                <w:sz w:val="20"/>
                                <w:szCs w:val="20"/>
                                <w:u w:val="single"/>
                              </w:rPr>
                              <w:t xml:space="preserve">Lake </w:t>
                            </w:r>
                            <w:r w:rsidR="002D4778" w:rsidRPr="002D4778">
                              <w:rPr>
                                <w:b/>
                                <w:color w:val="0070C0"/>
                                <w:sz w:val="20"/>
                                <w:szCs w:val="20"/>
                                <w:u w:val="single"/>
                              </w:rPr>
                              <w:t>przeciwko</w:t>
                            </w:r>
                            <w:r w:rsidR="002D4778">
                              <w:rPr>
                                <w:b/>
                                <w:color w:val="0070C0"/>
                                <w:sz w:val="20"/>
                                <w:szCs w:val="20"/>
                                <w:u w:val="single"/>
                              </w:rPr>
                              <w:t xml:space="preserve"> Niderlandom</w:t>
                            </w:r>
                            <w:r w:rsidRPr="002D4778">
                              <w:rPr>
                                <w:b/>
                                <w:color w:val="5F5F5F"/>
                                <w:sz w:val="20"/>
                                <w:szCs w:val="20"/>
                              </w:rPr>
                              <w:t xml:space="preserve"> </w:t>
                            </w:r>
                          </w:p>
                          <w:p w14:paraId="635F1552" w14:textId="77777777" w:rsidR="00CD06C5" w:rsidRPr="005F15F0" w:rsidRDefault="00CD06C5" w:rsidP="00CD06C5">
                            <w:pPr>
                              <w:spacing w:after="240"/>
                              <w:ind w:left="28" w:right="1191"/>
                              <w:jc w:val="both"/>
                              <w:rPr>
                                <w:bCs/>
                                <w:color w:val="A6A6A6" w:themeColor="background1" w:themeShade="A6"/>
                                <w:sz w:val="20"/>
                                <w:szCs w:val="20"/>
                              </w:rPr>
                            </w:pPr>
                            <w:r w:rsidRPr="005F15F0">
                              <w:rPr>
                                <w:bCs/>
                                <w:color w:val="A6A6A6" w:themeColor="background1" w:themeShade="A6"/>
                                <w:sz w:val="18"/>
                                <w:szCs w:val="18"/>
                              </w:rPr>
                              <w:t>Skargi zakom</w:t>
                            </w:r>
                            <w:r>
                              <w:rPr>
                                <w:bCs/>
                                <w:color w:val="A6A6A6" w:themeColor="background1" w:themeShade="A6"/>
                                <w:sz w:val="18"/>
                                <w:szCs w:val="18"/>
                              </w:rPr>
                              <w:t>u</w:t>
                            </w:r>
                            <w:r w:rsidRPr="005F15F0">
                              <w:rPr>
                                <w:bCs/>
                                <w:color w:val="A6A6A6" w:themeColor="background1" w:themeShade="A6"/>
                                <w:sz w:val="18"/>
                                <w:szCs w:val="18"/>
                              </w:rPr>
                              <w:t xml:space="preserve">nikowane Rządowi Niderlandów </w:t>
                            </w:r>
                            <w:r>
                              <w:rPr>
                                <w:bCs/>
                                <w:color w:val="A6A6A6" w:themeColor="background1" w:themeShade="A6"/>
                                <w:sz w:val="18"/>
                                <w:szCs w:val="18"/>
                              </w:rPr>
                              <w:t xml:space="preserve">w dniu </w:t>
                            </w:r>
                            <w:r w:rsidRPr="005F15F0">
                              <w:rPr>
                                <w:bCs/>
                                <w:color w:val="A6A6A6" w:themeColor="background1" w:themeShade="A6"/>
                                <w:sz w:val="18"/>
                                <w:szCs w:val="18"/>
                              </w:rPr>
                              <w:t>20 października 2017</w:t>
                            </w:r>
                            <w:r w:rsidRPr="005F15F0">
                              <w:rPr>
                                <w:bCs/>
                                <w:color w:val="A6A6A6" w:themeColor="background1" w:themeShade="A6"/>
                                <w:sz w:val="20"/>
                                <w:szCs w:val="20"/>
                              </w:rPr>
                              <w:t xml:space="preserve"> r.</w:t>
                            </w:r>
                          </w:p>
                          <w:p w14:paraId="51C1E033" w14:textId="00D47967" w:rsidR="00CD06C5" w:rsidRPr="00014330" w:rsidRDefault="00CD06C5" w:rsidP="00CD06C5">
                            <w:pPr>
                              <w:ind w:left="28" w:right="1191"/>
                              <w:jc w:val="both"/>
                              <w:rPr>
                                <w:b/>
                                <w:color w:val="5F5F5F"/>
                                <w:sz w:val="20"/>
                                <w:szCs w:val="20"/>
                                <w:u w:val="single"/>
                              </w:rPr>
                            </w:pPr>
                            <w:r w:rsidRPr="00014330">
                              <w:rPr>
                                <w:b/>
                                <w:color w:val="0070C0"/>
                                <w:sz w:val="20"/>
                                <w:szCs w:val="20"/>
                                <w:u w:val="single"/>
                              </w:rPr>
                              <w:t xml:space="preserve">László Magyar </w:t>
                            </w:r>
                            <w:r w:rsidR="002D4778">
                              <w:rPr>
                                <w:b/>
                                <w:color w:val="0070C0"/>
                                <w:sz w:val="20"/>
                                <w:szCs w:val="20"/>
                                <w:u w:val="single"/>
                              </w:rPr>
                              <w:t>przeciwko</w:t>
                            </w:r>
                            <w:r w:rsidRPr="00014330">
                              <w:rPr>
                                <w:b/>
                                <w:color w:val="0070C0"/>
                                <w:sz w:val="20"/>
                                <w:szCs w:val="20"/>
                                <w:u w:val="single"/>
                              </w:rPr>
                              <w:t xml:space="preserve"> </w:t>
                            </w:r>
                            <w:r w:rsidR="002D4778">
                              <w:rPr>
                                <w:b/>
                                <w:color w:val="0070C0"/>
                                <w:sz w:val="20"/>
                                <w:szCs w:val="20"/>
                                <w:u w:val="single"/>
                              </w:rPr>
                              <w:t>Węgrom</w:t>
                            </w:r>
                            <w:r w:rsidRPr="00014330">
                              <w:rPr>
                                <w:b/>
                                <w:color w:val="0070C0"/>
                                <w:sz w:val="20"/>
                                <w:szCs w:val="20"/>
                                <w:u w:val="single"/>
                              </w:rPr>
                              <w:t xml:space="preserve"> (nr 2) (nr 53364/15) </w:t>
                            </w:r>
                          </w:p>
                          <w:p w14:paraId="15C2F692" w14:textId="77777777" w:rsidR="00CD06C5" w:rsidRPr="005F15F0" w:rsidRDefault="00CD06C5" w:rsidP="00CD06C5">
                            <w:pPr>
                              <w:spacing w:after="240"/>
                              <w:ind w:left="28" w:right="1191"/>
                              <w:jc w:val="both"/>
                              <w:rPr>
                                <w:bCs/>
                                <w:color w:val="A6A6A6" w:themeColor="background1" w:themeShade="A6"/>
                                <w:sz w:val="20"/>
                                <w:szCs w:val="20"/>
                              </w:rPr>
                            </w:pPr>
                            <w:r w:rsidRPr="005F15F0">
                              <w:rPr>
                                <w:bCs/>
                                <w:color w:val="A6A6A6" w:themeColor="background1" w:themeShade="A6"/>
                                <w:sz w:val="18"/>
                                <w:szCs w:val="18"/>
                              </w:rPr>
                              <w:t>Skarg</w:t>
                            </w:r>
                            <w:r>
                              <w:rPr>
                                <w:bCs/>
                                <w:color w:val="A6A6A6" w:themeColor="background1" w:themeShade="A6"/>
                                <w:sz w:val="18"/>
                                <w:szCs w:val="18"/>
                              </w:rPr>
                              <w:t>a</w:t>
                            </w:r>
                            <w:r w:rsidRPr="005F15F0">
                              <w:rPr>
                                <w:bCs/>
                                <w:color w:val="A6A6A6" w:themeColor="background1" w:themeShade="A6"/>
                                <w:sz w:val="18"/>
                                <w:szCs w:val="18"/>
                              </w:rPr>
                              <w:t xml:space="preserve"> zakom</w:t>
                            </w:r>
                            <w:r>
                              <w:rPr>
                                <w:bCs/>
                                <w:color w:val="A6A6A6" w:themeColor="background1" w:themeShade="A6"/>
                                <w:sz w:val="18"/>
                                <w:szCs w:val="18"/>
                              </w:rPr>
                              <w:t>u</w:t>
                            </w:r>
                            <w:r w:rsidRPr="005F15F0">
                              <w:rPr>
                                <w:bCs/>
                                <w:color w:val="A6A6A6" w:themeColor="background1" w:themeShade="A6"/>
                                <w:sz w:val="18"/>
                                <w:szCs w:val="18"/>
                              </w:rPr>
                              <w:t>nikowan</w:t>
                            </w:r>
                            <w:r>
                              <w:rPr>
                                <w:bCs/>
                                <w:color w:val="A6A6A6" w:themeColor="background1" w:themeShade="A6"/>
                                <w:sz w:val="18"/>
                                <w:szCs w:val="18"/>
                              </w:rPr>
                              <w:t>a</w:t>
                            </w:r>
                            <w:r w:rsidRPr="005F15F0">
                              <w:rPr>
                                <w:bCs/>
                                <w:color w:val="A6A6A6" w:themeColor="background1" w:themeShade="A6"/>
                                <w:sz w:val="18"/>
                                <w:szCs w:val="18"/>
                              </w:rPr>
                              <w:t xml:space="preserve"> Rządowi </w:t>
                            </w:r>
                            <w:r>
                              <w:rPr>
                                <w:bCs/>
                                <w:color w:val="A6A6A6" w:themeColor="background1" w:themeShade="A6"/>
                                <w:sz w:val="18"/>
                                <w:szCs w:val="18"/>
                              </w:rPr>
                              <w:t xml:space="preserve">Węgier w dniu 4 września </w:t>
                            </w:r>
                            <w:r w:rsidRPr="005F15F0">
                              <w:rPr>
                                <w:bCs/>
                                <w:color w:val="A6A6A6" w:themeColor="background1" w:themeShade="A6"/>
                                <w:sz w:val="18"/>
                                <w:szCs w:val="18"/>
                              </w:rPr>
                              <w:t>201</w:t>
                            </w:r>
                            <w:r>
                              <w:rPr>
                                <w:bCs/>
                                <w:color w:val="A6A6A6" w:themeColor="background1" w:themeShade="A6"/>
                                <w:sz w:val="18"/>
                                <w:szCs w:val="18"/>
                              </w:rPr>
                              <w:t>9</w:t>
                            </w:r>
                            <w:r w:rsidRPr="005F15F0">
                              <w:rPr>
                                <w:bCs/>
                                <w:color w:val="A6A6A6" w:themeColor="background1" w:themeShade="A6"/>
                                <w:sz w:val="20"/>
                                <w:szCs w:val="20"/>
                              </w:rPr>
                              <w:t xml:space="preserve"> r.</w:t>
                            </w:r>
                          </w:p>
                          <w:p w14:paraId="737A040C" w14:textId="0A49AD81" w:rsidR="00CD06C5" w:rsidRPr="00A66AEC" w:rsidRDefault="00CD06C5" w:rsidP="00CD06C5">
                            <w:pPr>
                              <w:jc w:val="both"/>
                              <w:rPr>
                                <w:b/>
                                <w:color w:val="5F5F5F"/>
                                <w:sz w:val="20"/>
                                <w:szCs w:val="20"/>
                              </w:rPr>
                            </w:pPr>
                            <w:r w:rsidRPr="00EC3E8F">
                              <w:rPr>
                                <w:bCs/>
                                <w:i/>
                                <w:iCs/>
                                <w:color w:val="5F5F5F"/>
                                <w:sz w:val="20"/>
                                <w:szCs w:val="20"/>
                              </w:rPr>
                              <w:t>Podobne skargi w toku</w:t>
                            </w:r>
                            <w:r w:rsidRPr="003E38D2">
                              <w:rPr>
                                <w:bCs/>
                                <w:color w:val="5F5F5F"/>
                                <w:sz w:val="20"/>
                                <w:szCs w:val="20"/>
                              </w:rPr>
                              <w:t>:</w:t>
                            </w:r>
                            <w:r w:rsidRPr="005F15F0">
                              <w:rPr>
                                <w:b/>
                                <w:color w:val="5F5F5F"/>
                                <w:sz w:val="20"/>
                                <w:szCs w:val="20"/>
                              </w:rPr>
                              <w:t xml:space="preserve"> </w:t>
                            </w:r>
                            <w:r w:rsidRPr="005F15F0">
                              <w:rPr>
                                <w:b/>
                                <w:color w:val="0070C0"/>
                                <w:sz w:val="20"/>
                                <w:szCs w:val="20"/>
                                <w:u w:val="single"/>
                              </w:rPr>
                              <w:t xml:space="preserve">Varga </w:t>
                            </w:r>
                            <w:r>
                              <w:rPr>
                                <w:b/>
                                <w:color w:val="0070C0"/>
                                <w:sz w:val="20"/>
                                <w:szCs w:val="20"/>
                                <w:u w:val="single"/>
                              </w:rPr>
                              <w:t xml:space="preserve">przeciwko </w:t>
                            </w:r>
                            <w:r w:rsidR="00300A1E">
                              <w:rPr>
                                <w:b/>
                                <w:color w:val="0070C0"/>
                                <w:sz w:val="20"/>
                                <w:szCs w:val="20"/>
                                <w:u w:val="single"/>
                              </w:rPr>
                              <w:t>Węgrom</w:t>
                            </w:r>
                            <w:r>
                              <w:rPr>
                                <w:b/>
                                <w:color w:val="0070C0"/>
                                <w:sz w:val="20"/>
                                <w:szCs w:val="20"/>
                                <w:u w:val="single"/>
                              </w:rPr>
                              <w:t xml:space="preserve"> </w:t>
                            </w:r>
                            <w:r w:rsidRPr="005F15F0">
                              <w:rPr>
                                <w:b/>
                                <w:color w:val="0070C0"/>
                                <w:sz w:val="20"/>
                                <w:szCs w:val="20"/>
                                <w:u w:val="single"/>
                              </w:rPr>
                              <w:t>(n</w:t>
                            </w:r>
                            <w:r>
                              <w:rPr>
                                <w:b/>
                                <w:color w:val="0070C0"/>
                                <w:sz w:val="20"/>
                                <w:szCs w:val="20"/>
                                <w:u w:val="single"/>
                              </w:rPr>
                              <w:t xml:space="preserve">r </w:t>
                            </w:r>
                            <w:r w:rsidRPr="005F15F0">
                              <w:rPr>
                                <w:b/>
                                <w:color w:val="0070C0"/>
                                <w:sz w:val="20"/>
                                <w:szCs w:val="20"/>
                                <w:u w:val="single"/>
                              </w:rPr>
                              <w:t>39734/15)</w:t>
                            </w:r>
                            <w:r w:rsidRPr="000C0368">
                              <w:rPr>
                                <w:b/>
                                <w:color w:val="0070C0"/>
                                <w:sz w:val="20"/>
                                <w:szCs w:val="20"/>
                              </w:rPr>
                              <w:t xml:space="preserve"> </w:t>
                            </w:r>
                            <w:r>
                              <w:rPr>
                                <w:b/>
                                <w:color w:val="0070C0"/>
                                <w:sz w:val="20"/>
                                <w:szCs w:val="20"/>
                              </w:rPr>
                              <w:t xml:space="preserve">i </w:t>
                            </w:r>
                            <w:r w:rsidRPr="0021427C">
                              <w:rPr>
                                <w:b/>
                                <w:color w:val="0070C0"/>
                                <w:sz w:val="20"/>
                                <w:szCs w:val="20"/>
                                <w:u w:val="single"/>
                              </w:rPr>
                              <w:t>Kruchió przeciwko Węgrom (nr 43444/15)</w:t>
                            </w:r>
                            <w:r w:rsidRPr="005F15F0">
                              <w:rPr>
                                <w:b/>
                                <w:color w:val="5F5F5F"/>
                                <w:sz w:val="20"/>
                                <w:szCs w:val="20"/>
                              </w:rPr>
                              <w:t>,</w:t>
                            </w:r>
                            <w:r>
                              <w:rPr>
                                <w:b/>
                                <w:color w:val="5F5F5F"/>
                                <w:sz w:val="20"/>
                                <w:szCs w:val="20"/>
                              </w:rPr>
                              <w:t xml:space="preserve"> </w:t>
                            </w:r>
                            <w:r w:rsidRPr="00A66AEC">
                              <w:rPr>
                                <w:bCs/>
                                <w:color w:val="A6A6A6" w:themeColor="background1" w:themeShade="A6"/>
                                <w:sz w:val="18"/>
                                <w:szCs w:val="18"/>
                              </w:rPr>
                              <w:t xml:space="preserve">zakomunikowane Rządowi Węgier w dniu 8 grudnia </w:t>
                            </w:r>
                            <w:r>
                              <w:rPr>
                                <w:bCs/>
                                <w:color w:val="A6A6A6" w:themeColor="background1" w:themeShade="A6"/>
                                <w:sz w:val="18"/>
                                <w:szCs w:val="18"/>
                              </w:rPr>
                              <w:br/>
                            </w:r>
                            <w:r w:rsidRPr="00A66AEC">
                              <w:rPr>
                                <w:bCs/>
                                <w:color w:val="A6A6A6" w:themeColor="background1" w:themeShade="A6"/>
                                <w:sz w:val="18"/>
                                <w:szCs w:val="18"/>
                              </w:rPr>
                              <w:t>2017</w:t>
                            </w:r>
                            <w:r w:rsidRPr="00A66AEC">
                              <w:rPr>
                                <w:bCs/>
                                <w:color w:val="A6A6A6" w:themeColor="background1" w:themeShade="A6"/>
                                <w:sz w:val="20"/>
                                <w:szCs w:val="20"/>
                              </w:rPr>
                              <w:t xml:space="preserve"> r.</w:t>
                            </w:r>
                            <w:r w:rsidRPr="00A66AEC">
                              <w:rPr>
                                <w:bCs/>
                                <w:color w:val="5F5F5F"/>
                                <w:sz w:val="20"/>
                                <w:szCs w:val="20"/>
                              </w:rPr>
                              <w:t>;</w:t>
                            </w:r>
                            <w:r>
                              <w:rPr>
                                <w:bCs/>
                                <w:color w:val="5F5F5F"/>
                                <w:sz w:val="20"/>
                                <w:szCs w:val="20"/>
                              </w:rPr>
                              <w:t xml:space="preserve"> </w:t>
                            </w:r>
                            <w:r w:rsidRPr="000C0368">
                              <w:rPr>
                                <w:b/>
                                <w:color w:val="0070C0"/>
                                <w:sz w:val="20"/>
                                <w:szCs w:val="20"/>
                                <w:u w:val="single"/>
                              </w:rPr>
                              <w:t>Bancsók przeciwko Węgrom</w:t>
                            </w:r>
                            <w:r>
                              <w:rPr>
                                <w:b/>
                                <w:color w:val="0070C0"/>
                                <w:sz w:val="20"/>
                                <w:szCs w:val="20"/>
                                <w:u w:val="single"/>
                              </w:rPr>
                              <w:t xml:space="preserve"> </w:t>
                            </w:r>
                            <w:r w:rsidRPr="000C0368">
                              <w:rPr>
                                <w:b/>
                                <w:color w:val="0070C0"/>
                                <w:sz w:val="20"/>
                                <w:szCs w:val="20"/>
                                <w:u w:val="single"/>
                              </w:rPr>
                              <w:t>(nr 52374/15)</w:t>
                            </w:r>
                            <w:r w:rsidRPr="000C0368">
                              <w:rPr>
                                <w:bCs/>
                                <w:color w:val="5F5F5F"/>
                                <w:sz w:val="20"/>
                                <w:szCs w:val="20"/>
                              </w:rPr>
                              <w:t xml:space="preserve"> i </w:t>
                            </w:r>
                            <w:r w:rsidRPr="0021427C">
                              <w:rPr>
                                <w:b/>
                                <w:color w:val="0070C0"/>
                                <w:sz w:val="20"/>
                                <w:szCs w:val="20"/>
                                <w:u w:val="single"/>
                              </w:rPr>
                              <w:t>Lehóczki przeciwko Węgrom (nr 53441/15)</w:t>
                            </w:r>
                            <w:r w:rsidRPr="0021427C">
                              <w:rPr>
                                <w:b/>
                                <w:color w:val="002060"/>
                                <w:sz w:val="20"/>
                                <w:szCs w:val="20"/>
                              </w:rPr>
                              <w:t>,</w:t>
                            </w:r>
                            <w:r w:rsidRPr="00A66AEC">
                              <w:rPr>
                                <w:b/>
                                <w:color w:val="5F5F5F"/>
                                <w:sz w:val="20"/>
                                <w:szCs w:val="20"/>
                              </w:rPr>
                              <w:t xml:space="preserve"> </w:t>
                            </w:r>
                            <w:r w:rsidRPr="00A66AEC">
                              <w:rPr>
                                <w:bCs/>
                                <w:color w:val="A6A6A6" w:themeColor="background1" w:themeShade="A6"/>
                                <w:sz w:val="18"/>
                                <w:szCs w:val="18"/>
                              </w:rPr>
                              <w:t xml:space="preserve">zakomunikowane Rządowi Węgier w dniu 13 marca 2018 </w:t>
                            </w:r>
                            <w:r w:rsidRPr="00A66AEC">
                              <w:rPr>
                                <w:bCs/>
                                <w:color w:val="A6A6A6" w:themeColor="background1" w:themeShade="A6"/>
                                <w:sz w:val="20"/>
                                <w:szCs w:val="20"/>
                              </w:rPr>
                              <w:t>r.</w:t>
                            </w:r>
                            <w:r w:rsidRPr="00A66AEC">
                              <w:rPr>
                                <w:bCs/>
                                <w:color w:val="5F5F5F"/>
                                <w:sz w:val="20"/>
                                <w:szCs w:val="20"/>
                              </w:rPr>
                              <w:t>;</w:t>
                            </w:r>
                            <w:r w:rsidRPr="00A66AEC">
                              <w:rPr>
                                <w:b/>
                                <w:color w:val="5F5F5F"/>
                                <w:sz w:val="20"/>
                                <w:szCs w:val="20"/>
                              </w:rPr>
                              <w:t xml:space="preserve"> </w:t>
                            </w:r>
                            <w:r w:rsidRPr="00A66AEC">
                              <w:rPr>
                                <w:b/>
                                <w:color w:val="0070C0"/>
                                <w:sz w:val="20"/>
                                <w:szCs w:val="20"/>
                                <w:u w:val="single"/>
                              </w:rPr>
                              <w:t xml:space="preserve">Horváth </w:t>
                            </w:r>
                            <w:r>
                              <w:rPr>
                                <w:b/>
                                <w:color w:val="0070C0"/>
                                <w:sz w:val="20"/>
                                <w:szCs w:val="20"/>
                                <w:u w:val="single"/>
                              </w:rPr>
                              <w:t xml:space="preserve">przeciwko Węgrom </w:t>
                            </w:r>
                            <w:r w:rsidRPr="00A66AEC">
                              <w:rPr>
                                <w:b/>
                                <w:color w:val="0070C0"/>
                                <w:sz w:val="20"/>
                                <w:szCs w:val="20"/>
                                <w:u w:val="single"/>
                              </w:rPr>
                              <w:t>(n</w:t>
                            </w:r>
                            <w:r>
                              <w:rPr>
                                <w:b/>
                                <w:color w:val="0070C0"/>
                                <w:sz w:val="20"/>
                                <w:szCs w:val="20"/>
                                <w:u w:val="single"/>
                              </w:rPr>
                              <w:t>r</w:t>
                            </w:r>
                            <w:r w:rsidRPr="00A66AEC">
                              <w:rPr>
                                <w:b/>
                                <w:color w:val="0070C0"/>
                                <w:sz w:val="20"/>
                                <w:szCs w:val="20"/>
                                <w:u w:val="single"/>
                              </w:rPr>
                              <w:t xml:space="preserve"> 12143/16)</w:t>
                            </w:r>
                            <w:r w:rsidRPr="00A66AEC">
                              <w:rPr>
                                <w:b/>
                                <w:color w:val="5F5F5F"/>
                                <w:sz w:val="20"/>
                                <w:szCs w:val="20"/>
                              </w:rPr>
                              <w:t xml:space="preserve">, </w:t>
                            </w:r>
                            <w:r w:rsidRPr="00A66AEC">
                              <w:rPr>
                                <w:bCs/>
                                <w:color w:val="A6A6A6" w:themeColor="background1" w:themeShade="A6"/>
                                <w:sz w:val="18"/>
                                <w:szCs w:val="18"/>
                              </w:rPr>
                              <w:t>zakomunikowan</w:t>
                            </w:r>
                            <w:r>
                              <w:rPr>
                                <w:bCs/>
                                <w:color w:val="A6A6A6" w:themeColor="background1" w:themeShade="A6"/>
                                <w:sz w:val="18"/>
                                <w:szCs w:val="18"/>
                              </w:rPr>
                              <w:t>a</w:t>
                            </w:r>
                            <w:r w:rsidRPr="00A66AEC">
                              <w:rPr>
                                <w:bCs/>
                                <w:color w:val="A6A6A6" w:themeColor="background1" w:themeShade="A6"/>
                                <w:sz w:val="18"/>
                                <w:szCs w:val="18"/>
                              </w:rPr>
                              <w:t xml:space="preserve"> Rządowi Węgier w dniu 1</w:t>
                            </w:r>
                            <w:r>
                              <w:rPr>
                                <w:bCs/>
                                <w:color w:val="A6A6A6" w:themeColor="background1" w:themeShade="A6"/>
                                <w:sz w:val="18"/>
                                <w:szCs w:val="18"/>
                              </w:rPr>
                              <w:t xml:space="preserve">2 maja </w:t>
                            </w:r>
                            <w:r>
                              <w:rPr>
                                <w:bCs/>
                                <w:color w:val="A6A6A6" w:themeColor="background1" w:themeShade="A6"/>
                                <w:sz w:val="18"/>
                                <w:szCs w:val="18"/>
                              </w:rPr>
                              <w:br/>
                            </w:r>
                            <w:r w:rsidRPr="00A66AEC">
                              <w:rPr>
                                <w:bCs/>
                                <w:color w:val="A6A6A6" w:themeColor="background1" w:themeShade="A6"/>
                                <w:sz w:val="18"/>
                                <w:szCs w:val="18"/>
                              </w:rPr>
                              <w:t xml:space="preserve">2018 </w:t>
                            </w:r>
                            <w:r w:rsidRPr="00A66AEC">
                              <w:rPr>
                                <w:bCs/>
                                <w:color w:val="A6A6A6" w:themeColor="background1" w:themeShade="A6"/>
                                <w:sz w:val="20"/>
                                <w:szCs w:val="20"/>
                              </w:rPr>
                              <w:t>r.</w:t>
                            </w:r>
                            <w:r w:rsidRPr="00A66AEC">
                              <w:rPr>
                                <w:bCs/>
                                <w:color w:val="5F5F5F"/>
                                <w:sz w:val="20"/>
                                <w:szCs w:val="20"/>
                              </w:rPr>
                              <w:t>;</w:t>
                            </w:r>
                            <w:r w:rsidRPr="00A66AEC">
                              <w:rPr>
                                <w:b/>
                                <w:color w:val="5F5F5F"/>
                                <w:sz w:val="20"/>
                                <w:szCs w:val="20"/>
                              </w:rPr>
                              <w:t xml:space="preserve"> </w:t>
                            </w:r>
                            <w:r w:rsidRPr="00A66AEC">
                              <w:rPr>
                                <w:b/>
                                <w:color w:val="31849B" w:themeColor="accent5" w:themeShade="BF"/>
                                <w:sz w:val="20"/>
                                <w:szCs w:val="20"/>
                                <w:u w:val="single"/>
                              </w:rPr>
                              <w:t xml:space="preserve">Á.K. </w:t>
                            </w:r>
                            <w:r>
                              <w:rPr>
                                <w:b/>
                                <w:color w:val="31849B" w:themeColor="accent5" w:themeShade="BF"/>
                                <w:sz w:val="20"/>
                                <w:szCs w:val="20"/>
                                <w:u w:val="single"/>
                              </w:rPr>
                              <w:t xml:space="preserve">i </w:t>
                            </w:r>
                            <w:r w:rsidRPr="00A66AEC">
                              <w:rPr>
                                <w:b/>
                                <w:color w:val="31849B" w:themeColor="accent5" w:themeShade="BF"/>
                                <w:sz w:val="20"/>
                                <w:szCs w:val="20"/>
                                <w:u w:val="single"/>
                              </w:rPr>
                              <w:t xml:space="preserve">I.K. </w:t>
                            </w:r>
                            <w:r>
                              <w:rPr>
                                <w:b/>
                                <w:color w:val="31849B" w:themeColor="accent5" w:themeShade="BF"/>
                                <w:sz w:val="20"/>
                                <w:szCs w:val="20"/>
                                <w:u w:val="single"/>
                              </w:rPr>
                              <w:t xml:space="preserve">przeciwko </w:t>
                            </w:r>
                            <w:r w:rsidR="00300A1E">
                              <w:rPr>
                                <w:b/>
                                <w:color w:val="31849B" w:themeColor="accent5" w:themeShade="BF"/>
                                <w:sz w:val="20"/>
                                <w:szCs w:val="20"/>
                                <w:u w:val="single"/>
                              </w:rPr>
                              <w:t>Węgrom</w:t>
                            </w:r>
                            <w:r>
                              <w:rPr>
                                <w:b/>
                                <w:color w:val="31849B" w:themeColor="accent5" w:themeShade="BF"/>
                                <w:sz w:val="20"/>
                                <w:szCs w:val="20"/>
                                <w:u w:val="single"/>
                              </w:rPr>
                              <w:t xml:space="preserve"> </w:t>
                            </w:r>
                            <w:r w:rsidRPr="000C0368">
                              <w:rPr>
                                <w:b/>
                                <w:color w:val="0070C0"/>
                                <w:sz w:val="20"/>
                                <w:szCs w:val="20"/>
                              </w:rPr>
                              <w:t>(nr 35530/16),</w:t>
                            </w:r>
                            <w:r w:rsidRPr="00A66AEC">
                              <w:rPr>
                                <w:b/>
                                <w:color w:val="5F5F5F"/>
                                <w:sz w:val="20"/>
                                <w:szCs w:val="20"/>
                              </w:rPr>
                              <w:t xml:space="preserve"> </w:t>
                            </w:r>
                            <w:r w:rsidRPr="0021427C">
                              <w:rPr>
                                <w:bCs/>
                                <w:color w:val="A6A6A6" w:themeColor="background1" w:themeShade="A6"/>
                                <w:sz w:val="18"/>
                                <w:szCs w:val="18"/>
                              </w:rPr>
                              <w:t>zakomunikowan</w:t>
                            </w:r>
                            <w:r>
                              <w:rPr>
                                <w:bCs/>
                                <w:color w:val="A6A6A6" w:themeColor="background1" w:themeShade="A6"/>
                                <w:sz w:val="18"/>
                                <w:szCs w:val="18"/>
                              </w:rPr>
                              <w:t>a</w:t>
                            </w:r>
                            <w:r w:rsidRPr="0021427C">
                              <w:rPr>
                                <w:bCs/>
                                <w:color w:val="A6A6A6" w:themeColor="background1" w:themeShade="A6"/>
                                <w:sz w:val="18"/>
                                <w:szCs w:val="18"/>
                              </w:rPr>
                              <w:t xml:space="preserve"> Rządowi Węgierskiemu </w:t>
                            </w:r>
                            <w:r>
                              <w:rPr>
                                <w:bCs/>
                                <w:color w:val="A6A6A6" w:themeColor="background1" w:themeShade="A6"/>
                                <w:sz w:val="18"/>
                                <w:szCs w:val="18"/>
                              </w:rPr>
                              <w:t xml:space="preserve">w dniu </w:t>
                            </w:r>
                            <w:r w:rsidRPr="0021427C">
                              <w:rPr>
                                <w:bCs/>
                                <w:color w:val="A6A6A6" w:themeColor="background1" w:themeShade="A6"/>
                                <w:sz w:val="18"/>
                                <w:szCs w:val="18"/>
                              </w:rPr>
                              <w:t>14 maja 2018 r.</w:t>
                            </w:r>
                            <w:r w:rsidRPr="0021427C">
                              <w:rPr>
                                <w:bCs/>
                                <w:color w:val="5F5F5F"/>
                                <w:sz w:val="20"/>
                                <w:szCs w:val="20"/>
                              </w:rPr>
                              <w:t>;</w:t>
                            </w:r>
                            <w:r w:rsidRPr="00A66AEC">
                              <w:rPr>
                                <w:b/>
                                <w:color w:val="5F5F5F"/>
                                <w:sz w:val="20"/>
                                <w:szCs w:val="20"/>
                              </w:rPr>
                              <w:t xml:space="preserve"> </w:t>
                            </w:r>
                            <w:r w:rsidRPr="0021427C">
                              <w:rPr>
                                <w:b/>
                                <w:color w:val="0070C0"/>
                                <w:sz w:val="20"/>
                                <w:szCs w:val="20"/>
                                <w:u w:val="single"/>
                              </w:rPr>
                              <w:t xml:space="preserve">Rostás </w:t>
                            </w:r>
                            <w:r>
                              <w:rPr>
                                <w:b/>
                                <w:color w:val="0070C0"/>
                                <w:sz w:val="20"/>
                                <w:szCs w:val="20"/>
                                <w:u w:val="single"/>
                              </w:rPr>
                              <w:t>przeciwko</w:t>
                            </w:r>
                            <w:r w:rsidRPr="0021427C">
                              <w:rPr>
                                <w:b/>
                                <w:color w:val="0070C0"/>
                                <w:sz w:val="20"/>
                                <w:szCs w:val="20"/>
                                <w:u w:val="single"/>
                              </w:rPr>
                              <w:t xml:space="preserve"> </w:t>
                            </w:r>
                            <w:r>
                              <w:rPr>
                                <w:b/>
                                <w:color w:val="0070C0"/>
                                <w:sz w:val="20"/>
                                <w:szCs w:val="20"/>
                                <w:u w:val="single"/>
                              </w:rPr>
                              <w:t xml:space="preserve">Węgrom </w:t>
                            </w:r>
                            <w:r w:rsidRPr="0021427C">
                              <w:rPr>
                                <w:b/>
                                <w:color w:val="0070C0"/>
                                <w:sz w:val="20"/>
                                <w:szCs w:val="20"/>
                                <w:u w:val="single"/>
                              </w:rPr>
                              <w:t>(n</w:t>
                            </w:r>
                            <w:r>
                              <w:rPr>
                                <w:b/>
                                <w:color w:val="0070C0"/>
                                <w:sz w:val="20"/>
                                <w:szCs w:val="20"/>
                                <w:u w:val="single"/>
                              </w:rPr>
                              <w:t>r</w:t>
                            </w:r>
                            <w:r w:rsidRPr="0021427C">
                              <w:rPr>
                                <w:b/>
                                <w:color w:val="0070C0"/>
                                <w:sz w:val="20"/>
                                <w:szCs w:val="20"/>
                                <w:u w:val="single"/>
                              </w:rPr>
                              <w:t xml:space="preserve"> 26804/18)</w:t>
                            </w:r>
                            <w:r w:rsidRPr="00A66AEC">
                              <w:rPr>
                                <w:b/>
                                <w:color w:val="5F5F5F"/>
                                <w:sz w:val="20"/>
                                <w:szCs w:val="20"/>
                              </w:rPr>
                              <w:t xml:space="preserve">, </w:t>
                            </w:r>
                            <w:r w:rsidRPr="00EC3E8F">
                              <w:rPr>
                                <w:bCs/>
                                <w:color w:val="A6A6A6" w:themeColor="background1" w:themeShade="A6"/>
                                <w:sz w:val="18"/>
                                <w:szCs w:val="18"/>
                              </w:rPr>
                              <w:t>zakomunikowan</w:t>
                            </w:r>
                            <w:r>
                              <w:rPr>
                                <w:bCs/>
                                <w:color w:val="A6A6A6" w:themeColor="background1" w:themeShade="A6"/>
                                <w:sz w:val="18"/>
                                <w:szCs w:val="18"/>
                              </w:rPr>
                              <w:t>a</w:t>
                            </w:r>
                            <w:r w:rsidRPr="00EC3E8F">
                              <w:rPr>
                                <w:bCs/>
                                <w:color w:val="A6A6A6" w:themeColor="background1" w:themeShade="A6"/>
                                <w:sz w:val="18"/>
                                <w:szCs w:val="18"/>
                              </w:rPr>
                              <w:t xml:space="preserve"> Rządowi Węgier w dniu 13 marca 2018 </w:t>
                            </w:r>
                            <w:r w:rsidRPr="00EC3E8F">
                              <w:rPr>
                                <w:bCs/>
                                <w:color w:val="A6A6A6" w:themeColor="background1" w:themeShade="A6"/>
                                <w:sz w:val="20"/>
                                <w:szCs w:val="20"/>
                              </w:rPr>
                              <w:t>r.</w:t>
                            </w:r>
                            <w:r>
                              <w:rPr>
                                <w:bCs/>
                                <w:color w:val="A6A6A6" w:themeColor="background1" w:themeShade="A6"/>
                                <w:sz w:val="20"/>
                                <w:szCs w:val="20"/>
                              </w:rPr>
                              <w:t>)</w:t>
                            </w:r>
                          </w:p>
                          <w:p w14:paraId="2AFA255D" w14:textId="77777777" w:rsidR="00CD06C5" w:rsidRPr="00A66AEC" w:rsidRDefault="00CD06C5" w:rsidP="00CD06C5">
                            <w:pPr>
                              <w:ind w:left="28" w:right="1191"/>
                              <w:rPr>
                                <w:b/>
                                <w:color w:val="5F5F5F"/>
                                <w:sz w:val="20"/>
                              </w:rPr>
                            </w:pPr>
                          </w:p>
                          <w:p w14:paraId="597834EE" w14:textId="77777777" w:rsidR="00CD06C5" w:rsidRPr="00A66AEC" w:rsidRDefault="00CD06C5" w:rsidP="00CD06C5">
                            <w:pPr>
                              <w:ind w:left="28" w:right="1191"/>
                              <w:rPr>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7" type="#_x0000_t202" style="position:absolute;left:0;text-align:left;margin-left:62.6pt;margin-top:18.45pt;width:470.8pt;height:204.6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" fillcolor="#f3f3f3" stroked="f">
                <v:textbox inset="0,0,0,0">
                  <w:txbxContent>
                    <w:p w14:paraId="6939966F" w14:textId="77777777" w:rsidR="00CD06C5" w:rsidRPr="00CD7973" w:rsidRDefault="00CD06C5" w:rsidP="00CD06C5">
                      <w:pPr>
                        <w:spacing w:after="240"/>
                        <w:ind w:right="1191"/>
                        <w:rPr>
                          <w:b/>
                          <w:color w:val="5F5F5F"/>
                          <w:sz w:val="20"/>
                          <w:lang w:val="en-GB"/>
                        </w:rPr>
                      </w:pPr>
                      <w:r w:rsidRPr="00CD7973">
                        <w:rPr>
                          <w:b/>
                          <w:color w:val="5F5F5F"/>
                          <w:sz w:val="20"/>
                          <w:lang w:val="en-GB"/>
                        </w:rPr>
                        <w:t>Skargi oczekujące na rozpatrzenie</w:t>
                      </w:r>
                    </w:p>
                    <w:p w14:paraId="614D08FF" w14:textId="261867EA" w:rsidR="00CD06C5" w:rsidRPr="002D4778" w:rsidRDefault="00CD06C5" w:rsidP="00CD06C5">
                      <w:pPr>
                        <w:ind w:left="28" w:right="227"/>
                        <w:jc w:val="both"/>
                        <w:rPr>
                          <w:b/>
                          <w:color w:val="5F5F5F"/>
                          <w:sz w:val="20"/>
                          <w:szCs w:val="20"/>
                        </w:rPr>
                      </w:pPr>
                      <w:r w:rsidRPr="002D4778">
                        <w:rPr>
                          <w:b/>
                          <w:color w:val="0070C0"/>
                          <w:sz w:val="20"/>
                          <w:szCs w:val="20"/>
                          <w:u w:val="single"/>
                        </w:rPr>
                        <w:t xml:space="preserve">Canword </w:t>
                      </w:r>
                      <w:r w:rsidR="002D4778" w:rsidRPr="002D4778">
                        <w:rPr>
                          <w:b/>
                          <w:color w:val="0070C0"/>
                          <w:sz w:val="20"/>
                          <w:szCs w:val="20"/>
                          <w:u w:val="single"/>
                        </w:rPr>
                        <w:t>przeciwko</w:t>
                      </w:r>
                      <w:r w:rsidRPr="002D4778">
                        <w:rPr>
                          <w:b/>
                          <w:color w:val="0070C0"/>
                          <w:sz w:val="20"/>
                          <w:szCs w:val="20"/>
                          <w:u w:val="single"/>
                        </w:rPr>
                        <w:t xml:space="preserve"> </w:t>
                      </w:r>
                      <w:r w:rsidR="002D4778" w:rsidRPr="002D4778">
                        <w:rPr>
                          <w:b/>
                          <w:color w:val="0070C0"/>
                          <w:sz w:val="20"/>
                          <w:szCs w:val="20"/>
                          <w:u w:val="single"/>
                        </w:rPr>
                        <w:t>Niderla</w:t>
                      </w:r>
                      <w:r w:rsidR="00300A1E">
                        <w:rPr>
                          <w:b/>
                          <w:color w:val="0070C0"/>
                          <w:sz w:val="20"/>
                          <w:szCs w:val="20"/>
                          <w:u w:val="single"/>
                        </w:rPr>
                        <w:t>n</w:t>
                      </w:r>
                      <w:r w:rsidR="002D4778" w:rsidRPr="002D4778">
                        <w:rPr>
                          <w:b/>
                          <w:color w:val="0070C0"/>
                          <w:sz w:val="20"/>
                          <w:szCs w:val="20"/>
                          <w:u w:val="single"/>
                        </w:rPr>
                        <w:t>dom</w:t>
                      </w:r>
                      <w:r w:rsidRPr="002D4778">
                        <w:rPr>
                          <w:b/>
                          <w:color w:val="0070C0"/>
                          <w:sz w:val="20"/>
                          <w:szCs w:val="20"/>
                          <w:u w:val="single"/>
                        </w:rPr>
                        <w:t xml:space="preserve"> (nr 21464/15) </w:t>
                      </w:r>
                      <w:r w:rsidR="002D4778" w:rsidRPr="002D4778">
                        <w:rPr>
                          <w:b/>
                          <w:color w:val="0070C0"/>
                          <w:sz w:val="20"/>
                          <w:szCs w:val="20"/>
                          <w:u w:val="single"/>
                        </w:rPr>
                        <w:t xml:space="preserve">oraz </w:t>
                      </w:r>
                      <w:r w:rsidRPr="002D4778">
                        <w:rPr>
                          <w:b/>
                          <w:color w:val="0070C0"/>
                          <w:sz w:val="20"/>
                          <w:szCs w:val="20"/>
                          <w:u w:val="single"/>
                        </w:rPr>
                        <w:t xml:space="preserve">Lake </w:t>
                      </w:r>
                      <w:r w:rsidR="002D4778" w:rsidRPr="002D4778">
                        <w:rPr>
                          <w:b/>
                          <w:color w:val="0070C0"/>
                          <w:sz w:val="20"/>
                          <w:szCs w:val="20"/>
                          <w:u w:val="single"/>
                        </w:rPr>
                        <w:t>przeciwko</w:t>
                      </w:r>
                      <w:r w:rsidR="002D4778">
                        <w:rPr>
                          <w:b/>
                          <w:color w:val="0070C0"/>
                          <w:sz w:val="20"/>
                          <w:szCs w:val="20"/>
                          <w:u w:val="single"/>
                        </w:rPr>
                        <w:t xml:space="preserve"> Niderlandom</w:t>
                      </w:r>
                      <w:r w:rsidRPr="002D4778">
                        <w:rPr>
                          <w:b/>
                          <w:color w:val="5F5F5F"/>
                          <w:sz w:val="20"/>
                          <w:szCs w:val="20"/>
                        </w:rPr>
                        <w:t xml:space="preserve"> </w:t>
                      </w:r>
                    </w:p>
                    <w:p w14:paraId="635F1552" w14:textId="77777777" w:rsidR="00CD06C5" w:rsidRPr="005F15F0" w:rsidRDefault="00CD06C5" w:rsidP="00CD06C5">
                      <w:pPr>
                        <w:spacing w:after="240"/>
                        <w:ind w:left="28" w:right="1191"/>
                        <w:jc w:val="both"/>
                        <w:rPr>
                          <w:bCs/>
                          <w:color w:val="A6A6A6" w:themeColor="background1" w:themeShade="A6"/>
                          <w:sz w:val="20"/>
                          <w:szCs w:val="20"/>
                        </w:rPr>
                      </w:pPr>
                      <w:r w:rsidRPr="005F15F0">
                        <w:rPr>
                          <w:bCs/>
                          <w:color w:val="A6A6A6" w:themeColor="background1" w:themeShade="A6"/>
                          <w:sz w:val="18"/>
                          <w:szCs w:val="18"/>
                        </w:rPr>
                        <w:t>Skargi zakom</w:t>
                      </w:r>
                      <w:r>
                        <w:rPr>
                          <w:bCs/>
                          <w:color w:val="A6A6A6" w:themeColor="background1" w:themeShade="A6"/>
                          <w:sz w:val="18"/>
                          <w:szCs w:val="18"/>
                        </w:rPr>
                        <w:t>u</w:t>
                      </w:r>
                      <w:r w:rsidRPr="005F15F0">
                        <w:rPr>
                          <w:bCs/>
                          <w:color w:val="A6A6A6" w:themeColor="background1" w:themeShade="A6"/>
                          <w:sz w:val="18"/>
                          <w:szCs w:val="18"/>
                        </w:rPr>
                        <w:t xml:space="preserve">nikowane Rządowi Niderlandów </w:t>
                      </w:r>
                      <w:r>
                        <w:rPr>
                          <w:bCs/>
                          <w:color w:val="A6A6A6" w:themeColor="background1" w:themeShade="A6"/>
                          <w:sz w:val="18"/>
                          <w:szCs w:val="18"/>
                        </w:rPr>
                        <w:t xml:space="preserve">w dniu </w:t>
                      </w:r>
                      <w:r w:rsidRPr="005F15F0">
                        <w:rPr>
                          <w:bCs/>
                          <w:color w:val="A6A6A6" w:themeColor="background1" w:themeShade="A6"/>
                          <w:sz w:val="18"/>
                          <w:szCs w:val="18"/>
                        </w:rPr>
                        <w:t>20 października 2017</w:t>
                      </w:r>
                      <w:r w:rsidRPr="005F15F0">
                        <w:rPr>
                          <w:bCs/>
                          <w:color w:val="A6A6A6" w:themeColor="background1" w:themeShade="A6"/>
                          <w:sz w:val="20"/>
                          <w:szCs w:val="20"/>
                        </w:rPr>
                        <w:t xml:space="preserve"> r.</w:t>
                      </w:r>
                    </w:p>
                    <w:p w14:paraId="51C1E033" w14:textId="00D47967" w:rsidR="00CD06C5" w:rsidRPr="00014330" w:rsidRDefault="00CD06C5" w:rsidP="00CD06C5">
                      <w:pPr>
                        <w:ind w:left="28" w:right="1191"/>
                        <w:jc w:val="both"/>
                        <w:rPr>
                          <w:b/>
                          <w:color w:val="5F5F5F"/>
                          <w:sz w:val="20"/>
                          <w:szCs w:val="20"/>
                          <w:u w:val="single"/>
                        </w:rPr>
                      </w:pPr>
                      <w:r w:rsidRPr="00014330">
                        <w:rPr>
                          <w:b/>
                          <w:color w:val="0070C0"/>
                          <w:sz w:val="20"/>
                          <w:szCs w:val="20"/>
                          <w:u w:val="single"/>
                        </w:rPr>
                        <w:t xml:space="preserve">László Magyar </w:t>
                      </w:r>
                      <w:r w:rsidR="002D4778">
                        <w:rPr>
                          <w:b/>
                          <w:color w:val="0070C0"/>
                          <w:sz w:val="20"/>
                          <w:szCs w:val="20"/>
                          <w:u w:val="single"/>
                        </w:rPr>
                        <w:t>przeciwko</w:t>
                      </w:r>
                      <w:r w:rsidRPr="00014330">
                        <w:rPr>
                          <w:b/>
                          <w:color w:val="0070C0"/>
                          <w:sz w:val="20"/>
                          <w:szCs w:val="20"/>
                          <w:u w:val="single"/>
                        </w:rPr>
                        <w:t xml:space="preserve"> </w:t>
                      </w:r>
                      <w:r w:rsidR="002D4778">
                        <w:rPr>
                          <w:b/>
                          <w:color w:val="0070C0"/>
                          <w:sz w:val="20"/>
                          <w:szCs w:val="20"/>
                          <w:u w:val="single"/>
                        </w:rPr>
                        <w:t>Węgrom</w:t>
                      </w:r>
                      <w:r w:rsidRPr="00014330">
                        <w:rPr>
                          <w:b/>
                          <w:color w:val="0070C0"/>
                          <w:sz w:val="20"/>
                          <w:szCs w:val="20"/>
                          <w:u w:val="single"/>
                        </w:rPr>
                        <w:t xml:space="preserve"> (nr 2) (nr 53364/15) </w:t>
                      </w:r>
                    </w:p>
                    <w:p w14:paraId="15C2F692" w14:textId="77777777" w:rsidR="00CD06C5" w:rsidRPr="005F15F0" w:rsidRDefault="00CD06C5" w:rsidP="00CD06C5">
                      <w:pPr>
                        <w:spacing w:after="240"/>
                        <w:ind w:left="28" w:right="1191"/>
                        <w:jc w:val="both"/>
                        <w:rPr>
                          <w:bCs/>
                          <w:color w:val="A6A6A6" w:themeColor="background1" w:themeShade="A6"/>
                          <w:sz w:val="20"/>
                          <w:szCs w:val="20"/>
                        </w:rPr>
                      </w:pPr>
                      <w:r w:rsidRPr="005F15F0">
                        <w:rPr>
                          <w:bCs/>
                          <w:color w:val="A6A6A6" w:themeColor="background1" w:themeShade="A6"/>
                          <w:sz w:val="18"/>
                          <w:szCs w:val="18"/>
                        </w:rPr>
                        <w:t>Skarg</w:t>
                      </w:r>
                      <w:r>
                        <w:rPr>
                          <w:bCs/>
                          <w:color w:val="A6A6A6" w:themeColor="background1" w:themeShade="A6"/>
                          <w:sz w:val="18"/>
                          <w:szCs w:val="18"/>
                        </w:rPr>
                        <w:t>a</w:t>
                      </w:r>
                      <w:r w:rsidRPr="005F15F0">
                        <w:rPr>
                          <w:bCs/>
                          <w:color w:val="A6A6A6" w:themeColor="background1" w:themeShade="A6"/>
                          <w:sz w:val="18"/>
                          <w:szCs w:val="18"/>
                        </w:rPr>
                        <w:t xml:space="preserve"> zakom</w:t>
                      </w:r>
                      <w:r>
                        <w:rPr>
                          <w:bCs/>
                          <w:color w:val="A6A6A6" w:themeColor="background1" w:themeShade="A6"/>
                          <w:sz w:val="18"/>
                          <w:szCs w:val="18"/>
                        </w:rPr>
                        <w:t>u</w:t>
                      </w:r>
                      <w:r w:rsidRPr="005F15F0">
                        <w:rPr>
                          <w:bCs/>
                          <w:color w:val="A6A6A6" w:themeColor="background1" w:themeShade="A6"/>
                          <w:sz w:val="18"/>
                          <w:szCs w:val="18"/>
                        </w:rPr>
                        <w:t>nikowan</w:t>
                      </w:r>
                      <w:r>
                        <w:rPr>
                          <w:bCs/>
                          <w:color w:val="A6A6A6" w:themeColor="background1" w:themeShade="A6"/>
                          <w:sz w:val="18"/>
                          <w:szCs w:val="18"/>
                        </w:rPr>
                        <w:t>a</w:t>
                      </w:r>
                      <w:r w:rsidRPr="005F15F0">
                        <w:rPr>
                          <w:bCs/>
                          <w:color w:val="A6A6A6" w:themeColor="background1" w:themeShade="A6"/>
                          <w:sz w:val="18"/>
                          <w:szCs w:val="18"/>
                        </w:rPr>
                        <w:t xml:space="preserve"> Rządowi </w:t>
                      </w:r>
                      <w:r>
                        <w:rPr>
                          <w:bCs/>
                          <w:color w:val="A6A6A6" w:themeColor="background1" w:themeShade="A6"/>
                          <w:sz w:val="18"/>
                          <w:szCs w:val="18"/>
                        </w:rPr>
                        <w:t xml:space="preserve">Węgier w dniu 4 września </w:t>
                      </w:r>
                      <w:r w:rsidRPr="005F15F0">
                        <w:rPr>
                          <w:bCs/>
                          <w:color w:val="A6A6A6" w:themeColor="background1" w:themeShade="A6"/>
                          <w:sz w:val="18"/>
                          <w:szCs w:val="18"/>
                        </w:rPr>
                        <w:t>201</w:t>
                      </w:r>
                      <w:r>
                        <w:rPr>
                          <w:bCs/>
                          <w:color w:val="A6A6A6" w:themeColor="background1" w:themeShade="A6"/>
                          <w:sz w:val="18"/>
                          <w:szCs w:val="18"/>
                        </w:rPr>
                        <w:t>9</w:t>
                      </w:r>
                      <w:r w:rsidRPr="005F15F0">
                        <w:rPr>
                          <w:bCs/>
                          <w:color w:val="A6A6A6" w:themeColor="background1" w:themeShade="A6"/>
                          <w:sz w:val="20"/>
                          <w:szCs w:val="20"/>
                        </w:rPr>
                        <w:t xml:space="preserve"> r.</w:t>
                      </w:r>
                    </w:p>
                    <w:p w14:paraId="737A040C" w14:textId="0A49AD81" w:rsidR="00CD06C5" w:rsidRPr="00A66AEC" w:rsidRDefault="00CD06C5" w:rsidP="00CD06C5">
                      <w:pPr>
                        <w:jc w:val="both"/>
                        <w:rPr>
                          <w:b/>
                          <w:color w:val="5F5F5F"/>
                          <w:sz w:val="20"/>
                          <w:szCs w:val="20"/>
                        </w:rPr>
                      </w:pPr>
                      <w:r w:rsidRPr="00EC3E8F">
                        <w:rPr>
                          <w:bCs/>
                          <w:i/>
                          <w:iCs/>
                          <w:color w:val="5F5F5F"/>
                          <w:sz w:val="20"/>
                          <w:szCs w:val="20"/>
                        </w:rPr>
                        <w:t>Podobne skargi w toku</w:t>
                      </w:r>
                      <w:r w:rsidRPr="003E38D2">
                        <w:rPr>
                          <w:bCs/>
                          <w:color w:val="5F5F5F"/>
                          <w:sz w:val="20"/>
                          <w:szCs w:val="20"/>
                        </w:rPr>
                        <w:t>:</w:t>
                      </w:r>
                      <w:r w:rsidRPr="005F15F0">
                        <w:rPr>
                          <w:b/>
                          <w:color w:val="5F5F5F"/>
                          <w:sz w:val="20"/>
                          <w:szCs w:val="20"/>
                        </w:rPr>
                        <w:t xml:space="preserve"> </w:t>
                      </w:r>
                      <w:r w:rsidRPr="005F15F0">
                        <w:rPr>
                          <w:b/>
                          <w:color w:val="0070C0"/>
                          <w:sz w:val="20"/>
                          <w:szCs w:val="20"/>
                          <w:u w:val="single"/>
                        </w:rPr>
                        <w:t xml:space="preserve">Varga </w:t>
                      </w:r>
                      <w:r>
                        <w:rPr>
                          <w:b/>
                          <w:color w:val="0070C0"/>
                          <w:sz w:val="20"/>
                          <w:szCs w:val="20"/>
                          <w:u w:val="single"/>
                        </w:rPr>
                        <w:t xml:space="preserve">przeciwko </w:t>
                      </w:r>
                      <w:r w:rsidR="00300A1E">
                        <w:rPr>
                          <w:b/>
                          <w:color w:val="0070C0"/>
                          <w:sz w:val="20"/>
                          <w:szCs w:val="20"/>
                          <w:u w:val="single"/>
                        </w:rPr>
                        <w:t>Węgrom</w:t>
                      </w:r>
                      <w:r>
                        <w:rPr>
                          <w:b/>
                          <w:color w:val="0070C0"/>
                          <w:sz w:val="20"/>
                          <w:szCs w:val="20"/>
                          <w:u w:val="single"/>
                        </w:rPr>
                        <w:t xml:space="preserve"> </w:t>
                      </w:r>
                      <w:r w:rsidRPr="005F15F0">
                        <w:rPr>
                          <w:b/>
                          <w:color w:val="0070C0"/>
                          <w:sz w:val="20"/>
                          <w:szCs w:val="20"/>
                          <w:u w:val="single"/>
                        </w:rPr>
                        <w:t>(n</w:t>
                      </w:r>
                      <w:r>
                        <w:rPr>
                          <w:b/>
                          <w:color w:val="0070C0"/>
                          <w:sz w:val="20"/>
                          <w:szCs w:val="20"/>
                          <w:u w:val="single"/>
                        </w:rPr>
                        <w:t xml:space="preserve">r </w:t>
                      </w:r>
                      <w:r w:rsidRPr="005F15F0">
                        <w:rPr>
                          <w:b/>
                          <w:color w:val="0070C0"/>
                          <w:sz w:val="20"/>
                          <w:szCs w:val="20"/>
                          <w:u w:val="single"/>
                        </w:rPr>
                        <w:t>39734/15)</w:t>
                      </w:r>
                      <w:r w:rsidRPr="000C0368">
                        <w:rPr>
                          <w:b/>
                          <w:color w:val="0070C0"/>
                          <w:sz w:val="20"/>
                          <w:szCs w:val="20"/>
                        </w:rPr>
                        <w:t xml:space="preserve"> </w:t>
                      </w:r>
                      <w:r>
                        <w:rPr>
                          <w:b/>
                          <w:color w:val="0070C0"/>
                          <w:sz w:val="20"/>
                          <w:szCs w:val="20"/>
                        </w:rPr>
                        <w:t xml:space="preserve">i </w:t>
                      </w:r>
                      <w:r w:rsidRPr="0021427C">
                        <w:rPr>
                          <w:b/>
                          <w:color w:val="0070C0"/>
                          <w:sz w:val="20"/>
                          <w:szCs w:val="20"/>
                          <w:u w:val="single"/>
                        </w:rPr>
                        <w:t>Kruchió przeciwko Węgrom (nr 43444/15)</w:t>
                      </w:r>
                      <w:r w:rsidRPr="005F15F0">
                        <w:rPr>
                          <w:b/>
                          <w:color w:val="5F5F5F"/>
                          <w:sz w:val="20"/>
                          <w:szCs w:val="20"/>
                        </w:rPr>
                        <w:t>,</w:t>
                      </w:r>
                      <w:r>
                        <w:rPr>
                          <w:b/>
                          <w:color w:val="5F5F5F"/>
                          <w:sz w:val="20"/>
                          <w:szCs w:val="20"/>
                        </w:rPr>
                        <w:t xml:space="preserve"> </w:t>
                      </w:r>
                      <w:r w:rsidRPr="00A66AEC">
                        <w:rPr>
                          <w:bCs/>
                          <w:color w:val="A6A6A6" w:themeColor="background1" w:themeShade="A6"/>
                          <w:sz w:val="18"/>
                          <w:szCs w:val="18"/>
                        </w:rPr>
                        <w:t xml:space="preserve">zakomunikowane Rządowi Węgier w dniu 8 grudnia </w:t>
                      </w:r>
                      <w:r>
                        <w:rPr>
                          <w:bCs/>
                          <w:color w:val="A6A6A6" w:themeColor="background1" w:themeShade="A6"/>
                          <w:sz w:val="18"/>
                          <w:szCs w:val="18"/>
                        </w:rPr>
                        <w:br/>
                      </w:r>
                      <w:r w:rsidRPr="00A66AEC">
                        <w:rPr>
                          <w:bCs/>
                          <w:color w:val="A6A6A6" w:themeColor="background1" w:themeShade="A6"/>
                          <w:sz w:val="18"/>
                          <w:szCs w:val="18"/>
                        </w:rPr>
                        <w:t>2017</w:t>
                      </w:r>
                      <w:r w:rsidRPr="00A66AEC">
                        <w:rPr>
                          <w:bCs/>
                          <w:color w:val="A6A6A6" w:themeColor="background1" w:themeShade="A6"/>
                          <w:sz w:val="20"/>
                          <w:szCs w:val="20"/>
                        </w:rPr>
                        <w:t xml:space="preserve"> r.</w:t>
                      </w:r>
                      <w:r w:rsidRPr="00A66AEC">
                        <w:rPr>
                          <w:bCs/>
                          <w:color w:val="5F5F5F"/>
                          <w:sz w:val="20"/>
                          <w:szCs w:val="20"/>
                        </w:rPr>
                        <w:t>;</w:t>
                      </w:r>
                      <w:r>
                        <w:rPr>
                          <w:bCs/>
                          <w:color w:val="5F5F5F"/>
                          <w:sz w:val="20"/>
                          <w:szCs w:val="20"/>
                        </w:rPr>
                        <w:t xml:space="preserve"> </w:t>
                      </w:r>
                      <w:r w:rsidRPr="000C0368">
                        <w:rPr>
                          <w:b/>
                          <w:color w:val="0070C0"/>
                          <w:sz w:val="20"/>
                          <w:szCs w:val="20"/>
                          <w:u w:val="single"/>
                        </w:rPr>
                        <w:t>Bancsók przeciwko Węgrom</w:t>
                      </w:r>
                      <w:r>
                        <w:rPr>
                          <w:b/>
                          <w:color w:val="0070C0"/>
                          <w:sz w:val="20"/>
                          <w:szCs w:val="20"/>
                          <w:u w:val="single"/>
                        </w:rPr>
                        <w:t xml:space="preserve"> </w:t>
                      </w:r>
                      <w:r w:rsidRPr="000C0368">
                        <w:rPr>
                          <w:b/>
                          <w:color w:val="0070C0"/>
                          <w:sz w:val="20"/>
                          <w:szCs w:val="20"/>
                          <w:u w:val="single"/>
                        </w:rPr>
                        <w:t>(nr 52374/15)</w:t>
                      </w:r>
                      <w:r w:rsidRPr="000C0368">
                        <w:rPr>
                          <w:bCs/>
                          <w:color w:val="5F5F5F"/>
                          <w:sz w:val="20"/>
                          <w:szCs w:val="20"/>
                        </w:rPr>
                        <w:t xml:space="preserve"> i </w:t>
                      </w:r>
                      <w:r w:rsidRPr="0021427C">
                        <w:rPr>
                          <w:b/>
                          <w:color w:val="0070C0"/>
                          <w:sz w:val="20"/>
                          <w:szCs w:val="20"/>
                          <w:u w:val="single"/>
                        </w:rPr>
                        <w:t>Lehóczki przeciwko Węgrom (nr 53441/15)</w:t>
                      </w:r>
                      <w:r w:rsidRPr="0021427C">
                        <w:rPr>
                          <w:b/>
                          <w:color w:val="002060"/>
                          <w:sz w:val="20"/>
                          <w:szCs w:val="20"/>
                        </w:rPr>
                        <w:t>,</w:t>
                      </w:r>
                      <w:r w:rsidRPr="00A66AEC">
                        <w:rPr>
                          <w:b/>
                          <w:color w:val="5F5F5F"/>
                          <w:sz w:val="20"/>
                          <w:szCs w:val="20"/>
                        </w:rPr>
                        <w:t xml:space="preserve"> </w:t>
                      </w:r>
                      <w:r w:rsidRPr="00A66AEC">
                        <w:rPr>
                          <w:bCs/>
                          <w:color w:val="A6A6A6" w:themeColor="background1" w:themeShade="A6"/>
                          <w:sz w:val="18"/>
                          <w:szCs w:val="18"/>
                        </w:rPr>
                        <w:t xml:space="preserve">zakomunikowane Rządowi Węgier w dniu 13 marca 2018 </w:t>
                      </w:r>
                      <w:r w:rsidRPr="00A66AEC">
                        <w:rPr>
                          <w:bCs/>
                          <w:color w:val="A6A6A6" w:themeColor="background1" w:themeShade="A6"/>
                          <w:sz w:val="20"/>
                          <w:szCs w:val="20"/>
                        </w:rPr>
                        <w:t>r.</w:t>
                      </w:r>
                      <w:r w:rsidRPr="00A66AEC">
                        <w:rPr>
                          <w:bCs/>
                          <w:color w:val="5F5F5F"/>
                          <w:sz w:val="20"/>
                          <w:szCs w:val="20"/>
                        </w:rPr>
                        <w:t>;</w:t>
                      </w:r>
                      <w:r w:rsidRPr="00A66AEC">
                        <w:rPr>
                          <w:b/>
                          <w:color w:val="5F5F5F"/>
                          <w:sz w:val="20"/>
                          <w:szCs w:val="20"/>
                        </w:rPr>
                        <w:t xml:space="preserve"> </w:t>
                      </w:r>
                      <w:r w:rsidRPr="00A66AEC">
                        <w:rPr>
                          <w:b/>
                          <w:color w:val="0070C0"/>
                          <w:sz w:val="20"/>
                          <w:szCs w:val="20"/>
                          <w:u w:val="single"/>
                        </w:rPr>
                        <w:t xml:space="preserve">Horváth </w:t>
                      </w:r>
                      <w:r>
                        <w:rPr>
                          <w:b/>
                          <w:color w:val="0070C0"/>
                          <w:sz w:val="20"/>
                          <w:szCs w:val="20"/>
                          <w:u w:val="single"/>
                        </w:rPr>
                        <w:t xml:space="preserve">przeciwko Węgrom </w:t>
                      </w:r>
                      <w:r w:rsidRPr="00A66AEC">
                        <w:rPr>
                          <w:b/>
                          <w:color w:val="0070C0"/>
                          <w:sz w:val="20"/>
                          <w:szCs w:val="20"/>
                          <w:u w:val="single"/>
                        </w:rPr>
                        <w:t>(n</w:t>
                      </w:r>
                      <w:r>
                        <w:rPr>
                          <w:b/>
                          <w:color w:val="0070C0"/>
                          <w:sz w:val="20"/>
                          <w:szCs w:val="20"/>
                          <w:u w:val="single"/>
                        </w:rPr>
                        <w:t>r</w:t>
                      </w:r>
                      <w:r w:rsidRPr="00A66AEC">
                        <w:rPr>
                          <w:b/>
                          <w:color w:val="0070C0"/>
                          <w:sz w:val="20"/>
                          <w:szCs w:val="20"/>
                          <w:u w:val="single"/>
                        </w:rPr>
                        <w:t xml:space="preserve"> 12143/16)</w:t>
                      </w:r>
                      <w:r w:rsidRPr="00A66AEC">
                        <w:rPr>
                          <w:b/>
                          <w:color w:val="5F5F5F"/>
                          <w:sz w:val="20"/>
                          <w:szCs w:val="20"/>
                        </w:rPr>
                        <w:t xml:space="preserve">, </w:t>
                      </w:r>
                      <w:r w:rsidRPr="00A66AEC">
                        <w:rPr>
                          <w:bCs/>
                          <w:color w:val="A6A6A6" w:themeColor="background1" w:themeShade="A6"/>
                          <w:sz w:val="18"/>
                          <w:szCs w:val="18"/>
                        </w:rPr>
                        <w:t>zakomunikowan</w:t>
                      </w:r>
                      <w:r>
                        <w:rPr>
                          <w:bCs/>
                          <w:color w:val="A6A6A6" w:themeColor="background1" w:themeShade="A6"/>
                          <w:sz w:val="18"/>
                          <w:szCs w:val="18"/>
                        </w:rPr>
                        <w:t>a</w:t>
                      </w:r>
                      <w:r w:rsidRPr="00A66AEC">
                        <w:rPr>
                          <w:bCs/>
                          <w:color w:val="A6A6A6" w:themeColor="background1" w:themeShade="A6"/>
                          <w:sz w:val="18"/>
                          <w:szCs w:val="18"/>
                        </w:rPr>
                        <w:t xml:space="preserve"> Rządowi Węgier w dniu 1</w:t>
                      </w:r>
                      <w:r>
                        <w:rPr>
                          <w:bCs/>
                          <w:color w:val="A6A6A6" w:themeColor="background1" w:themeShade="A6"/>
                          <w:sz w:val="18"/>
                          <w:szCs w:val="18"/>
                        </w:rPr>
                        <w:t xml:space="preserve">2 maja </w:t>
                      </w:r>
                      <w:r>
                        <w:rPr>
                          <w:bCs/>
                          <w:color w:val="A6A6A6" w:themeColor="background1" w:themeShade="A6"/>
                          <w:sz w:val="18"/>
                          <w:szCs w:val="18"/>
                        </w:rPr>
                        <w:br/>
                      </w:r>
                      <w:r w:rsidRPr="00A66AEC">
                        <w:rPr>
                          <w:bCs/>
                          <w:color w:val="A6A6A6" w:themeColor="background1" w:themeShade="A6"/>
                          <w:sz w:val="18"/>
                          <w:szCs w:val="18"/>
                        </w:rPr>
                        <w:t xml:space="preserve">2018 </w:t>
                      </w:r>
                      <w:r w:rsidRPr="00A66AEC">
                        <w:rPr>
                          <w:bCs/>
                          <w:color w:val="A6A6A6" w:themeColor="background1" w:themeShade="A6"/>
                          <w:sz w:val="20"/>
                          <w:szCs w:val="20"/>
                        </w:rPr>
                        <w:t>r.</w:t>
                      </w:r>
                      <w:r w:rsidRPr="00A66AEC">
                        <w:rPr>
                          <w:bCs/>
                          <w:color w:val="5F5F5F"/>
                          <w:sz w:val="20"/>
                          <w:szCs w:val="20"/>
                        </w:rPr>
                        <w:t>;</w:t>
                      </w:r>
                      <w:r w:rsidRPr="00A66AEC">
                        <w:rPr>
                          <w:b/>
                          <w:color w:val="5F5F5F"/>
                          <w:sz w:val="20"/>
                          <w:szCs w:val="20"/>
                        </w:rPr>
                        <w:t xml:space="preserve"> </w:t>
                      </w:r>
                      <w:r w:rsidRPr="00A66AEC">
                        <w:rPr>
                          <w:b/>
                          <w:color w:val="31849B" w:themeColor="accent5" w:themeShade="BF"/>
                          <w:sz w:val="20"/>
                          <w:szCs w:val="20"/>
                          <w:u w:val="single"/>
                        </w:rPr>
                        <w:t xml:space="preserve">Á.K. </w:t>
                      </w:r>
                      <w:r>
                        <w:rPr>
                          <w:b/>
                          <w:color w:val="31849B" w:themeColor="accent5" w:themeShade="BF"/>
                          <w:sz w:val="20"/>
                          <w:szCs w:val="20"/>
                          <w:u w:val="single"/>
                        </w:rPr>
                        <w:t xml:space="preserve">i </w:t>
                      </w:r>
                      <w:r w:rsidRPr="00A66AEC">
                        <w:rPr>
                          <w:b/>
                          <w:color w:val="31849B" w:themeColor="accent5" w:themeShade="BF"/>
                          <w:sz w:val="20"/>
                          <w:szCs w:val="20"/>
                          <w:u w:val="single"/>
                        </w:rPr>
                        <w:t xml:space="preserve">I.K. </w:t>
                      </w:r>
                      <w:r>
                        <w:rPr>
                          <w:b/>
                          <w:color w:val="31849B" w:themeColor="accent5" w:themeShade="BF"/>
                          <w:sz w:val="20"/>
                          <w:szCs w:val="20"/>
                          <w:u w:val="single"/>
                        </w:rPr>
                        <w:t xml:space="preserve">przeciwko </w:t>
                      </w:r>
                      <w:r w:rsidR="00300A1E">
                        <w:rPr>
                          <w:b/>
                          <w:color w:val="31849B" w:themeColor="accent5" w:themeShade="BF"/>
                          <w:sz w:val="20"/>
                          <w:szCs w:val="20"/>
                          <w:u w:val="single"/>
                        </w:rPr>
                        <w:t>Węgrom</w:t>
                      </w:r>
                      <w:r>
                        <w:rPr>
                          <w:b/>
                          <w:color w:val="31849B" w:themeColor="accent5" w:themeShade="BF"/>
                          <w:sz w:val="20"/>
                          <w:szCs w:val="20"/>
                          <w:u w:val="single"/>
                        </w:rPr>
                        <w:t xml:space="preserve"> </w:t>
                      </w:r>
                      <w:r w:rsidRPr="000C0368">
                        <w:rPr>
                          <w:b/>
                          <w:color w:val="0070C0"/>
                          <w:sz w:val="20"/>
                          <w:szCs w:val="20"/>
                        </w:rPr>
                        <w:t>(nr 35530/16),</w:t>
                      </w:r>
                      <w:r w:rsidRPr="00A66AEC">
                        <w:rPr>
                          <w:b/>
                          <w:color w:val="5F5F5F"/>
                          <w:sz w:val="20"/>
                          <w:szCs w:val="20"/>
                        </w:rPr>
                        <w:t xml:space="preserve"> </w:t>
                      </w:r>
                      <w:r w:rsidRPr="0021427C">
                        <w:rPr>
                          <w:bCs/>
                          <w:color w:val="A6A6A6" w:themeColor="background1" w:themeShade="A6"/>
                          <w:sz w:val="18"/>
                          <w:szCs w:val="18"/>
                        </w:rPr>
                        <w:t>zakomunikowan</w:t>
                      </w:r>
                      <w:r>
                        <w:rPr>
                          <w:bCs/>
                          <w:color w:val="A6A6A6" w:themeColor="background1" w:themeShade="A6"/>
                          <w:sz w:val="18"/>
                          <w:szCs w:val="18"/>
                        </w:rPr>
                        <w:t>a</w:t>
                      </w:r>
                      <w:r w:rsidRPr="0021427C">
                        <w:rPr>
                          <w:bCs/>
                          <w:color w:val="A6A6A6" w:themeColor="background1" w:themeShade="A6"/>
                          <w:sz w:val="18"/>
                          <w:szCs w:val="18"/>
                        </w:rPr>
                        <w:t xml:space="preserve"> Rządowi Węgierskiemu </w:t>
                      </w:r>
                      <w:r>
                        <w:rPr>
                          <w:bCs/>
                          <w:color w:val="A6A6A6" w:themeColor="background1" w:themeShade="A6"/>
                          <w:sz w:val="18"/>
                          <w:szCs w:val="18"/>
                        </w:rPr>
                        <w:t xml:space="preserve">w dniu </w:t>
                      </w:r>
                      <w:r w:rsidRPr="0021427C">
                        <w:rPr>
                          <w:bCs/>
                          <w:color w:val="A6A6A6" w:themeColor="background1" w:themeShade="A6"/>
                          <w:sz w:val="18"/>
                          <w:szCs w:val="18"/>
                        </w:rPr>
                        <w:t>14 maja 2018 r.</w:t>
                      </w:r>
                      <w:r w:rsidRPr="0021427C">
                        <w:rPr>
                          <w:bCs/>
                          <w:color w:val="5F5F5F"/>
                          <w:sz w:val="20"/>
                          <w:szCs w:val="20"/>
                        </w:rPr>
                        <w:t>;</w:t>
                      </w:r>
                      <w:r w:rsidRPr="00A66AEC">
                        <w:rPr>
                          <w:b/>
                          <w:color w:val="5F5F5F"/>
                          <w:sz w:val="20"/>
                          <w:szCs w:val="20"/>
                        </w:rPr>
                        <w:t xml:space="preserve"> </w:t>
                      </w:r>
                      <w:r w:rsidRPr="0021427C">
                        <w:rPr>
                          <w:b/>
                          <w:color w:val="0070C0"/>
                          <w:sz w:val="20"/>
                          <w:szCs w:val="20"/>
                          <w:u w:val="single"/>
                        </w:rPr>
                        <w:t xml:space="preserve">Rostás </w:t>
                      </w:r>
                      <w:r>
                        <w:rPr>
                          <w:b/>
                          <w:color w:val="0070C0"/>
                          <w:sz w:val="20"/>
                          <w:szCs w:val="20"/>
                          <w:u w:val="single"/>
                        </w:rPr>
                        <w:t>przeciwko</w:t>
                      </w:r>
                      <w:r w:rsidRPr="0021427C">
                        <w:rPr>
                          <w:b/>
                          <w:color w:val="0070C0"/>
                          <w:sz w:val="20"/>
                          <w:szCs w:val="20"/>
                          <w:u w:val="single"/>
                        </w:rPr>
                        <w:t xml:space="preserve"> </w:t>
                      </w:r>
                      <w:r>
                        <w:rPr>
                          <w:b/>
                          <w:color w:val="0070C0"/>
                          <w:sz w:val="20"/>
                          <w:szCs w:val="20"/>
                          <w:u w:val="single"/>
                        </w:rPr>
                        <w:t xml:space="preserve">Węgrom </w:t>
                      </w:r>
                      <w:r w:rsidRPr="0021427C">
                        <w:rPr>
                          <w:b/>
                          <w:color w:val="0070C0"/>
                          <w:sz w:val="20"/>
                          <w:szCs w:val="20"/>
                          <w:u w:val="single"/>
                        </w:rPr>
                        <w:t>(n</w:t>
                      </w:r>
                      <w:r>
                        <w:rPr>
                          <w:b/>
                          <w:color w:val="0070C0"/>
                          <w:sz w:val="20"/>
                          <w:szCs w:val="20"/>
                          <w:u w:val="single"/>
                        </w:rPr>
                        <w:t>r</w:t>
                      </w:r>
                      <w:r w:rsidRPr="0021427C">
                        <w:rPr>
                          <w:b/>
                          <w:color w:val="0070C0"/>
                          <w:sz w:val="20"/>
                          <w:szCs w:val="20"/>
                          <w:u w:val="single"/>
                        </w:rPr>
                        <w:t xml:space="preserve"> 26804/18)</w:t>
                      </w:r>
                      <w:r w:rsidRPr="00A66AEC">
                        <w:rPr>
                          <w:b/>
                          <w:color w:val="5F5F5F"/>
                          <w:sz w:val="20"/>
                          <w:szCs w:val="20"/>
                        </w:rPr>
                        <w:t xml:space="preserve">, </w:t>
                      </w:r>
                      <w:r w:rsidRPr="00EC3E8F">
                        <w:rPr>
                          <w:bCs/>
                          <w:color w:val="A6A6A6" w:themeColor="background1" w:themeShade="A6"/>
                          <w:sz w:val="18"/>
                          <w:szCs w:val="18"/>
                        </w:rPr>
                        <w:t>zakomunikowan</w:t>
                      </w:r>
                      <w:r>
                        <w:rPr>
                          <w:bCs/>
                          <w:color w:val="A6A6A6" w:themeColor="background1" w:themeShade="A6"/>
                          <w:sz w:val="18"/>
                          <w:szCs w:val="18"/>
                        </w:rPr>
                        <w:t>a</w:t>
                      </w:r>
                      <w:r w:rsidRPr="00EC3E8F">
                        <w:rPr>
                          <w:bCs/>
                          <w:color w:val="A6A6A6" w:themeColor="background1" w:themeShade="A6"/>
                          <w:sz w:val="18"/>
                          <w:szCs w:val="18"/>
                        </w:rPr>
                        <w:t xml:space="preserve"> Rządowi Węgier w dniu 13 marca 2018 </w:t>
                      </w:r>
                      <w:r w:rsidRPr="00EC3E8F">
                        <w:rPr>
                          <w:bCs/>
                          <w:color w:val="A6A6A6" w:themeColor="background1" w:themeShade="A6"/>
                          <w:sz w:val="20"/>
                          <w:szCs w:val="20"/>
                        </w:rPr>
                        <w:t>r.</w:t>
                      </w:r>
                      <w:r>
                        <w:rPr>
                          <w:bCs/>
                          <w:color w:val="A6A6A6" w:themeColor="background1" w:themeShade="A6"/>
                          <w:sz w:val="20"/>
                          <w:szCs w:val="20"/>
                        </w:rPr>
                        <w:t>)</w:t>
                      </w:r>
                    </w:p>
                    <w:p w14:paraId="2AFA255D" w14:textId="77777777" w:rsidR="00CD06C5" w:rsidRPr="00A66AEC" w:rsidRDefault="00CD06C5" w:rsidP="00CD06C5">
                      <w:pPr>
                        <w:ind w:left="28" w:right="1191"/>
                        <w:rPr>
                          <w:b/>
                          <w:color w:val="5F5F5F"/>
                          <w:sz w:val="20"/>
                        </w:rPr>
                      </w:pPr>
                    </w:p>
                    <w:p w14:paraId="597834EE" w14:textId="77777777" w:rsidR="00CD06C5" w:rsidRPr="00A66AEC" w:rsidRDefault="00CD06C5" w:rsidP="00CD06C5">
                      <w:pPr>
                        <w:ind w:left="28" w:right="1191"/>
                        <w:rPr>
                          <w:b/>
                          <w:sz w:val="20"/>
                        </w:rPr>
                      </w:pPr>
                    </w:p>
                  </w:txbxContent>
                </v:textbox>
                <w10:wrap type="topAndBottom" anchorx="page"/>
              </v:shape>
            </w:pict>
          </mc:Fallback>
        </mc:AlternateContent>
      </w:r>
    </w:p>
    <w:p w14:paraId="00A9E9D1" w14:textId="1AA29DFC" w:rsidR="00CD06C5" w:rsidRPr="00FB1F35" w:rsidRDefault="00CD06C5" w:rsidP="00CD06C5">
      <w:pPr>
        <w:ind w:left="283"/>
      </w:pPr>
    </w:p>
    <w:p w14:paraId="77696823" w14:textId="7FC57F8D" w:rsidR="008648AA" w:rsidRDefault="008648AA" w:rsidP="002D4778">
      <w:pPr>
        <w:pStyle w:val="Tekstpodstawowy"/>
        <w:spacing w:before="2"/>
        <w:ind w:right="816"/>
        <w:rPr>
          <w:sz w:val="19"/>
        </w:rPr>
      </w:pPr>
    </w:p>
    <w:p w14:paraId="0B125BCA" w14:textId="77777777" w:rsidR="00BC4A01" w:rsidRDefault="009C4E11">
      <w:pPr>
        <w:spacing w:before="99" w:line="243" w:lineRule="exact"/>
        <w:ind w:left="3974" w:right="3938"/>
        <w:jc w:val="center"/>
        <w:rPr>
          <w:b/>
          <w:sz w:val="20"/>
        </w:rPr>
      </w:pPr>
      <w:r>
        <w:rPr>
          <w:b/>
          <w:color w:val="808080"/>
          <w:sz w:val="20"/>
        </w:rPr>
        <w:t>Kontakt z mediami:</w:t>
      </w:r>
    </w:p>
    <w:p w14:paraId="5A5800D0" w14:textId="77777777" w:rsidR="00BC4A01" w:rsidRDefault="009C4E11">
      <w:pPr>
        <w:pStyle w:val="Tekstpodstawowy"/>
        <w:spacing w:line="243" w:lineRule="exact"/>
        <w:ind w:left="3978" w:right="3938"/>
        <w:jc w:val="center"/>
      </w:pPr>
      <w:r>
        <w:rPr>
          <w:color w:val="808080"/>
        </w:rPr>
        <w:t>Tel.: +33 (0)3 90 21 42 08</w:t>
      </w:r>
    </w:p>
    <w:sectPr w:rsidR="00BC4A01" w:rsidSect="00532646">
      <w:type w:val="continuous"/>
      <w:pgSz w:w="11910" w:h="16840"/>
      <w:pgMar w:top="1460" w:right="620" w:bottom="680" w:left="580" w:header="731" w:footer="497"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A0F1AC" w14:textId="77777777" w:rsidR="002E7973" w:rsidRDefault="002E7973">
      <w:r>
        <w:separator/>
      </w:r>
    </w:p>
  </w:endnote>
  <w:endnote w:type="continuationSeparator" w:id="0">
    <w:p w14:paraId="6DF808A9" w14:textId="77777777" w:rsidR="002E7973" w:rsidRDefault="002E7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6331637"/>
      <w:docPartObj>
        <w:docPartGallery w:val="Page Numbers (Bottom of Page)"/>
        <w:docPartUnique/>
      </w:docPartObj>
    </w:sdtPr>
    <w:sdtEndPr/>
    <w:sdtContent>
      <w:p w14:paraId="3D827C53" w14:textId="5A34B790" w:rsidR="00D61386" w:rsidRDefault="00D61386" w:rsidP="00927252">
        <w:pPr>
          <w:pStyle w:val="Stopka"/>
          <w:spacing w:before="120"/>
          <w:jc w:val="center"/>
        </w:pPr>
        <w:r>
          <w:fldChar w:fldCharType="begin"/>
        </w:r>
        <w:r>
          <w:instrText>PAGE   \* MERGEFORMAT</w:instrText>
        </w:r>
        <w:r>
          <w:fldChar w:fldCharType="separate"/>
        </w:r>
        <w:r w:rsidR="00AC07E3">
          <w:rPr>
            <w:noProof/>
          </w:rPr>
          <w:t>10</w:t>
        </w:r>
        <w:r>
          <w:fldChar w:fldCharType="end"/>
        </w:r>
      </w:p>
    </w:sdtContent>
  </w:sdt>
  <w:p w14:paraId="2E3A25B4" w14:textId="692B8090" w:rsidR="00D61386" w:rsidRDefault="00D61386" w:rsidP="00D07964">
    <w:pPr>
      <w:pStyle w:val="Tekstpodstawowy"/>
      <w:spacing w:before="1080" w:line="14" w:lineRule="auto"/>
      <w:ind w:right="227"/>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458A43" w14:textId="1AA2F6E9" w:rsidR="00D61386" w:rsidRDefault="00D61386" w:rsidP="001E52F4">
    <w:pPr>
      <w:pStyle w:val="Stopka"/>
      <w:spacing w:before="480"/>
      <w:jc w:val="center"/>
    </w:pPr>
    <w:r>
      <w:rPr>
        <w:noProof/>
        <w:lang w:eastAsia="pl-PL" w:bidi="ar-SA"/>
      </w:rPr>
      <w:drawing>
        <wp:inline distT="0" distB="0" distL="0" distR="0" wp14:anchorId="78E6F5E6" wp14:editId="4F746DAB">
          <wp:extent cx="726376" cy="578739"/>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 cstate="print"/>
                  <a:stretch>
                    <a:fillRect/>
                  </a:stretch>
                </pic:blipFill>
                <pic:spPr>
                  <a:xfrm>
                    <a:off x="0" y="0"/>
                    <a:ext cx="726376" cy="578739"/>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248B17" w14:textId="77777777" w:rsidR="002E7973" w:rsidRDefault="002E7973">
      <w:r>
        <w:separator/>
      </w:r>
    </w:p>
  </w:footnote>
  <w:footnote w:type="continuationSeparator" w:id="0">
    <w:p w14:paraId="66EA3A97" w14:textId="77777777" w:rsidR="002E7973" w:rsidRDefault="002E7973">
      <w:r>
        <w:continuationSeparator/>
      </w:r>
    </w:p>
  </w:footnote>
  <w:footnote w:id="1">
    <w:p w14:paraId="4E51289F" w14:textId="2C4F8427" w:rsidR="00D61386" w:rsidRPr="002D4778" w:rsidRDefault="00D61386" w:rsidP="00300A1E">
      <w:pPr>
        <w:pStyle w:val="Tekstprzypisudolnego"/>
        <w:ind w:left="851" w:right="504"/>
        <w:jc w:val="both"/>
        <w:rPr>
          <w:sz w:val="16"/>
          <w:szCs w:val="16"/>
        </w:rPr>
      </w:pPr>
      <w:r w:rsidRPr="002D4778">
        <w:rPr>
          <w:rStyle w:val="Odwoanieprzypisudolnego"/>
          <w:sz w:val="16"/>
          <w:szCs w:val="16"/>
        </w:rPr>
        <w:footnoteRef/>
      </w:r>
      <w:r w:rsidRPr="002D4778">
        <w:rPr>
          <w:sz w:val="16"/>
          <w:szCs w:val="16"/>
        </w:rPr>
        <w:t xml:space="preserve"> Art</w:t>
      </w:r>
      <w:r w:rsidR="006B2FFE" w:rsidRPr="002D4778">
        <w:rPr>
          <w:sz w:val="16"/>
          <w:szCs w:val="16"/>
        </w:rPr>
        <w:t>.</w:t>
      </w:r>
      <w:r w:rsidRPr="002D4778">
        <w:rPr>
          <w:sz w:val="16"/>
          <w:szCs w:val="16"/>
        </w:rPr>
        <w:t xml:space="preserve"> 3 (zakaz tortur i nieludzkiego lub poniżającego traktowania albo kar) </w:t>
      </w:r>
      <w:r w:rsidRPr="002D4778">
        <w:rPr>
          <w:color w:val="0070C0"/>
          <w:sz w:val="16"/>
          <w:szCs w:val="16"/>
        </w:rPr>
        <w:t>Europejskiej Konwencji Praw Człowieka</w:t>
      </w:r>
      <w:r w:rsidRPr="002D4778">
        <w:rPr>
          <w:sz w:val="16"/>
          <w:szCs w:val="16"/>
        </w:rPr>
        <w:t xml:space="preserve"> stanowi: "Nikt nie może być poddany torturom ani nieludzkiemu lub poniżającemu traktowaniu albo karaniu."</w:t>
      </w:r>
    </w:p>
  </w:footnote>
  <w:footnote w:id="2">
    <w:p w14:paraId="202CEA38" w14:textId="1117AFE7" w:rsidR="00D61386" w:rsidRPr="002D4778" w:rsidRDefault="00D61386" w:rsidP="00300A1E">
      <w:pPr>
        <w:pStyle w:val="Tekstprzypisudolnego"/>
        <w:ind w:left="851" w:right="504"/>
        <w:jc w:val="both"/>
        <w:rPr>
          <w:sz w:val="16"/>
          <w:szCs w:val="16"/>
        </w:rPr>
      </w:pPr>
      <w:r w:rsidRPr="002D4778">
        <w:rPr>
          <w:rStyle w:val="Odwoanieprzypisudolnego"/>
          <w:sz w:val="16"/>
          <w:szCs w:val="16"/>
        </w:rPr>
        <w:footnoteRef/>
      </w:r>
      <w:r w:rsidRPr="002D4778">
        <w:rPr>
          <w:sz w:val="16"/>
          <w:szCs w:val="16"/>
        </w:rPr>
        <w:t xml:space="preserve"> </w:t>
      </w:r>
      <w:r w:rsidRPr="002D4778">
        <w:rPr>
          <w:color w:val="000000" w:themeColor="text1"/>
          <w:sz w:val="16"/>
          <w:szCs w:val="16"/>
        </w:rPr>
        <w:t xml:space="preserve">Zgodnie z </w:t>
      </w:r>
      <w:r w:rsidR="00CD4F6B" w:rsidRPr="002D4778">
        <w:rPr>
          <w:color w:val="000000" w:themeColor="text1"/>
          <w:sz w:val="16"/>
          <w:szCs w:val="16"/>
        </w:rPr>
        <w:t>a</w:t>
      </w:r>
      <w:r w:rsidRPr="002D4778">
        <w:rPr>
          <w:color w:val="000000" w:themeColor="text1"/>
          <w:sz w:val="16"/>
          <w:szCs w:val="16"/>
        </w:rPr>
        <w:t>rt. 43 (przekazanie sprawy do Wielkiej Izby) Europejskiej Konwencji Praw Człowieka, w okresie trzech miesięcy od daty wydania wyroku przez Izbę każda ze stron postępowania może, w wyjątkowych przypadkach, wnioskować o przekazanie sprawy do składającej się z 17 członków Wielkiej Izby. W takim przypadku skład pięciu sędziów rozpatruje, czy w sprawie pojawia się poważne zagadnienie dotyczące interpretacji lub stosowania Konwencji lub jej Protokołów lub istotna kwestia o znaczeniu ogólnym, wówczas Wielka Izba wyda ostateczny wyrok. Jeśli takie zagadnienie lub problem się nie pojawia, skład odrzuca wniosek, w tym momencie wyrok staje się ostateczny.</w:t>
      </w:r>
    </w:p>
  </w:footnote>
  <w:footnote w:id="3">
    <w:p w14:paraId="2B40CD43" w14:textId="7EE273A0" w:rsidR="00D61386" w:rsidRPr="002D4778" w:rsidRDefault="00D61386" w:rsidP="00300A1E">
      <w:pPr>
        <w:pStyle w:val="Tekstprzypisudolnego"/>
        <w:ind w:left="851" w:right="504"/>
        <w:rPr>
          <w:sz w:val="16"/>
          <w:szCs w:val="16"/>
        </w:rPr>
      </w:pPr>
      <w:r w:rsidRPr="002D4778">
        <w:rPr>
          <w:rStyle w:val="Odwoanieprzypisudolnego"/>
          <w:sz w:val="16"/>
          <w:szCs w:val="16"/>
        </w:rPr>
        <w:footnoteRef/>
      </w:r>
      <w:r w:rsidRPr="002D4778">
        <w:rPr>
          <w:sz w:val="16"/>
          <w:szCs w:val="16"/>
        </w:rPr>
        <w:t xml:space="preserve"> Wyrok ten stanie się prawomocny w okolicznościach określonych w art. 44 § 2 (wyroki prawomocne) Europejskiej Konwencji Praw Człowieka.</w:t>
      </w:r>
    </w:p>
  </w:footnote>
  <w:footnote w:id="4">
    <w:p w14:paraId="2094928B" w14:textId="3F79AFD8" w:rsidR="00D61386" w:rsidRPr="002D4778" w:rsidRDefault="00D61386" w:rsidP="00300A1E">
      <w:pPr>
        <w:ind w:left="851" w:right="504"/>
        <w:jc w:val="both"/>
        <w:rPr>
          <w:sz w:val="16"/>
          <w:szCs w:val="16"/>
        </w:rPr>
      </w:pPr>
      <w:r w:rsidRPr="002D4778">
        <w:rPr>
          <w:rStyle w:val="Odwoanieprzypisudolnego"/>
          <w:sz w:val="16"/>
          <w:szCs w:val="16"/>
        </w:rPr>
        <w:footnoteRef/>
      </w:r>
      <w:r w:rsidRPr="002D4778">
        <w:rPr>
          <w:sz w:val="16"/>
          <w:szCs w:val="16"/>
        </w:rPr>
        <w:t xml:space="preserve"> W przedmiotowej sprawie Trybunał uznał również, że doszło do naruszenia </w:t>
      </w:r>
      <w:r w:rsidR="00CD4F6B" w:rsidRPr="002D4778">
        <w:rPr>
          <w:sz w:val="16"/>
          <w:szCs w:val="16"/>
        </w:rPr>
        <w:t xml:space="preserve">art. </w:t>
      </w:r>
      <w:r w:rsidRPr="002D4778">
        <w:rPr>
          <w:sz w:val="16"/>
          <w:szCs w:val="16"/>
        </w:rPr>
        <w:t xml:space="preserve">3 Konwencji w odniesieniu do obu skarg z powodu trybu i warunków osadzenia skazanych, a także do naruszenia </w:t>
      </w:r>
      <w:r w:rsidR="00CD4F6B" w:rsidRPr="002D4778">
        <w:rPr>
          <w:sz w:val="16"/>
          <w:szCs w:val="16"/>
        </w:rPr>
        <w:t>art.</w:t>
      </w:r>
      <w:r w:rsidRPr="002D4778">
        <w:rPr>
          <w:sz w:val="16"/>
          <w:szCs w:val="16"/>
        </w:rPr>
        <w:t xml:space="preserve"> 13 (prawo do skutecznego środka odwoławczego) Konwencji w zakresie braku skutecznych krajowych środków odwoławczych. Ponadto, zgodnie z </w:t>
      </w:r>
      <w:r w:rsidR="00CD4F6B" w:rsidRPr="002D4778">
        <w:rPr>
          <w:sz w:val="16"/>
          <w:szCs w:val="16"/>
        </w:rPr>
        <w:t xml:space="preserve">art. </w:t>
      </w:r>
      <w:r w:rsidR="00E24CE9" w:rsidRPr="002D4778">
        <w:rPr>
          <w:sz w:val="16"/>
          <w:szCs w:val="16"/>
        </w:rPr>
        <w:t xml:space="preserve">46 </w:t>
      </w:r>
      <w:r w:rsidRPr="002D4778">
        <w:rPr>
          <w:sz w:val="16"/>
          <w:szCs w:val="16"/>
        </w:rPr>
        <w:t>(moc obowiązująca oraz wykonanie wyroków) Konwencji, Trybunał stwierdził, że w celu prawidłowego wykonania wyroku Bułgaria powinna zreformować, najlepiej w drodze legislacyjnej, ramy prawne regulujące reżim więzienny mający zastosowanie do osób skazanych na kary dożywocia z możliwością warunkowego zwolnienia oraz pozbawionych takiej możliwości, poprzez modyfikację, w szczególności, automatycznego nakładania wysoce restrykcyjnego reżimu więziennego i izolacji na wszystkich więźniów odbywających kary dożywocia.</w:t>
      </w:r>
      <w:r w:rsidR="00C70364" w:rsidRPr="002D4778">
        <w:rPr>
          <w:color w:val="0070C0"/>
          <w:sz w:val="16"/>
          <w:szCs w:val="16"/>
        </w:rPr>
        <w:t xml:space="preserve"> </w:t>
      </w:r>
    </w:p>
  </w:footnote>
  <w:footnote w:id="5">
    <w:p w14:paraId="1A304EC0" w14:textId="77777777" w:rsidR="00244B64" w:rsidRPr="002D4778" w:rsidRDefault="00244B64" w:rsidP="00300A1E">
      <w:pPr>
        <w:pStyle w:val="Tekstprzypisudolnego"/>
        <w:ind w:left="851" w:right="504"/>
        <w:rPr>
          <w:sz w:val="16"/>
          <w:szCs w:val="16"/>
        </w:rPr>
      </w:pPr>
      <w:r w:rsidRPr="002D4778">
        <w:rPr>
          <w:rStyle w:val="Odwoanieprzypisudolnego"/>
          <w:sz w:val="16"/>
          <w:szCs w:val="16"/>
        </w:rPr>
        <w:footnoteRef/>
      </w:r>
      <w:r w:rsidRPr="002D4778">
        <w:rPr>
          <w:sz w:val="16"/>
          <w:szCs w:val="16"/>
        </w:rPr>
        <w:t xml:space="preserve"> </w:t>
      </w:r>
      <w:r w:rsidRPr="002D4778">
        <w:rPr>
          <w:rFonts w:cs="Tahoma"/>
          <w:color w:val="000000"/>
          <w:sz w:val="16"/>
          <w:szCs w:val="16"/>
          <w:shd w:val="clear" w:color="auto" w:fill="FFFFFF"/>
        </w:rPr>
        <w:t>Następnie dwóch spośród jego krewnych kontynuowało sprawę przed Trybunałem.</w:t>
      </w:r>
    </w:p>
  </w:footnote>
  <w:footnote w:id="6">
    <w:p w14:paraId="4A49E481" w14:textId="77777777" w:rsidR="00244B64" w:rsidRPr="002D4778" w:rsidRDefault="00244B64" w:rsidP="00300A1E">
      <w:pPr>
        <w:pStyle w:val="Tekstprzypisudolnego"/>
        <w:ind w:left="851" w:right="504"/>
        <w:rPr>
          <w:sz w:val="16"/>
          <w:szCs w:val="16"/>
        </w:rPr>
      </w:pPr>
      <w:r w:rsidRPr="002D4778">
        <w:rPr>
          <w:rStyle w:val="Odwoanieprzypisudolnego"/>
          <w:sz w:val="16"/>
          <w:szCs w:val="16"/>
        </w:rPr>
        <w:footnoteRef/>
      </w:r>
      <w:r w:rsidRPr="002D4778">
        <w:rPr>
          <w:sz w:val="16"/>
          <w:szCs w:val="16"/>
        </w:rPr>
        <w:t xml:space="preserve"> Ustawodawstwo zostało wprowadzone w celu wykonania wyroku w sprawie </w:t>
      </w:r>
      <w:r w:rsidRPr="002D4778">
        <w:rPr>
          <w:i/>
          <w:iCs/>
          <w:sz w:val="16"/>
          <w:szCs w:val="16"/>
        </w:rPr>
        <w:t xml:space="preserve">László Magyar przeciwko Węgrom </w:t>
      </w:r>
      <w:r w:rsidRPr="002D4778">
        <w:rPr>
          <w:sz w:val="16"/>
          <w:szCs w:val="16"/>
        </w:rPr>
        <w:t>z 2014 r. (zob. powyżej), w którym Trybunał stwierdził, że na Węgrzech należy zreformować system weryfikacji wyroków skazujących na kary dożywotniego pozbawienia wolności.</w:t>
      </w:r>
    </w:p>
  </w:footnote>
  <w:footnote w:id="7">
    <w:p w14:paraId="5B4301DF" w14:textId="28063458" w:rsidR="00CD06C5" w:rsidRPr="002D4778" w:rsidRDefault="00CD06C5" w:rsidP="00300A1E">
      <w:pPr>
        <w:pStyle w:val="Tekstprzypisudolnego"/>
        <w:ind w:left="709" w:right="504"/>
        <w:jc w:val="both"/>
        <w:rPr>
          <w:sz w:val="16"/>
          <w:szCs w:val="16"/>
        </w:rPr>
      </w:pPr>
      <w:r w:rsidRPr="002D4778">
        <w:rPr>
          <w:rStyle w:val="Odwoanieprzypisudolnego"/>
          <w:sz w:val="16"/>
          <w:szCs w:val="16"/>
        </w:rPr>
        <w:footnoteRef/>
      </w:r>
      <w:r w:rsidR="00927252" w:rsidRPr="002D4778">
        <w:rPr>
          <w:sz w:val="16"/>
          <w:szCs w:val="16"/>
        </w:rPr>
        <w:t xml:space="preserve"> </w:t>
      </w:r>
      <w:r w:rsidRPr="002D4778">
        <w:rPr>
          <w:sz w:val="16"/>
          <w:szCs w:val="16"/>
        </w:rPr>
        <w:t xml:space="preserve">W marcu 2019 r. do prawa litewskiego wprowadzono zmiany legislacyjne dotyczące więźniów skazanych na </w:t>
      </w:r>
      <w:r w:rsidR="002D4778">
        <w:rPr>
          <w:sz w:val="16"/>
          <w:szCs w:val="16"/>
        </w:rPr>
        <w:t>karę dożywotniego pozbawienia wolności</w:t>
      </w:r>
      <w:r w:rsidRPr="002D4778">
        <w:rPr>
          <w:sz w:val="16"/>
          <w:szCs w:val="16"/>
        </w:rPr>
        <w:t>, zezwalające na zmianę wyroku dożywotniego na karę pieniężną na czas określony oraz zwolnienie danego więźnia na zwolnienie warunkowe. Ustawodawstwo określa również procedurę, którą należy stosować w celu zmiany wyroków, jak również kryteria, jakie musi spełniać więzień dożywotni, aby się zakwalifikować. W sprawozdaniu wyjaśniającym stwierdzono, że kryteria, które należy spełnić, są surowe i tylko osoby, które osiągnęły "znaczną poprawę" w odniesieniu do wszystkich kryteriów, mogą zmienić karę dożywotnią na karę na czas określony</w:t>
      </w:r>
      <w:r w:rsidR="001E3EEC" w:rsidRPr="002D4778">
        <w:rPr>
          <w:sz w:val="16"/>
          <w:szCs w:val="16"/>
        </w:rPr>
        <w:t>.</w:t>
      </w:r>
    </w:p>
    <w:p w14:paraId="34ABA8E5" w14:textId="77777777" w:rsidR="00CD06C5" w:rsidRPr="002D4778" w:rsidRDefault="00CD06C5" w:rsidP="00300A1E">
      <w:pPr>
        <w:pStyle w:val="Tekstprzypisudolnego"/>
        <w:ind w:left="851" w:right="504"/>
        <w:jc w:val="both"/>
        <w:rPr>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5E56C5" w14:textId="77777777" w:rsidR="00D61386" w:rsidRDefault="00D61386" w:rsidP="00B57B57">
    <w:pPr>
      <w:pStyle w:val="Nagwek2"/>
      <w:ind w:left="0"/>
      <w:rPr>
        <w:b w:val="0"/>
        <w:bCs w:val="0"/>
        <w:u w:val="none"/>
      </w:rPr>
    </w:pPr>
  </w:p>
  <w:p w14:paraId="1AB37270" w14:textId="0D58BD2E" w:rsidR="00D61386" w:rsidRPr="00AD78C2" w:rsidRDefault="00D61386" w:rsidP="002D4778">
    <w:pPr>
      <w:pStyle w:val="Nagwek2"/>
      <w:spacing w:after="120"/>
      <w:ind w:left="0"/>
      <w:rPr>
        <w:b w:val="0"/>
        <w:bCs w:val="0"/>
        <w:u w:val="none"/>
      </w:rPr>
    </w:pPr>
    <w:r w:rsidRPr="00AD78C2">
      <w:rPr>
        <w:b w:val="0"/>
        <w:bCs w:val="0"/>
        <w:u w:val="none"/>
      </w:rPr>
      <w:t>Zestawienie – Kara dożywotniego pozbawienia wolności</w:t>
    </w:r>
  </w:p>
  <w:p w14:paraId="11545BE2" w14:textId="0BF3C3B2" w:rsidR="00D61386" w:rsidRDefault="00D61386">
    <w:pPr>
      <w:pStyle w:val="Tekstpodstawowy"/>
      <w:spacing w:line="14" w:lineRule="auto"/>
      <w:jc w:val="left"/>
    </w:pPr>
    <w:r>
      <w:rPr>
        <w:noProof/>
        <w:lang w:eastAsia="pl-PL" w:bidi="ar-SA"/>
      </w:rPr>
      <w:drawing>
        <wp:anchor distT="0" distB="0" distL="0" distR="0" simplePos="0" relativeHeight="268428863" behindDoc="1" locked="0" layoutInCell="1" allowOverlap="1" wp14:anchorId="57A5C7D8" wp14:editId="21A729E1">
          <wp:simplePos x="0" y="0"/>
          <wp:positionH relativeFrom="page">
            <wp:posOffset>5684010</wp:posOffset>
          </wp:positionH>
          <wp:positionV relativeFrom="page">
            <wp:posOffset>464311</wp:posOffset>
          </wp:positionV>
          <wp:extent cx="1410969" cy="368299"/>
          <wp:effectExtent l="0" t="0" r="0" b="0"/>
          <wp:wrapNone/>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 cstate="print"/>
                  <a:stretch>
                    <a:fillRect/>
                  </a:stretch>
                </pic:blipFill>
                <pic:spPr>
                  <a:xfrm>
                    <a:off x="0" y="0"/>
                    <a:ext cx="1410969" cy="368299"/>
                  </a:xfrm>
                  <a:prstGeom prst="rect">
                    <a:avLst/>
                  </a:prstGeom>
                </pic:spPr>
              </pic:pic>
            </a:graphicData>
          </a:graphic>
        </wp:anchor>
      </w:drawing>
    </w:r>
    <w:r>
      <w:rPr>
        <w:noProof/>
        <w:lang w:eastAsia="pl-PL" w:bidi="ar-SA"/>
      </w:rPr>
      <mc:AlternateContent>
        <mc:Choice Requires="wps">
          <w:drawing>
            <wp:anchor distT="0" distB="0" distL="114300" distR="114300" simplePos="0" relativeHeight="503309912" behindDoc="1" locked="0" layoutInCell="1" allowOverlap="1" wp14:anchorId="634E2CCE" wp14:editId="6D234796">
              <wp:simplePos x="0" y="0"/>
              <wp:positionH relativeFrom="page">
                <wp:posOffset>465455</wp:posOffset>
              </wp:positionH>
              <wp:positionV relativeFrom="page">
                <wp:posOffset>934720</wp:posOffset>
              </wp:positionV>
              <wp:extent cx="6629400" cy="0"/>
              <wp:effectExtent l="8255" t="10795" r="10795" b="825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615E83A" id="Line 3" o:spid="_x0000_s1026" style="position:absolute;z-index:-6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65pt,73.6pt" to="558.65pt,7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" strokecolor="gray">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07F68" w14:textId="1A4650BD" w:rsidR="00D61386" w:rsidRDefault="00D61386">
    <w:pPr>
      <w:pStyle w:val="Nagwek"/>
    </w:pPr>
    <w:r>
      <w:rPr>
        <w:noProof/>
        <w:lang w:eastAsia="pl-PL" w:bidi="ar-SA"/>
      </w:rPr>
      <w:drawing>
        <wp:anchor distT="0" distB="0" distL="114300" distR="114300" simplePos="0" relativeHeight="503310936" behindDoc="1" locked="0" layoutInCell="1" allowOverlap="1" wp14:anchorId="5CCFFC4E" wp14:editId="65432461">
          <wp:simplePos x="0" y="0"/>
          <wp:positionH relativeFrom="column">
            <wp:posOffset>5051425</wp:posOffset>
          </wp:positionH>
          <wp:positionV relativeFrom="paragraph">
            <wp:posOffset>2540</wp:posOffset>
          </wp:positionV>
          <wp:extent cx="1724025" cy="367030"/>
          <wp:effectExtent l="0" t="0" r="9525" b="0"/>
          <wp:wrapThrough wrapText="bothSides">
            <wp:wrapPolygon edited="0">
              <wp:start x="10740" y="0"/>
              <wp:lineTo x="3103" y="10090"/>
              <wp:lineTo x="2148" y="14574"/>
              <wp:lineTo x="2864" y="20180"/>
              <wp:lineTo x="3819" y="20180"/>
              <wp:lineTo x="21481" y="19059"/>
              <wp:lineTo x="21481" y="0"/>
              <wp:lineTo x="10740" y="0"/>
            </wp:wrapPolygon>
          </wp:wrapThrough>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4025" cy="367030"/>
                  </a:xfrm>
                  <a:prstGeom prst="rect">
                    <a:avLst/>
                  </a:prstGeom>
                </pic:spPr>
              </pic:pic>
            </a:graphicData>
          </a:graphic>
          <wp14:sizeRelH relativeFrom="margin">
            <wp14:pctWidth>0</wp14:pctWidth>
          </wp14:sizeRelH>
        </wp:anchor>
      </w:drawing>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A01"/>
    <w:rsid w:val="000012A0"/>
    <w:rsid w:val="00011A9F"/>
    <w:rsid w:val="00013630"/>
    <w:rsid w:val="00014330"/>
    <w:rsid w:val="00022730"/>
    <w:rsid w:val="00034695"/>
    <w:rsid w:val="000373F9"/>
    <w:rsid w:val="00037C02"/>
    <w:rsid w:val="0004678A"/>
    <w:rsid w:val="0004726D"/>
    <w:rsid w:val="00063F78"/>
    <w:rsid w:val="00063FD8"/>
    <w:rsid w:val="00065DEA"/>
    <w:rsid w:val="00067F0B"/>
    <w:rsid w:val="00073CF8"/>
    <w:rsid w:val="00082751"/>
    <w:rsid w:val="000852EE"/>
    <w:rsid w:val="00087F25"/>
    <w:rsid w:val="000920A5"/>
    <w:rsid w:val="000949F2"/>
    <w:rsid w:val="000A08AC"/>
    <w:rsid w:val="000A47BE"/>
    <w:rsid w:val="000B2791"/>
    <w:rsid w:val="000B27F4"/>
    <w:rsid w:val="000B2EB5"/>
    <w:rsid w:val="000B3082"/>
    <w:rsid w:val="000C544E"/>
    <w:rsid w:val="000C68F1"/>
    <w:rsid w:val="000E3A42"/>
    <w:rsid w:val="000F0FCF"/>
    <w:rsid w:val="000F5850"/>
    <w:rsid w:val="00100A18"/>
    <w:rsid w:val="00103097"/>
    <w:rsid w:val="00103F95"/>
    <w:rsid w:val="00104059"/>
    <w:rsid w:val="001117BD"/>
    <w:rsid w:val="00114503"/>
    <w:rsid w:val="0012194D"/>
    <w:rsid w:val="00122D4A"/>
    <w:rsid w:val="0012555A"/>
    <w:rsid w:val="00126F85"/>
    <w:rsid w:val="001419A6"/>
    <w:rsid w:val="00145E57"/>
    <w:rsid w:val="00147571"/>
    <w:rsid w:val="00150414"/>
    <w:rsid w:val="0016316C"/>
    <w:rsid w:val="00166273"/>
    <w:rsid w:val="00187183"/>
    <w:rsid w:val="00192561"/>
    <w:rsid w:val="001A251C"/>
    <w:rsid w:val="001B0C33"/>
    <w:rsid w:val="001B6978"/>
    <w:rsid w:val="001C2DA8"/>
    <w:rsid w:val="001C602F"/>
    <w:rsid w:val="001C6A52"/>
    <w:rsid w:val="001D0B40"/>
    <w:rsid w:val="001D300A"/>
    <w:rsid w:val="001D4601"/>
    <w:rsid w:val="001E3EEC"/>
    <w:rsid w:val="001E52F4"/>
    <w:rsid w:val="00213410"/>
    <w:rsid w:val="002359EE"/>
    <w:rsid w:val="002421AD"/>
    <w:rsid w:val="00244B64"/>
    <w:rsid w:val="00247B0C"/>
    <w:rsid w:val="00252941"/>
    <w:rsid w:val="002608F2"/>
    <w:rsid w:val="0027150D"/>
    <w:rsid w:val="00274933"/>
    <w:rsid w:val="00277561"/>
    <w:rsid w:val="00280943"/>
    <w:rsid w:val="002814D5"/>
    <w:rsid w:val="0028207E"/>
    <w:rsid w:val="002820B1"/>
    <w:rsid w:val="002847CE"/>
    <w:rsid w:val="002877A5"/>
    <w:rsid w:val="00287AC3"/>
    <w:rsid w:val="002A2B4C"/>
    <w:rsid w:val="002B2561"/>
    <w:rsid w:val="002C1662"/>
    <w:rsid w:val="002C2117"/>
    <w:rsid w:val="002D4778"/>
    <w:rsid w:val="002E7973"/>
    <w:rsid w:val="00300A1E"/>
    <w:rsid w:val="003160D7"/>
    <w:rsid w:val="0032045C"/>
    <w:rsid w:val="003265B7"/>
    <w:rsid w:val="00336134"/>
    <w:rsid w:val="003459F2"/>
    <w:rsid w:val="00353792"/>
    <w:rsid w:val="00354C42"/>
    <w:rsid w:val="003611E1"/>
    <w:rsid w:val="00363F68"/>
    <w:rsid w:val="00376FC9"/>
    <w:rsid w:val="00377E19"/>
    <w:rsid w:val="0039149A"/>
    <w:rsid w:val="003954E6"/>
    <w:rsid w:val="003C525E"/>
    <w:rsid w:val="003D4345"/>
    <w:rsid w:val="003D4C80"/>
    <w:rsid w:val="003F0F25"/>
    <w:rsid w:val="003F20C0"/>
    <w:rsid w:val="003F309B"/>
    <w:rsid w:val="003F365A"/>
    <w:rsid w:val="003F46EF"/>
    <w:rsid w:val="00404C6B"/>
    <w:rsid w:val="00425613"/>
    <w:rsid w:val="00430D7A"/>
    <w:rsid w:val="00435FB9"/>
    <w:rsid w:val="004378DE"/>
    <w:rsid w:val="00442F7E"/>
    <w:rsid w:val="004503F9"/>
    <w:rsid w:val="00456836"/>
    <w:rsid w:val="00480C75"/>
    <w:rsid w:val="00483DCB"/>
    <w:rsid w:val="004A212A"/>
    <w:rsid w:val="004B2743"/>
    <w:rsid w:val="004B4460"/>
    <w:rsid w:val="004C3E54"/>
    <w:rsid w:val="004E53B3"/>
    <w:rsid w:val="004F13D3"/>
    <w:rsid w:val="004F1C2C"/>
    <w:rsid w:val="0052545F"/>
    <w:rsid w:val="0053125F"/>
    <w:rsid w:val="00532646"/>
    <w:rsid w:val="00540DB1"/>
    <w:rsid w:val="00544964"/>
    <w:rsid w:val="005461F2"/>
    <w:rsid w:val="00547F28"/>
    <w:rsid w:val="00552EE6"/>
    <w:rsid w:val="00555826"/>
    <w:rsid w:val="005600EA"/>
    <w:rsid w:val="00561FF4"/>
    <w:rsid w:val="00571179"/>
    <w:rsid w:val="00584174"/>
    <w:rsid w:val="00585FC0"/>
    <w:rsid w:val="00590892"/>
    <w:rsid w:val="0059413E"/>
    <w:rsid w:val="005B73F1"/>
    <w:rsid w:val="005C02BF"/>
    <w:rsid w:val="005C4CEB"/>
    <w:rsid w:val="005D3E3A"/>
    <w:rsid w:val="005D56F9"/>
    <w:rsid w:val="005D6450"/>
    <w:rsid w:val="005D72A7"/>
    <w:rsid w:val="005E2716"/>
    <w:rsid w:val="005E42B4"/>
    <w:rsid w:val="005E7BF6"/>
    <w:rsid w:val="005F5C64"/>
    <w:rsid w:val="005F7C34"/>
    <w:rsid w:val="00603943"/>
    <w:rsid w:val="00604494"/>
    <w:rsid w:val="006063FE"/>
    <w:rsid w:val="00616422"/>
    <w:rsid w:val="00616929"/>
    <w:rsid w:val="00624D20"/>
    <w:rsid w:val="00630164"/>
    <w:rsid w:val="00630CFF"/>
    <w:rsid w:val="00631167"/>
    <w:rsid w:val="00632205"/>
    <w:rsid w:val="0063256A"/>
    <w:rsid w:val="00633EE6"/>
    <w:rsid w:val="00636ED9"/>
    <w:rsid w:val="00643D34"/>
    <w:rsid w:val="00644004"/>
    <w:rsid w:val="00652F12"/>
    <w:rsid w:val="00662688"/>
    <w:rsid w:val="006718BA"/>
    <w:rsid w:val="006B2FFE"/>
    <w:rsid w:val="006C112E"/>
    <w:rsid w:val="006C64C0"/>
    <w:rsid w:val="006C7A10"/>
    <w:rsid w:val="006C7B52"/>
    <w:rsid w:val="006D7C84"/>
    <w:rsid w:val="006E0B2E"/>
    <w:rsid w:val="006E78A0"/>
    <w:rsid w:val="006F2D06"/>
    <w:rsid w:val="007061C1"/>
    <w:rsid w:val="00710646"/>
    <w:rsid w:val="00721F13"/>
    <w:rsid w:val="00731E13"/>
    <w:rsid w:val="007402DA"/>
    <w:rsid w:val="007451C3"/>
    <w:rsid w:val="0074541A"/>
    <w:rsid w:val="00753545"/>
    <w:rsid w:val="00755419"/>
    <w:rsid w:val="00760DF3"/>
    <w:rsid w:val="00775068"/>
    <w:rsid w:val="0077511D"/>
    <w:rsid w:val="00780E32"/>
    <w:rsid w:val="007827D2"/>
    <w:rsid w:val="007A6359"/>
    <w:rsid w:val="007B0CD7"/>
    <w:rsid w:val="007B52E3"/>
    <w:rsid w:val="007C1C52"/>
    <w:rsid w:val="007C65FD"/>
    <w:rsid w:val="007D3D88"/>
    <w:rsid w:val="007F41B6"/>
    <w:rsid w:val="007F7A6C"/>
    <w:rsid w:val="0080388E"/>
    <w:rsid w:val="00803898"/>
    <w:rsid w:val="00806793"/>
    <w:rsid w:val="0081456C"/>
    <w:rsid w:val="008149DA"/>
    <w:rsid w:val="0082587D"/>
    <w:rsid w:val="00831B94"/>
    <w:rsid w:val="00832CB0"/>
    <w:rsid w:val="00841643"/>
    <w:rsid w:val="0085553E"/>
    <w:rsid w:val="00857B5B"/>
    <w:rsid w:val="008648AA"/>
    <w:rsid w:val="00864B79"/>
    <w:rsid w:val="00871CF0"/>
    <w:rsid w:val="008871D4"/>
    <w:rsid w:val="008923B0"/>
    <w:rsid w:val="008A1E24"/>
    <w:rsid w:val="008A3009"/>
    <w:rsid w:val="008A3FC9"/>
    <w:rsid w:val="008A7C66"/>
    <w:rsid w:val="008B5A16"/>
    <w:rsid w:val="008C65FD"/>
    <w:rsid w:val="008C6840"/>
    <w:rsid w:val="008D17A2"/>
    <w:rsid w:val="008D7D89"/>
    <w:rsid w:val="008F77F2"/>
    <w:rsid w:val="008F7963"/>
    <w:rsid w:val="00904E1E"/>
    <w:rsid w:val="00927252"/>
    <w:rsid w:val="00931B71"/>
    <w:rsid w:val="00937A8D"/>
    <w:rsid w:val="00947E12"/>
    <w:rsid w:val="00950CEB"/>
    <w:rsid w:val="0096509E"/>
    <w:rsid w:val="00965B9A"/>
    <w:rsid w:val="009842A3"/>
    <w:rsid w:val="00986D4A"/>
    <w:rsid w:val="00987AB4"/>
    <w:rsid w:val="009946ED"/>
    <w:rsid w:val="00995656"/>
    <w:rsid w:val="009A24A6"/>
    <w:rsid w:val="009B0501"/>
    <w:rsid w:val="009B2B8C"/>
    <w:rsid w:val="009C0937"/>
    <w:rsid w:val="009C4E11"/>
    <w:rsid w:val="009D5BC7"/>
    <w:rsid w:val="009D7A0A"/>
    <w:rsid w:val="009F09F8"/>
    <w:rsid w:val="009F164F"/>
    <w:rsid w:val="009F4492"/>
    <w:rsid w:val="00A24464"/>
    <w:rsid w:val="00A25C58"/>
    <w:rsid w:val="00A31211"/>
    <w:rsid w:val="00A45A01"/>
    <w:rsid w:val="00A5101C"/>
    <w:rsid w:val="00A5220F"/>
    <w:rsid w:val="00A61760"/>
    <w:rsid w:val="00A676E1"/>
    <w:rsid w:val="00A77B1B"/>
    <w:rsid w:val="00A80FD2"/>
    <w:rsid w:val="00A8501E"/>
    <w:rsid w:val="00A9758F"/>
    <w:rsid w:val="00A978DE"/>
    <w:rsid w:val="00AA1655"/>
    <w:rsid w:val="00AA5714"/>
    <w:rsid w:val="00AB4CC0"/>
    <w:rsid w:val="00AC07E3"/>
    <w:rsid w:val="00AD22DB"/>
    <w:rsid w:val="00AD4FC8"/>
    <w:rsid w:val="00AD78C2"/>
    <w:rsid w:val="00AE005A"/>
    <w:rsid w:val="00AE1813"/>
    <w:rsid w:val="00AE2D47"/>
    <w:rsid w:val="00AF01A7"/>
    <w:rsid w:val="00AF5C91"/>
    <w:rsid w:val="00AF6DD4"/>
    <w:rsid w:val="00B02036"/>
    <w:rsid w:val="00B11138"/>
    <w:rsid w:val="00B173E3"/>
    <w:rsid w:val="00B17422"/>
    <w:rsid w:val="00B238FC"/>
    <w:rsid w:val="00B23F10"/>
    <w:rsid w:val="00B322C7"/>
    <w:rsid w:val="00B52170"/>
    <w:rsid w:val="00B57B57"/>
    <w:rsid w:val="00B62DEA"/>
    <w:rsid w:val="00B67DD1"/>
    <w:rsid w:val="00B71304"/>
    <w:rsid w:val="00B75CAD"/>
    <w:rsid w:val="00B77132"/>
    <w:rsid w:val="00B802E1"/>
    <w:rsid w:val="00B83A4D"/>
    <w:rsid w:val="00B87201"/>
    <w:rsid w:val="00BA40B4"/>
    <w:rsid w:val="00BB2283"/>
    <w:rsid w:val="00BB2A4C"/>
    <w:rsid w:val="00BB5BE8"/>
    <w:rsid w:val="00BC1685"/>
    <w:rsid w:val="00BC1847"/>
    <w:rsid w:val="00BC4A01"/>
    <w:rsid w:val="00BD391A"/>
    <w:rsid w:val="00BE78FD"/>
    <w:rsid w:val="00BF725C"/>
    <w:rsid w:val="00C06B7D"/>
    <w:rsid w:val="00C256AF"/>
    <w:rsid w:val="00C308DE"/>
    <w:rsid w:val="00C30D30"/>
    <w:rsid w:val="00C33D2E"/>
    <w:rsid w:val="00C56AB5"/>
    <w:rsid w:val="00C70364"/>
    <w:rsid w:val="00C71183"/>
    <w:rsid w:val="00C862FB"/>
    <w:rsid w:val="00C945A6"/>
    <w:rsid w:val="00C979AB"/>
    <w:rsid w:val="00CB4C26"/>
    <w:rsid w:val="00CB6D27"/>
    <w:rsid w:val="00CC507F"/>
    <w:rsid w:val="00CC5FD1"/>
    <w:rsid w:val="00CD06C5"/>
    <w:rsid w:val="00CD1B6C"/>
    <w:rsid w:val="00CD4F6B"/>
    <w:rsid w:val="00CD6D4F"/>
    <w:rsid w:val="00CE02DE"/>
    <w:rsid w:val="00CE0FB3"/>
    <w:rsid w:val="00CE5684"/>
    <w:rsid w:val="00CF0DB8"/>
    <w:rsid w:val="00D03189"/>
    <w:rsid w:val="00D03E90"/>
    <w:rsid w:val="00D05203"/>
    <w:rsid w:val="00D0668B"/>
    <w:rsid w:val="00D07964"/>
    <w:rsid w:val="00D15FD0"/>
    <w:rsid w:val="00D20CD8"/>
    <w:rsid w:val="00D253C2"/>
    <w:rsid w:val="00D329F5"/>
    <w:rsid w:val="00D372F5"/>
    <w:rsid w:val="00D42360"/>
    <w:rsid w:val="00D42DD9"/>
    <w:rsid w:val="00D456C0"/>
    <w:rsid w:val="00D458DB"/>
    <w:rsid w:val="00D53C15"/>
    <w:rsid w:val="00D61386"/>
    <w:rsid w:val="00D64A51"/>
    <w:rsid w:val="00D71EB6"/>
    <w:rsid w:val="00D741D9"/>
    <w:rsid w:val="00D81247"/>
    <w:rsid w:val="00D84B65"/>
    <w:rsid w:val="00D97FD6"/>
    <w:rsid w:val="00DB1FA3"/>
    <w:rsid w:val="00DB2C18"/>
    <w:rsid w:val="00DB4638"/>
    <w:rsid w:val="00DD395E"/>
    <w:rsid w:val="00DD4D4E"/>
    <w:rsid w:val="00DE1803"/>
    <w:rsid w:val="00DE42FD"/>
    <w:rsid w:val="00DE7AC9"/>
    <w:rsid w:val="00E13F51"/>
    <w:rsid w:val="00E14BE0"/>
    <w:rsid w:val="00E232B2"/>
    <w:rsid w:val="00E24CE9"/>
    <w:rsid w:val="00E30D65"/>
    <w:rsid w:val="00E415D1"/>
    <w:rsid w:val="00E444FB"/>
    <w:rsid w:val="00E63DF0"/>
    <w:rsid w:val="00E74FC9"/>
    <w:rsid w:val="00E7648B"/>
    <w:rsid w:val="00E810FF"/>
    <w:rsid w:val="00E863D6"/>
    <w:rsid w:val="00E86C24"/>
    <w:rsid w:val="00E90602"/>
    <w:rsid w:val="00E938B7"/>
    <w:rsid w:val="00EA4F7A"/>
    <w:rsid w:val="00EB19DF"/>
    <w:rsid w:val="00EC0D1B"/>
    <w:rsid w:val="00EC4D81"/>
    <w:rsid w:val="00EC5BA6"/>
    <w:rsid w:val="00EC7194"/>
    <w:rsid w:val="00EC7580"/>
    <w:rsid w:val="00EC7D60"/>
    <w:rsid w:val="00ED3E20"/>
    <w:rsid w:val="00EE132F"/>
    <w:rsid w:val="00EF2024"/>
    <w:rsid w:val="00F01542"/>
    <w:rsid w:val="00F06813"/>
    <w:rsid w:val="00F07230"/>
    <w:rsid w:val="00F21359"/>
    <w:rsid w:val="00F22566"/>
    <w:rsid w:val="00F36A1A"/>
    <w:rsid w:val="00F41FCA"/>
    <w:rsid w:val="00F42ED3"/>
    <w:rsid w:val="00F43197"/>
    <w:rsid w:val="00F44454"/>
    <w:rsid w:val="00F53189"/>
    <w:rsid w:val="00F62C1A"/>
    <w:rsid w:val="00F6419B"/>
    <w:rsid w:val="00F67EA0"/>
    <w:rsid w:val="00F7083D"/>
    <w:rsid w:val="00F720CE"/>
    <w:rsid w:val="00FA046F"/>
    <w:rsid w:val="00FB1F35"/>
    <w:rsid w:val="00FB4DAD"/>
    <w:rsid w:val="00FB5BB2"/>
    <w:rsid w:val="00FF1122"/>
    <w:rsid w:val="00FF5D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734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Pr>
      <w:rFonts w:ascii="Verdana" w:eastAsia="Verdana" w:hAnsi="Verdana" w:cs="Verdana"/>
      <w:lang w:bidi="en-US"/>
    </w:rPr>
  </w:style>
  <w:style w:type="paragraph" w:styleId="Nagwek1">
    <w:name w:val="heading 1"/>
    <w:basedOn w:val="Normalny"/>
    <w:uiPriority w:val="1"/>
    <w:qFormat/>
    <w:pPr>
      <w:ind w:left="860"/>
      <w:jc w:val="both"/>
      <w:outlineLvl w:val="0"/>
    </w:pPr>
    <w:rPr>
      <w:sz w:val="28"/>
      <w:szCs w:val="28"/>
    </w:rPr>
  </w:style>
  <w:style w:type="paragraph" w:styleId="Nagwek2">
    <w:name w:val="heading 2"/>
    <w:basedOn w:val="Normalny"/>
    <w:uiPriority w:val="1"/>
    <w:qFormat/>
    <w:pPr>
      <w:spacing w:before="91"/>
      <w:ind w:left="860"/>
      <w:jc w:val="both"/>
      <w:outlineLvl w:val="1"/>
    </w:pPr>
    <w:rPr>
      <w:b/>
      <w:bCs/>
      <w:sz w:val="20"/>
      <w:szCs w:val="20"/>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pPr>
      <w:jc w:val="both"/>
    </w:pPr>
    <w:rPr>
      <w:sz w:val="20"/>
      <w:szCs w:val="20"/>
    </w:rPr>
  </w:style>
  <w:style w:type="paragraph" w:styleId="Akapitzlist">
    <w:name w:val="List Paragraph"/>
    <w:basedOn w:val="Normalny"/>
    <w:uiPriority w:val="1"/>
    <w:qFormat/>
  </w:style>
  <w:style w:type="paragraph" w:customStyle="1" w:styleId="TableParagraph">
    <w:name w:val="Table Paragraph"/>
    <w:basedOn w:val="Normalny"/>
    <w:uiPriority w:val="1"/>
    <w:qFormat/>
  </w:style>
  <w:style w:type="paragraph" w:styleId="Tekstkomentarza">
    <w:name w:val="annotation text"/>
    <w:basedOn w:val="Normalny"/>
    <w:uiPriority w:val="99"/>
    <w:semiHidden/>
    <w:unhideWhenUsed/>
    <w:rPr>
      <w:sz w:val="20"/>
      <w:szCs w:val="20"/>
    </w:rPr>
  </w:style>
  <w:style w:type="character" w:styleId="Odwoaniedokomentarza">
    <w:name w:val="annotation reference"/>
    <w:basedOn w:val="Domylnaczcionkaakapitu"/>
    <w:uiPriority w:val="99"/>
    <w:semiHidden/>
    <w:unhideWhenUsed/>
    <w:rPr>
      <w:sz w:val="16"/>
      <w:szCs w:val="16"/>
    </w:rPr>
  </w:style>
  <w:style w:type="paragraph" w:styleId="Tekstprzypisudolnego">
    <w:name w:val="footnote text"/>
    <w:basedOn w:val="Normalny"/>
    <w:link w:val="TekstprzypisudolnegoZnak"/>
    <w:uiPriority w:val="99"/>
    <w:unhideWhenUsed/>
    <w:rsid w:val="00213410"/>
    <w:rPr>
      <w:sz w:val="20"/>
      <w:szCs w:val="20"/>
    </w:rPr>
  </w:style>
  <w:style w:type="character" w:customStyle="1" w:styleId="TekstprzypisudolnegoZnak">
    <w:name w:val="Tekst przypisu dolnego Znak"/>
    <w:basedOn w:val="Domylnaczcionkaakapitu"/>
    <w:link w:val="Tekstprzypisudolnego"/>
    <w:uiPriority w:val="99"/>
    <w:rsid w:val="00213410"/>
    <w:rPr>
      <w:rFonts w:ascii="Verdana" w:eastAsia="Verdana" w:hAnsi="Verdana" w:cs="Verdana"/>
      <w:sz w:val="20"/>
      <w:szCs w:val="20"/>
      <w:lang w:bidi="en-US"/>
    </w:rPr>
  </w:style>
  <w:style w:type="character" w:styleId="Odwoanieprzypisudolnego">
    <w:name w:val="footnote reference"/>
    <w:basedOn w:val="Domylnaczcionkaakapitu"/>
    <w:uiPriority w:val="99"/>
    <w:semiHidden/>
    <w:unhideWhenUsed/>
    <w:rsid w:val="00213410"/>
    <w:rPr>
      <w:vertAlign w:val="superscript"/>
    </w:rPr>
  </w:style>
  <w:style w:type="paragraph" w:styleId="Tekstdymka">
    <w:name w:val="Balloon Text"/>
    <w:basedOn w:val="Normalny"/>
    <w:link w:val="TekstdymkaZnak"/>
    <w:uiPriority w:val="99"/>
    <w:semiHidden/>
    <w:unhideWhenUsed/>
    <w:rsid w:val="008B5A16"/>
    <w:rPr>
      <w:rFonts w:ascii="Tahoma" w:hAnsi="Tahoma" w:cs="Tahoma"/>
      <w:sz w:val="16"/>
      <w:szCs w:val="16"/>
    </w:rPr>
  </w:style>
  <w:style w:type="character" w:customStyle="1" w:styleId="TekstdymkaZnak">
    <w:name w:val="Tekst dymka Znak"/>
    <w:basedOn w:val="Domylnaczcionkaakapitu"/>
    <w:link w:val="Tekstdymka"/>
    <w:uiPriority w:val="99"/>
    <w:semiHidden/>
    <w:rsid w:val="008B5A16"/>
    <w:rPr>
      <w:rFonts w:ascii="Tahoma" w:eastAsia="Verdana" w:hAnsi="Tahoma" w:cs="Tahoma"/>
      <w:sz w:val="16"/>
      <w:szCs w:val="16"/>
      <w:lang w:bidi="en-US"/>
    </w:rPr>
  </w:style>
  <w:style w:type="paragraph" w:styleId="Nagwek">
    <w:name w:val="header"/>
    <w:basedOn w:val="Normalny"/>
    <w:link w:val="NagwekZnak"/>
    <w:uiPriority w:val="99"/>
    <w:unhideWhenUsed/>
    <w:rsid w:val="008B5A16"/>
    <w:pPr>
      <w:tabs>
        <w:tab w:val="center" w:pos="4536"/>
        <w:tab w:val="right" w:pos="9072"/>
      </w:tabs>
    </w:pPr>
  </w:style>
  <w:style w:type="character" w:customStyle="1" w:styleId="NagwekZnak">
    <w:name w:val="Nagłówek Znak"/>
    <w:basedOn w:val="Domylnaczcionkaakapitu"/>
    <w:link w:val="Nagwek"/>
    <w:uiPriority w:val="99"/>
    <w:rsid w:val="008B5A16"/>
    <w:rPr>
      <w:rFonts w:ascii="Verdana" w:eastAsia="Verdana" w:hAnsi="Verdana" w:cs="Verdana"/>
      <w:lang w:bidi="en-US"/>
    </w:rPr>
  </w:style>
  <w:style w:type="paragraph" w:styleId="Stopka">
    <w:name w:val="footer"/>
    <w:basedOn w:val="Normalny"/>
    <w:link w:val="StopkaZnak"/>
    <w:uiPriority w:val="99"/>
    <w:unhideWhenUsed/>
    <w:rsid w:val="008B5A16"/>
    <w:pPr>
      <w:tabs>
        <w:tab w:val="center" w:pos="4536"/>
        <w:tab w:val="right" w:pos="9072"/>
      </w:tabs>
    </w:pPr>
  </w:style>
  <w:style w:type="character" w:customStyle="1" w:styleId="StopkaZnak">
    <w:name w:val="Stopka Znak"/>
    <w:basedOn w:val="Domylnaczcionkaakapitu"/>
    <w:link w:val="Stopka"/>
    <w:uiPriority w:val="99"/>
    <w:rsid w:val="008B5A16"/>
    <w:rPr>
      <w:rFonts w:ascii="Verdana" w:eastAsia="Verdana" w:hAnsi="Verdana" w:cs="Verdana"/>
      <w:lang w:bidi="en-US"/>
    </w:rPr>
  </w:style>
  <w:style w:type="character" w:customStyle="1" w:styleId="TekstpodstawowyZnak">
    <w:name w:val="Tekst podstawowy Znak"/>
    <w:basedOn w:val="Domylnaczcionkaakapitu"/>
    <w:link w:val="Tekstpodstawowy"/>
    <w:uiPriority w:val="1"/>
    <w:rsid w:val="00B173E3"/>
    <w:rPr>
      <w:rFonts w:ascii="Verdana" w:eastAsia="Verdana" w:hAnsi="Verdana" w:cs="Verdana"/>
      <w:sz w:val="20"/>
      <w:szCs w:val="20"/>
      <w:lang w:bidi="en-US"/>
    </w:rPr>
  </w:style>
  <w:style w:type="character" w:styleId="Hipercze">
    <w:name w:val="Hyperlink"/>
    <w:basedOn w:val="Domylnaczcionkaakapitu"/>
    <w:uiPriority w:val="99"/>
    <w:semiHidden/>
    <w:unhideWhenUsed/>
    <w:rsid w:val="00D42DD9"/>
    <w:rPr>
      <w:color w:val="0000FF"/>
      <w:u w:val="single"/>
    </w:rPr>
  </w:style>
  <w:style w:type="paragraph" w:styleId="Tekstprzypisukocowego">
    <w:name w:val="endnote text"/>
    <w:basedOn w:val="Normalny"/>
    <w:link w:val="TekstprzypisukocowegoZnak"/>
    <w:uiPriority w:val="99"/>
    <w:semiHidden/>
    <w:unhideWhenUsed/>
    <w:rsid w:val="00775068"/>
    <w:rPr>
      <w:sz w:val="20"/>
      <w:szCs w:val="20"/>
    </w:rPr>
  </w:style>
  <w:style w:type="character" w:customStyle="1" w:styleId="TekstprzypisukocowegoZnak">
    <w:name w:val="Tekst przypisu końcowego Znak"/>
    <w:basedOn w:val="Domylnaczcionkaakapitu"/>
    <w:link w:val="Tekstprzypisukocowego"/>
    <w:uiPriority w:val="99"/>
    <w:semiHidden/>
    <w:rsid w:val="00775068"/>
    <w:rPr>
      <w:rFonts w:ascii="Verdana" w:eastAsia="Verdana" w:hAnsi="Verdana" w:cs="Verdana"/>
      <w:sz w:val="20"/>
      <w:szCs w:val="20"/>
      <w:lang w:bidi="en-US"/>
    </w:rPr>
  </w:style>
  <w:style w:type="character" w:styleId="Odwoanieprzypisukocowego">
    <w:name w:val="endnote reference"/>
    <w:basedOn w:val="Domylnaczcionkaakapitu"/>
    <w:uiPriority w:val="99"/>
    <w:semiHidden/>
    <w:unhideWhenUsed/>
    <w:rsid w:val="0077506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Pr>
      <w:rFonts w:ascii="Verdana" w:eastAsia="Verdana" w:hAnsi="Verdana" w:cs="Verdana"/>
      <w:lang w:bidi="en-US"/>
    </w:rPr>
  </w:style>
  <w:style w:type="paragraph" w:styleId="Nagwek1">
    <w:name w:val="heading 1"/>
    <w:basedOn w:val="Normalny"/>
    <w:uiPriority w:val="1"/>
    <w:qFormat/>
    <w:pPr>
      <w:ind w:left="860"/>
      <w:jc w:val="both"/>
      <w:outlineLvl w:val="0"/>
    </w:pPr>
    <w:rPr>
      <w:sz w:val="28"/>
      <w:szCs w:val="28"/>
    </w:rPr>
  </w:style>
  <w:style w:type="paragraph" w:styleId="Nagwek2">
    <w:name w:val="heading 2"/>
    <w:basedOn w:val="Normalny"/>
    <w:uiPriority w:val="1"/>
    <w:qFormat/>
    <w:pPr>
      <w:spacing w:before="91"/>
      <w:ind w:left="860"/>
      <w:jc w:val="both"/>
      <w:outlineLvl w:val="1"/>
    </w:pPr>
    <w:rPr>
      <w:b/>
      <w:bCs/>
      <w:sz w:val="20"/>
      <w:szCs w:val="20"/>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pPr>
      <w:jc w:val="both"/>
    </w:pPr>
    <w:rPr>
      <w:sz w:val="20"/>
      <w:szCs w:val="20"/>
    </w:rPr>
  </w:style>
  <w:style w:type="paragraph" w:styleId="Akapitzlist">
    <w:name w:val="List Paragraph"/>
    <w:basedOn w:val="Normalny"/>
    <w:uiPriority w:val="1"/>
    <w:qFormat/>
  </w:style>
  <w:style w:type="paragraph" w:customStyle="1" w:styleId="TableParagraph">
    <w:name w:val="Table Paragraph"/>
    <w:basedOn w:val="Normalny"/>
    <w:uiPriority w:val="1"/>
    <w:qFormat/>
  </w:style>
  <w:style w:type="paragraph" w:styleId="Tekstkomentarza">
    <w:name w:val="annotation text"/>
    <w:basedOn w:val="Normalny"/>
    <w:uiPriority w:val="99"/>
    <w:semiHidden/>
    <w:unhideWhenUsed/>
    <w:rPr>
      <w:sz w:val="20"/>
      <w:szCs w:val="20"/>
    </w:rPr>
  </w:style>
  <w:style w:type="character" w:styleId="Odwoaniedokomentarza">
    <w:name w:val="annotation reference"/>
    <w:basedOn w:val="Domylnaczcionkaakapitu"/>
    <w:uiPriority w:val="99"/>
    <w:semiHidden/>
    <w:unhideWhenUsed/>
    <w:rPr>
      <w:sz w:val="16"/>
      <w:szCs w:val="16"/>
    </w:rPr>
  </w:style>
  <w:style w:type="paragraph" w:styleId="Tekstprzypisudolnego">
    <w:name w:val="footnote text"/>
    <w:basedOn w:val="Normalny"/>
    <w:link w:val="TekstprzypisudolnegoZnak"/>
    <w:uiPriority w:val="99"/>
    <w:unhideWhenUsed/>
    <w:rsid w:val="00213410"/>
    <w:rPr>
      <w:sz w:val="20"/>
      <w:szCs w:val="20"/>
    </w:rPr>
  </w:style>
  <w:style w:type="character" w:customStyle="1" w:styleId="TekstprzypisudolnegoZnak">
    <w:name w:val="Tekst przypisu dolnego Znak"/>
    <w:basedOn w:val="Domylnaczcionkaakapitu"/>
    <w:link w:val="Tekstprzypisudolnego"/>
    <w:uiPriority w:val="99"/>
    <w:rsid w:val="00213410"/>
    <w:rPr>
      <w:rFonts w:ascii="Verdana" w:eastAsia="Verdana" w:hAnsi="Verdana" w:cs="Verdana"/>
      <w:sz w:val="20"/>
      <w:szCs w:val="20"/>
      <w:lang w:bidi="en-US"/>
    </w:rPr>
  </w:style>
  <w:style w:type="character" w:styleId="Odwoanieprzypisudolnego">
    <w:name w:val="footnote reference"/>
    <w:basedOn w:val="Domylnaczcionkaakapitu"/>
    <w:uiPriority w:val="99"/>
    <w:semiHidden/>
    <w:unhideWhenUsed/>
    <w:rsid w:val="00213410"/>
    <w:rPr>
      <w:vertAlign w:val="superscript"/>
    </w:rPr>
  </w:style>
  <w:style w:type="paragraph" w:styleId="Tekstdymka">
    <w:name w:val="Balloon Text"/>
    <w:basedOn w:val="Normalny"/>
    <w:link w:val="TekstdymkaZnak"/>
    <w:uiPriority w:val="99"/>
    <w:semiHidden/>
    <w:unhideWhenUsed/>
    <w:rsid w:val="008B5A16"/>
    <w:rPr>
      <w:rFonts w:ascii="Tahoma" w:hAnsi="Tahoma" w:cs="Tahoma"/>
      <w:sz w:val="16"/>
      <w:szCs w:val="16"/>
    </w:rPr>
  </w:style>
  <w:style w:type="character" w:customStyle="1" w:styleId="TekstdymkaZnak">
    <w:name w:val="Tekst dymka Znak"/>
    <w:basedOn w:val="Domylnaczcionkaakapitu"/>
    <w:link w:val="Tekstdymka"/>
    <w:uiPriority w:val="99"/>
    <w:semiHidden/>
    <w:rsid w:val="008B5A16"/>
    <w:rPr>
      <w:rFonts w:ascii="Tahoma" w:eastAsia="Verdana" w:hAnsi="Tahoma" w:cs="Tahoma"/>
      <w:sz w:val="16"/>
      <w:szCs w:val="16"/>
      <w:lang w:bidi="en-US"/>
    </w:rPr>
  </w:style>
  <w:style w:type="paragraph" w:styleId="Nagwek">
    <w:name w:val="header"/>
    <w:basedOn w:val="Normalny"/>
    <w:link w:val="NagwekZnak"/>
    <w:uiPriority w:val="99"/>
    <w:unhideWhenUsed/>
    <w:rsid w:val="008B5A16"/>
    <w:pPr>
      <w:tabs>
        <w:tab w:val="center" w:pos="4536"/>
        <w:tab w:val="right" w:pos="9072"/>
      </w:tabs>
    </w:pPr>
  </w:style>
  <w:style w:type="character" w:customStyle="1" w:styleId="NagwekZnak">
    <w:name w:val="Nagłówek Znak"/>
    <w:basedOn w:val="Domylnaczcionkaakapitu"/>
    <w:link w:val="Nagwek"/>
    <w:uiPriority w:val="99"/>
    <w:rsid w:val="008B5A16"/>
    <w:rPr>
      <w:rFonts w:ascii="Verdana" w:eastAsia="Verdana" w:hAnsi="Verdana" w:cs="Verdana"/>
      <w:lang w:bidi="en-US"/>
    </w:rPr>
  </w:style>
  <w:style w:type="paragraph" w:styleId="Stopka">
    <w:name w:val="footer"/>
    <w:basedOn w:val="Normalny"/>
    <w:link w:val="StopkaZnak"/>
    <w:uiPriority w:val="99"/>
    <w:unhideWhenUsed/>
    <w:rsid w:val="008B5A16"/>
    <w:pPr>
      <w:tabs>
        <w:tab w:val="center" w:pos="4536"/>
        <w:tab w:val="right" w:pos="9072"/>
      </w:tabs>
    </w:pPr>
  </w:style>
  <w:style w:type="character" w:customStyle="1" w:styleId="StopkaZnak">
    <w:name w:val="Stopka Znak"/>
    <w:basedOn w:val="Domylnaczcionkaakapitu"/>
    <w:link w:val="Stopka"/>
    <w:uiPriority w:val="99"/>
    <w:rsid w:val="008B5A16"/>
    <w:rPr>
      <w:rFonts w:ascii="Verdana" w:eastAsia="Verdana" w:hAnsi="Verdana" w:cs="Verdana"/>
      <w:lang w:bidi="en-US"/>
    </w:rPr>
  </w:style>
  <w:style w:type="character" w:customStyle="1" w:styleId="TekstpodstawowyZnak">
    <w:name w:val="Tekst podstawowy Znak"/>
    <w:basedOn w:val="Domylnaczcionkaakapitu"/>
    <w:link w:val="Tekstpodstawowy"/>
    <w:uiPriority w:val="1"/>
    <w:rsid w:val="00B173E3"/>
    <w:rPr>
      <w:rFonts w:ascii="Verdana" w:eastAsia="Verdana" w:hAnsi="Verdana" w:cs="Verdana"/>
      <w:sz w:val="20"/>
      <w:szCs w:val="20"/>
      <w:lang w:bidi="en-US"/>
    </w:rPr>
  </w:style>
  <w:style w:type="character" w:styleId="Hipercze">
    <w:name w:val="Hyperlink"/>
    <w:basedOn w:val="Domylnaczcionkaakapitu"/>
    <w:uiPriority w:val="99"/>
    <w:semiHidden/>
    <w:unhideWhenUsed/>
    <w:rsid w:val="00D42DD9"/>
    <w:rPr>
      <w:color w:val="0000FF"/>
      <w:u w:val="single"/>
    </w:rPr>
  </w:style>
  <w:style w:type="paragraph" w:styleId="Tekstprzypisukocowego">
    <w:name w:val="endnote text"/>
    <w:basedOn w:val="Normalny"/>
    <w:link w:val="TekstprzypisukocowegoZnak"/>
    <w:uiPriority w:val="99"/>
    <w:semiHidden/>
    <w:unhideWhenUsed/>
    <w:rsid w:val="00775068"/>
    <w:rPr>
      <w:sz w:val="20"/>
      <w:szCs w:val="20"/>
    </w:rPr>
  </w:style>
  <w:style w:type="character" w:customStyle="1" w:styleId="TekstprzypisukocowegoZnak">
    <w:name w:val="Tekst przypisu końcowego Znak"/>
    <w:basedOn w:val="Domylnaczcionkaakapitu"/>
    <w:link w:val="Tekstprzypisukocowego"/>
    <w:uiPriority w:val="99"/>
    <w:semiHidden/>
    <w:rsid w:val="00775068"/>
    <w:rPr>
      <w:rFonts w:ascii="Verdana" w:eastAsia="Verdana" w:hAnsi="Verdana" w:cs="Verdana"/>
      <w:sz w:val="20"/>
      <w:szCs w:val="20"/>
      <w:lang w:bidi="en-US"/>
    </w:rPr>
  </w:style>
  <w:style w:type="character" w:styleId="Odwoanieprzypisukocowego">
    <w:name w:val="endnote reference"/>
    <w:basedOn w:val="Domylnaczcionkaakapitu"/>
    <w:uiPriority w:val="99"/>
    <w:semiHidden/>
    <w:unhideWhenUsed/>
    <w:rsid w:val="007750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4187">
      <w:bodyDiv w:val="1"/>
      <w:marLeft w:val="0"/>
      <w:marRight w:val="0"/>
      <w:marTop w:val="0"/>
      <w:marBottom w:val="0"/>
      <w:divBdr>
        <w:top w:val="none" w:sz="0" w:space="0" w:color="auto"/>
        <w:left w:val="none" w:sz="0" w:space="0" w:color="auto"/>
        <w:bottom w:val="none" w:sz="0" w:space="0" w:color="auto"/>
        <w:right w:val="none" w:sz="0" w:space="0" w:color="auto"/>
      </w:divBdr>
      <w:divsChild>
        <w:div w:id="194930617">
          <w:marLeft w:val="0"/>
          <w:marRight w:val="0"/>
          <w:marTop w:val="0"/>
          <w:marBottom w:val="0"/>
          <w:divBdr>
            <w:top w:val="none" w:sz="0" w:space="0" w:color="auto"/>
            <w:left w:val="none" w:sz="0" w:space="0" w:color="auto"/>
            <w:bottom w:val="none" w:sz="0" w:space="0" w:color="auto"/>
            <w:right w:val="none" w:sz="0" w:space="0" w:color="auto"/>
          </w:divBdr>
          <w:divsChild>
            <w:div w:id="142043247">
              <w:marLeft w:val="0"/>
              <w:marRight w:val="0"/>
              <w:marTop w:val="0"/>
              <w:marBottom w:val="0"/>
              <w:divBdr>
                <w:top w:val="none" w:sz="0" w:space="0" w:color="auto"/>
                <w:left w:val="none" w:sz="0" w:space="0" w:color="auto"/>
                <w:bottom w:val="none" w:sz="0" w:space="0" w:color="auto"/>
                <w:right w:val="none" w:sz="0" w:space="0" w:color="auto"/>
              </w:divBdr>
              <w:divsChild>
                <w:div w:id="605121137">
                  <w:marLeft w:val="-750"/>
                  <w:marRight w:val="0"/>
                  <w:marTop w:val="15"/>
                  <w:marBottom w:val="0"/>
                  <w:divBdr>
                    <w:top w:val="none" w:sz="0" w:space="0" w:color="auto"/>
                    <w:left w:val="none" w:sz="0" w:space="0" w:color="auto"/>
                    <w:bottom w:val="none" w:sz="0" w:space="0" w:color="auto"/>
                    <w:right w:val="none" w:sz="0" w:space="0" w:color="auto"/>
                  </w:divBdr>
                </w:div>
              </w:divsChild>
            </w:div>
          </w:divsChild>
        </w:div>
        <w:div w:id="2021735842">
          <w:marLeft w:val="302"/>
          <w:marRight w:val="0"/>
          <w:marTop w:val="0"/>
          <w:marBottom w:val="0"/>
          <w:divBdr>
            <w:top w:val="none" w:sz="0" w:space="0" w:color="auto"/>
            <w:left w:val="none" w:sz="0" w:space="0" w:color="auto"/>
            <w:bottom w:val="none" w:sz="0" w:space="0" w:color="auto"/>
            <w:right w:val="none" w:sz="0" w:space="0" w:color="auto"/>
          </w:divBdr>
          <w:divsChild>
            <w:div w:id="1513908184">
              <w:marLeft w:val="0"/>
              <w:marRight w:val="0"/>
              <w:marTop w:val="0"/>
              <w:marBottom w:val="0"/>
              <w:divBdr>
                <w:top w:val="single" w:sz="24" w:space="4" w:color="EEEEEE"/>
                <w:left w:val="single" w:sz="24" w:space="5" w:color="EEEEEE"/>
                <w:bottom w:val="single" w:sz="24" w:space="4" w:color="EEEEEE"/>
                <w:right w:val="single" w:sz="24" w:space="5" w:color="EEEEEE"/>
              </w:divBdr>
              <w:divsChild>
                <w:div w:id="115476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cmiskp.echr.coe.int/tkp197/view.asp?action=html&amp;amp;documentId=695496&amp;amp;portal=hbkm&amp;amp;source=externalbydocnumber&amp;amp;table=F69A27FD8FB86142BF01C1166DEA398649"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cmiskp.echr.coe.int/tkp197/view.asp?action=html&amp;amp;documentId=695496&amp;amp;portal=hbkm&amp;amp;source=externalbydocnumber&amp;amp;table=F69A27FD8FB86142BF01C1166DEA398649"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cmiskp.echr.coe.int/tkp197/view.asp?action=html&amp;amp;documentId=695496&amp;amp;portal=hbkm&amp;amp;source=externalbydocnumber&amp;amp;table=F69A27FD8FB86142BF01C1166DEA398649"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5194</Words>
  <Characters>31170</Characters>
  <Application>Microsoft Office Word</Application>
  <DocSecurity>0</DocSecurity>
  <Lines>259</Lines>
  <Paragraphs>72</Paragraphs>
  <ScaleCrop>false</ScaleCrop>
  <LinksUpToDate>false</LinksUpToDate>
  <CharactersWithSpaces>36292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2020-07-17T11:57:00Z</dcterms:created>
  <dcterms:modified xsi:type="dcterms:W3CDTF">2020-07-23T13:27:00Z</dcterms:modified>
</cp:coreProperties>
</file>