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53B" w:rsidRDefault="0091653B" w:rsidP="00A07536">
      <w:pPr>
        <w:spacing w:after="120" w:line="240" w:lineRule="auto"/>
        <w:jc w:val="center"/>
        <w:rPr>
          <w:rFonts w:ascii="Times New Roman" w:eastAsia="Times New Roman" w:hAnsi="Times New Roman" w:cs="Times New Roman"/>
          <w:b/>
          <w:kern w:val="0"/>
          <w:sz w:val="24"/>
          <w:szCs w:val="24"/>
          <w:lang w:eastAsia="pl-PL"/>
          <w14:ligatures w14:val="none"/>
        </w:rPr>
      </w:pPr>
    </w:p>
    <w:p w:rsidR="0091653B" w:rsidRDefault="0091653B" w:rsidP="00A07536">
      <w:pPr>
        <w:spacing w:after="120" w:line="240" w:lineRule="auto"/>
        <w:jc w:val="center"/>
        <w:rPr>
          <w:rFonts w:ascii="Times New Roman" w:eastAsia="Times New Roman" w:hAnsi="Times New Roman" w:cs="Times New Roman"/>
          <w:b/>
          <w:kern w:val="0"/>
          <w:sz w:val="24"/>
          <w:szCs w:val="24"/>
          <w:lang w:eastAsia="pl-PL"/>
          <w14:ligatures w14:val="none"/>
        </w:rPr>
      </w:pPr>
    </w:p>
    <w:p w:rsidR="00C5079D" w:rsidRPr="0091653B" w:rsidRDefault="0091653B" w:rsidP="00A07536">
      <w:pPr>
        <w:spacing w:after="120" w:line="240" w:lineRule="auto"/>
        <w:jc w:val="center"/>
        <w:rPr>
          <w:rFonts w:ascii="Times New Roman" w:eastAsia="Times New Roman" w:hAnsi="Times New Roman" w:cs="Times New Roman"/>
          <w:b/>
          <w:kern w:val="0"/>
          <w:sz w:val="24"/>
          <w:szCs w:val="24"/>
          <w:lang w:eastAsia="pl-PL"/>
          <w14:ligatures w14:val="none"/>
        </w:rPr>
      </w:pPr>
      <w:r w:rsidRPr="0091653B">
        <w:rPr>
          <w:rFonts w:ascii="Times New Roman" w:eastAsia="Times New Roman" w:hAnsi="Times New Roman" w:cs="Times New Roman"/>
          <w:b/>
          <w:kern w:val="0"/>
          <w:sz w:val="24"/>
          <w:szCs w:val="24"/>
          <w:lang w:eastAsia="pl-PL"/>
          <w14:ligatures w14:val="none"/>
        </w:rPr>
        <w:t>UZASADNIENIE</w:t>
      </w:r>
    </w:p>
    <w:p w:rsidR="0091653B" w:rsidRDefault="0091653B" w:rsidP="00A07536">
      <w:pPr>
        <w:spacing w:after="120" w:line="276" w:lineRule="auto"/>
        <w:jc w:val="both"/>
        <w:rPr>
          <w:rFonts w:ascii="Times New Roman" w:eastAsia="Times New Roman" w:hAnsi="Times New Roman" w:cs="Times New Roman"/>
          <w:kern w:val="0"/>
          <w:lang w:eastAsia="pl-PL"/>
          <w14:ligatures w14:val="none"/>
        </w:rPr>
      </w:pPr>
    </w:p>
    <w:p w:rsidR="00FB6CF4" w:rsidRPr="00A07536" w:rsidRDefault="00FB6CF4" w:rsidP="00A07536">
      <w:pPr>
        <w:spacing w:after="120" w:line="276" w:lineRule="auto"/>
        <w:jc w:val="both"/>
        <w:rPr>
          <w:rFonts w:ascii="Times New Roman" w:eastAsia="Times New Roman" w:hAnsi="Times New Roman" w:cs="Times New Roman"/>
          <w:kern w:val="0"/>
          <w:lang w:eastAsia="pl-PL"/>
          <w14:ligatures w14:val="none"/>
        </w:rPr>
      </w:pPr>
      <w:r w:rsidRPr="00A07536">
        <w:rPr>
          <w:rFonts w:ascii="Times New Roman" w:eastAsia="Times New Roman" w:hAnsi="Times New Roman" w:cs="Times New Roman"/>
          <w:kern w:val="0"/>
          <w:lang w:eastAsia="pl-PL"/>
          <w14:ligatures w14:val="none"/>
        </w:rPr>
        <w:t>Celem projektu jest nowelizacja uchwały nr 72 Rady Ministrów z dnia 27 maja 2025 r. w sprawie zatwierdzenia Programu Ochrony Ludności</w:t>
      </w:r>
      <w:r w:rsidR="00872E84">
        <w:rPr>
          <w:rFonts w:ascii="Times New Roman" w:eastAsia="Times New Roman" w:hAnsi="Times New Roman" w:cs="Times New Roman"/>
          <w:kern w:val="0"/>
          <w:lang w:eastAsia="pl-PL"/>
          <w14:ligatures w14:val="none"/>
        </w:rPr>
        <w:t xml:space="preserve"> i Obrony Cywilnej na lata 2025–</w:t>
      </w:r>
      <w:r w:rsidRPr="00A07536">
        <w:rPr>
          <w:rFonts w:ascii="Times New Roman" w:eastAsia="Times New Roman" w:hAnsi="Times New Roman" w:cs="Times New Roman"/>
          <w:kern w:val="0"/>
          <w:lang w:eastAsia="pl-PL"/>
          <w14:ligatures w14:val="none"/>
        </w:rPr>
        <w:t>2026 (M.P. poz. 541 i</w:t>
      </w:r>
      <w:r w:rsidR="002D3EB0" w:rsidRPr="00A07536">
        <w:rPr>
          <w:rFonts w:ascii="Times New Roman" w:eastAsia="Times New Roman" w:hAnsi="Times New Roman" w:cs="Times New Roman"/>
          <w:kern w:val="0"/>
          <w:lang w:eastAsia="pl-PL"/>
          <w14:ligatures w14:val="none"/>
        </w:rPr>
        <w:t> </w:t>
      </w:r>
      <w:r w:rsidRPr="00A07536">
        <w:rPr>
          <w:rFonts w:ascii="Times New Roman" w:eastAsia="Times New Roman" w:hAnsi="Times New Roman" w:cs="Times New Roman"/>
          <w:kern w:val="0"/>
          <w:lang w:eastAsia="pl-PL"/>
          <w14:ligatures w14:val="none"/>
        </w:rPr>
        <w:t>1143).</w:t>
      </w:r>
    </w:p>
    <w:p w:rsidR="00FB6CF4" w:rsidRPr="00A07536" w:rsidRDefault="00FB6CF4" w:rsidP="00A07536">
      <w:pPr>
        <w:spacing w:after="120" w:line="276" w:lineRule="auto"/>
        <w:jc w:val="both"/>
        <w:rPr>
          <w:rFonts w:ascii="Times New Roman" w:eastAsia="Times New Roman" w:hAnsi="Times New Roman" w:cs="Times New Roman"/>
          <w:kern w:val="0"/>
          <w:lang w:eastAsia="pl-PL"/>
          <w14:ligatures w14:val="none"/>
        </w:rPr>
      </w:pPr>
      <w:r w:rsidRPr="00A07536">
        <w:rPr>
          <w:rFonts w:ascii="Times New Roman" w:eastAsia="Times New Roman" w:hAnsi="Times New Roman" w:cs="Times New Roman"/>
          <w:kern w:val="0"/>
          <w:lang w:eastAsia="pl-PL"/>
          <w14:ligatures w14:val="none"/>
        </w:rPr>
        <w:t>Bieżący monitoring wykonania planu finansowego Programu wykazał wysokie i realne zagrożenie niewydatkowania środków w ujęciu rocznym na poziomie województw oraz w części centralnej. Główną przyczyną niskiej absorpcji środków jest sztywny podział środków pomiędzy obszary Programu, uniemożliwiający dysponentom sprawne reagowanie na dynamicznie zmieniające się uwarunkowania rynkowe i wykonawcze.</w:t>
      </w:r>
      <w:r w:rsidR="002D3EB0" w:rsidRPr="00A07536">
        <w:rPr>
          <w:rFonts w:ascii="Times New Roman" w:eastAsia="Times New Roman" w:hAnsi="Times New Roman" w:cs="Times New Roman"/>
          <w:kern w:val="0"/>
          <w:lang w:eastAsia="pl-PL"/>
          <w14:ligatures w14:val="none"/>
        </w:rPr>
        <w:t xml:space="preserve"> </w:t>
      </w:r>
      <w:r w:rsidRPr="00A07536">
        <w:rPr>
          <w:rFonts w:ascii="Times New Roman" w:eastAsia="Times New Roman" w:hAnsi="Times New Roman" w:cs="Times New Roman"/>
          <w:kern w:val="0"/>
          <w:lang w:eastAsia="pl-PL"/>
          <w14:ligatures w14:val="none"/>
        </w:rPr>
        <w:t>Szczególne trudności i niską dynamikę wydatków zidentyfikowano w Obszarze 1 (</w:t>
      </w:r>
      <w:r w:rsidR="00A07536" w:rsidRPr="00A07536">
        <w:rPr>
          <w:rFonts w:ascii="Times New Roman" w:hAnsi="Times New Roman" w:cs="Times New Roman"/>
        </w:rPr>
        <w:t>Obiekty zbiorowej ochrony</w:t>
      </w:r>
      <w:r w:rsidRPr="00A07536">
        <w:rPr>
          <w:rFonts w:ascii="Times New Roman" w:eastAsia="Times New Roman" w:hAnsi="Times New Roman" w:cs="Times New Roman"/>
          <w:kern w:val="0"/>
          <w:lang w:eastAsia="pl-PL"/>
          <w14:ligatures w14:val="none"/>
        </w:rPr>
        <w:t xml:space="preserve">). Wynika to bezpośrednio długotrwałości procesu zamówień publicznych oraz procesów inwestycyjno-budowlanych. </w:t>
      </w:r>
    </w:p>
    <w:p w:rsidR="00FB6CF4" w:rsidRPr="00A07536" w:rsidRDefault="00FB6CF4" w:rsidP="00A07536">
      <w:pPr>
        <w:spacing w:after="120" w:line="276" w:lineRule="auto"/>
        <w:jc w:val="both"/>
        <w:rPr>
          <w:rFonts w:ascii="Times New Roman" w:eastAsia="Times New Roman" w:hAnsi="Times New Roman" w:cs="Times New Roman"/>
          <w:kern w:val="0"/>
          <w:lang w:eastAsia="pl-PL"/>
          <w14:ligatures w14:val="none"/>
        </w:rPr>
      </w:pPr>
      <w:r w:rsidRPr="00A07536">
        <w:rPr>
          <w:rFonts w:ascii="Times New Roman" w:eastAsia="Times New Roman" w:hAnsi="Times New Roman" w:cs="Times New Roman"/>
          <w:kern w:val="0"/>
          <w:lang w:eastAsia="pl-PL"/>
          <w14:ligatures w14:val="none"/>
        </w:rPr>
        <w:t>W celu przeciwdziałania ryzyku niewydatkowania środków budżetowych z końcem roku oraz zapewnienia pełnego wykorzystania przyznanych limitów, konieczne jest pilne wdrożenie systemowego mechanizmu elastycznego zarządzania przesunięciami środków. Zmiana ta pozwoli na natychmiastowe sprawne przekierowanie wolnych zasobów do tych obszarów Programu, które wykazują najwyższą gotowość realizacyjną i wykonawczą.</w:t>
      </w:r>
    </w:p>
    <w:p w:rsidR="00FB6CF4" w:rsidRPr="00A07536" w:rsidRDefault="00FB6CF4" w:rsidP="00A07536">
      <w:pPr>
        <w:spacing w:after="120" w:line="276" w:lineRule="auto"/>
        <w:jc w:val="both"/>
        <w:rPr>
          <w:rFonts w:ascii="Times New Roman" w:eastAsia="Times New Roman" w:hAnsi="Times New Roman" w:cs="Times New Roman"/>
          <w:kern w:val="0"/>
          <w:lang w:eastAsia="pl-PL"/>
          <w14:ligatures w14:val="none"/>
        </w:rPr>
      </w:pPr>
      <w:r w:rsidRPr="00A07536">
        <w:rPr>
          <w:rFonts w:ascii="Times New Roman" w:eastAsia="Times New Roman" w:hAnsi="Times New Roman" w:cs="Times New Roman"/>
          <w:kern w:val="0"/>
          <w:lang w:eastAsia="pl-PL"/>
          <w14:ligatures w14:val="none"/>
        </w:rPr>
        <w:t>Projekt przewiduje nowelizację załącznika do uchwały nr 72 Rady Mi</w:t>
      </w:r>
      <w:r w:rsidR="00A07536" w:rsidRPr="00A07536">
        <w:rPr>
          <w:rFonts w:ascii="Times New Roman" w:eastAsia="Times New Roman" w:hAnsi="Times New Roman" w:cs="Times New Roman"/>
          <w:kern w:val="0"/>
          <w:lang w:eastAsia="pl-PL"/>
          <w14:ligatures w14:val="none"/>
        </w:rPr>
        <w:t xml:space="preserve">nistrów z dnia 27 maja 2025 r. </w:t>
      </w:r>
      <w:r w:rsidRPr="00A07536">
        <w:rPr>
          <w:rFonts w:ascii="Times New Roman" w:eastAsia="Times New Roman" w:hAnsi="Times New Roman" w:cs="Times New Roman"/>
          <w:kern w:val="0"/>
          <w:lang w:eastAsia="pl-PL"/>
          <w14:ligatures w14:val="none"/>
        </w:rPr>
        <w:t>przez wprowadzenie systemowego mechanizmu elastycznego przenoszenia środków finansowych w</w:t>
      </w:r>
      <w:r w:rsidR="002D3EB0" w:rsidRPr="00A07536">
        <w:rPr>
          <w:rFonts w:ascii="Times New Roman" w:eastAsia="Times New Roman" w:hAnsi="Times New Roman" w:cs="Times New Roman"/>
          <w:kern w:val="0"/>
          <w:lang w:eastAsia="pl-PL"/>
          <w14:ligatures w14:val="none"/>
        </w:rPr>
        <w:t> </w:t>
      </w:r>
      <w:r w:rsidRPr="00A07536">
        <w:rPr>
          <w:rFonts w:ascii="Times New Roman" w:eastAsia="Times New Roman" w:hAnsi="Times New Roman" w:cs="Times New Roman"/>
          <w:kern w:val="0"/>
          <w:lang w:eastAsia="pl-PL"/>
          <w14:ligatures w14:val="none"/>
        </w:rPr>
        <w:t xml:space="preserve">roku budżetowym 2026. </w:t>
      </w:r>
    </w:p>
    <w:p w:rsidR="00FB6CF4" w:rsidRPr="00A07536" w:rsidRDefault="00FB6CF4" w:rsidP="00A07536">
      <w:pPr>
        <w:spacing w:after="120" w:line="276" w:lineRule="auto"/>
        <w:jc w:val="both"/>
        <w:rPr>
          <w:rFonts w:ascii="Times New Roman" w:eastAsia="Times New Roman" w:hAnsi="Times New Roman" w:cs="Times New Roman"/>
          <w:kern w:val="0"/>
          <w:lang w:eastAsia="pl-PL"/>
          <w14:ligatures w14:val="none"/>
        </w:rPr>
      </w:pPr>
      <w:r w:rsidRPr="00A07536">
        <w:rPr>
          <w:rFonts w:ascii="Times New Roman" w:eastAsia="Times New Roman" w:hAnsi="Times New Roman" w:cs="Times New Roman"/>
          <w:kern w:val="0"/>
          <w:lang w:eastAsia="pl-PL"/>
          <w14:ligatures w14:val="none"/>
        </w:rPr>
        <w:t xml:space="preserve">Wprowadzona zostanie możliwość dokonywania przesunięć finansowych pomiędzy </w:t>
      </w:r>
      <w:r w:rsidR="00C77F51" w:rsidRPr="00A07536">
        <w:rPr>
          <w:rFonts w:ascii="Times New Roman" w:eastAsia="Times New Roman" w:hAnsi="Times New Roman" w:cs="Times New Roman"/>
          <w:kern w:val="0"/>
          <w:lang w:eastAsia="pl-PL"/>
          <w14:ligatures w14:val="none"/>
        </w:rPr>
        <w:t>sześcioma</w:t>
      </w:r>
      <w:r w:rsidRPr="00A07536">
        <w:rPr>
          <w:rFonts w:ascii="Times New Roman" w:eastAsia="Times New Roman" w:hAnsi="Times New Roman" w:cs="Times New Roman"/>
          <w:kern w:val="0"/>
          <w:lang w:eastAsia="pl-PL"/>
          <w14:ligatures w14:val="none"/>
        </w:rPr>
        <w:t xml:space="preserve"> komponentami zadaniowymi Programu: Obszarem 1 (</w:t>
      </w:r>
      <w:r w:rsidR="00A07536" w:rsidRPr="00A07536">
        <w:rPr>
          <w:rFonts w:ascii="Times New Roman" w:hAnsi="Times New Roman" w:cs="Times New Roman"/>
        </w:rPr>
        <w:t>Obiekty zbiorowej ochrony</w:t>
      </w:r>
      <w:r w:rsidRPr="00A07536">
        <w:rPr>
          <w:rFonts w:ascii="Times New Roman" w:eastAsia="Times New Roman" w:hAnsi="Times New Roman" w:cs="Times New Roman"/>
          <w:kern w:val="0"/>
          <w:lang w:eastAsia="pl-PL"/>
          <w14:ligatures w14:val="none"/>
        </w:rPr>
        <w:t>), Obszarem 2 (</w:t>
      </w:r>
      <w:r w:rsidR="00A07536" w:rsidRPr="00A07536">
        <w:rPr>
          <w:rFonts w:ascii="Times New Roman" w:hAnsi="Times New Roman" w:cs="Times New Roman"/>
        </w:rPr>
        <w:t>Zabezpieczenie logistyczne i zapewnienie ciągłości dostaw</w:t>
      </w:r>
      <w:r w:rsidRPr="00A07536">
        <w:rPr>
          <w:rFonts w:ascii="Times New Roman" w:eastAsia="Times New Roman" w:hAnsi="Times New Roman" w:cs="Times New Roman"/>
          <w:kern w:val="0"/>
          <w:lang w:eastAsia="pl-PL"/>
          <w14:ligatures w14:val="none"/>
        </w:rPr>
        <w:t>), Obszarem 3 (</w:t>
      </w:r>
      <w:r w:rsidR="00A07536" w:rsidRPr="00A07536">
        <w:rPr>
          <w:rFonts w:ascii="Times New Roman" w:hAnsi="Times New Roman" w:cs="Times New Roman"/>
        </w:rPr>
        <w:t>Utrzymanie i rozwój podmiotów ochrony ludności i organizacji pozarządowych, w tym krajowego systemu ratowniczo-gaśniczego, Państwowego Ratownictwa Medycznego i jednostek ochrony przeciwpożarowej</w:t>
      </w:r>
      <w:r w:rsidRPr="00A07536">
        <w:rPr>
          <w:rFonts w:ascii="Times New Roman" w:eastAsia="Times New Roman" w:hAnsi="Times New Roman" w:cs="Times New Roman"/>
          <w:kern w:val="0"/>
          <w:lang w:eastAsia="pl-PL"/>
          <w14:ligatures w14:val="none"/>
        </w:rPr>
        <w:t>), Obszarem 4 (</w:t>
      </w:r>
      <w:r w:rsidR="00A07536" w:rsidRPr="00A07536">
        <w:rPr>
          <w:rFonts w:ascii="Times New Roman" w:hAnsi="Times New Roman" w:cs="Times New Roman"/>
        </w:rPr>
        <w:t>Edukacja, szkolenia oraz baza i zaplecze szkoleniowe</w:t>
      </w:r>
      <w:r w:rsidRPr="00A07536">
        <w:rPr>
          <w:rFonts w:ascii="Times New Roman" w:eastAsia="Times New Roman" w:hAnsi="Times New Roman" w:cs="Times New Roman"/>
          <w:kern w:val="0"/>
          <w:lang w:eastAsia="pl-PL"/>
          <w14:ligatures w14:val="none"/>
        </w:rPr>
        <w:t>)</w:t>
      </w:r>
      <w:r w:rsidR="00C77F51" w:rsidRPr="00A07536">
        <w:rPr>
          <w:rFonts w:ascii="Times New Roman" w:eastAsia="Times New Roman" w:hAnsi="Times New Roman" w:cs="Times New Roman"/>
          <w:kern w:val="0"/>
          <w:lang w:eastAsia="pl-PL"/>
          <w14:ligatures w14:val="none"/>
        </w:rPr>
        <w:t>, Obszarem 5 (</w:t>
      </w:r>
      <w:r w:rsidR="00A07536" w:rsidRPr="00A07536">
        <w:rPr>
          <w:rFonts w:ascii="Times New Roman" w:hAnsi="Times New Roman" w:cs="Times New Roman"/>
        </w:rPr>
        <w:t>Bezpieczna Łączność Państwowa oraz alarmowanie, ostrzeganie i powiadamianie</w:t>
      </w:r>
      <w:r w:rsidR="00C77F51" w:rsidRPr="00A07536">
        <w:rPr>
          <w:rFonts w:ascii="Times New Roman" w:eastAsia="Times New Roman" w:hAnsi="Times New Roman" w:cs="Times New Roman"/>
          <w:kern w:val="0"/>
          <w:lang w:eastAsia="pl-PL"/>
          <w14:ligatures w14:val="none"/>
        </w:rPr>
        <w:t>)</w:t>
      </w:r>
      <w:r w:rsidRPr="00A07536">
        <w:rPr>
          <w:rFonts w:ascii="Times New Roman" w:eastAsia="Times New Roman" w:hAnsi="Times New Roman" w:cs="Times New Roman"/>
          <w:kern w:val="0"/>
          <w:lang w:eastAsia="pl-PL"/>
          <w14:ligatures w14:val="none"/>
        </w:rPr>
        <w:t xml:space="preserve"> oraz Obszarem 6 (Korpus Obrony Cywilnej). Rozwiązanie to zastępuje dotychczasowe ograniczenie dopuszczające relokację środków wyłącznie pomiędzy Obszarem 1 a Obszarem 2.</w:t>
      </w:r>
    </w:p>
    <w:p w:rsidR="00FB6CF4" w:rsidRPr="00A07536" w:rsidRDefault="00FB6CF4" w:rsidP="00A07536">
      <w:pPr>
        <w:spacing w:after="120" w:line="276" w:lineRule="auto"/>
        <w:jc w:val="both"/>
        <w:rPr>
          <w:rFonts w:ascii="Times New Roman" w:eastAsia="Times New Roman" w:hAnsi="Times New Roman" w:cs="Times New Roman"/>
          <w:kern w:val="0"/>
          <w:lang w:eastAsia="pl-PL"/>
          <w14:ligatures w14:val="none"/>
        </w:rPr>
      </w:pPr>
      <w:r w:rsidRPr="00A07536">
        <w:rPr>
          <w:rFonts w:ascii="Times New Roman" w:eastAsia="Times New Roman" w:hAnsi="Times New Roman" w:cs="Times New Roman"/>
          <w:kern w:val="0"/>
          <w:lang w:eastAsia="pl-PL"/>
          <w14:ligatures w14:val="none"/>
        </w:rPr>
        <w:t>Proponowana nowelizacja nie modyfikuje łącznego limitu środków przewidzianych na realizację zadań Programu, a jej skutki koncentrują się wyłącznie na optymalizacji wewnętrznych procedur ich wydatkowania z zachowaniem zasad dyscypliny finansów publicznych.</w:t>
      </w:r>
    </w:p>
    <w:p w:rsidR="00FB6CF4" w:rsidRPr="00A07536" w:rsidRDefault="00FB6CF4" w:rsidP="00A07536">
      <w:pPr>
        <w:spacing w:after="120" w:line="276" w:lineRule="auto"/>
        <w:jc w:val="both"/>
        <w:rPr>
          <w:rFonts w:ascii="Times New Roman" w:eastAsia="Times New Roman" w:hAnsi="Times New Roman" w:cs="Times New Roman"/>
          <w:kern w:val="0"/>
          <w:lang w:eastAsia="pl-PL"/>
          <w14:ligatures w14:val="none"/>
        </w:rPr>
      </w:pPr>
      <w:r w:rsidRPr="00A07536">
        <w:rPr>
          <w:rFonts w:ascii="Times New Roman" w:eastAsia="Times New Roman" w:hAnsi="Times New Roman" w:cs="Times New Roman"/>
          <w:kern w:val="0"/>
          <w:lang w:eastAsia="pl-PL"/>
          <w14:ligatures w14:val="none"/>
        </w:rPr>
        <w:t>Uelastycznienie zasad dysponowania środkami pozwoli na optymalne zarządzanie budżetem Programu oraz istotnie zwiększy dynamikę i efektywność budowy systemu ochrony ludności. Możliwość sprawnego finansowania zadań wykazujących pełną gotowość realizacyjną zapewni utrzymanie wysokiej gotowości operacyjno-technicznej komponentów sprzętowych oraz logistyczno-magazynowych w województwach. Działania te realnie przełożą się na podniesienie odporności państwa oraz wzrost poziomu bezpieczeństwa obywateli w roku budżetowym 2026.</w:t>
      </w:r>
    </w:p>
    <w:p w:rsidR="000870D3" w:rsidRDefault="000870D3" w:rsidP="00FB7AB8">
      <w:pPr>
        <w:spacing w:after="120" w:line="276" w:lineRule="auto"/>
        <w:jc w:val="both"/>
        <w:rPr>
          <w:rFonts w:ascii="Times New Roman" w:eastAsia="Times New Roman" w:hAnsi="Times New Roman" w:cs="Times New Roman"/>
          <w:kern w:val="0"/>
          <w:lang w:eastAsia="pl-PL"/>
          <w14:ligatures w14:val="none"/>
        </w:rPr>
      </w:pPr>
      <w:r w:rsidRPr="00A07536">
        <w:rPr>
          <w:rFonts w:ascii="Times New Roman" w:eastAsia="Times New Roman" w:hAnsi="Times New Roman" w:cs="Times New Roman"/>
          <w:kern w:val="0"/>
          <w:lang w:eastAsia="pl-PL"/>
          <w14:ligatures w14:val="none"/>
        </w:rPr>
        <w:t xml:space="preserve">W 2026 r. dopuszcza się przenoszenie środków finansowych pomiędzy obszarami 1–6. Łączna suma przeniesień między obszarami, z wyjątkiem przeniesień z obszaru 1 do obszaru 2, może wynosić nie więcej niż 15% środków finansowych, o których mowa w art. 155 ust. 2 pkt 3 ustawy. </w:t>
      </w:r>
    </w:p>
    <w:p w:rsidR="00FB7AB8" w:rsidRDefault="00FB7AB8" w:rsidP="00FB7AB8">
      <w:pPr>
        <w:spacing w:after="120" w:line="276" w:lineRule="auto"/>
        <w:jc w:val="both"/>
        <w:rPr>
          <w:rFonts w:ascii="Times New Roman" w:eastAsia="Times New Roman" w:hAnsi="Times New Roman" w:cs="Times New Roman"/>
          <w:kern w:val="0"/>
          <w:lang w:eastAsia="pl-PL"/>
          <w14:ligatures w14:val="none"/>
        </w:rPr>
      </w:pPr>
      <w:bookmarkStart w:id="0" w:name="_GoBack"/>
      <w:r>
        <w:rPr>
          <w:rFonts w:ascii="Times New Roman" w:eastAsia="Times New Roman" w:hAnsi="Times New Roman" w:cs="Times New Roman"/>
          <w:kern w:val="0"/>
          <w:lang w:eastAsia="pl-PL"/>
          <w14:ligatures w14:val="none"/>
        </w:rPr>
        <w:t xml:space="preserve">Druga nowelizacja Programu stanowi odpowiedź na konieczność realizacji zadań związanych z ochroną przed zagrożeniami uderzenia z powietrza, występującymi szczególnie na wschodniej granicy kraju. </w:t>
      </w:r>
      <w:r>
        <w:rPr>
          <w:rFonts w:ascii="Times New Roman" w:eastAsia="Times New Roman" w:hAnsi="Times New Roman" w:cs="Times New Roman"/>
          <w:kern w:val="0"/>
          <w:lang w:eastAsia="pl-PL"/>
          <w14:ligatures w14:val="none"/>
        </w:rPr>
        <w:lastRenderedPageBreak/>
        <w:t xml:space="preserve">Wydatkowanie środków na wyposażenie dla Straży Granicznej zostało wprowadzone ustawą o zmianie ustawy o ochronie ludności i obronie cywilnej, która weszła w życie z dniem 29 maja 2026 r. </w:t>
      </w:r>
      <w:r w:rsidR="00A02002" w:rsidRPr="00A02002">
        <w:rPr>
          <w:rFonts w:ascii="Times New Roman" w:eastAsia="Times New Roman" w:hAnsi="Times New Roman"/>
          <w:lang w:eastAsia="pl-PL"/>
        </w:rPr>
        <w:t>Dodanie nowego zadania w Obszarze 5 umożliwi realizację przedsięwzięć ochrony infrastruktury, w tym infrastruktury krytycznej, przed zagrożeniami uderzenia z powietrza, w tym użyci</w:t>
      </w:r>
      <w:r w:rsidR="00096B14">
        <w:rPr>
          <w:rFonts w:ascii="Times New Roman" w:eastAsia="Times New Roman" w:hAnsi="Times New Roman"/>
          <w:lang w:eastAsia="pl-PL"/>
        </w:rPr>
        <w:t>a</w:t>
      </w:r>
      <w:r w:rsidR="00A02002" w:rsidRPr="00A02002">
        <w:rPr>
          <w:rFonts w:ascii="Times New Roman" w:eastAsia="Times New Roman" w:hAnsi="Times New Roman"/>
          <w:lang w:eastAsia="pl-PL"/>
        </w:rPr>
        <w:t xml:space="preserve"> bezzałogowych statków powietrznych.</w:t>
      </w:r>
      <w:bookmarkEnd w:id="0"/>
    </w:p>
    <w:p w:rsidR="00B85BAC" w:rsidRPr="00A07536" w:rsidRDefault="00B85BAC" w:rsidP="00FB7AB8">
      <w:pPr>
        <w:spacing w:after="120" w:line="276" w:lineRule="auto"/>
        <w:jc w:val="both"/>
        <w:rPr>
          <w:rFonts w:ascii="Times New Roman" w:eastAsia="Times New Roman" w:hAnsi="Times New Roman" w:cs="Times New Roman"/>
          <w:kern w:val="0"/>
          <w:lang w:eastAsia="pl-PL"/>
          <w14:ligatures w14:val="none"/>
        </w:rPr>
      </w:pPr>
      <w:r w:rsidRPr="00A07536">
        <w:rPr>
          <w:rFonts w:ascii="Times New Roman" w:eastAsia="Times New Roman" w:hAnsi="Times New Roman" w:cs="Times New Roman"/>
          <w:kern w:val="0"/>
          <w:lang w:eastAsia="pl-PL"/>
          <w14:ligatures w14:val="none"/>
        </w:rPr>
        <w:t>W celu wykonania obowiązku wynikającego z art. 5 ustawy z dnia 7 lipca 2005 r. o działalności lobbingowej w procesie stanowienia prawa (Dz. U. z 20</w:t>
      </w:r>
      <w:r w:rsidR="00AF4E3B">
        <w:rPr>
          <w:rFonts w:ascii="Times New Roman" w:eastAsia="Times New Roman" w:hAnsi="Times New Roman" w:cs="Times New Roman"/>
          <w:kern w:val="0"/>
          <w:lang w:eastAsia="pl-PL"/>
          <w14:ligatures w14:val="none"/>
        </w:rPr>
        <w:t>26</w:t>
      </w:r>
      <w:r w:rsidRPr="00A07536">
        <w:rPr>
          <w:rFonts w:ascii="Times New Roman" w:eastAsia="Times New Roman" w:hAnsi="Times New Roman" w:cs="Times New Roman"/>
          <w:kern w:val="0"/>
          <w:lang w:eastAsia="pl-PL"/>
          <w14:ligatures w14:val="none"/>
        </w:rPr>
        <w:t xml:space="preserve"> r. poz. </w:t>
      </w:r>
      <w:r w:rsidR="00AF4E3B">
        <w:rPr>
          <w:rFonts w:ascii="Times New Roman" w:eastAsia="Times New Roman" w:hAnsi="Times New Roman" w:cs="Times New Roman"/>
          <w:kern w:val="0"/>
          <w:lang w:eastAsia="pl-PL"/>
          <w14:ligatures w14:val="none"/>
        </w:rPr>
        <w:t>936</w:t>
      </w:r>
      <w:r w:rsidRPr="00A07536">
        <w:rPr>
          <w:rFonts w:ascii="Times New Roman" w:eastAsia="Times New Roman" w:hAnsi="Times New Roman" w:cs="Times New Roman"/>
          <w:kern w:val="0"/>
          <w:lang w:eastAsia="pl-PL"/>
          <w14:ligatures w14:val="none"/>
        </w:rPr>
        <w:t>) projekt uchwały zosta</w:t>
      </w:r>
      <w:r w:rsidR="00DA3079">
        <w:rPr>
          <w:rFonts w:ascii="Times New Roman" w:eastAsia="Times New Roman" w:hAnsi="Times New Roman" w:cs="Times New Roman"/>
          <w:kern w:val="0"/>
          <w:lang w:eastAsia="pl-PL"/>
          <w14:ligatures w14:val="none"/>
        </w:rPr>
        <w:t>ł</w:t>
      </w:r>
      <w:r w:rsidRPr="00A07536">
        <w:rPr>
          <w:rFonts w:ascii="Times New Roman" w:eastAsia="Times New Roman" w:hAnsi="Times New Roman" w:cs="Times New Roman"/>
          <w:kern w:val="0"/>
          <w:lang w:eastAsia="pl-PL"/>
          <w14:ligatures w14:val="none"/>
        </w:rPr>
        <w:t xml:space="preserve"> umieszczony w Biuletynie Informacji Publicznej MSWiA.</w:t>
      </w:r>
    </w:p>
    <w:p w:rsidR="00B85BAC" w:rsidRPr="00A07536" w:rsidRDefault="00B85BAC" w:rsidP="00FB7AB8">
      <w:pPr>
        <w:spacing w:after="120" w:line="276" w:lineRule="auto"/>
        <w:jc w:val="both"/>
        <w:rPr>
          <w:rFonts w:ascii="Times New Roman" w:eastAsia="Times New Roman" w:hAnsi="Times New Roman" w:cs="Times New Roman"/>
          <w:kern w:val="0"/>
          <w:lang w:eastAsia="pl-PL"/>
          <w14:ligatures w14:val="none"/>
        </w:rPr>
      </w:pPr>
      <w:r w:rsidRPr="00A07536">
        <w:rPr>
          <w:rFonts w:ascii="Times New Roman" w:eastAsia="Times New Roman" w:hAnsi="Times New Roman" w:cs="Times New Roman"/>
          <w:kern w:val="0"/>
          <w:lang w:eastAsia="pl-PL"/>
          <w14:ligatures w14:val="none"/>
        </w:rPr>
        <w:t>Ustawa z dnia 5 grudnia 2024 r. o ochronie ludności i obronie cywilnej przewiduje szczególny tryb uzgodnienia uchwały w sprawie Programu Ochrony Ludności i Obrony Cywilnej. Zgodnie z art. 156 ust. 4 projekt aktu zmieniającego</w:t>
      </w:r>
      <w:r w:rsidR="00F810A3" w:rsidRPr="00A07536">
        <w:rPr>
          <w:rFonts w:ascii="Times New Roman" w:eastAsia="Times New Roman" w:hAnsi="Times New Roman" w:cs="Times New Roman"/>
          <w:kern w:val="0"/>
          <w:lang w:eastAsia="pl-PL"/>
          <w14:ligatures w14:val="none"/>
        </w:rPr>
        <w:t xml:space="preserve"> podlega uzgodnieniu z Ministrem Obrony Narodowej i jest opiniowany przez Komisję Wspólną Rządu i Samorządu Terytorialnego</w:t>
      </w:r>
      <w:r w:rsidR="00AF4E3B">
        <w:rPr>
          <w:rFonts w:ascii="Times New Roman" w:eastAsia="Times New Roman" w:hAnsi="Times New Roman" w:cs="Times New Roman"/>
          <w:kern w:val="0"/>
          <w:lang w:eastAsia="pl-PL"/>
          <w14:ligatures w14:val="none"/>
        </w:rPr>
        <w:t>.</w:t>
      </w:r>
    </w:p>
    <w:p w:rsidR="00B85BAC" w:rsidRPr="00A07536" w:rsidRDefault="00B85BAC" w:rsidP="00FB7AB8">
      <w:pPr>
        <w:spacing w:after="120" w:line="276" w:lineRule="auto"/>
        <w:jc w:val="both"/>
        <w:rPr>
          <w:rFonts w:ascii="Times New Roman" w:eastAsia="Times New Roman" w:hAnsi="Times New Roman" w:cs="Times New Roman"/>
          <w:kern w:val="0"/>
          <w:lang w:eastAsia="pl-PL"/>
          <w14:ligatures w14:val="none"/>
        </w:rPr>
      </w:pPr>
      <w:r w:rsidRPr="00A07536">
        <w:rPr>
          <w:rFonts w:ascii="Times New Roman" w:eastAsia="Times New Roman" w:hAnsi="Times New Roman" w:cs="Times New Roman"/>
          <w:kern w:val="0"/>
          <w:lang w:eastAsia="pl-PL"/>
          <w14:ligatures w14:val="none"/>
        </w:rPr>
        <w:t xml:space="preserve">Projekt uchwały nie jest </w:t>
      </w:r>
      <w:r w:rsidR="002D3EB0" w:rsidRPr="00A07536">
        <w:rPr>
          <w:rFonts w:ascii="Times New Roman" w:eastAsia="Times New Roman" w:hAnsi="Times New Roman" w:cs="Times New Roman"/>
          <w:kern w:val="0"/>
          <w:lang w:eastAsia="pl-PL"/>
          <w14:ligatures w14:val="none"/>
        </w:rPr>
        <w:t>objęty</w:t>
      </w:r>
      <w:r w:rsidRPr="00A07536">
        <w:rPr>
          <w:rFonts w:ascii="Times New Roman" w:eastAsia="Times New Roman" w:hAnsi="Times New Roman" w:cs="Times New Roman"/>
          <w:kern w:val="0"/>
          <w:lang w:eastAsia="pl-PL"/>
          <w14:ligatures w14:val="none"/>
        </w:rPr>
        <w:t xml:space="preserve"> prawem Unii Europejskiej.</w:t>
      </w:r>
    </w:p>
    <w:p w:rsidR="00B85BAC" w:rsidRPr="00A07536" w:rsidRDefault="00B85BAC" w:rsidP="00FB7AB8">
      <w:pPr>
        <w:spacing w:after="120" w:line="276" w:lineRule="auto"/>
        <w:jc w:val="both"/>
        <w:rPr>
          <w:rFonts w:ascii="Times New Roman" w:eastAsia="Times New Roman" w:hAnsi="Times New Roman" w:cs="Times New Roman"/>
          <w:kern w:val="0"/>
          <w:lang w:eastAsia="pl-PL"/>
          <w14:ligatures w14:val="none"/>
        </w:rPr>
      </w:pPr>
      <w:r w:rsidRPr="00A07536">
        <w:rPr>
          <w:rFonts w:ascii="Times New Roman" w:eastAsia="Times New Roman" w:hAnsi="Times New Roman" w:cs="Times New Roman"/>
          <w:kern w:val="0"/>
          <w:lang w:eastAsia="pl-PL"/>
          <w14:ligatures w14:val="none"/>
        </w:rPr>
        <w:t xml:space="preserve">Projekt uchwały nie podlega procedurze notyfikacji aktów prawnych określonej w przepisach rozporządzenia Rady Ministrów z dnia 23 grudnia 2002 r. w sprawie sposobu funkcjonowania krajowego systemu notyfikacji norm i aktów prawnych (Dz. U. poz. 2039, z </w:t>
      </w:r>
      <w:proofErr w:type="spellStart"/>
      <w:r w:rsidRPr="00A07536">
        <w:rPr>
          <w:rFonts w:ascii="Times New Roman" w:eastAsia="Times New Roman" w:hAnsi="Times New Roman" w:cs="Times New Roman"/>
          <w:kern w:val="0"/>
          <w:lang w:eastAsia="pl-PL"/>
          <w14:ligatures w14:val="none"/>
        </w:rPr>
        <w:t>późn</w:t>
      </w:r>
      <w:proofErr w:type="spellEnd"/>
      <w:r w:rsidRPr="00A07536">
        <w:rPr>
          <w:rFonts w:ascii="Times New Roman" w:eastAsia="Times New Roman" w:hAnsi="Times New Roman" w:cs="Times New Roman"/>
          <w:kern w:val="0"/>
          <w:lang w:eastAsia="pl-PL"/>
          <w14:ligatures w14:val="none"/>
        </w:rPr>
        <w:t>. zm.).</w:t>
      </w:r>
    </w:p>
    <w:p w:rsidR="00B85BAC" w:rsidRPr="00A07536" w:rsidRDefault="00B85BAC" w:rsidP="00FB7AB8">
      <w:pPr>
        <w:spacing w:after="120" w:line="276" w:lineRule="auto"/>
        <w:jc w:val="both"/>
        <w:rPr>
          <w:rFonts w:ascii="Times New Roman" w:eastAsia="Times New Roman" w:hAnsi="Times New Roman" w:cs="Times New Roman"/>
          <w:kern w:val="0"/>
          <w:lang w:eastAsia="pl-PL"/>
          <w14:ligatures w14:val="none"/>
        </w:rPr>
      </w:pPr>
      <w:r w:rsidRPr="00A07536">
        <w:rPr>
          <w:rFonts w:ascii="Times New Roman" w:eastAsia="Times New Roman" w:hAnsi="Times New Roman" w:cs="Times New Roman"/>
          <w:kern w:val="0"/>
          <w:lang w:eastAsia="pl-PL"/>
          <w14:ligatures w14:val="none"/>
        </w:rPr>
        <w:t>Projektowana regulacja nie wymaga przedstawienia właściwym organom i instytucjom Unii Europejskiej, w tym Europejskiemu Bankowi Centralnemu, w celu uzyskania opinii, dokonania powiadomienia, konsultacji albo uzgodnienia.</w:t>
      </w:r>
    </w:p>
    <w:p w:rsidR="00B85BAC" w:rsidRPr="00A07536" w:rsidRDefault="00B85BAC" w:rsidP="00FB7AB8">
      <w:pPr>
        <w:spacing w:after="120" w:line="276" w:lineRule="auto"/>
        <w:jc w:val="both"/>
        <w:rPr>
          <w:rFonts w:ascii="Times New Roman" w:eastAsia="Times New Roman" w:hAnsi="Times New Roman" w:cs="Times New Roman"/>
          <w:kern w:val="0"/>
          <w:lang w:eastAsia="pl-PL"/>
          <w14:ligatures w14:val="none"/>
        </w:rPr>
      </w:pPr>
      <w:r w:rsidRPr="00A07536">
        <w:rPr>
          <w:rFonts w:ascii="Times New Roman" w:eastAsia="Times New Roman" w:hAnsi="Times New Roman" w:cs="Times New Roman"/>
          <w:kern w:val="0"/>
          <w:lang w:eastAsia="pl-PL"/>
          <w14:ligatures w14:val="none"/>
        </w:rPr>
        <w:t>Projektowana regulacja nie stwarza zagrożeń korupcyjnych.</w:t>
      </w:r>
    </w:p>
    <w:p w:rsidR="00F31B44" w:rsidRDefault="00F31B44" w:rsidP="0071575F">
      <w:pPr>
        <w:pStyle w:val="ARTartustawynprozporzdzenia"/>
        <w:spacing w:before="0" w:line="240" w:lineRule="auto"/>
        <w:ind w:left="4536" w:firstLine="0"/>
        <w:rPr>
          <w:rFonts w:ascii="Times New Roman" w:hAnsi="Times New Roman" w:cs="Times New Roman"/>
          <w:sz w:val="22"/>
          <w:szCs w:val="22"/>
        </w:rPr>
      </w:pPr>
    </w:p>
    <w:p w:rsidR="00B85BAC" w:rsidRDefault="00B85BAC" w:rsidP="00A07536">
      <w:pPr>
        <w:spacing w:before="100" w:beforeAutospacing="1" w:after="100" w:afterAutospacing="1"/>
        <w:jc w:val="both"/>
        <w:rPr>
          <w:rFonts w:ascii="Times New Roman" w:eastAsia="Times New Roman" w:hAnsi="Times New Roman" w:cs="Times New Roman"/>
          <w:kern w:val="0"/>
          <w:lang w:eastAsia="pl-PL"/>
          <w14:ligatures w14:val="none"/>
        </w:rPr>
      </w:pPr>
    </w:p>
    <w:p w:rsidR="00F31B44" w:rsidRPr="00A07536" w:rsidRDefault="00F31B44" w:rsidP="00A07536">
      <w:pPr>
        <w:spacing w:before="100" w:beforeAutospacing="1" w:after="100" w:afterAutospacing="1"/>
        <w:jc w:val="both"/>
        <w:rPr>
          <w:rFonts w:ascii="Times New Roman" w:eastAsia="Times New Roman" w:hAnsi="Times New Roman" w:cs="Times New Roman"/>
          <w:kern w:val="0"/>
          <w:lang w:eastAsia="pl-PL"/>
          <w14:ligatures w14:val="none"/>
        </w:rPr>
      </w:pPr>
    </w:p>
    <w:p w:rsidR="002E50A9" w:rsidRPr="00A07536" w:rsidRDefault="002E50A9" w:rsidP="00A07536">
      <w:pPr>
        <w:spacing w:before="100" w:beforeAutospacing="1" w:after="100" w:afterAutospacing="1"/>
        <w:jc w:val="both"/>
        <w:rPr>
          <w:rFonts w:ascii="Times New Roman" w:hAnsi="Times New Roman" w:cs="Times New Roman"/>
        </w:rPr>
      </w:pPr>
    </w:p>
    <w:sectPr w:rsidR="002E50A9" w:rsidRPr="00A07536" w:rsidSect="007F5C44">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124378B"/>
    <w:multiLevelType w:val="multilevel"/>
    <w:tmpl w:val="2A347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317"/>
    <w:rsid w:val="000870D3"/>
    <w:rsid w:val="00096B14"/>
    <w:rsid w:val="001327DB"/>
    <w:rsid w:val="00163319"/>
    <w:rsid w:val="00257DC8"/>
    <w:rsid w:val="002D3EB0"/>
    <w:rsid w:val="002E50A9"/>
    <w:rsid w:val="00340E77"/>
    <w:rsid w:val="004139FD"/>
    <w:rsid w:val="006E6764"/>
    <w:rsid w:val="0071575F"/>
    <w:rsid w:val="007F5C44"/>
    <w:rsid w:val="00833FB4"/>
    <w:rsid w:val="00872E84"/>
    <w:rsid w:val="00887363"/>
    <w:rsid w:val="0091653B"/>
    <w:rsid w:val="00A00667"/>
    <w:rsid w:val="00A02002"/>
    <w:rsid w:val="00A07536"/>
    <w:rsid w:val="00AE36CD"/>
    <w:rsid w:val="00AF4E3B"/>
    <w:rsid w:val="00B85BAC"/>
    <w:rsid w:val="00C5079D"/>
    <w:rsid w:val="00C77F51"/>
    <w:rsid w:val="00C92779"/>
    <w:rsid w:val="00CD3FEA"/>
    <w:rsid w:val="00D23835"/>
    <w:rsid w:val="00D42317"/>
    <w:rsid w:val="00DA3079"/>
    <w:rsid w:val="00DD25D6"/>
    <w:rsid w:val="00E0285B"/>
    <w:rsid w:val="00EB3992"/>
    <w:rsid w:val="00F31B44"/>
    <w:rsid w:val="00F45D21"/>
    <w:rsid w:val="00F810A3"/>
    <w:rsid w:val="00FB6CF4"/>
    <w:rsid w:val="00FB7A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68F2B6-FF3E-49D8-82A8-7A7B39ABE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D423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423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4231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4231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4231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4231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4231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4231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4231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4231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4231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4231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4231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4231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4231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4231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4231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42317"/>
    <w:rPr>
      <w:rFonts w:eastAsiaTheme="majorEastAsia" w:cstheme="majorBidi"/>
      <w:color w:val="272727" w:themeColor="text1" w:themeTint="D8"/>
    </w:rPr>
  </w:style>
  <w:style w:type="paragraph" w:styleId="Tytu">
    <w:name w:val="Title"/>
    <w:basedOn w:val="Normalny"/>
    <w:next w:val="Normalny"/>
    <w:link w:val="TytuZnak"/>
    <w:uiPriority w:val="10"/>
    <w:qFormat/>
    <w:rsid w:val="00D423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4231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4231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4231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42317"/>
    <w:pPr>
      <w:spacing w:before="160"/>
      <w:jc w:val="center"/>
    </w:pPr>
    <w:rPr>
      <w:i/>
      <w:iCs/>
      <w:color w:val="404040" w:themeColor="text1" w:themeTint="BF"/>
    </w:rPr>
  </w:style>
  <w:style w:type="character" w:customStyle="1" w:styleId="CytatZnak">
    <w:name w:val="Cytat Znak"/>
    <w:basedOn w:val="Domylnaczcionkaakapitu"/>
    <w:link w:val="Cytat"/>
    <w:uiPriority w:val="29"/>
    <w:rsid w:val="00D42317"/>
    <w:rPr>
      <w:i/>
      <w:iCs/>
      <w:color w:val="404040" w:themeColor="text1" w:themeTint="BF"/>
    </w:rPr>
  </w:style>
  <w:style w:type="paragraph" w:styleId="Akapitzlist">
    <w:name w:val="List Paragraph"/>
    <w:basedOn w:val="Normalny"/>
    <w:uiPriority w:val="34"/>
    <w:qFormat/>
    <w:rsid w:val="00D42317"/>
    <w:pPr>
      <w:ind w:left="720"/>
      <w:contextualSpacing/>
    </w:pPr>
  </w:style>
  <w:style w:type="character" w:styleId="Wyrnienieintensywne">
    <w:name w:val="Intense Emphasis"/>
    <w:basedOn w:val="Domylnaczcionkaakapitu"/>
    <w:uiPriority w:val="21"/>
    <w:qFormat/>
    <w:rsid w:val="00D42317"/>
    <w:rPr>
      <w:i/>
      <w:iCs/>
      <w:color w:val="0F4761" w:themeColor="accent1" w:themeShade="BF"/>
    </w:rPr>
  </w:style>
  <w:style w:type="paragraph" w:styleId="Cytatintensywny">
    <w:name w:val="Intense Quote"/>
    <w:basedOn w:val="Normalny"/>
    <w:next w:val="Normalny"/>
    <w:link w:val="CytatintensywnyZnak"/>
    <w:uiPriority w:val="30"/>
    <w:qFormat/>
    <w:rsid w:val="00D423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42317"/>
    <w:rPr>
      <w:i/>
      <w:iCs/>
      <w:color w:val="0F4761" w:themeColor="accent1" w:themeShade="BF"/>
    </w:rPr>
  </w:style>
  <w:style w:type="character" w:styleId="Odwoanieintensywne">
    <w:name w:val="Intense Reference"/>
    <w:basedOn w:val="Domylnaczcionkaakapitu"/>
    <w:uiPriority w:val="32"/>
    <w:qFormat/>
    <w:rsid w:val="00D42317"/>
    <w:rPr>
      <w:b/>
      <w:bCs/>
      <w:smallCaps/>
      <w:color w:val="0F4761" w:themeColor="accent1" w:themeShade="BF"/>
      <w:spacing w:val="5"/>
    </w:rPr>
  </w:style>
  <w:style w:type="character" w:styleId="Pogrubienie">
    <w:name w:val="Strong"/>
    <w:basedOn w:val="Domylnaczcionkaakapitu"/>
    <w:uiPriority w:val="22"/>
    <w:qFormat/>
    <w:rsid w:val="00340E77"/>
    <w:rPr>
      <w:b/>
      <w:bCs/>
    </w:rPr>
  </w:style>
  <w:style w:type="character" w:customStyle="1" w:styleId="inqyif">
    <w:name w:val="inqyif"/>
    <w:basedOn w:val="Domylnaczcionkaakapitu"/>
    <w:rsid w:val="00B85BAC"/>
  </w:style>
  <w:style w:type="paragraph" w:customStyle="1" w:styleId="ARTartustawynprozporzdzenia">
    <w:name w:val="ART(§) – art. ustawy (§ np. rozporządzenia)"/>
    <w:uiPriority w:val="11"/>
    <w:qFormat/>
    <w:rsid w:val="00F31B44"/>
    <w:pPr>
      <w:suppressAutoHyphens/>
      <w:autoSpaceDE w:val="0"/>
      <w:autoSpaceDN w:val="0"/>
      <w:spacing w:before="120" w:after="0" w:line="360" w:lineRule="auto"/>
      <w:ind w:firstLine="510"/>
      <w:jc w:val="both"/>
    </w:pPr>
    <w:rPr>
      <w:rFonts w:ascii="Times" w:eastAsia="Times New Roman" w:hAnsi="Times" w:cs="Arial"/>
      <w:kern w:val="0"/>
      <w:sz w:val="24"/>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74933">
      <w:bodyDiv w:val="1"/>
      <w:marLeft w:val="0"/>
      <w:marRight w:val="0"/>
      <w:marTop w:val="0"/>
      <w:marBottom w:val="0"/>
      <w:divBdr>
        <w:top w:val="none" w:sz="0" w:space="0" w:color="auto"/>
        <w:left w:val="none" w:sz="0" w:space="0" w:color="auto"/>
        <w:bottom w:val="none" w:sz="0" w:space="0" w:color="auto"/>
        <w:right w:val="none" w:sz="0" w:space="0" w:color="auto"/>
      </w:divBdr>
    </w:div>
    <w:div w:id="398098419">
      <w:bodyDiv w:val="1"/>
      <w:marLeft w:val="0"/>
      <w:marRight w:val="0"/>
      <w:marTop w:val="0"/>
      <w:marBottom w:val="0"/>
      <w:divBdr>
        <w:top w:val="none" w:sz="0" w:space="0" w:color="auto"/>
        <w:left w:val="none" w:sz="0" w:space="0" w:color="auto"/>
        <w:bottom w:val="none" w:sz="0" w:space="0" w:color="auto"/>
        <w:right w:val="none" w:sz="0" w:space="0" w:color="auto"/>
      </w:divBdr>
      <w:divsChild>
        <w:div w:id="2089109947">
          <w:marLeft w:val="0"/>
          <w:marRight w:val="0"/>
          <w:marTop w:val="180"/>
          <w:marBottom w:val="240"/>
          <w:divBdr>
            <w:top w:val="none" w:sz="0" w:space="0" w:color="auto"/>
            <w:left w:val="none" w:sz="0" w:space="0" w:color="auto"/>
            <w:bottom w:val="none" w:sz="0" w:space="0" w:color="auto"/>
            <w:right w:val="none" w:sz="0" w:space="0" w:color="auto"/>
          </w:divBdr>
        </w:div>
        <w:div w:id="542835365">
          <w:marLeft w:val="0"/>
          <w:marRight w:val="0"/>
          <w:marTop w:val="180"/>
          <w:marBottom w:val="240"/>
          <w:divBdr>
            <w:top w:val="none" w:sz="0" w:space="0" w:color="auto"/>
            <w:left w:val="none" w:sz="0" w:space="0" w:color="auto"/>
            <w:bottom w:val="none" w:sz="0" w:space="0" w:color="auto"/>
            <w:right w:val="none" w:sz="0" w:space="0" w:color="auto"/>
          </w:divBdr>
        </w:div>
        <w:div w:id="173232683">
          <w:marLeft w:val="0"/>
          <w:marRight w:val="0"/>
          <w:marTop w:val="180"/>
          <w:marBottom w:val="240"/>
          <w:divBdr>
            <w:top w:val="none" w:sz="0" w:space="0" w:color="auto"/>
            <w:left w:val="none" w:sz="0" w:space="0" w:color="auto"/>
            <w:bottom w:val="none" w:sz="0" w:space="0" w:color="auto"/>
            <w:right w:val="none" w:sz="0" w:space="0" w:color="auto"/>
          </w:divBdr>
        </w:div>
        <w:div w:id="1463226176">
          <w:marLeft w:val="0"/>
          <w:marRight w:val="0"/>
          <w:marTop w:val="180"/>
          <w:marBottom w:val="240"/>
          <w:divBdr>
            <w:top w:val="none" w:sz="0" w:space="0" w:color="auto"/>
            <w:left w:val="none" w:sz="0" w:space="0" w:color="auto"/>
            <w:bottom w:val="none" w:sz="0" w:space="0" w:color="auto"/>
            <w:right w:val="none" w:sz="0" w:space="0" w:color="auto"/>
          </w:divBdr>
        </w:div>
        <w:div w:id="619646718">
          <w:marLeft w:val="0"/>
          <w:marRight w:val="0"/>
          <w:marTop w:val="180"/>
          <w:marBottom w:val="240"/>
          <w:divBdr>
            <w:top w:val="none" w:sz="0" w:space="0" w:color="auto"/>
            <w:left w:val="none" w:sz="0" w:space="0" w:color="auto"/>
            <w:bottom w:val="none" w:sz="0" w:space="0" w:color="auto"/>
            <w:right w:val="none" w:sz="0" w:space="0" w:color="auto"/>
          </w:divBdr>
        </w:div>
        <w:div w:id="646320035">
          <w:marLeft w:val="0"/>
          <w:marRight w:val="0"/>
          <w:marTop w:val="180"/>
          <w:marBottom w:val="240"/>
          <w:divBdr>
            <w:top w:val="none" w:sz="0" w:space="0" w:color="auto"/>
            <w:left w:val="none" w:sz="0" w:space="0" w:color="auto"/>
            <w:bottom w:val="none" w:sz="0" w:space="0" w:color="auto"/>
            <w:right w:val="none" w:sz="0" w:space="0" w:color="auto"/>
          </w:divBdr>
        </w:div>
        <w:div w:id="2018919187">
          <w:marLeft w:val="0"/>
          <w:marRight w:val="0"/>
          <w:marTop w:val="180"/>
          <w:marBottom w:val="240"/>
          <w:divBdr>
            <w:top w:val="none" w:sz="0" w:space="0" w:color="auto"/>
            <w:left w:val="none" w:sz="0" w:space="0" w:color="auto"/>
            <w:bottom w:val="none" w:sz="0" w:space="0" w:color="auto"/>
            <w:right w:val="none" w:sz="0" w:space="0" w:color="auto"/>
          </w:divBdr>
        </w:div>
        <w:div w:id="1594126852">
          <w:marLeft w:val="0"/>
          <w:marRight w:val="0"/>
          <w:marTop w:val="180"/>
          <w:marBottom w:val="240"/>
          <w:divBdr>
            <w:top w:val="none" w:sz="0" w:space="0" w:color="auto"/>
            <w:left w:val="none" w:sz="0" w:space="0" w:color="auto"/>
            <w:bottom w:val="none" w:sz="0" w:space="0" w:color="auto"/>
            <w:right w:val="none" w:sz="0" w:space="0" w:color="auto"/>
          </w:divBdr>
        </w:div>
        <w:div w:id="1006247116">
          <w:marLeft w:val="0"/>
          <w:marRight w:val="0"/>
          <w:marTop w:val="180"/>
          <w:marBottom w:val="240"/>
          <w:divBdr>
            <w:top w:val="none" w:sz="0" w:space="0" w:color="auto"/>
            <w:left w:val="none" w:sz="0" w:space="0" w:color="auto"/>
            <w:bottom w:val="none" w:sz="0" w:space="0" w:color="auto"/>
            <w:right w:val="none" w:sz="0" w:space="0" w:color="auto"/>
          </w:divBdr>
        </w:div>
        <w:div w:id="1477840841">
          <w:marLeft w:val="0"/>
          <w:marRight w:val="0"/>
          <w:marTop w:val="180"/>
          <w:marBottom w:val="240"/>
          <w:divBdr>
            <w:top w:val="none" w:sz="0" w:space="0" w:color="auto"/>
            <w:left w:val="none" w:sz="0" w:space="0" w:color="auto"/>
            <w:bottom w:val="none" w:sz="0" w:space="0" w:color="auto"/>
            <w:right w:val="none" w:sz="0" w:space="0" w:color="auto"/>
          </w:divBdr>
        </w:div>
      </w:divsChild>
    </w:div>
    <w:div w:id="498036359">
      <w:bodyDiv w:val="1"/>
      <w:marLeft w:val="0"/>
      <w:marRight w:val="0"/>
      <w:marTop w:val="0"/>
      <w:marBottom w:val="0"/>
      <w:divBdr>
        <w:top w:val="none" w:sz="0" w:space="0" w:color="auto"/>
        <w:left w:val="none" w:sz="0" w:space="0" w:color="auto"/>
        <w:bottom w:val="none" w:sz="0" w:space="0" w:color="auto"/>
        <w:right w:val="none" w:sz="0" w:space="0" w:color="auto"/>
      </w:divBdr>
    </w:div>
    <w:div w:id="556890605">
      <w:bodyDiv w:val="1"/>
      <w:marLeft w:val="0"/>
      <w:marRight w:val="0"/>
      <w:marTop w:val="0"/>
      <w:marBottom w:val="0"/>
      <w:divBdr>
        <w:top w:val="none" w:sz="0" w:space="0" w:color="auto"/>
        <w:left w:val="none" w:sz="0" w:space="0" w:color="auto"/>
        <w:bottom w:val="none" w:sz="0" w:space="0" w:color="auto"/>
        <w:right w:val="none" w:sz="0" w:space="0" w:color="auto"/>
      </w:divBdr>
      <w:divsChild>
        <w:div w:id="1293562888">
          <w:marLeft w:val="0"/>
          <w:marRight w:val="0"/>
          <w:marTop w:val="180"/>
          <w:marBottom w:val="240"/>
          <w:divBdr>
            <w:top w:val="none" w:sz="0" w:space="0" w:color="auto"/>
            <w:left w:val="none" w:sz="0" w:space="0" w:color="auto"/>
            <w:bottom w:val="none" w:sz="0" w:space="0" w:color="auto"/>
            <w:right w:val="none" w:sz="0" w:space="0" w:color="auto"/>
          </w:divBdr>
        </w:div>
        <w:div w:id="851184329">
          <w:marLeft w:val="0"/>
          <w:marRight w:val="0"/>
          <w:marTop w:val="180"/>
          <w:marBottom w:val="240"/>
          <w:divBdr>
            <w:top w:val="none" w:sz="0" w:space="0" w:color="auto"/>
            <w:left w:val="none" w:sz="0" w:space="0" w:color="auto"/>
            <w:bottom w:val="none" w:sz="0" w:space="0" w:color="auto"/>
            <w:right w:val="none" w:sz="0" w:space="0" w:color="auto"/>
          </w:divBdr>
        </w:div>
        <w:div w:id="1059016152">
          <w:marLeft w:val="0"/>
          <w:marRight w:val="0"/>
          <w:marTop w:val="180"/>
          <w:marBottom w:val="240"/>
          <w:divBdr>
            <w:top w:val="none" w:sz="0" w:space="0" w:color="auto"/>
            <w:left w:val="none" w:sz="0" w:space="0" w:color="auto"/>
            <w:bottom w:val="none" w:sz="0" w:space="0" w:color="auto"/>
            <w:right w:val="none" w:sz="0" w:space="0" w:color="auto"/>
          </w:divBdr>
        </w:div>
        <w:div w:id="1953825182">
          <w:marLeft w:val="0"/>
          <w:marRight w:val="0"/>
          <w:marTop w:val="180"/>
          <w:marBottom w:val="240"/>
          <w:divBdr>
            <w:top w:val="none" w:sz="0" w:space="0" w:color="auto"/>
            <w:left w:val="none" w:sz="0" w:space="0" w:color="auto"/>
            <w:bottom w:val="none" w:sz="0" w:space="0" w:color="auto"/>
            <w:right w:val="none" w:sz="0" w:space="0" w:color="auto"/>
          </w:divBdr>
        </w:div>
        <w:div w:id="407533753">
          <w:marLeft w:val="0"/>
          <w:marRight w:val="0"/>
          <w:marTop w:val="180"/>
          <w:marBottom w:val="240"/>
          <w:divBdr>
            <w:top w:val="none" w:sz="0" w:space="0" w:color="auto"/>
            <w:left w:val="none" w:sz="0" w:space="0" w:color="auto"/>
            <w:bottom w:val="none" w:sz="0" w:space="0" w:color="auto"/>
            <w:right w:val="none" w:sz="0" w:space="0" w:color="auto"/>
          </w:divBdr>
        </w:div>
        <w:div w:id="2025787370">
          <w:marLeft w:val="0"/>
          <w:marRight w:val="0"/>
          <w:marTop w:val="180"/>
          <w:marBottom w:val="240"/>
          <w:divBdr>
            <w:top w:val="none" w:sz="0" w:space="0" w:color="auto"/>
            <w:left w:val="none" w:sz="0" w:space="0" w:color="auto"/>
            <w:bottom w:val="none" w:sz="0" w:space="0" w:color="auto"/>
            <w:right w:val="none" w:sz="0" w:space="0" w:color="auto"/>
          </w:divBdr>
        </w:div>
        <w:div w:id="136841334">
          <w:marLeft w:val="0"/>
          <w:marRight w:val="0"/>
          <w:marTop w:val="180"/>
          <w:marBottom w:val="240"/>
          <w:divBdr>
            <w:top w:val="none" w:sz="0" w:space="0" w:color="auto"/>
            <w:left w:val="none" w:sz="0" w:space="0" w:color="auto"/>
            <w:bottom w:val="none" w:sz="0" w:space="0" w:color="auto"/>
            <w:right w:val="none" w:sz="0" w:space="0" w:color="auto"/>
          </w:divBdr>
        </w:div>
      </w:divsChild>
    </w:div>
    <w:div w:id="1169323743">
      <w:bodyDiv w:val="1"/>
      <w:marLeft w:val="0"/>
      <w:marRight w:val="0"/>
      <w:marTop w:val="0"/>
      <w:marBottom w:val="0"/>
      <w:divBdr>
        <w:top w:val="none" w:sz="0" w:space="0" w:color="auto"/>
        <w:left w:val="none" w:sz="0" w:space="0" w:color="auto"/>
        <w:bottom w:val="none" w:sz="0" w:space="0" w:color="auto"/>
        <w:right w:val="none" w:sz="0" w:space="0" w:color="auto"/>
      </w:divBdr>
    </w:div>
    <w:div w:id="1306740585">
      <w:bodyDiv w:val="1"/>
      <w:marLeft w:val="0"/>
      <w:marRight w:val="0"/>
      <w:marTop w:val="0"/>
      <w:marBottom w:val="0"/>
      <w:divBdr>
        <w:top w:val="none" w:sz="0" w:space="0" w:color="auto"/>
        <w:left w:val="none" w:sz="0" w:space="0" w:color="auto"/>
        <w:bottom w:val="none" w:sz="0" w:space="0" w:color="auto"/>
        <w:right w:val="none" w:sz="0" w:space="0" w:color="auto"/>
      </w:divBdr>
    </w:div>
    <w:div w:id="1512137699">
      <w:bodyDiv w:val="1"/>
      <w:marLeft w:val="0"/>
      <w:marRight w:val="0"/>
      <w:marTop w:val="0"/>
      <w:marBottom w:val="0"/>
      <w:divBdr>
        <w:top w:val="none" w:sz="0" w:space="0" w:color="auto"/>
        <w:left w:val="none" w:sz="0" w:space="0" w:color="auto"/>
        <w:bottom w:val="none" w:sz="0" w:space="0" w:color="auto"/>
        <w:right w:val="none" w:sz="0" w:space="0" w:color="auto"/>
      </w:divBdr>
    </w:div>
    <w:div w:id="1997608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e67c0c2-f0ae-46df-95fa-92af18f3fdf4}" enabled="0" method="" siteId="{2e67c0c2-f0ae-46df-95fa-92af18f3fdf4}" removed="1"/>
</clbl:labelList>
</file>

<file path=docProps/app.xml><?xml version="1.0" encoding="utf-8"?>
<Properties xmlns="http://schemas.openxmlformats.org/officeDocument/2006/extended-properties" xmlns:vt="http://schemas.openxmlformats.org/officeDocument/2006/docPropsVTypes">
  <Template>Normal</Template>
  <TotalTime>14</TotalTime>
  <Pages>2</Pages>
  <Words>721</Words>
  <Characters>4330</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M.Trela (KG PSP)</dc:creator>
  <cp:keywords/>
  <dc:description/>
  <cp:lastModifiedBy>MSWiA3</cp:lastModifiedBy>
  <cp:revision>14</cp:revision>
  <dcterms:created xsi:type="dcterms:W3CDTF">2026-09-15T12:54:00Z</dcterms:created>
  <dcterms:modified xsi:type="dcterms:W3CDTF">2026-09-30T13:01:00Z</dcterms:modified>
</cp:coreProperties>
</file>