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E7939" w14:textId="77777777" w:rsidR="00AC358C" w:rsidRDefault="00AC358C" w:rsidP="00404338">
      <w:pPr>
        <w:jc w:val="left"/>
      </w:pPr>
      <w:r w:rsidRPr="00CC6517">
        <w:rPr>
          <w:b/>
          <w:bCs/>
        </w:rPr>
        <w:t>Materiał informacyjny</w:t>
      </w:r>
      <w:r w:rsidRPr="00CC6517">
        <w:br/>
        <w:t>opracowany przez Departament Energii Jądrowej</w:t>
      </w:r>
      <w:r w:rsidRPr="00CC6517">
        <w:br/>
        <w:t>Ministerstwa Klimatu i Środowiska</w:t>
      </w:r>
    </w:p>
    <w:p w14:paraId="0C152CED" w14:textId="77777777" w:rsidR="008D6699" w:rsidRDefault="008D6699" w:rsidP="001455C7">
      <w:pPr>
        <w:rPr>
          <w:i/>
          <w:sz w:val="22"/>
          <w:szCs w:val="22"/>
        </w:rPr>
      </w:pPr>
    </w:p>
    <w:p w14:paraId="307D37FB" w14:textId="581691B1" w:rsidR="00AC358C" w:rsidRDefault="00DA254B" w:rsidP="001455C7">
      <w:pPr>
        <w:rPr>
          <w:i/>
          <w:sz w:val="22"/>
          <w:szCs w:val="22"/>
        </w:rPr>
      </w:pPr>
      <w:r>
        <w:rPr>
          <w:i/>
          <w:sz w:val="22"/>
          <w:szCs w:val="22"/>
        </w:rPr>
        <w:t>2</w:t>
      </w:r>
      <w:r w:rsidR="009D3F55">
        <w:rPr>
          <w:i/>
          <w:sz w:val="22"/>
          <w:szCs w:val="22"/>
        </w:rPr>
        <w:t>3</w:t>
      </w:r>
      <w:r w:rsidR="00AC358C">
        <w:rPr>
          <w:i/>
          <w:sz w:val="22"/>
          <w:szCs w:val="22"/>
        </w:rPr>
        <w:t xml:space="preserve"> </w:t>
      </w:r>
      <w:r w:rsidR="008D6699">
        <w:rPr>
          <w:i/>
          <w:sz w:val="22"/>
          <w:szCs w:val="22"/>
        </w:rPr>
        <w:t>c</w:t>
      </w:r>
      <w:r w:rsidR="009945A8">
        <w:rPr>
          <w:i/>
          <w:sz w:val="22"/>
          <w:szCs w:val="22"/>
        </w:rPr>
        <w:t>zerwca</w:t>
      </w:r>
      <w:r w:rsidR="00AC358C" w:rsidRPr="000355BD">
        <w:rPr>
          <w:i/>
          <w:sz w:val="22"/>
          <w:szCs w:val="22"/>
        </w:rPr>
        <w:t xml:space="preserve"> 20</w:t>
      </w:r>
      <w:r w:rsidR="00AC358C">
        <w:rPr>
          <w:i/>
          <w:sz w:val="22"/>
          <w:szCs w:val="22"/>
        </w:rPr>
        <w:t>21</w:t>
      </w:r>
      <w:r w:rsidR="006D1A86">
        <w:rPr>
          <w:i/>
          <w:sz w:val="22"/>
          <w:szCs w:val="22"/>
        </w:rPr>
        <w:t xml:space="preserve"> r.</w:t>
      </w:r>
    </w:p>
    <w:p w14:paraId="1EA3A4B6" w14:textId="77777777" w:rsidR="009945A8" w:rsidRDefault="009945A8" w:rsidP="001455C7">
      <w:pPr>
        <w:rPr>
          <w:b/>
          <w:sz w:val="28"/>
          <w:szCs w:val="28"/>
        </w:rPr>
      </w:pPr>
    </w:p>
    <w:p w14:paraId="4ED95B78" w14:textId="3484418F" w:rsidR="00AC358C" w:rsidRPr="006D1A86" w:rsidRDefault="006D1A86" w:rsidP="00404338">
      <w:pPr>
        <w:jc w:val="center"/>
        <w:rPr>
          <w:b/>
          <w:smallCaps/>
          <w:sz w:val="26"/>
          <w:szCs w:val="26"/>
        </w:rPr>
      </w:pPr>
      <w:r w:rsidRPr="00D004E6">
        <w:rPr>
          <w:b/>
          <w:smallCaps/>
          <w:sz w:val="26"/>
          <w:szCs w:val="26"/>
          <w:highlight w:val="yellow"/>
        </w:rPr>
        <w:t xml:space="preserve">Bieżący </w:t>
      </w:r>
      <w:r w:rsidR="00AC358C" w:rsidRPr="00D004E6">
        <w:rPr>
          <w:b/>
          <w:smallCaps/>
          <w:sz w:val="26"/>
          <w:szCs w:val="26"/>
          <w:highlight w:val="yellow"/>
        </w:rPr>
        <w:t xml:space="preserve">Przegląd </w:t>
      </w:r>
      <w:r w:rsidRPr="00D004E6">
        <w:rPr>
          <w:b/>
          <w:smallCaps/>
          <w:sz w:val="26"/>
          <w:szCs w:val="26"/>
          <w:highlight w:val="yellow"/>
        </w:rPr>
        <w:t>Wydarzeń w Energetyce Jądrowej na Świecie</w:t>
      </w:r>
    </w:p>
    <w:p w14:paraId="219634C8" w14:textId="06F2947D" w:rsidR="00AC358C" w:rsidRDefault="00AC358C" w:rsidP="001455C7">
      <w:pPr>
        <w:rPr>
          <w:b/>
          <w:sz w:val="26"/>
          <w:szCs w:val="26"/>
        </w:rPr>
      </w:pPr>
    </w:p>
    <w:p w14:paraId="4DA7A960" w14:textId="1788F5AC" w:rsidR="009D3F55" w:rsidRPr="007B2CA2" w:rsidRDefault="00AC358C" w:rsidP="00484C33">
      <w:pPr>
        <w:spacing w:before="240" w:after="240"/>
        <w:rPr>
          <w:rStyle w:val="jlqj4b"/>
          <w:b/>
          <w:bCs/>
        </w:rPr>
      </w:pPr>
      <w:r w:rsidRPr="006E0F2C">
        <w:rPr>
          <w:rStyle w:val="jlqj4b"/>
          <w:b/>
          <w:bCs/>
        </w:rPr>
        <w:t>1.</w:t>
      </w:r>
      <w:r w:rsidR="00441EB1" w:rsidRPr="006E0F2C">
        <w:rPr>
          <w:rStyle w:val="jlqj4b"/>
          <w:b/>
          <w:bCs/>
        </w:rPr>
        <w:t> </w:t>
      </w:r>
      <w:r w:rsidR="009D3F55" w:rsidRPr="007B2CA2">
        <w:rPr>
          <w:rStyle w:val="jlqj4b"/>
          <w:b/>
          <w:bCs/>
        </w:rPr>
        <w:t xml:space="preserve">Budowa </w:t>
      </w:r>
      <w:r w:rsidR="001E74F0">
        <w:rPr>
          <w:rStyle w:val="jlqj4b"/>
          <w:b/>
          <w:bCs/>
        </w:rPr>
        <w:t xml:space="preserve">EJ </w:t>
      </w:r>
      <w:r w:rsidR="009D3F55" w:rsidRPr="007B2CA2">
        <w:rPr>
          <w:rStyle w:val="jlqj4b"/>
          <w:b/>
          <w:bCs/>
        </w:rPr>
        <w:t xml:space="preserve">Kola II ruszy w 2028r </w:t>
      </w:r>
    </w:p>
    <w:p w14:paraId="3419AB88" w14:textId="77777777" w:rsidR="009D3F55" w:rsidRDefault="009D3F55" w:rsidP="009D3F55">
      <w:pPr>
        <w:rPr>
          <w:rStyle w:val="jlqj4b"/>
        </w:rPr>
      </w:pPr>
      <w:r>
        <w:rPr>
          <w:rStyle w:val="jlqj4b"/>
        </w:rPr>
        <w:t xml:space="preserve">Dyrektor rosyjskiej elektrowni jądrowej Kola, Wasilij </w:t>
      </w:r>
      <w:proofErr w:type="spellStart"/>
      <w:r>
        <w:rPr>
          <w:rStyle w:val="jlqj4b"/>
        </w:rPr>
        <w:t>Omelczuk</w:t>
      </w:r>
      <w:proofErr w:type="spellEnd"/>
      <w:r>
        <w:rPr>
          <w:rStyle w:val="jlqj4b"/>
        </w:rPr>
        <w:t xml:space="preserve"> podczas internetowej konferencji prasowej przekazał 18 czerwca, że </w:t>
      </w:r>
      <w:proofErr w:type="spellStart"/>
      <w:r>
        <w:rPr>
          <w:rStyle w:val="jlqj4b"/>
        </w:rPr>
        <w:t>Rosatom</w:t>
      </w:r>
      <w:proofErr w:type="spellEnd"/>
      <w:r>
        <w:rPr>
          <w:rStyle w:val="jlqj4b"/>
        </w:rPr>
        <w:t xml:space="preserve"> planuje rozpocząć w 2028 r. budowę nowych bloków w elektrowni jądrowej Kola II, a uruchomienie pierwszego z nich wyznaczono na 2034 r. </w:t>
      </w:r>
    </w:p>
    <w:p w14:paraId="57D64A36" w14:textId="29D28BE8" w:rsidR="009D3F55" w:rsidRDefault="009D3F55" w:rsidP="009D3F55">
      <w:pPr>
        <w:rPr>
          <w:rStyle w:val="jlqj4b"/>
        </w:rPr>
      </w:pPr>
      <w:r>
        <w:rPr>
          <w:rStyle w:val="jlqj4b"/>
        </w:rPr>
        <w:t xml:space="preserve">Obecnie w EJ Kola działają cztery energetyczne bloki jądrowe wyposażone w reaktory WWER-440; nr 1 i 2 typu V-230, a 3 i 4 </w:t>
      </w:r>
      <w:r w:rsidR="00C873EC">
        <w:rPr>
          <w:rStyle w:val="jlqj4b"/>
        </w:rPr>
        <w:t>typu</w:t>
      </w:r>
      <w:r>
        <w:rPr>
          <w:rStyle w:val="jlqj4b"/>
        </w:rPr>
        <w:t xml:space="preserve"> V-213. Jednostki 1-4 otrzymały przedłużenia licencji odpowiednio do 2033, 2029, 2027 i 2029. </w:t>
      </w:r>
      <w:proofErr w:type="spellStart"/>
      <w:r>
        <w:rPr>
          <w:rStyle w:val="jlqj4b"/>
        </w:rPr>
        <w:t>Rosatom</w:t>
      </w:r>
      <w:proofErr w:type="spellEnd"/>
      <w:r>
        <w:rPr>
          <w:rStyle w:val="jlqj4b"/>
        </w:rPr>
        <w:t xml:space="preserve"> poinformował, że EJ Kola II będzie składać się z dwóch bloków wyposażonych w reaktory WWER-600. </w:t>
      </w:r>
    </w:p>
    <w:p w14:paraId="52E9D03C" w14:textId="77777777" w:rsidR="009D3F55" w:rsidRDefault="009D3F55" w:rsidP="009D3F55">
      <w:pPr>
        <w:rPr>
          <w:rStyle w:val="jlqj4b"/>
        </w:rPr>
      </w:pPr>
      <w:r>
        <w:rPr>
          <w:rStyle w:val="jlqj4b"/>
        </w:rPr>
        <w:t xml:space="preserve">Zwracając uwagę na potrzebę wymiany mocy produkcyjnych, gdy obecne jednostki zostaną wyłączone na stałe ze względu na ich wiek, </w:t>
      </w:r>
      <w:proofErr w:type="spellStart"/>
      <w:r>
        <w:rPr>
          <w:rStyle w:val="jlqj4b"/>
        </w:rPr>
        <w:t>Omelchuk</w:t>
      </w:r>
      <w:proofErr w:type="spellEnd"/>
      <w:r>
        <w:rPr>
          <w:rStyle w:val="jlqj4b"/>
        </w:rPr>
        <w:t xml:space="preserve"> powiedział, że decyzja o budowie Kola II została podjęta pod koniec lat 90., ale nie została zrealizowana. W tym samym czasie wybrano teren pod nowe bloki i przeprowadzono wstępne badania. </w:t>
      </w:r>
    </w:p>
    <w:p w14:paraId="6EE666BC" w14:textId="77777777" w:rsidR="009D3F55" w:rsidRDefault="009D3F55" w:rsidP="009D3F55">
      <w:pPr>
        <w:rPr>
          <w:rStyle w:val="jlqj4b"/>
        </w:rPr>
      </w:pPr>
      <w:proofErr w:type="spellStart"/>
      <w:r>
        <w:rPr>
          <w:rStyle w:val="jlqj4b"/>
        </w:rPr>
        <w:t>Rosatom</w:t>
      </w:r>
      <w:proofErr w:type="spellEnd"/>
      <w:r>
        <w:rPr>
          <w:rStyle w:val="jlqj4b"/>
        </w:rPr>
        <w:t xml:space="preserve"> zauważył, że Kola była pierwszą</w:t>
      </w:r>
      <w:r w:rsidRPr="000B38A2">
        <w:rPr>
          <w:rStyle w:val="jlqj4b"/>
        </w:rPr>
        <w:t xml:space="preserve"> </w:t>
      </w:r>
      <w:r>
        <w:rPr>
          <w:rStyle w:val="jlqj4b"/>
        </w:rPr>
        <w:t xml:space="preserve">elektrownią jądrowa, która została zbudowana w trudnych warunkach klimatycznych Arktyki. Dziś przesyła energię elektryczną pięcioma liniami energetycznymi, zapewniając niezawodne dostawy energii do północnej części Republiki Karelii – gdzie znajduje się większość głównych przedsiębiorstw przemysłowych regionu – a także do ponad połowy odbiorców na Półwyspie Kolskim. </w:t>
      </w:r>
      <w:proofErr w:type="spellStart"/>
      <w:r>
        <w:rPr>
          <w:rStyle w:val="jlqj4b"/>
        </w:rPr>
        <w:t>Rosatom</w:t>
      </w:r>
      <w:proofErr w:type="spellEnd"/>
      <w:r>
        <w:rPr>
          <w:rStyle w:val="jlqj4b"/>
        </w:rPr>
        <w:t xml:space="preserve"> powiedział, że wymiana jądrowych zdolności produkcyjnych nie tylko umożliwi rozwój gospodarczy i społeczny w regionie, ale także otworzy możliwości realizacji nowych projektów przemysłowych, w tym poprzez dodatkowe inwestycje. </w:t>
      </w:r>
    </w:p>
    <w:p w14:paraId="18002B71" w14:textId="77777777" w:rsidR="009D3F55" w:rsidRDefault="009D3F55" w:rsidP="009D3F55">
      <w:pPr>
        <w:rPr>
          <w:rStyle w:val="jlqj4b"/>
        </w:rPr>
      </w:pPr>
      <w:r>
        <w:rPr>
          <w:rStyle w:val="jlqj4b"/>
        </w:rPr>
        <w:t xml:space="preserve">Według Światowego Stowarzyszenia Jądrowego, spółka zależna </w:t>
      </w:r>
      <w:proofErr w:type="spellStart"/>
      <w:r>
        <w:rPr>
          <w:rStyle w:val="jlqj4b"/>
        </w:rPr>
        <w:t>Rosatomu</w:t>
      </w:r>
      <w:proofErr w:type="spellEnd"/>
      <w:r>
        <w:rPr>
          <w:rStyle w:val="jlqj4b"/>
        </w:rPr>
        <w:t xml:space="preserve">, </w:t>
      </w:r>
      <w:proofErr w:type="spellStart"/>
      <w:r>
        <w:rPr>
          <w:rStyle w:val="jlqj4b"/>
        </w:rPr>
        <w:t>Rosenergoatom</w:t>
      </w:r>
      <w:proofErr w:type="spellEnd"/>
      <w:r>
        <w:rPr>
          <w:rStyle w:val="jlqj4b"/>
        </w:rPr>
        <w:t xml:space="preserve">, ogłosiła w styczniu 2012 r., że nowa elektrownia Kola II – zlokalizowana około 10 km na południe od obecnej elektrowni w obwodzie murmańskim nad brzegiem jeziora Imandra - zostanie wyposażona w dwie jednostki WWER-1200 TOI, które miały zostać uruchomione w 2020 r. Następnie w listopadzie 2013 r. dwublokową elektrownię z reaktorami WWER-1200 uwzględniono w Regionalnym Planie Energetycznym. Jednak we wrześniu 2014 r. </w:t>
      </w:r>
      <w:proofErr w:type="spellStart"/>
      <w:r>
        <w:rPr>
          <w:rStyle w:val="jlqj4b"/>
        </w:rPr>
        <w:t>Rosenergoatom</w:t>
      </w:r>
      <w:proofErr w:type="spellEnd"/>
      <w:r>
        <w:rPr>
          <w:rStyle w:val="jlqj4b"/>
        </w:rPr>
        <w:t xml:space="preserve"> rozważał jednostki średniej wielkości: WWER-600 lub VBER- 600 dla EJ </w:t>
      </w:r>
      <w:proofErr w:type="spellStart"/>
      <w:r>
        <w:rPr>
          <w:rStyle w:val="jlqj4b"/>
        </w:rPr>
        <w:t>KolaII</w:t>
      </w:r>
      <w:proofErr w:type="spellEnd"/>
      <w:r>
        <w:rPr>
          <w:rStyle w:val="jlqj4b"/>
        </w:rPr>
        <w:t>. W dekrecie rządowym z sierpnia 2016 r. określono jeden reaktor WWER-600, który miał zostać zbudowany do 2030 r.</w:t>
      </w:r>
    </w:p>
    <w:p w14:paraId="598F4C51" w14:textId="77777777" w:rsidR="009D3F55" w:rsidRDefault="009D3F55" w:rsidP="009D3F55">
      <w:pPr>
        <w:rPr>
          <w:rStyle w:val="jlqj4b"/>
        </w:rPr>
      </w:pPr>
      <w:r>
        <w:rPr>
          <w:rStyle w:val="jlqj4b"/>
        </w:rPr>
        <w:t>Więcej na: </w:t>
      </w:r>
      <w:hyperlink r:id="rId6" w:history="1">
        <w:r w:rsidRPr="00192439">
          <w:rPr>
            <w:rStyle w:val="Hipercze"/>
          </w:rPr>
          <w:t>https://www.world-nuclear-news.org/Articles/Kola-II-construction-to-start-in-2028</w:t>
        </w:r>
      </w:hyperlink>
    </w:p>
    <w:p w14:paraId="53CF1F74" w14:textId="1874B9C5" w:rsidR="009D3F55" w:rsidRPr="00E33F85" w:rsidRDefault="00A238E8" w:rsidP="00741BDF">
      <w:pPr>
        <w:spacing w:before="240" w:after="240"/>
        <w:rPr>
          <w:rStyle w:val="jlqj4b"/>
          <w:b/>
          <w:bCs/>
        </w:rPr>
      </w:pPr>
      <w:r w:rsidRPr="00E33F85">
        <w:rPr>
          <w:rStyle w:val="jlqj4b"/>
          <w:b/>
          <w:bCs/>
        </w:rPr>
        <w:t xml:space="preserve">2. Korea Południowa zabiega o kontrakt na rozbudowę EJ </w:t>
      </w:r>
      <w:proofErr w:type="spellStart"/>
      <w:r w:rsidRPr="00E33F85">
        <w:rPr>
          <w:rStyle w:val="jlqj4b"/>
          <w:b/>
          <w:bCs/>
        </w:rPr>
        <w:t>Dukovany</w:t>
      </w:r>
      <w:proofErr w:type="spellEnd"/>
    </w:p>
    <w:p w14:paraId="3C2A3A70" w14:textId="77777777" w:rsidR="00E33F85" w:rsidRDefault="00E33F85" w:rsidP="00920930">
      <w:pPr>
        <w:rPr>
          <w:rStyle w:val="jlqj4b"/>
        </w:rPr>
      </w:pPr>
      <w:r>
        <w:rPr>
          <w:rStyle w:val="jlqj4b"/>
        </w:rPr>
        <w:t xml:space="preserve">Media południowokoreańskie podały, że w ubiegłym tygodniu delegacja z Seulu, w tym minister handlu i przemysłu Moon </w:t>
      </w:r>
      <w:proofErr w:type="spellStart"/>
      <w:r>
        <w:rPr>
          <w:rStyle w:val="jlqj4b"/>
        </w:rPr>
        <w:t>Sung-wook</w:t>
      </w:r>
      <w:proofErr w:type="spellEnd"/>
      <w:r>
        <w:rPr>
          <w:rStyle w:val="jlqj4b"/>
        </w:rPr>
        <w:t xml:space="preserve"> i dyrektor generalny KHNP </w:t>
      </w:r>
      <w:proofErr w:type="spellStart"/>
      <w:r>
        <w:rPr>
          <w:rStyle w:val="jlqj4b"/>
        </w:rPr>
        <w:t>Chung</w:t>
      </w:r>
      <w:proofErr w:type="spellEnd"/>
      <w:r>
        <w:rPr>
          <w:rStyle w:val="jlqj4b"/>
        </w:rPr>
        <w:t xml:space="preserve"> </w:t>
      </w:r>
      <w:proofErr w:type="spellStart"/>
      <w:r>
        <w:rPr>
          <w:rStyle w:val="jlqj4b"/>
        </w:rPr>
        <w:t>Jae-hoon</w:t>
      </w:r>
      <w:proofErr w:type="spellEnd"/>
      <w:r>
        <w:rPr>
          <w:rStyle w:val="jlqj4b"/>
        </w:rPr>
        <w:t xml:space="preserve">, </w:t>
      </w:r>
      <w:r>
        <w:rPr>
          <w:rStyle w:val="jlqj4b"/>
        </w:rPr>
        <w:lastRenderedPageBreak/>
        <w:t xml:space="preserve">odwiedziła Czechy i odbyła spotkania z premierem </w:t>
      </w:r>
      <w:proofErr w:type="spellStart"/>
      <w:r>
        <w:rPr>
          <w:rStyle w:val="jlqj4b"/>
        </w:rPr>
        <w:t>Andrejem</w:t>
      </w:r>
      <w:proofErr w:type="spellEnd"/>
      <w:r>
        <w:rPr>
          <w:rStyle w:val="jlqj4b"/>
        </w:rPr>
        <w:t xml:space="preserve"> </w:t>
      </w:r>
      <w:proofErr w:type="spellStart"/>
      <w:r>
        <w:rPr>
          <w:rStyle w:val="jlqj4b"/>
        </w:rPr>
        <w:t>Babisem</w:t>
      </w:r>
      <w:proofErr w:type="spellEnd"/>
      <w:r>
        <w:rPr>
          <w:rStyle w:val="jlqj4b"/>
        </w:rPr>
        <w:t xml:space="preserve"> oraz ministrem przemysłu i handlu Karelem </w:t>
      </w:r>
      <w:proofErr w:type="spellStart"/>
      <w:r>
        <w:rPr>
          <w:rStyle w:val="jlqj4b"/>
        </w:rPr>
        <w:t>Havlickiem</w:t>
      </w:r>
      <w:proofErr w:type="spellEnd"/>
      <w:r>
        <w:rPr>
          <w:rStyle w:val="jlqj4b"/>
        </w:rPr>
        <w:t xml:space="preserve">. </w:t>
      </w:r>
    </w:p>
    <w:p w14:paraId="0CBC1BC4" w14:textId="3AD831EB" w:rsidR="00E33F85" w:rsidRDefault="00E33F85" w:rsidP="00920930">
      <w:pPr>
        <w:rPr>
          <w:rStyle w:val="jlqj4b"/>
        </w:rPr>
      </w:pPr>
      <w:r>
        <w:rPr>
          <w:rStyle w:val="jlqj4b"/>
        </w:rPr>
        <w:t xml:space="preserve">Podczas swojej wizyty Moon podkreślił, że Korea Południowa będzie najlepszym partnerem w projekcie energetyki jądrowej, wskazując na pomyślne zakończenie budowy pierwszego bloku energetycznego w elektrowni jądrowej </w:t>
      </w:r>
      <w:proofErr w:type="spellStart"/>
      <w:r>
        <w:rPr>
          <w:rStyle w:val="jlqj4b"/>
        </w:rPr>
        <w:t>Barakah</w:t>
      </w:r>
      <w:proofErr w:type="spellEnd"/>
      <w:r>
        <w:rPr>
          <w:rStyle w:val="jlqj4b"/>
        </w:rPr>
        <w:t xml:space="preserve"> w Zjednoczonych Emiratach Arabskich. Trzy kolejne bloki jądrowe dostarczane przez Koreę Południową są na ukończeniu.</w:t>
      </w:r>
    </w:p>
    <w:p w14:paraId="4019FB16" w14:textId="719BA432" w:rsidR="00E33F85" w:rsidRDefault="00E33F85" w:rsidP="00920930">
      <w:pPr>
        <w:rPr>
          <w:rStyle w:val="jlqj4b"/>
        </w:rPr>
      </w:pPr>
      <w:r>
        <w:rPr>
          <w:rStyle w:val="jlqj4b"/>
        </w:rPr>
        <w:t xml:space="preserve">„Minister wykorzystał elektrownię jądrową w Zjednoczonych Emiratach Arabskich zbudowaną przez Koreę Południową jako udany przykład, który został ukończony w zaplanowanym budżecie i okresie oraz wyraził przekonanie, że czeski projekt elektrowni jądrowej zostanie </w:t>
      </w:r>
      <w:r w:rsidR="00920930">
        <w:rPr>
          <w:rStyle w:val="jlqj4b"/>
        </w:rPr>
        <w:t xml:space="preserve">również </w:t>
      </w:r>
      <w:r>
        <w:rPr>
          <w:rStyle w:val="jlqj4b"/>
        </w:rPr>
        <w:t xml:space="preserve">sfinansowany i zbudowany w </w:t>
      </w:r>
      <w:r w:rsidR="00A36B27">
        <w:rPr>
          <w:rStyle w:val="jlqj4b"/>
        </w:rPr>
        <w:t>założonym</w:t>
      </w:r>
      <w:r>
        <w:rPr>
          <w:rStyle w:val="jlqj4b"/>
        </w:rPr>
        <w:t xml:space="preserve"> czasie”</w:t>
      </w:r>
      <w:r w:rsidR="00920930">
        <w:rPr>
          <w:rStyle w:val="jlqj4b"/>
        </w:rPr>
        <w:t xml:space="preserve"> </w:t>
      </w:r>
      <w:r>
        <w:rPr>
          <w:rStyle w:val="jlqj4b"/>
        </w:rPr>
        <w:t>- podało ministerstwo przemysłu.</w:t>
      </w:r>
    </w:p>
    <w:p w14:paraId="60596649" w14:textId="0905A0A9" w:rsidR="00A36B27" w:rsidRDefault="00E33F85" w:rsidP="00A36B27">
      <w:pPr>
        <w:rPr>
          <w:rStyle w:val="jlqj4b"/>
        </w:rPr>
      </w:pPr>
      <w:r>
        <w:rPr>
          <w:rStyle w:val="jlqj4b"/>
        </w:rPr>
        <w:t xml:space="preserve">Czeski państwowy koncern energetyczny ČEZ poinformował, że planuje budowę jednego reaktora III+ generacji w lokalizacji </w:t>
      </w:r>
      <w:proofErr w:type="spellStart"/>
      <w:r>
        <w:rPr>
          <w:rStyle w:val="jlqj4b"/>
        </w:rPr>
        <w:t>Dukovany</w:t>
      </w:r>
      <w:proofErr w:type="spellEnd"/>
      <w:r>
        <w:rPr>
          <w:rStyle w:val="jlqj4b"/>
        </w:rPr>
        <w:t xml:space="preserve"> o maksymalnej mocy zainstalowanej 1200 MW. Firma wystąpiła jednak o pozwolenie na budowę do dwóch nowych jednostek. </w:t>
      </w:r>
      <w:r w:rsidR="00A36B27">
        <w:rPr>
          <w:rStyle w:val="jlqj4b"/>
        </w:rPr>
        <w:t xml:space="preserve">8 marca br. Państwowy Urząd Bezpieczeństwa Jądrowego wydał zezwolenie na lokalizację dwóch nowych bloków </w:t>
      </w:r>
      <w:r w:rsidR="00C873EC">
        <w:rPr>
          <w:rStyle w:val="jlqj4b"/>
        </w:rPr>
        <w:t>energetycznych</w:t>
      </w:r>
      <w:r w:rsidR="00A36B27">
        <w:rPr>
          <w:rStyle w:val="jlqj4b"/>
        </w:rPr>
        <w:t xml:space="preserve"> w istniejącej elektrowni jądrowej </w:t>
      </w:r>
      <w:proofErr w:type="spellStart"/>
      <w:r w:rsidR="00A36B27">
        <w:rPr>
          <w:rStyle w:val="jlqj4b"/>
        </w:rPr>
        <w:t>Dukovany</w:t>
      </w:r>
      <w:proofErr w:type="spellEnd"/>
      <w:r w:rsidR="00A36B27">
        <w:rPr>
          <w:rStyle w:val="jlqj4b"/>
        </w:rPr>
        <w:t>.</w:t>
      </w:r>
    </w:p>
    <w:p w14:paraId="267CD307" w14:textId="77777777" w:rsidR="00920930" w:rsidRDefault="00E33F85" w:rsidP="00920930">
      <w:pPr>
        <w:rPr>
          <w:rStyle w:val="jlqj4b"/>
        </w:rPr>
      </w:pPr>
      <w:r>
        <w:rPr>
          <w:rStyle w:val="jlqj4b"/>
        </w:rPr>
        <w:t xml:space="preserve">W kwietniu czeski rząd odłożył przetarg na </w:t>
      </w:r>
      <w:r w:rsidR="00920930">
        <w:rPr>
          <w:rStyle w:val="jlqj4b"/>
        </w:rPr>
        <w:t xml:space="preserve">rozbudowę EJ </w:t>
      </w:r>
      <w:proofErr w:type="spellStart"/>
      <w:r>
        <w:rPr>
          <w:rStyle w:val="jlqj4b"/>
        </w:rPr>
        <w:t>Dukovany</w:t>
      </w:r>
      <w:proofErr w:type="spellEnd"/>
      <w:r>
        <w:rPr>
          <w:rStyle w:val="jlqj4b"/>
        </w:rPr>
        <w:t xml:space="preserve"> –</w:t>
      </w:r>
      <w:r w:rsidR="00920930">
        <w:rPr>
          <w:rStyle w:val="jlqj4b"/>
        </w:rPr>
        <w:t xml:space="preserve"> </w:t>
      </w:r>
      <w:r>
        <w:rPr>
          <w:rStyle w:val="jlqj4b"/>
        </w:rPr>
        <w:t xml:space="preserve">wart około 7 miliardów dolarów – na okres po październikowych wyborach i powiedział, że nie zaprosi chińskich firm do udziału w ocenie bezpieczeństwa potencjalnych oferentów. </w:t>
      </w:r>
    </w:p>
    <w:p w14:paraId="492821E2" w14:textId="34E25D99" w:rsidR="00920930" w:rsidRDefault="00920930" w:rsidP="00920930">
      <w:pPr>
        <w:rPr>
          <w:rStyle w:val="jlqj4b"/>
        </w:rPr>
      </w:pPr>
      <w:r>
        <w:rPr>
          <w:rStyle w:val="jlqj4b"/>
        </w:rPr>
        <w:t xml:space="preserve">Minister </w:t>
      </w:r>
      <w:proofErr w:type="spellStart"/>
      <w:r w:rsidR="00E33F85">
        <w:rPr>
          <w:rStyle w:val="jlqj4b"/>
        </w:rPr>
        <w:t>Havlicek</w:t>
      </w:r>
      <w:proofErr w:type="spellEnd"/>
      <w:r w:rsidR="00E33F85">
        <w:rPr>
          <w:rStyle w:val="jlqj4b"/>
        </w:rPr>
        <w:t xml:space="preserve"> </w:t>
      </w:r>
      <w:r>
        <w:rPr>
          <w:rStyle w:val="jlqj4b"/>
        </w:rPr>
        <w:t>stwierdził</w:t>
      </w:r>
      <w:r w:rsidR="00E33F85">
        <w:rPr>
          <w:rStyle w:val="jlqj4b"/>
        </w:rPr>
        <w:t>, że „</w:t>
      </w:r>
      <w:r>
        <w:rPr>
          <w:rStyle w:val="jlqj4b"/>
        </w:rPr>
        <w:t xml:space="preserve">ze względów </w:t>
      </w:r>
      <w:r w:rsidR="00E33F85">
        <w:rPr>
          <w:rStyle w:val="jlqj4b"/>
        </w:rPr>
        <w:t xml:space="preserve">bezpieczeństwa” rosyjski państwowy koncern jądrowy </w:t>
      </w:r>
      <w:proofErr w:type="spellStart"/>
      <w:r w:rsidR="00E33F85">
        <w:rPr>
          <w:rStyle w:val="jlqj4b"/>
        </w:rPr>
        <w:t>Rosatom</w:t>
      </w:r>
      <w:proofErr w:type="spellEnd"/>
      <w:r w:rsidR="00E33F85">
        <w:rPr>
          <w:rStyle w:val="jlqj4b"/>
        </w:rPr>
        <w:t xml:space="preserve"> również zostanie wykluczony z przetargu. P</w:t>
      </w:r>
      <w:r>
        <w:rPr>
          <w:rStyle w:val="jlqj4b"/>
        </w:rPr>
        <w:t>rzekazał</w:t>
      </w:r>
      <w:r w:rsidR="00E33F85">
        <w:rPr>
          <w:rStyle w:val="jlqj4b"/>
        </w:rPr>
        <w:t xml:space="preserve">, że </w:t>
      </w:r>
      <w:r>
        <w:rPr>
          <w:rStyle w:val="jlqj4b"/>
        </w:rPr>
        <w:t xml:space="preserve">o złożenie ofert zostaną poproszone: koreański </w:t>
      </w:r>
      <w:r w:rsidR="00E33F85">
        <w:rPr>
          <w:rStyle w:val="jlqj4b"/>
        </w:rPr>
        <w:t xml:space="preserve">KHNP, francuski EDF i </w:t>
      </w:r>
      <w:proofErr w:type="spellStart"/>
      <w:r w:rsidR="00E33F85">
        <w:rPr>
          <w:rStyle w:val="jlqj4b"/>
        </w:rPr>
        <w:t>Westinghouse</w:t>
      </w:r>
      <w:proofErr w:type="spellEnd"/>
      <w:r w:rsidR="00E33F85">
        <w:rPr>
          <w:rStyle w:val="jlqj4b"/>
        </w:rPr>
        <w:t xml:space="preserve"> z USA. </w:t>
      </w:r>
    </w:p>
    <w:p w14:paraId="5E1A3543" w14:textId="7BF96C4D" w:rsidR="00A238E8" w:rsidRDefault="00E33F85" w:rsidP="00920930">
      <w:pPr>
        <w:rPr>
          <w:rStyle w:val="jlqj4b"/>
        </w:rPr>
      </w:pPr>
      <w:r>
        <w:rPr>
          <w:rStyle w:val="jlqj4b"/>
        </w:rPr>
        <w:t>Czeskie służby bezpieczeństwa od lat ostrzegały przed zagrożeniami, jakie według nich stwarzają Rosja i Chiny. Politycy opozycji poparli te poglądy.</w:t>
      </w:r>
      <w:r w:rsidR="00920930">
        <w:rPr>
          <w:rStyle w:val="jlqj4b"/>
        </w:rPr>
        <w:t xml:space="preserve"> </w:t>
      </w:r>
    </w:p>
    <w:p w14:paraId="2ABCB6D1" w14:textId="4BE4A8C2" w:rsidR="00A36B27" w:rsidRDefault="00A36B27" w:rsidP="00920930">
      <w:pPr>
        <w:rPr>
          <w:rStyle w:val="jlqj4b"/>
        </w:rPr>
      </w:pPr>
      <w:r>
        <w:rPr>
          <w:rStyle w:val="jlqj4b"/>
        </w:rPr>
        <w:t xml:space="preserve">Elektrownia </w:t>
      </w:r>
      <w:proofErr w:type="spellStart"/>
      <w:r>
        <w:rPr>
          <w:rStyle w:val="jlqj4b"/>
        </w:rPr>
        <w:t>Dukovany</w:t>
      </w:r>
      <w:proofErr w:type="spellEnd"/>
      <w:r>
        <w:rPr>
          <w:rStyle w:val="jlqj4b"/>
        </w:rPr>
        <w:t xml:space="preserve"> II, należąca do Grupy </w:t>
      </w:r>
      <w:r w:rsidR="00A76CF2">
        <w:rPr>
          <w:rStyle w:val="jlqj4b"/>
        </w:rPr>
        <w:t>ČEZ</w:t>
      </w:r>
      <w:r w:rsidR="00A76CF2" w:rsidRPr="00A76CF2">
        <w:rPr>
          <w:rStyle w:val="jlqj4b"/>
        </w:rPr>
        <w:t xml:space="preserve"> </w:t>
      </w:r>
      <w:r w:rsidR="00A76CF2">
        <w:rPr>
          <w:rStyle w:val="jlqj4b"/>
        </w:rPr>
        <w:t xml:space="preserve">rozpoczęła ocenę bezpieczeństwa dostawców reaktorów i zwróciła się z prośbą o dodatkowe informacje </w:t>
      </w:r>
      <w:r>
        <w:rPr>
          <w:rStyle w:val="jlqj4b"/>
        </w:rPr>
        <w:t xml:space="preserve">do trzech potencjalnych oferentów na </w:t>
      </w:r>
      <w:r w:rsidR="00A76CF2">
        <w:rPr>
          <w:rStyle w:val="jlqj4b"/>
        </w:rPr>
        <w:t>roz</w:t>
      </w:r>
      <w:r>
        <w:rPr>
          <w:rStyle w:val="jlqj4b"/>
        </w:rPr>
        <w:t>budowę elektrowni</w:t>
      </w:r>
      <w:r w:rsidR="00A76CF2">
        <w:rPr>
          <w:rStyle w:val="jlqj4b"/>
        </w:rPr>
        <w:t>:</w:t>
      </w:r>
      <w:r>
        <w:rPr>
          <w:rStyle w:val="jlqj4b"/>
        </w:rPr>
        <w:t xml:space="preserve"> </w:t>
      </w:r>
      <w:r w:rsidR="00A76CF2">
        <w:rPr>
          <w:rStyle w:val="jlqj4b"/>
        </w:rPr>
        <w:t xml:space="preserve">EDF, </w:t>
      </w:r>
      <w:proofErr w:type="spellStart"/>
      <w:r w:rsidR="00A76CF2">
        <w:rPr>
          <w:rStyle w:val="jlqj4b"/>
        </w:rPr>
        <w:t>Westinghouse</w:t>
      </w:r>
      <w:proofErr w:type="spellEnd"/>
      <w:r w:rsidR="00A76CF2">
        <w:rPr>
          <w:rStyle w:val="jlqj4b"/>
        </w:rPr>
        <w:t xml:space="preserve"> i Korea Hydro &amp; </w:t>
      </w:r>
      <w:proofErr w:type="spellStart"/>
      <w:r w:rsidR="00A76CF2">
        <w:rPr>
          <w:rStyle w:val="jlqj4b"/>
        </w:rPr>
        <w:t>Nuclear</w:t>
      </w:r>
      <w:proofErr w:type="spellEnd"/>
      <w:r w:rsidR="00A76CF2">
        <w:rPr>
          <w:rStyle w:val="jlqj4b"/>
        </w:rPr>
        <w:t xml:space="preserve"> Power, wybranych przez czeskie Ministerstwo Przemysłu i Handlu do udziału we wstępnej kwalifikacji.</w:t>
      </w:r>
    </w:p>
    <w:p w14:paraId="592AE18B" w14:textId="3B083CBC" w:rsidR="00A36B27" w:rsidRDefault="00A36B27" w:rsidP="00920930">
      <w:pPr>
        <w:rPr>
          <w:rStyle w:val="jlqj4b"/>
        </w:rPr>
      </w:pPr>
      <w:r>
        <w:rPr>
          <w:rStyle w:val="jlqj4b"/>
        </w:rPr>
        <w:t>ČEZ poinformował</w:t>
      </w:r>
      <w:r w:rsidR="00A76CF2">
        <w:rPr>
          <w:rStyle w:val="jlqj4b"/>
        </w:rPr>
        <w:t>a</w:t>
      </w:r>
      <w:r>
        <w:rPr>
          <w:rStyle w:val="jlqj4b"/>
        </w:rPr>
        <w:t xml:space="preserve">, że do końca listopada przekaże „wszystkie istotne informacje dotyczące kwestii bezpieczeństwa” projektu rządowi, który następnie sam zdecyduje, którzy kandydaci zostaną zaproszeni do przetargu. „Celem oceny bezpieczeństwa jest ocena wszystkich potencjalnych dostawców oraz uzyskanie informacji niezbędnych do zabezpieczenia interesów bezpieczeństwa. Obejmują one w szczególności wyjaśnienie struktury własnościowej, łańcucha dostaw, powiązań interesariuszy z państwem, problemów z wdrożeniem projektów, oskarżeń i innych problemów w projektach jądrowych, transferu technologii i know-how i innych”, powiedział ČEZ. </w:t>
      </w:r>
    </w:p>
    <w:p w14:paraId="7FC955B9" w14:textId="6F040552" w:rsidR="00A36B27" w:rsidRDefault="00A36B27" w:rsidP="00920930">
      <w:pPr>
        <w:rPr>
          <w:rStyle w:val="jlqj4b"/>
        </w:rPr>
      </w:pPr>
      <w:r>
        <w:rPr>
          <w:rStyle w:val="jlqj4b"/>
        </w:rPr>
        <w:t>Aby odpowiedzieć na pytania w ocenie bezpieczeństwa, potencjalni kandydaci otrzymają również kompletną dokumentację wstępną, co również pomoże przyspieszyć późniejsze rozpatrywanie ofert dla tych kandydatów, którzy zostaną zaproszeni do procedury selekcji.</w:t>
      </w:r>
    </w:p>
    <w:p w14:paraId="4B1B4C6B" w14:textId="5D1B6A49" w:rsidR="00920930" w:rsidRDefault="00920930" w:rsidP="00920930">
      <w:pPr>
        <w:rPr>
          <w:rStyle w:val="jlqj4b"/>
        </w:rPr>
      </w:pPr>
      <w:r>
        <w:rPr>
          <w:rStyle w:val="jlqj4b"/>
        </w:rPr>
        <w:t>Więcej na: </w:t>
      </w:r>
      <w:hyperlink r:id="rId7" w:history="1">
        <w:r w:rsidRPr="00192439">
          <w:rPr>
            <w:rStyle w:val="Hipercze"/>
          </w:rPr>
          <w:t>https://www.nucnet.org/news/delegation-says-barakah-project-proves-south-korea-s-worth-as-nuclear-partner-6-1-2021</w:t>
        </w:r>
      </w:hyperlink>
    </w:p>
    <w:p w14:paraId="4EEF12A6" w14:textId="7F878F7A" w:rsidR="00DF3DB1" w:rsidRPr="00E6119B" w:rsidRDefault="00E6119B" w:rsidP="00E6119B">
      <w:pPr>
        <w:spacing w:before="240" w:after="240"/>
        <w:rPr>
          <w:rStyle w:val="jlqj4b"/>
          <w:b/>
          <w:bCs/>
        </w:rPr>
      </w:pPr>
      <w:r w:rsidRPr="00E6119B">
        <w:rPr>
          <w:b/>
          <w:bCs/>
        </w:rPr>
        <w:t xml:space="preserve">3. </w:t>
      </w:r>
      <w:r w:rsidRPr="00E6119B">
        <w:rPr>
          <w:rStyle w:val="jlqj4b"/>
          <w:b/>
          <w:bCs/>
        </w:rPr>
        <w:t>Instalacja demonstracyjna syntezy termojądrowej zostanie zbudowana w Wielkiej Brytanii</w:t>
      </w:r>
    </w:p>
    <w:p w14:paraId="5D16D40B" w14:textId="3F726FA6" w:rsidR="00C9182C" w:rsidRDefault="00E6119B" w:rsidP="001455C7">
      <w:pPr>
        <w:rPr>
          <w:rStyle w:val="jlqj4b"/>
        </w:rPr>
      </w:pPr>
      <w:r>
        <w:rPr>
          <w:rStyle w:val="jlqj4b"/>
        </w:rPr>
        <w:t xml:space="preserve">Kanadyjska firma General Fusion zbuduje i będzie eksploatować elektrownię w </w:t>
      </w:r>
      <w:proofErr w:type="spellStart"/>
      <w:r>
        <w:rPr>
          <w:rStyle w:val="jlqj4b"/>
        </w:rPr>
        <w:t>Culham</w:t>
      </w:r>
      <w:proofErr w:type="spellEnd"/>
      <w:r>
        <w:rPr>
          <w:rStyle w:val="jlqj4b"/>
        </w:rPr>
        <w:t xml:space="preserve"> Campus UKAEA </w:t>
      </w:r>
      <w:r w:rsidR="00C9182C">
        <w:rPr>
          <w:rStyle w:val="jlqj4b"/>
        </w:rPr>
        <w:t>w pobliżu</w:t>
      </w:r>
      <w:r>
        <w:rPr>
          <w:rStyle w:val="jlqj4b"/>
        </w:rPr>
        <w:t xml:space="preserve"> Oxfordu w Wielkiej Brytanii</w:t>
      </w:r>
      <w:r w:rsidR="00C873EC" w:rsidRPr="00C873EC">
        <w:rPr>
          <w:rStyle w:val="jlqj4b"/>
        </w:rPr>
        <w:t xml:space="preserve"> </w:t>
      </w:r>
      <w:r w:rsidR="00C873EC">
        <w:rPr>
          <w:rStyle w:val="jlqj4b"/>
        </w:rPr>
        <w:t xml:space="preserve">aby zademonstrować swoją </w:t>
      </w:r>
      <w:r w:rsidR="00C873EC">
        <w:rPr>
          <w:rStyle w:val="jlqj4b"/>
        </w:rPr>
        <w:lastRenderedPageBreak/>
        <w:t>technologię syntezy jądrowej</w:t>
      </w:r>
      <w:r w:rsidR="00C873EC" w:rsidRPr="00C873EC">
        <w:rPr>
          <w:rStyle w:val="jlqj4b"/>
        </w:rPr>
        <w:t xml:space="preserve"> </w:t>
      </w:r>
      <w:proofErr w:type="spellStart"/>
      <w:r w:rsidR="00C873EC">
        <w:rPr>
          <w:rStyle w:val="jlqj4b"/>
        </w:rPr>
        <w:t>Magnetised</w:t>
      </w:r>
      <w:proofErr w:type="spellEnd"/>
      <w:r w:rsidR="00C873EC">
        <w:rPr>
          <w:rStyle w:val="jlqj4b"/>
        </w:rPr>
        <w:t xml:space="preserve"> Target Fusion (MTF)</w:t>
      </w:r>
      <w:r>
        <w:rPr>
          <w:rStyle w:val="jlqj4b"/>
        </w:rPr>
        <w:t>. Zakład demonstracyjny syntezy jądrowej (</w:t>
      </w:r>
      <w:r w:rsidR="00C9182C" w:rsidRPr="00C9182C">
        <w:t xml:space="preserve">Fusion </w:t>
      </w:r>
      <w:proofErr w:type="spellStart"/>
      <w:r w:rsidR="00C9182C" w:rsidRPr="00C9182C">
        <w:t>Demonstration</w:t>
      </w:r>
      <w:proofErr w:type="spellEnd"/>
      <w:r w:rsidR="00C9182C" w:rsidRPr="00C9182C">
        <w:t xml:space="preserve"> Plant</w:t>
      </w:r>
      <w:r w:rsidR="00C9182C">
        <w:rPr>
          <w:rStyle w:val="Pogrubienie"/>
        </w:rPr>
        <w:t xml:space="preserve">, </w:t>
      </w:r>
      <w:r>
        <w:rPr>
          <w:rStyle w:val="jlqj4b"/>
        </w:rPr>
        <w:t xml:space="preserve">FDP) </w:t>
      </w:r>
      <w:r w:rsidR="006F6288">
        <w:rPr>
          <w:rStyle w:val="jlqj4b"/>
        </w:rPr>
        <w:t xml:space="preserve">ma rozpocząć działalność w 2025 r. i </w:t>
      </w:r>
      <w:r>
        <w:rPr>
          <w:rStyle w:val="jlqj4b"/>
        </w:rPr>
        <w:t>utor</w:t>
      </w:r>
      <w:r w:rsidR="006F6288">
        <w:rPr>
          <w:rStyle w:val="jlqj4b"/>
        </w:rPr>
        <w:t>ować</w:t>
      </w:r>
      <w:r>
        <w:rPr>
          <w:rStyle w:val="jlqj4b"/>
        </w:rPr>
        <w:t xml:space="preserve"> </w:t>
      </w:r>
      <w:r w:rsidR="006F6288">
        <w:rPr>
          <w:rStyle w:val="jlqj4b"/>
        </w:rPr>
        <w:t xml:space="preserve">następnie </w:t>
      </w:r>
      <w:r>
        <w:rPr>
          <w:rStyle w:val="jlqj4b"/>
        </w:rPr>
        <w:t xml:space="preserve">drogę komercyjnemu zakładowi pilotażowemu </w:t>
      </w:r>
    </w:p>
    <w:p w14:paraId="56BEFAFF" w14:textId="0A6646BC" w:rsidR="006F6288" w:rsidRDefault="00C873EC" w:rsidP="001455C7">
      <w:pPr>
        <w:rPr>
          <w:rStyle w:val="jlqj4b"/>
        </w:rPr>
      </w:pPr>
      <w:r>
        <w:rPr>
          <w:rStyle w:val="jlqj4b"/>
        </w:rPr>
        <w:t xml:space="preserve">Na mocy porozumienia ogłoszonego przez brytyjską minister nauki Amandę </w:t>
      </w:r>
      <w:proofErr w:type="spellStart"/>
      <w:r>
        <w:rPr>
          <w:rStyle w:val="jlqj4b"/>
        </w:rPr>
        <w:t>Solloway</w:t>
      </w:r>
      <w:proofErr w:type="spellEnd"/>
      <w:r>
        <w:rPr>
          <w:rStyle w:val="jlqj4b"/>
        </w:rPr>
        <w:t xml:space="preserve">, </w:t>
      </w:r>
      <w:r w:rsidR="00E6119B">
        <w:rPr>
          <w:rStyle w:val="jlqj4b"/>
        </w:rPr>
        <w:t xml:space="preserve">General Fusion zawrze długoterminową umowę najmu z UKAEA </w:t>
      </w:r>
      <w:r>
        <w:rPr>
          <w:rStyle w:val="jlqj4b"/>
        </w:rPr>
        <w:t>na</w:t>
      </w:r>
      <w:r w:rsidR="00E6119B">
        <w:rPr>
          <w:rStyle w:val="jlqj4b"/>
        </w:rPr>
        <w:t xml:space="preserve"> wybudowani</w:t>
      </w:r>
      <w:r>
        <w:rPr>
          <w:rStyle w:val="jlqj4b"/>
        </w:rPr>
        <w:t>e</w:t>
      </w:r>
      <w:r w:rsidR="00E6119B">
        <w:rPr>
          <w:rStyle w:val="jlqj4b"/>
        </w:rPr>
        <w:t xml:space="preserve"> nowego obiektu FDP. T</w:t>
      </w:r>
      <w:r w:rsidR="006F6288">
        <w:rPr>
          <w:rStyle w:val="jlqj4b"/>
        </w:rPr>
        <w:t xml:space="preserve">en nowy obiekt jądrowy </w:t>
      </w:r>
      <w:r w:rsidR="00E6119B">
        <w:rPr>
          <w:rStyle w:val="jlqj4b"/>
        </w:rPr>
        <w:t>General Fusion</w:t>
      </w:r>
      <w:r w:rsidR="006F6288">
        <w:rPr>
          <w:rStyle w:val="jlqj4b"/>
        </w:rPr>
        <w:t>,</w:t>
      </w:r>
      <w:r w:rsidR="00E6119B">
        <w:rPr>
          <w:rStyle w:val="jlqj4b"/>
        </w:rPr>
        <w:t xml:space="preserve"> </w:t>
      </w:r>
      <w:r w:rsidR="006F6288">
        <w:rPr>
          <w:rStyle w:val="jlqj4b"/>
        </w:rPr>
        <w:t>zdaniem minister, będzie</w:t>
      </w:r>
      <w:r w:rsidR="00E6119B">
        <w:rPr>
          <w:rStyle w:val="jlqj4b"/>
        </w:rPr>
        <w:t xml:space="preserve"> ogromnym impulsem dla planów rozwoju przemysłu termojądrowego w Wielkiej Brytanii. </w:t>
      </w:r>
    </w:p>
    <w:p w14:paraId="3764E70F" w14:textId="77777777" w:rsidR="006362CD" w:rsidRDefault="00E6119B" w:rsidP="001455C7">
      <w:pPr>
        <w:rPr>
          <w:rStyle w:val="jlqj4b"/>
        </w:rPr>
      </w:pPr>
      <w:r>
        <w:rPr>
          <w:rStyle w:val="jlqj4b"/>
        </w:rPr>
        <w:t xml:space="preserve">UKAEA jest rządową organizacją badawczą odpowiedzialną za rozwój energetyki fuzyjnej opartej o zjawisko syntezy jądrowej. Odpowiada za krajowy program syntezy jądrowej, </w:t>
      </w:r>
      <w:r w:rsidR="006F6288">
        <w:rPr>
          <w:rStyle w:val="jlqj4b"/>
        </w:rPr>
        <w:t xml:space="preserve">w tym za prowadzenie </w:t>
      </w:r>
      <w:r>
        <w:rPr>
          <w:rStyle w:val="jlqj4b"/>
        </w:rPr>
        <w:t>eksperyment</w:t>
      </w:r>
      <w:r w:rsidR="006F6288">
        <w:rPr>
          <w:rStyle w:val="jlqj4b"/>
        </w:rPr>
        <w:t>u</w:t>
      </w:r>
      <w:r>
        <w:rPr>
          <w:rStyle w:val="jlqj4b"/>
        </w:rPr>
        <w:t xml:space="preserve"> MAST Upgrade (Mega </w:t>
      </w:r>
      <w:proofErr w:type="spellStart"/>
      <w:r>
        <w:rPr>
          <w:rStyle w:val="jlqj4b"/>
        </w:rPr>
        <w:t>Amp</w:t>
      </w:r>
      <w:proofErr w:type="spellEnd"/>
      <w:r>
        <w:rPr>
          <w:rStyle w:val="jlqj4b"/>
        </w:rPr>
        <w:t xml:space="preserve"> </w:t>
      </w:r>
      <w:proofErr w:type="spellStart"/>
      <w:r>
        <w:rPr>
          <w:rStyle w:val="jlqj4b"/>
        </w:rPr>
        <w:t>Spherical</w:t>
      </w:r>
      <w:proofErr w:type="spellEnd"/>
      <w:r>
        <w:rPr>
          <w:rStyle w:val="jlqj4b"/>
        </w:rPr>
        <w:t xml:space="preserve"> Tokamak), również </w:t>
      </w:r>
      <w:r w:rsidR="006F6288">
        <w:rPr>
          <w:rStyle w:val="jlqj4b"/>
        </w:rPr>
        <w:t xml:space="preserve">zlokalizowanego </w:t>
      </w:r>
      <w:r>
        <w:rPr>
          <w:rStyle w:val="jlqj4b"/>
        </w:rPr>
        <w:t xml:space="preserve">w </w:t>
      </w:r>
      <w:proofErr w:type="spellStart"/>
      <w:r>
        <w:rPr>
          <w:rStyle w:val="jlqj4b"/>
        </w:rPr>
        <w:t>Culham</w:t>
      </w:r>
      <w:proofErr w:type="spellEnd"/>
      <w:r>
        <w:rPr>
          <w:rStyle w:val="jlqj4b"/>
        </w:rPr>
        <w:t xml:space="preserve">, w którym po raz pierwszy uzyskano plazmę w ubiegłym roku. Znajduje się tam również ośrodek badawczy syntezy jądrowej JET (Joint </w:t>
      </w:r>
      <w:proofErr w:type="spellStart"/>
      <w:r>
        <w:rPr>
          <w:rStyle w:val="jlqj4b"/>
        </w:rPr>
        <w:t>European</w:t>
      </w:r>
      <w:proofErr w:type="spellEnd"/>
      <w:r>
        <w:rPr>
          <w:rStyle w:val="jlqj4b"/>
        </w:rPr>
        <w:t xml:space="preserve"> Torus), który działa na podstawie umowy z Komisją Europejską. </w:t>
      </w:r>
    </w:p>
    <w:p w14:paraId="02B2D109" w14:textId="77777777" w:rsidR="006362CD" w:rsidRDefault="006362CD" w:rsidP="001455C7">
      <w:pPr>
        <w:rPr>
          <w:rStyle w:val="jlqj4b"/>
        </w:rPr>
      </w:pPr>
      <w:r>
        <w:rPr>
          <w:rStyle w:val="jlqj4b"/>
        </w:rPr>
        <w:t xml:space="preserve">Metoda </w:t>
      </w:r>
      <w:r w:rsidR="00E6119B">
        <w:rPr>
          <w:rStyle w:val="jlqj4b"/>
        </w:rPr>
        <w:t xml:space="preserve">MTF firmy General Fusion polega na wstrzykiwaniu plazmy wodorowej do kuli z ciekłego metalu, gdzie jest ona ściskana i podgrzewana, tak aby nastąpiła </w:t>
      </w:r>
      <w:r>
        <w:rPr>
          <w:rStyle w:val="jlqj4b"/>
        </w:rPr>
        <w:t>reakcja syntezy jądrowej</w:t>
      </w:r>
      <w:r w:rsidR="00E6119B">
        <w:rPr>
          <w:rStyle w:val="jlqj4b"/>
        </w:rPr>
        <w:t xml:space="preserve">. Ciepło z fuzji atomów wodoru jest przekazywane do ciekłego metalu. Różni się to od podejścia </w:t>
      </w:r>
      <w:proofErr w:type="spellStart"/>
      <w:r w:rsidR="00E6119B">
        <w:rPr>
          <w:rStyle w:val="jlqj4b"/>
        </w:rPr>
        <w:t>tokamakowego</w:t>
      </w:r>
      <w:proofErr w:type="spellEnd"/>
      <w:r w:rsidR="00E6119B">
        <w:rPr>
          <w:rStyle w:val="jlqj4b"/>
        </w:rPr>
        <w:t xml:space="preserve">, które jest stosowane w JET i MAST Upgrade, ale General Fusion i UKAEA powiedziały, że zamierzają współpracować nad szeregiem technologii energii termojądrowej do projektowania i eksploatacji elektrowni. </w:t>
      </w:r>
    </w:p>
    <w:p w14:paraId="4A2EDF1A" w14:textId="60D9AC51" w:rsidR="006362CD" w:rsidRDefault="00E6119B" w:rsidP="001455C7">
      <w:pPr>
        <w:rPr>
          <w:rStyle w:val="jlqj4b"/>
        </w:rPr>
      </w:pPr>
      <w:r>
        <w:rPr>
          <w:rStyle w:val="jlqj4b"/>
        </w:rPr>
        <w:t>„</w:t>
      </w:r>
      <w:proofErr w:type="spellStart"/>
      <w:r>
        <w:rPr>
          <w:rStyle w:val="jlqj4b"/>
        </w:rPr>
        <w:t>Culham</w:t>
      </w:r>
      <w:proofErr w:type="spellEnd"/>
      <w:r>
        <w:rPr>
          <w:rStyle w:val="jlqj4b"/>
        </w:rPr>
        <w:t xml:space="preserve"> daje nam możliwość skorzystania z wiedzy UKAEA” – powiedział dyrektor generalny General Fusion, </w:t>
      </w:r>
      <w:proofErr w:type="spellStart"/>
      <w:r>
        <w:rPr>
          <w:rStyle w:val="jlqj4b"/>
        </w:rPr>
        <w:t>Christofer</w:t>
      </w:r>
      <w:proofErr w:type="spellEnd"/>
      <w:r>
        <w:rPr>
          <w:rStyle w:val="jlqj4b"/>
        </w:rPr>
        <w:t xml:space="preserve"> </w:t>
      </w:r>
      <w:proofErr w:type="spellStart"/>
      <w:r>
        <w:rPr>
          <w:rStyle w:val="jlqj4b"/>
        </w:rPr>
        <w:t>Mowry</w:t>
      </w:r>
      <w:proofErr w:type="spellEnd"/>
      <w:r>
        <w:rPr>
          <w:rStyle w:val="jlqj4b"/>
        </w:rPr>
        <w:t xml:space="preserve">. „Lokalizując się w tym kampusie, General Fusion rozszerza </w:t>
      </w:r>
      <w:r w:rsidR="006362CD">
        <w:rPr>
          <w:rStyle w:val="jlqj4b"/>
        </w:rPr>
        <w:t>swoją</w:t>
      </w:r>
      <w:r>
        <w:rPr>
          <w:rStyle w:val="jlqj4b"/>
        </w:rPr>
        <w:t xml:space="preserve"> obecność rynkową poza Ameryką Północną na Europę, poszerzając globalną sieć partnerów rządowych, instytucjonalnych i przemysłowych”. </w:t>
      </w:r>
    </w:p>
    <w:p w14:paraId="674566CB" w14:textId="70363451" w:rsidR="006362CD" w:rsidRDefault="00E6119B" w:rsidP="001455C7">
      <w:pPr>
        <w:rPr>
          <w:rStyle w:val="jlqj4b"/>
        </w:rPr>
      </w:pPr>
      <w:r>
        <w:rPr>
          <w:rStyle w:val="jlqj4b"/>
        </w:rPr>
        <w:t xml:space="preserve">Budowa FDP – która według General Fusion będzie „największym prywatnie finansowanym prototypem MTF w historii” ma rozpocząć się w 2022 roku. </w:t>
      </w:r>
      <w:r w:rsidR="006362CD">
        <w:rPr>
          <w:rStyle w:val="jlqj4b"/>
        </w:rPr>
        <w:t xml:space="preserve">Instalacja demonstracyjna </w:t>
      </w:r>
      <w:r w:rsidR="006714E5">
        <w:rPr>
          <w:rStyle w:val="jlqj4b"/>
        </w:rPr>
        <w:t>ma udowodnić wykonalność i skuteczność technologii MTF i będzie pomniejszoną wersją przyszłej instalacji pilotażowej. Ma ona s</w:t>
      </w:r>
      <w:r w:rsidR="006362CD">
        <w:rPr>
          <w:rStyle w:val="jlqj4b"/>
        </w:rPr>
        <w:t>t</w:t>
      </w:r>
      <w:r>
        <w:rPr>
          <w:rStyle w:val="jlqj4b"/>
        </w:rPr>
        <w:t>worzy</w:t>
      </w:r>
      <w:r w:rsidR="006714E5">
        <w:rPr>
          <w:rStyle w:val="jlqj4b"/>
        </w:rPr>
        <w:t>ć</w:t>
      </w:r>
      <w:r>
        <w:rPr>
          <w:rStyle w:val="jlqj4b"/>
        </w:rPr>
        <w:t xml:space="preserve"> warunki </w:t>
      </w:r>
      <w:r w:rsidR="006362CD">
        <w:rPr>
          <w:rStyle w:val="jlqj4b"/>
        </w:rPr>
        <w:t xml:space="preserve">dla zainicjowania </w:t>
      </w:r>
      <w:r>
        <w:rPr>
          <w:rStyle w:val="jlqj4b"/>
        </w:rPr>
        <w:t>syntezy jądrowej w środowisku „związanym z elektrownią”, ale nie zostanie wykorzystan</w:t>
      </w:r>
      <w:r w:rsidR="006362CD">
        <w:rPr>
          <w:rStyle w:val="jlqj4b"/>
        </w:rPr>
        <w:t>a</w:t>
      </w:r>
      <w:r>
        <w:rPr>
          <w:rStyle w:val="jlqj4b"/>
        </w:rPr>
        <w:t xml:space="preserve"> do produkcji energii. FDP będzie wykonywał cykl jednego impulsu plazmy dziennie i będzie wykorzystywał paliwo deuterowe, podczas gdy komercyjna instalacja pilotażowa będzie wykorzystywać paliwo deuterowo-trytowe i będzie wykonywać cykl do jednego impulsu plazmy na sekundę. </w:t>
      </w:r>
    </w:p>
    <w:p w14:paraId="3367F7E5" w14:textId="66E1352F" w:rsidR="00E6119B" w:rsidRPr="003B354D" w:rsidRDefault="00E6119B" w:rsidP="001455C7">
      <w:pPr>
        <w:rPr>
          <w:rStyle w:val="jlqj4b"/>
        </w:rPr>
      </w:pPr>
      <w:r>
        <w:rPr>
          <w:rStyle w:val="jlqj4b"/>
        </w:rPr>
        <w:t xml:space="preserve">General Fusion twierdzi, że jej podejście do </w:t>
      </w:r>
      <w:r w:rsidR="006714E5">
        <w:rPr>
          <w:rStyle w:val="jlqj4b"/>
        </w:rPr>
        <w:t xml:space="preserve">fuzji jądrowej polegające na </w:t>
      </w:r>
      <w:r>
        <w:rPr>
          <w:rStyle w:val="jlqj4b"/>
        </w:rPr>
        <w:t xml:space="preserve">maksymalizacji wykorzystania istniejących technologii przemysłowych, takich jak tłoki pneumatyczne, i niepoleganie na dużych magnesach nadprzewodzących lub drogich laserach oznacza łatwiejszy dostęp do łańcucha dostaw, dzięki czemu </w:t>
      </w:r>
      <w:r w:rsidR="006714E5">
        <w:rPr>
          <w:rStyle w:val="jlqj4b"/>
        </w:rPr>
        <w:t xml:space="preserve">technologia </w:t>
      </w:r>
      <w:r>
        <w:rPr>
          <w:rStyle w:val="jlqj4b"/>
        </w:rPr>
        <w:t>MTF jest łatwiejsz</w:t>
      </w:r>
      <w:r w:rsidR="006714E5">
        <w:rPr>
          <w:rStyle w:val="jlqj4b"/>
        </w:rPr>
        <w:t xml:space="preserve">a </w:t>
      </w:r>
      <w:r>
        <w:rPr>
          <w:rStyle w:val="jlqj4b"/>
        </w:rPr>
        <w:t xml:space="preserve">do produkcji i skalowania niż inne technologie syntezy jądrowej. Firma twierdzi, że jej celem jest dostarczenie światu energii termojądrowej do początku lat 30. </w:t>
      </w:r>
      <w:r w:rsidRPr="003B354D">
        <w:rPr>
          <w:rStyle w:val="jlqj4b"/>
        </w:rPr>
        <w:t>XX</w:t>
      </w:r>
      <w:r w:rsidR="006714E5" w:rsidRPr="003B354D">
        <w:rPr>
          <w:rStyle w:val="jlqj4b"/>
        </w:rPr>
        <w:t>I</w:t>
      </w:r>
      <w:r w:rsidRPr="003B354D">
        <w:rPr>
          <w:rStyle w:val="jlqj4b"/>
        </w:rPr>
        <w:t xml:space="preserve"> wieku.</w:t>
      </w:r>
    </w:p>
    <w:p w14:paraId="68C23D5D" w14:textId="1543CD5D" w:rsidR="006714E5" w:rsidRDefault="006714E5" w:rsidP="001455C7">
      <w:pPr>
        <w:rPr>
          <w:rStyle w:val="jlqj4b"/>
        </w:rPr>
      </w:pPr>
      <w:r w:rsidRPr="00A36B27">
        <w:rPr>
          <w:rStyle w:val="jlqj4b"/>
        </w:rPr>
        <w:t>Więcej na: </w:t>
      </w:r>
      <w:hyperlink r:id="rId8" w:history="1">
        <w:r w:rsidR="003B354D" w:rsidRPr="003918D4">
          <w:rPr>
            <w:rStyle w:val="Hipercze"/>
          </w:rPr>
          <w:t>https://www.neimagazine.com/news/newscanadas-general-fusion-to-build-demonstration-plant-in-the-uk-8827799</w:t>
        </w:r>
      </w:hyperlink>
    </w:p>
    <w:p w14:paraId="652A228E" w14:textId="594F7FA4" w:rsidR="003B354D" w:rsidRDefault="00874888" w:rsidP="001455C7">
      <w:pPr>
        <w:rPr>
          <w:rStyle w:val="jlqj4b"/>
        </w:rPr>
      </w:pPr>
      <w:hyperlink r:id="rId9" w:history="1">
        <w:r w:rsidR="003B354D" w:rsidRPr="003918D4">
          <w:rPr>
            <w:rStyle w:val="Hipercze"/>
          </w:rPr>
          <w:t>https://www.world-nuclear-news.org/Articles/Fusion-demonstration-plant-to-be-built-in-UK</w:t>
        </w:r>
      </w:hyperlink>
    </w:p>
    <w:p w14:paraId="6035CD9B" w14:textId="5C8FFB4E" w:rsidR="00E6119B" w:rsidRPr="00301F06" w:rsidRDefault="00301F06" w:rsidP="00301F06">
      <w:pPr>
        <w:spacing w:before="240" w:after="240"/>
        <w:rPr>
          <w:b/>
          <w:bCs/>
        </w:rPr>
      </w:pPr>
      <w:r w:rsidRPr="00301F06">
        <w:rPr>
          <w:b/>
          <w:bCs/>
        </w:rPr>
        <w:t>4. </w:t>
      </w:r>
      <w:proofErr w:type="spellStart"/>
      <w:r w:rsidRPr="00301F06">
        <w:rPr>
          <w:rStyle w:val="jlqj4b"/>
          <w:b/>
          <w:bCs/>
        </w:rPr>
        <w:t>Duke</w:t>
      </w:r>
      <w:proofErr w:type="spellEnd"/>
      <w:r w:rsidRPr="00301F06">
        <w:rPr>
          <w:rStyle w:val="jlqj4b"/>
          <w:b/>
          <w:bCs/>
        </w:rPr>
        <w:t xml:space="preserve"> występuje o kolejne przedłużenie licencji dla EJ </w:t>
      </w:r>
      <w:proofErr w:type="spellStart"/>
      <w:r w:rsidRPr="00301F06">
        <w:rPr>
          <w:rStyle w:val="jlqj4b"/>
          <w:b/>
          <w:bCs/>
        </w:rPr>
        <w:t>Oconee</w:t>
      </w:r>
      <w:proofErr w:type="spellEnd"/>
    </w:p>
    <w:p w14:paraId="10808E88" w14:textId="1895787E" w:rsidR="00301F06" w:rsidRDefault="00F05632" w:rsidP="00C9182C">
      <w:pPr>
        <w:rPr>
          <w:rStyle w:val="jlqj4b"/>
        </w:rPr>
      </w:pPr>
      <w:r>
        <w:rPr>
          <w:rStyle w:val="jlqj4b"/>
        </w:rPr>
        <w:t xml:space="preserve">Amerykański koncern energetyczny </w:t>
      </w:r>
      <w:proofErr w:type="spellStart"/>
      <w:r w:rsidR="00301F06">
        <w:rPr>
          <w:rStyle w:val="jlqj4b"/>
        </w:rPr>
        <w:t>Duke</w:t>
      </w:r>
      <w:proofErr w:type="spellEnd"/>
      <w:r w:rsidR="00301F06">
        <w:rPr>
          <w:rStyle w:val="jlqj4b"/>
        </w:rPr>
        <w:t xml:space="preserve"> Energy złożył wniosek do amerykańskiej Komisji Regulacji Jądrowych (NRC) o odnowienie </w:t>
      </w:r>
      <w:r>
        <w:rPr>
          <w:rStyle w:val="jlqj4b"/>
        </w:rPr>
        <w:t xml:space="preserve">na kolejne 20 lat </w:t>
      </w:r>
      <w:r w:rsidR="00301F06">
        <w:rPr>
          <w:rStyle w:val="jlqj4b"/>
        </w:rPr>
        <w:t xml:space="preserve">koncesji na eksploatację elektrowni jądrowej </w:t>
      </w:r>
      <w:proofErr w:type="spellStart"/>
      <w:r w:rsidR="00301F06">
        <w:rPr>
          <w:rStyle w:val="jlqj4b"/>
        </w:rPr>
        <w:t>Oconee</w:t>
      </w:r>
      <w:proofErr w:type="spellEnd"/>
      <w:r w:rsidRPr="00F05632">
        <w:rPr>
          <w:rStyle w:val="jlqj4b"/>
        </w:rPr>
        <w:t xml:space="preserve"> </w:t>
      </w:r>
      <w:r>
        <w:rPr>
          <w:rStyle w:val="jlqj4b"/>
        </w:rPr>
        <w:t xml:space="preserve">zlokalizowanej nad jeziorem </w:t>
      </w:r>
      <w:proofErr w:type="spellStart"/>
      <w:r>
        <w:rPr>
          <w:rStyle w:val="jlqj4b"/>
        </w:rPr>
        <w:t>Keowee</w:t>
      </w:r>
      <w:proofErr w:type="spellEnd"/>
      <w:r>
        <w:rPr>
          <w:rStyle w:val="jlqj4b"/>
        </w:rPr>
        <w:t xml:space="preserve"> w </w:t>
      </w:r>
      <w:proofErr w:type="spellStart"/>
      <w:r>
        <w:rPr>
          <w:rStyle w:val="jlqj4b"/>
        </w:rPr>
        <w:t>Seneca</w:t>
      </w:r>
      <w:proofErr w:type="spellEnd"/>
      <w:r>
        <w:rPr>
          <w:rStyle w:val="jlqj4b"/>
        </w:rPr>
        <w:t xml:space="preserve"> w Karolinie Południowej</w:t>
      </w:r>
      <w:r w:rsidR="00301F06">
        <w:rPr>
          <w:rStyle w:val="jlqj4b"/>
        </w:rPr>
        <w:t xml:space="preserve">. Firma planuje podobne odnowienia licencji operacyjnych dla wszystkich 11 eksploatowanych przez siebie reaktorów, aby wspierać cele związane z redukcją emisji dwutlenku węgla. </w:t>
      </w:r>
    </w:p>
    <w:p w14:paraId="2FB1091C" w14:textId="39176EF4" w:rsidR="00301F06" w:rsidRDefault="00301F06" w:rsidP="00C9182C">
      <w:pPr>
        <w:rPr>
          <w:rStyle w:val="jlqj4b"/>
        </w:rPr>
      </w:pPr>
      <w:r>
        <w:rPr>
          <w:rStyle w:val="jlqj4b"/>
        </w:rPr>
        <w:lastRenderedPageBreak/>
        <w:t xml:space="preserve">Pierwsze dwa z trzech bloków </w:t>
      </w:r>
      <w:r w:rsidR="00F05632">
        <w:rPr>
          <w:rStyle w:val="jlqj4b"/>
        </w:rPr>
        <w:t xml:space="preserve">energetycznych elektrowni wyposażone w reaktory </w:t>
      </w:r>
      <w:r>
        <w:rPr>
          <w:rStyle w:val="jlqj4b"/>
        </w:rPr>
        <w:t>PWR</w:t>
      </w:r>
      <w:r w:rsidR="00F05632">
        <w:rPr>
          <w:rStyle w:val="jlqj4b"/>
        </w:rPr>
        <w:t xml:space="preserve"> o mocy </w:t>
      </w:r>
      <w:r w:rsidR="00C873EC">
        <w:rPr>
          <w:rStyle w:val="jlqj4b"/>
        </w:rPr>
        <w:t xml:space="preserve">887 </w:t>
      </w:r>
      <w:proofErr w:type="spellStart"/>
      <w:r w:rsidR="00F05632">
        <w:rPr>
          <w:rStyle w:val="jlqj4b"/>
        </w:rPr>
        <w:t>MWe</w:t>
      </w:r>
      <w:proofErr w:type="spellEnd"/>
      <w:r w:rsidR="00F05632">
        <w:rPr>
          <w:rStyle w:val="jlqj4b"/>
        </w:rPr>
        <w:t xml:space="preserve"> </w:t>
      </w:r>
      <w:r>
        <w:rPr>
          <w:rStyle w:val="jlqj4b"/>
        </w:rPr>
        <w:t xml:space="preserve">zostały podłączone do sieci w 1973 r., a trzeci w 1974 r. Obecnie mają zezwolenie na pracę do początku lat 30.; kolejne odnowienie koncesji wydłużyłoby okres eksploatacji do 2053 r. dla bloków 1 i 2 oraz do 2054 r. dla bloku 3. </w:t>
      </w:r>
    </w:p>
    <w:p w14:paraId="1926AC94" w14:textId="0D0EEE9F" w:rsidR="00F05632" w:rsidRDefault="00301F06" w:rsidP="00C9182C">
      <w:pPr>
        <w:rPr>
          <w:rStyle w:val="jlqj4b"/>
        </w:rPr>
      </w:pPr>
      <w:proofErr w:type="spellStart"/>
      <w:r>
        <w:rPr>
          <w:rStyle w:val="jlqj4b"/>
        </w:rPr>
        <w:t>Oconee</w:t>
      </w:r>
      <w:proofErr w:type="spellEnd"/>
      <w:r>
        <w:rPr>
          <w:rStyle w:val="jlqj4b"/>
        </w:rPr>
        <w:t xml:space="preserve"> jest największą elektrownią jądrową </w:t>
      </w:r>
      <w:r w:rsidR="00F05632">
        <w:rPr>
          <w:rStyle w:val="jlqj4b"/>
        </w:rPr>
        <w:t xml:space="preserve">zarządzaną przez </w:t>
      </w:r>
      <w:proofErr w:type="spellStart"/>
      <w:r>
        <w:rPr>
          <w:rStyle w:val="jlqj4b"/>
        </w:rPr>
        <w:t>Duke</w:t>
      </w:r>
      <w:proofErr w:type="spellEnd"/>
      <w:r>
        <w:rPr>
          <w:rStyle w:val="jlqj4b"/>
        </w:rPr>
        <w:t xml:space="preserve"> Energy o łącznej mocy ponad 2500 </w:t>
      </w:r>
      <w:proofErr w:type="spellStart"/>
      <w:r>
        <w:rPr>
          <w:rStyle w:val="jlqj4b"/>
        </w:rPr>
        <w:t>MWe</w:t>
      </w:r>
      <w:proofErr w:type="spellEnd"/>
      <w:r>
        <w:rPr>
          <w:rStyle w:val="jlqj4b"/>
        </w:rPr>
        <w:t xml:space="preserve"> i pierwszą, dla której </w:t>
      </w:r>
      <w:r w:rsidR="00F05632">
        <w:rPr>
          <w:rStyle w:val="jlqj4b"/>
        </w:rPr>
        <w:t>koncern złożył</w:t>
      </w:r>
      <w:r>
        <w:rPr>
          <w:rStyle w:val="jlqj4b"/>
        </w:rPr>
        <w:t xml:space="preserve"> wniosek o kolejne odnowienie licencji. </w:t>
      </w:r>
    </w:p>
    <w:p w14:paraId="229FA2F7" w14:textId="0A2138DD" w:rsidR="00301F06" w:rsidRDefault="00301F06" w:rsidP="00C9182C">
      <w:pPr>
        <w:rPr>
          <w:rStyle w:val="jlqj4b"/>
        </w:rPr>
      </w:pPr>
      <w:r>
        <w:rPr>
          <w:rStyle w:val="jlqj4b"/>
        </w:rPr>
        <w:t>„</w:t>
      </w:r>
      <w:r w:rsidR="00F05632">
        <w:rPr>
          <w:rStyle w:val="jlqj4b"/>
        </w:rPr>
        <w:t>Zakład</w:t>
      </w:r>
      <w:r>
        <w:rPr>
          <w:rStyle w:val="jlqj4b"/>
        </w:rPr>
        <w:t xml:space="preserve"> </w:t>
      </w:r>
      <w:proofErr w:type="spellStart"/>
      <w:r>
        <w:rPr>
          <w:rStyle w:val="jlqj4b"/>
        </w:rPr>
        <w:t>Oconee</w:t>
      </w:r>
      <w:proofErr w:type="spellEnd"/>
      <w:r>
        <w:rPr>
          <w:rStyle w:val="jlqj4b"/>
        </w:rPr>
        <w:t xml:space="preserve"> </w:t>
      </w:r>
      <w:proofErr w:type="spellStart"/>
      <w:r>
        <w:rPr>
          <w:rStyle w:val="jlqj4b"/>
        </w:rPr>
        <w:t>Nuclear</w:t>
      </w:r>
      <w:proofErr w:type="spellEnd"/>
      <w:r>
        <w:rPr>
          <w:rStyle w:val="jlqj4b"/>
        </w:rPr>
        <w:t xml:space="preserve"> Station dostarcza bezpieczną, niezawodną, </w:t>
      </w:r>
      <w:proofErr w:type="spellStart"/>
      <w:r>
        <w:rPr>
          <w:rStyle w:val="jlqj4b"/>
        </w:rPr>
        <w:t>bezemisyjną</w:t>
      </w:r>
      <w:proofErr w:type="spellEnd"/>
      <w:r>
        <w:rPr>
          <w:rStyle w:val="jlqj4b"/>
        </w:rPr>
        <w:t xml:space="preserve"> energię klientom i naszym społecznościom od prawie 50 lat” – </w:t>
      </w:r>
      <w:r w:rsidR="00F05632">
        <w:rPr>
          <w:rStyle w:val="jlqj4b"/>
        </w:rPr>
        <w:t>mówi</w:t>
      </w:r>
      <w:r>
        <w:rPr>
          <w:rStyle w:val="jlqj4b"/>
        </w:rPr>
        <w:t xml:space="preserve"> wiceprezes </w:t>
      </w:r>
      <w:proofErr w:type="spellStart"/>
      <w:r>
        <w:rPr>
          <w:rStyle w:val="jlqj4b"/>
        </w:rPr>
        <w:t>Oconee</w:t>
      </w:r>
      <w:proofErr w:type="spellEnd"/>
      <w:r>
        <w:rPr>
          <w:rStyle w:val="jlqj4b"/>
        </w:rPr>
        <w:t xml:space="preserve"> </w:t>
      </w:r>
      <w:proofErr w:type="spellStart"/>
      <w:r>
        <w:rPr>
          <w:rStyle w:val="jlqj4b"/>
        </w:rPr>
        <w:t>Nuclear</w:t>
      </w:r>
      <w:proofErr w:type="spellEnd"/>
      <w:r>
        <w:rPr>
          <w:rStyle w:val="jlqj4b"/>
        </w:rPr>
        <w:t xml:space="preserve"> Station, Steve </w:t>
      </w:r>
      <w:proofErr w:type="spellStart"/>
      <w:r>
        <w:rPr>
          <w:rStyle w:val="jlqj4b"/>
        </w:rPr>
        <w:t>Snider</w:t>
      </w:r>
      <w:proofErr w:type="spellEnd"/>
      <w:r>
        <w:rPr>
          <w:rStyle w:val="jlqj4b"/>
        </w:rPr>
        <w:t xml:space="preserve">. „Odnowienie tych koncesji jest znaczącym krokiem w kierunku osiągnięcia </w:t>
      </w:r>
      <w:r w:rsidR="00F05632">
        <w:rPr>
          <w:rStyle w:val="jlqj4b"/>
        </w:rPr>
        <w:t>ambitnych</w:t>
      </w:r>
      <w:r>
        <w:rPr>
          <w:rStyle w:val="jlqj4b"/>
        </w:rPr>
        <w:t xml:space="preserve"> celów </w:t>
      </w:r>
      <w:proofErr w:type="spellStart"/>
      <w:r>
        <w:rPr>
          <w:rStyle w:val="jlqj4b"/>
        </w:rPr>
        <w:t>Duke</w:t>
      </w:r>
      <w:proofErr w:type="spellEnd"/>
      <w:r>
        <w:rPr>
          <w:rStyle w:val="jlqj4b"/>
        </w:rPr>
        <w:t xml:space="preserve"> Energy w zakresie redukcji emisji dwutlenku węgla, których nie można osiągnąć bez energii jądrowej”. </w:t>
      </w:r>
    </w:p>
    <w:p w14:paraId="70EC78E1" w14:textId="7C7CD4B8" w:rsidR="00301F06" w:rsidRDefault="00301F06" w:rsidP="00C9182C">
      <w:pPr>
        <w:rPr>
          <w:rStyle w:val="jlqj4b"/>
        </w:rPr>
      </w:pPr>
      <w:proofErr w:type="spellStart"/>
      <w:r>
        <w:rPr>
          <w:rStyle w:val="jlqj4b"/>
        </w:rPr>
        <w:t>Duke</w:t>
      </w:r>
      <w:proofErr w:type="spellEnd"/>
      <w:r>
        <w:rPr>
          <w:rStyle w:val="jlqj4b"/>
        </w:rPr>
        <w:t xml:space="preserve"> Energy eksploatuje reaktory jądrowe w sześciu zakładach w Północnej i Południowej Karolinie: trzy</w:t>
      </w:r>
      <w:r w:rsidR="00F05632">
        <w:rPr>
          <w:rStyle w:val="jlqj4b"/>
        </w:rPr>
        <w:t>blokowej</w:t>
      </w:r>
      <w:r>
        <w:rPr>
          <w:rStyle w:val="jlqj4b"/>
        </w:rPr>
        <w:t xml:space="preserve"> elektrowni </w:t>
      </w:r>
      <w:proofErr w:type="spellStart"/>
      <w:r>
        <w:rPr>
          <w:rStyle w:val="jlqj4b"/>
        </w:rPr>
        <w:t>Oconee</w:t>
      </w:r>
      <w:proofErr w:type="spellEnd"/>
      <w:r>
        <w:rPr>
          <w:rStyle w:val="jlqj4b"/>
        </w:rPr>
        <w:t>, dwu</w:t>
      </w:r>
      <w:r w:rsidR="00F05632">
        <w:rPr>
          <w:rStyle w:val="jlqj4b"/>
        </w:rPr>
        <w:t>blokow</w:t>
      </w:r>
      <w:r w:rsidR="00C9182C">
        <w:rPr>
          <w:rStyle w:val="jlqj4b"/>
        </w:rPr>
        <w:t>ych</w:t>
      </w:r>
      <w:r>
        <w:rPr>
          <w:rStyle w:val="jlqj4b"/>
        </w:rPr>
        <w:t xml:space="preserve"> elektrowni w </w:t>
      </w:r>
      <w:proofErr w:type="spellStart"/>
      <w:r>
        <w:rPr>
          <w:rStyle w:val="jlqj4b"/>
        </w:rPr>
        <w:t>Brunswick</w:t>
      </w:r>
      <w:proofErr w:type="spellEnd"/>
      <w:r>
        <w:rPr>
          <w:rStyle w:val="jlqj4b"/>
        </w:rPr>
        <w:t xml:space="preserve">, </w:t>
      </w:r>
      <w:proofErr w:type="spellStart"/>
      <w:r>
        <w:rPr>
          <w:rStyle w:val="jlqj4b"/>
        </w:rPr>
        <w:t>Catawba</w:t>
      </w:r>
      <w:proofErr w:type="spellEnd"/>
      <w:r>
        <w:rPr>
          <w:rStyle w:val="jlqj4b"/>
        </w:rPr>
        <w:t xml:space="preserve"> i </w:t>
      </w:r>
      <w:proofErr w:type="spellStart"/>
      <w:r>
        <w:rPr>
          <w:rStyle w:val="jlqj4b"/>
        </w:rPr>
        <w:t>McGuire</w:t>
      </w:r>
      <w:proofErr w:type="spellEnd"/>
      <w:r>
        <w:rPr>
          <w:rStyle w:val="jlqj4b"/>
        </w:rPr>
        <w:t>; oraz dw</w:t>
      </w:r>
      <w:r w:rsidR="00C9182C">
        <w:rPr>
          <w:rStyle w:val="jlqj4b"/>
        </w:rPr>
        <w:t>a</w:t>
      </w:r>
      <w:r>
        <w:rPr>
          <w:rStyle w:val="jlqj4b"/>
        </w:rPr>
        <w:t xml:space="preserve"> pojedyncze zakłady w Robinson i </w:t>
      </w:r>
      <w:proofErr w:type="spellStart"/>
      <w:r>
        <w:rPr>
          <w:rStyle w:val="jlqj4b"/>
        </w:rPr>
        <w:t>Shearon</w:t>
      </w:r>
      <w:proofErr w:type="spellEnd"/>
      <w:r>
        <w:rPr>
          <w:rStyle w:val="jlqj4b"/>
        </w:rPr>
        <w:t xml:space="preserve"> Harris. Utrzymanie działania floty jądrowej jest postrzegane przez </w:t>
      </w:r>
      <w:proofErr w:type="spellStart"/>
      <w:r>
        <w:rPr>
          <w:rStyle w:val="jlqj4b"/>
        </w:rPr>
        <w:t>Duke</w:t>
      </w:r>
      <w:proofErr w:type="spellEnd"/>
      <w:r>
        <w:rPr>
          <w:rStyle w:val="jlqj4b"/>
        </w:rPr>
        <w:t xml:space="preserve"> jako klucz do osiągnięcia celów redukcji emisji dwutlenku węgla </w:t>
      </w:r>
      <w:r w:rsidR="00C9182C">
        <w:rPr>
          <w:rStyle w:val="jlqj4b"/>
        </w:rPr>
        <w:t xml:space="preserve">z wytwarzania energii elektrycznej </w:t>
      </w:r>
      <w:r>
        <w:rPr>
          <w:rStyle w:val="jlqj4b"/>
        </w:rPr>
        <w:t xml:space="preserve">o co najmniej 50% do 2030 r. i zera netto do 2050 r., a firma w 2019 r. zapowiedziała, że będzie dążyć do odnowienia koncesji na eksploatację wszystkich 11 </w:t>
      </w:r>
      <w:r w:rsidR="00C9182C">
        <w:rPr>
          <w:rStyle w:val="jlqj4b"/>
        </w:rPr>
        <w:t>bloków</w:t>
      </w:r>
      <w:r>
        <w:rPr>
          <w:rStyle w:val="jlqj4b"/>
        </w:rPr>
        <w:t xml:space="preserve"> jądrowych. </w:t>
      </w:r>
    </w:p>
    <w:p w14:paraId="7545F131" w14:textId="77777777" w:rsidR="00C9182C" w:rsidRDefault="00301F06" w:rsidP="00C9182C">
      <w:pPr>
        <w:rPr>
          <w:rStyle w:val="jlqj4b"/>
        </w:rPr>
      </w:pPr>
      <w:r>
        <w:rPr>
          <w:rStyle w:val="jlqj4b"/>
        </w:rPr>
        <w:t xml:space="preserve">„Zróżnicowany, coraz bardziej pozbawiony emisji </w:t>
      </w:r>
      <w:proofErr w:type="spellStart"/>
      <w:r>
        <w:rPr>
          <w:rStyle w:val="jlqj4b"/>
        </w:rPr>
        <w:t>miks</w:t>
      </w:r>
      <w:proofErr w:type="spellEnd"/>
      <w:r>
        <w:rPr>
          <w:rStyle w:val="jlqj4b"/>
        </w:rPr>
        <w:t xml:space="preserve"> energetyczny jest ważny dla klientów</w:t>
      </w:r>
      <w:r w:rsidR="00C9182C">
        <w:rPr>
          <w:rStyle w:val="jlqj4b"/>
        </w:rPr>
        <w:t>, a</w:t>
      </w:r>
      <w:r>
        <w:rPr>
          <w:rStyle w:val="jlqj4b"/>
        </w:rPr>
        <w:t xml:space="preserve"> energia jądrowa jest sprawdzoną częścią tego </w:t>
      </w:r>
      <w:proofErr w:type="spellStart"/>
      <w:r>
        <w:rPr>
          <w:rStyle w:val="jlqj4b"/>
        </w:rPr>
        <w:t>miksu</w:t>
      </w:r>
      <w:proofErr w:type="spellEnd"/>
      <w:r>
        <w:rPr>
          <w:rStyle w:val="jlqj4b"/>
        </w:rPr>
        <w:t xml:space="preserve">, zapewniając naszym klientom w Karolinie czystą, bezpieczną i niezawodną energię elektryczną przez dziesięciolecia” – </w:t>
      </w:r>
      <w:r w:rsidR="00C9182C">
        <w:rPr>
          <w:rStyle w:val="jlqj4b"/>
        </w:rPr>
        <w:t xml:space="preserve">stwierdza </w:t>
      </w:r>
      <w:r>
        <w:rPr>
          <w:rStyle w:val="jlqj4b"/>
        </w:rPr>
        <w:t xml:space="preserve">Kelvin Henderson, dyrektor ds. jądrowych </w:t>
      </w:r>
      <w:proofErr w:type="spellStart"/>
      <w:r>
        <w:rPr>
          <w:rStyle w:val="jlqj4b"/>
        </w:rPr>
        <w:t>Duke</w:t>
      </w:r>
      <w:proofErr w:type="spellEnd"/>
      <w:r>
        <w:rPr>
          <w:rStyle w:val="jlqj4b"/>
        </w:rPr>
        <w:t xml:space="preserve"> Energy. „Nasze elektrownie jądrowe pozostają siłą napędową dla swoich społeczności, zapewniając tysiące dobrze płatnych miejsc pracy, znaczne dochody z podatków, możliwości partnerstwa i inne korzyści”.</w:t>
      </w:r>
    </w:p>
    <w:p w14:paraId="162C367C" w14:textId="7DAB59D9" w:rsidR="00301F06" w:rsidRDefault="00301F06" w:rsidP="00C9182C">
      <w:pPr>
        <w:rPr>
          <w:rStyle w:val="jlqj4b"/>
        </w:rPr>
      </w:pPr>
      <w:r>
        <w:rPr>
          <w:rStyle w:val="jlqj4b"/>
        </w:rPr>
        <w:t xml:space="preserve">Amerykańskie reaktory są początkowo licencjonowane przez NRC na okres do 40 lat – okres pierwotnie oparty na ograniczeniach ekonomicznych, a nie technologicznych. Wstępne odnowienie licencji wydłuża okres eksploatacji do 60 lat. Kolejne odnowienie licencji wydłuża okres eksploatacji z 60 do 80 lat. Do tej pory sześć reaktorów – jednostki Turkey Point 3 i 4, </w:t>
      </w:r>
      <w:proofErr w:type="spellStart"/>
      <w:r>
        <w:rPr>
          <w:rStyle w:val="jlqj4b"/>
        </w:rPr>
        <w:t>Peach</w:t>
      </w:r>
      <w:proofErr w:type="spellEnd"/>
      <w:r>
        <w:rPr>
          <w:rStyle w:val="jlqj4b"/>
        </w:rPr>
        <w:t xml:space="preserve"> </w:t>
      </w:r>
      <w:proofErr w:type="spellStart"/>
      <w:r>
        <w:rPr>
          <w:rStyle w:val="jlqj4b"/>
        </w:rPr>
        <w:t>Bottom</w:t>
      </w:r>
      <w:proofErr w:type="spellEnd"/>
      <w:r>
        <w:rPr>
          <w:rStyle w:val="jlqj4b"/>
        </w:rPr>
        <w:t xml:space="preserve"> 2 i 3 oraz </w:t>
      </w:r>
      <w:proofErr w:type="spellStart"/>
      <w:r>
        <w:rPr>
          <w:rStyle w:val="jlqj4b"/>
        </w:rPr>
        <w:t>Surry</w:t>
      </w:r>
      <w:proofErr w:type="spellEnd"/>
      <w:r>
        <w:rPr>
          <w:rStyle w:val="jlqj4b"/>
        </w:rPr>
        <w:t xml:space="preserve"> 1 i 2 – zostało dopuszczonych do eksploatacji do 80 lat. NRC obecnie rozpatruje wnioski o kolejne cztery jednostki, w zakładach Point Beach i </w:t>
      </w:r>
      <w:proofErr w:type="spellStart"/>
      <w:r>
        <w:rPr>
          <w:rStyle w:val="jlqj4b"/>
        </w:rPr>
        <w:t>North</w:t>
      </w:r>
      <w:proofErr w:type="spellEnd"/>
      <w:r>
        <w:rPr>
          <w:rStyle w:val="jlqj4b"/>
        </w:rPr>
        <w:t xml:space="preserve"> Anna.</w:t>
      </w:r>
    </w:p>
    <w:p w14:paraId="31A2C6A1" w14:textId="3C709E83" w:rsidR="00C9182C" w:rsidRDefault="00C9182C" w:rsidP="00C9182C">
      <w:pPr>
        <w:rPr>
          <w:rStyle w:val="jlqj4b"/>
        </w:rPr>
      </w:pPr>
      <w:r>
        <w:rPr>
          <w:rStyle w:val="jlqj4b"/>
        </w:rPr>
        <w:t>Więcej na: </w:t>
      </w:r>
      <w:hyperlink r:id="rId10" w:history="1">
        <w:r w:rsidR="00C873EC" w:rsidRPr="003918D4">
          <w:rPr>
            <w:rStyle w:val="Hipercze"/>
          </w:rPr>
          <w:t>https://www.world-nuclear-news.org/Articles/Duke-applies-for-Oconee-subsequent-licence-renewal</w:t>
        </w:r>
      </w:hyperlink>
    </w:p>
    <w:p w14:paraId="1B977D3A" w14:textId="77777777" w:rsidR="00C873EC" w:rsidRDefault="00C873EC">
      <w:pPr>
        <w:rPr>
          <w:b/>
          <w:bCs/>
          <w:smallCaps/>
          <w:highlight w:val="cyan"/>
        </w:rPr>
      </w:pPr>
      <w:r>
        <w:rPr>
          <w:b/>
          <w:bCs/>
          <w:smallCaps/>
          <w:highlight w:val="cyan"/>
        </w:rPr>
        <w:br w:type="page"/>
      </w:r>
    </w:p>
    <w:p w14:paraId="7238D906" w14:textId="1D9C989D" w:rsidR="006E1332" w:rsidRDefault="006E1332" w:rsidP="006E1332">
      <w:pPr>
        <w:rPr>
          <w:b/>
          <w:bCs/>
          <w:smallCaps/>
        </w:rPr>
      </w:pPr>
      <w:r w:rsidRPr="0083349D">
        <w:rPr>
          <w:b/>
          <w:bCs/>
          <w:smallCaps/>
          <w:highlight w:val="cyan"/>
        </w:rPr>
        <w:lastRenderedPageBreak/>
        <w:t>Czy wiesz, że…</w:t>
      </w:r>
    </w:p>
    <w:p w14:paraId="1DCB00CB" w14:textId="64B6756A" w:rsidR="00CB592F" w:rsidRPr="00607A64" w:rsidRDefault="00607A64" w:rsidP="00607A64">
      <w:pPr>
        <w:rPr>
          <w:sz w:val="27"/>
          <w:szCs w:val="27"/>
        </w:rPr>
      </w:pPr>
      <w:r w:rsidRPr="00607A64">
        <w:t>Energia j</w:t>
      </w:r>
      <w:r>
        <w:t>ą</w:t>
      </w:r>
      <w:r w:rsidRPr="00607A64">
        <w:t xml:space="preserve">drowa jest </w:t>
      </w:r>
      <w:r w:rsidRPr="000A1E66">
        <w:rPr>
          <w:b/>
          <w:bCs/>
        </w:rPr>
        <w:t>jednym z</w:t>
      </w:r>
      <w:r w:rsidRPr="00607A64">
        <w:t xml:space="preserve"> </w:t>
      </w:r>
      <w:r w:rsidRPr="000A1E66">
        <w:rPr>
          <w:b/>
          <w:bCs/>
        </w:rPr>
        <w:t>najbezpieczniejszych</w:t>
      </w:r>
      <w:r>
        <w:t xml:space="preserve"> źródeł energii elektrycznej</w:t>
      </w:r>
    </w:p>
    <w:p w14:paraId="00FCF8D6" w14:textId="3084C80F" w:rsidR="002D2D90" w:rsidRDefault="002D2D90" w:rsidP="006E1332">
      <w:pPr>
        <w:rPr>
          <w:b/>
          <w:bCs/>
          <w:smallCaps/>
          <w:lang w:val="en-AU"/>
        </w:rPr>
      </w:pPr>
      <w:r>
        <w:rPr>
          <w:noProof/>
        </w:rPr>
        <w:drawing>
          <wp:inline distT="0" distB="0" distL="0" distR="0" wp14:anchorId="67EE3536" wp14:editId="69FFF5A6">
            <wp:extent cx="5760720" cy="2992755"/>
            <wp:effectExtent l="0" t="0" r="0" b="0"/>
            <wp:docPr id="3" name="Wykres 3">
              <a:extLst xmlns:a="http://schemas.openxmlformats.org/drawingml/2006/main">
                <a:ext uri="{FF2B5EF4-FFF2-40B4-BE49-F238E27FC236}">
                  <a16:creationId xmlns:a16="http://schemas.microsoft.com/office/drawing/2014/main" id="{901E79F1-13A5-49B5-9972-E3CC856B42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FBB6CC" w14:textId="3B0F7A32" w:rsidR="00607A64" w:rsidRPr="00E6119B" w:rsidRDefault="00607A64" w:rsidP="00607A64">
      <w:pPr>
        <w:jc w:val="right"/>
        <w:rPr>
          <w:rFonts w:asciiTheme="minorHAnsi" w:hAnsiTheme="minorHAnsi" w:cstheme="minorHAnsi"/>
          <w:b/>
          <w:bCs/>
          <w:sz w:val="20"/>
          <w:szCs w:val="20"/>
        </w:rPr>
      </w:pPr>
      <w:r w:rsidRPr="00E6119B">
        <w:rPr>
          <w:rFonts w:asciiTheme="minorHAnsi" w:hAnsiTheme="minorHAnsi" w:cstheme="minorHAnsi"/>
          <w:b/>
          <w:bCs/>
          <w:sz w:val="20"/>
          <w:szCs w:val="20"/>
        </w:rPr>
        <w:t xml:space="preserve">Źródło: </w:t>
      </w:r>
      <w:proofErr w:type="spellStart"/>
      <w:r w:rsidRPr="00E6119B">
        <w:rPr>
          <w:rFonts w:asciiTheme="minorHAnsi" w:hAnsiTheme="minorHAnsi" w:cstheme="minorHAnsi"/>
          <w:b/>
          <w:bCs/>
          <w:sz w:val="20"/>
          <w:szCs w:val="20"/>
        </w:rPr>
        <w:t>Our</w:t>
      </w:r>
      <w:proofErr w:type="spellEnd"/>
      <w:r w:rsidRPr="00E6119B">
        <w:rPr>
          <w:rFonts w:asciiTheme="minorHAnsi" w:hAnsiTheme="minorHAnsi" w:cstheme="minorHAnsi"/>
          <w:b/>
          <w:bCs/>
          <w:sz w:val="20"/>
          <w:szCs w:val="20"/>
        </w:rPr>
        <w:t xml:space="preserve"> World in Data</w:t>
      </w:r>
    </w:p>
    <w:p w14:paraId="4439265D" w14:textId="1FDF5E08" w:rsidR="00607A64" w:rsidRDefault="00607A64" w:rsidP="001455C7">
      <w:pPr>
        <w:rPr>
          <w:rFonts w:asciiTheme="minorHAnsi" w:hAnsiTheme="minorHAnsi" w:cstheme="minorHAnsi"/>
          <w:b/>
          <w:bCs/>
          <w:sz w:val="20"/>
          <w:szCs w:val="20"/>
        </w:rPr>
      </w:pPr>
      <w:r w:rsidRPr="00607A64">
        <w:rPr>
          <w:rFonts w:asciiTheme="minorHAnsi" w:hAnsiTheme="minorHAnsi" w:cstheme="minorHAnsi"/>
          <w:b/>
          <w:bCs/>
          <w:sz w:val="20"/>
          <w:szCs w:val="20"/>
        </w:rPr>
        <w:t xml:space="preserve">Rys. Śmiertelność (liczba zgonów </w:t>
      </w:r>
      <w:r>
        <w:rPr>
          <w:rFonts w:asciiTheme="minorHAnsi" w:hAnsiTheme="minorHAnsi" w:cstheme="minorHAnsi"/>
          <w:b/>
          <w:bCs/>
          <w:sz w:val="20"/>
          <w:szCs w:val="20"/>
        </w:rPr>
        <w:t>w wyniku wypadków i zanieczyszczenia powietrza</w:t>
      </w:r>
      <w:r w:rsidRPr="00607A64">
        <w:rPr>
          <w:rFonts w:asciiTheme="minorHAnsi" w:hAnsiTheme="minorHAnsi" w:cstheme="minorHAnsi"/>
          <w:b/>
          <w:bCs/>
          <w:sz w:val="20"/>
          <w:szCs w:val="20"/>
        </w:rPr>
        <w:t xml:space="preserve">) </w:t>
      </w:r>
      <w:r>
        <w:rPr>
          <w:rFonts w:asciiTheme="minorHAnsi" w:hAnsiTheme="minorHAnsi" w:cstheme="minorHAnsi"/>
          <w:b/>
          <w:bCs/>
          <w:sz w:val="20"/>
          <w:szCs w:val="20"/>
        </w:rPr>
        <w:t xml:space="preserve">dla </w:t>
      </w:r>
      <w:r w:rsidRPr="00607A64">
        <w:rPr>
          <w:rFonts w:asciiTheme="minorHAnsi" w:hAnsiTheme="minorHAnsi" w:cstheme="minorHAnsi"/>
          <w:b/>
          <w:bCs/>
          <w:sz w:val="20"/>
          <w:szCs w:val="20"/>
        </w:rPr>
        <w:t xml:space="preserve">różnych źródeł energii elektrycznej na 1 </w:t>
      </w:r>
      <w:proofErr w:type="spellStart"/>
      <w:r w:rsidRPr="00607A64">
        <w:rPr>
          <w:rFonts w:asciiTheme="minorHAnsi" w:hAnsiTheme="minorHAnsi" w:cstheme="minorHAnsi"/>
          <w:b/>
          <w:bCs/>
          <w:sz w:val="20"/>
          <w:szCs w:val="20"/>
        </w:rPr>
        <w:t>TWh</w:t>
      </w:r>
      <w:proofErr w:type="spellEnd"/>
      <w:r w:rsidRPr="00607A64">
        <w:rPr>
          <w:rFonts w:asciiTheme="minorHAnsi" w:hAnsiTheme="minorHAnsi" w:cstheme="minorHAnsi"/>
          <w:b/>
          <w:bCs/>
          <w:sz w:val="20"/>
          <w:szCs w:val="20"/>
        </w:rPr>
        <w:t xml:space="preserve"> wyprodukowanej energii.</w:t>
      </w:r>
    </w:p>
    <w:p w14:paraId="7A177D8F" w14:textId="572712E6" w:rsidR="006E1332" w:rsidRDefault="006E1332" w:rsidP="001455C7"/>
    <w:p w14:paraId="6387AC73" w14:textId="77777777" w:rsidR="00F43842" w:rsidRDefault="00F43842" w:rsidP="001455C7"/>
    <w:p w14:paraId="79DEB40F" w14:textId="2D5E9051" w:rsidR="00302E4D" w:rsidRPr="00AC358C" w:rsidRDefault="00860DDD" w:rsidP="001455C7">
      <w:r>
        <w:t xml:space="preserve">Materiał </w:t>
      </w:r>
      <w:r w:rsidR="00F20508">
        <w:t xml:space="preserve">DEJ </w:t>
      </w:r>
      <w:r>
        <w:t xml:space="preserve">opracowany </w:t>
      </w:r>
      <w:r w:rsidR="00A20907">
        <w:t xml:space="preserve">na podstawie: WNN, </w:t>
      </w:r>
      <w:proofErr w:type="spellStart"/>
      <w:r w:rsidR="00A20907">
        <w:t>NucNet</w:t>
      </w:r>
      <w:proofErr w:type="spellEnd"/>
      <w:r w:rsidR="00D770D7">
        <w:t xml:space="preserve">, </w:t>
      </w:r>
    </w:p>
    <w:sectPr w:rsidR="00302E4D" w:rsidRPr="00AC358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5203" w14:textId="77777777" w:rsidR="00874888" w:rsidRDefault="00874888" w:rsidP="00AD3D96">
      <w:pPr>
        <w:spacing w:after="0"/>
      </w:pPr>
      <w:r>
        <w:separator/>
      </w:r>
    </w:p>
  </w:endnote>
  <w:endnote w:type="continuationSeparator" w:id="0">
    <w:p w14:paraId="15BACF25" w14:textId="77777777" w:rsidR="00874888" w:rsidRDefault="00874888" w:rsidP="00AD3D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948952"/>
      <w:docPartObj>
        <w:docPartGallery w:val="Page Numbers (Bottom of Page)"/>
        <w:docPartUnique/>
      </w:docPartObj>
    </w:sdtPr>
    <w:sdtContent>
      <w:p w14:paraId="2B205FF3" w14:textId="6FC7B9A1" w:rsidR="00AD3D96" w:rsidRDefault="00AD3D96">
        <w:pPr>
          <w:pStyle w:val="Stopka"/>
          <w:jc w:val="right"/>
        </w:pPr>
        <w:r>
          <w:fldChar w:fldCharType="begin"/>
        </w:r>
        <w:r>
          <w:instrText>PAGE   \* MERGEFORMAT</w:instrText>
        </w:r>
        <w:r>
          <w:fldChar w:fldCharType="separate"/>
        </w:r>
        <w:r>
          <w:t>2</w:t>
        </w:r>
        <w:r>
          <w:fldChar w:fldCharType="end"/>
        </w:r>
      </w:p>
    </w:sdtContent>
  </w:sdt>
  <w:p w14:paraId="65FB899F" w14:textId="77777777" w:rsidR="00AD3D96" w:rsidRDefault="00AD3D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B221" w14:textId="77777777" w:rsidR="00874888" w:rsidRDefault="00874888" w:rsidP="00AD3D96">
      <w:pPr>
        <w:spacing w:after="0"/>
      </w:pPr>
      <w:r>
        <w:separator/>
      </w:r>
    </w:p>
  </w:footnote>
  <w:footnote w:type="continuationSeparator" w:id="0">
    <w:p w14:paraId="51CE1063" w14:textId="77777777" w:rsidR="00874888" w:rsidRDefault="00874888" w:rsidP="00AD3D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8C"/>
    <w:rsid w:val="00002495"/>
    <w:rsid w:val="00010960"/>
    <w:rsid w:val="000220A8"/>
    <w:rsid w:val="0002624B"/>
    <w:rsid w:val="000765D4"/>
    <w:rsid w:val="000A1E66"/>
    <w:rsid w:val="000B0C43"/>
    <w:rsid w:val="00114542"/>
    <w:rsid w:val="00126B9B"/>
    <w:rsid w:val="001318C8"/>
    <w:rsid w:val="00136D34"/>
    <w:rsid w:val="001455C7"/>
    <w:rsid w:val="001847DC"/>
    <w:rsid w:val="001E291F"/>
    <w:rsid w:val="001E327A"/>
    <w:rsid w:val="001E74F0"/>
    <w:rsid w:val="00200112"/>
    <w:rsid w:val="002319DA"/>
    <w:rsid w:val="00241FCF"/>
    <w:rsid w:val="002A180B"/>
    <w:rsid w:val="002B61F1"/>
    <w:rsid w:val="002C3209"/>
    <w:rsid w:val="002D2D90"/>
    <w:rsid w:val="00301F06"/>
    <w:rsid w:val="00302E4D"/>
    <w:rsid w:val="00324E7C"/>
    <w:rsid w:val="00334942"/>
    <w:rsid w:val="00385345"/>
    <w:rsid w:val="003B354D"/>
    <w:rsid w:val="00404338"/>
    <w:rsid w:val="00440125"/>
    <w:rsid w:val="00441EB1"/>
    <w:rsid w:val="00463454"/>
    <w:rsid w:val="00484C33"/>
    <w:rsid w:val="00492FDA"/>
    <w:rsid w:val="004B424D"/>
    <w:rsid w:val="004C090F"/>
    <w:rsid w:val="005137B4"/>
    <w:rsid w:val="005363C4"/>
    <w:rsid w:val="00550B47"/>
    <w:rsid w:val="00605FA7"/>
    <w:rsid w:val="00607A64"/>
    <w:rsid w:val="006362CD"/>
    <w:rsid w:val="00666610"/>
    <w:rsid w:val="00667BF6"/>
    <w:rsid w:val="006714E5"/>
    <w:rsid w:val="006D1A86"/>
    <w:rsid w:val="006E0F2C"/>
    <w:rsid w:val="006E1332"/>
    <w:rsid w:val="006F6288"/>
    <w:rsid w:val="00707D32"/>
    <w:rsid w:val="00741BDF"/>
    <w:rsid w:val="00751DB5"/>
    <w:rsid w:val="00757355"/>
    <w:rsid w:val="0078602E"/>
    <w:rsid w:val="007A3BEE"/>
    <w:rsid w:val="007C1932"/>
    <w:rsid w:val="007D3C05"/>
    <w:rsid w:val="007E5670"/>
    <w:rsid w:val="00805C4F"/>
    <w:rsid w:val="00860DDD"/>
    <w:rsid w:val="00874888"/>
    <w:rsid w:val="008D6699"/>
    <w:rsid w:val="008F2F20"/>
    <w:rsid w:val="00911903"/>
    <w:rsid w:val="00920930"/>
    <w:rsid w:val="009838C7"/>
    <w:rsid w:val="009945A8"/>
    <w:rsid w:val="009D3F55"/>
    <w:rsid w:val="00A20907"/>
    <w:rsid w:val="00A22B7A"/>
    <w:rsid w:val="00A238E8"/>
    <w:rsid w:val="00A26429"/>
    <w:rsid w:val="00A36B27"/>
    <w:rsid w:val="00A51095"/>
    <w:rsid w:val="00A76CF2"/>
    <w:rsid w:val="00A81895"/>
    <w:rsid w:val="00AB7280"/>
    <w:rsid w:val="00AC358C"/>
    <w:rsid w:val="00AD3D96"/>
    <w:rsid w:val="00AF4ED6"/>
    <w:rsid w:val="00BA51C1"/>
    <w:rsid w:val="00BF04DF"/>
    <w:rsid w:val="00BF54EB"/>
    <w:rsid w:val="00C873EC"/>
    <w:rsid w:val="00C9182C"/>
    <w:rsid w:val="00CB592F"/>
    <w:rsid w:val="00CE5056"/>
    <w:rsid w:val="00D004E6"/>
    <w:rsid w:val="00D27147"/>
    <w:rsid w:val="00D3725D"/>
    <w:rsid w:val="00D770D7"/>
    <w:rsid w:val="00DA04A2"/>
    <w:rsid w:val="00DA254B"/>
    <w:rsid w:val="00DF3DB1"/>
    <w:rsid w:val="00E17860"/>
    <w:rsid w:val="00E33F85"/>
    <w:rsid w:val="00E6119B"/>
    <w:rsid w:val="00E83E50"/>
    <w:rsid w:val="00EB133F"/>
    <w:rsid w:val="00EF0BC6"/>
    <w:rsid w:val="00EF3B10"/>
    <w:rsid w:val="00EF6D88"/>
    <w:rsid w:val="00F05632"/>
    <w:rsid w:val="00F20508"/>
    <w:rsid w:val="00F212F3"/>
    <w:rsid w:val="00F43842"/>
    <w:rsid w:val="00FD18CD"/>
    <w:rsid w:val="00FF7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AE62"/>
  <w15:chartTrackingRefBased/>
  <w15:docId w15:val="{6E1CBE26-78C0-46A3-968A-E9A0C7D3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58C"/>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AC358C"/>
    <w:pPr>
      <w:spacing w:before="100" w:beforeAutospacing="1" w:after="100" w:afterAutospacing="1"/>
      <w:jc w:val="left"/>
      <w:outlineLvl w:val="0"/>
    </w:pPr>
    <w:rPr>
      <w:b/>
      <w:bCs/>
      <w:kern w:val="36"/>
      <w:sz w:val="48"/>
      <w:szCs w:val="48"/>
    </w:rPr>
  </w:style>
  <w:style w:type="paragraph" w:styleId="Nagwek2">
    <w:name w:val="heading 2"/>
    <w:basedOn w:val="Normalny"/>
    <w:next w:val="Normalny"/>
    <w:link w:val="Nagwek2Znak"/>
    <w:uiPriority w:val="9"/>
    <w:semiHidden/>
    <w:unhideWhenUsed/>
    <w:qFormat/>
    <w:rsid w:val="00AC358C"/>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CB592F"/>
    <w:pPr>
      <w:keepNext/>
      <w:keepLines/>
      <w:spacing w:before="40" w:after="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iPriority w:val="9"/>
    <w:semiHidden/>
    <w:unhideWhenUsed/>
    <w:qFormat/>
    <w:rsid w:val="00DF3DB1"/>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DF3DB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58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AC358C"/>
    <w:rPr>
      <w:rFonts w:asciiTheme="majorHAnsi" w:eastAsiaTheme="majorEastAsia" w:hAnsiTheme="majorHAnsi" w:cstheme="majorBidi"/>
      <w:color w:val="2F5496" w:themeColor="accent1" w:themeShade="BF"/>
      <w:sz w:val="26"/>
      <w:szCs w:val="26"/>
    </w:rPr>
  </w:style>
  <w:style w:type="character" w:styleId="Pogrubienie">
    <w:name w:val="Strong"/>
    <w:basedOn w:val="Domylnaczcionkaakapitu"/>
    <w:uiPriority w:val="22"/>
    <w:qFormat/>
    <w:rsid w:val="00AC358C"/>
    <w:rPr>
      <w:b/>
      <w:bCs/>
    </w:rPr>
  </w:style>
  <w:style w:type="paragraph" w:styleId="NormalnyWeb">
    <w:name w:val="Normal (Web)"/>
    <w:basedOn w:val="Normalny"/>
    <w:uiPriority w:val="99"/>
    <w:semiHidden/>
    <w:unhideWhenUsed/>
    <w:rsid w:val="00AC358C"/>
    <w:pPr>
      <w:spacing w:before="100" w:beforeAutospacing="1" w:after="100" w:afterAutospacing="1"/>
      <w:jc w:val="left"/>
    </w:pPr>
  </w:style>
  <w:style w:type="character" w:styleId="Uwydatnienie">
    <w:name w:val="Emphasis"/>
    <w:basedOn w:val="Domylnaczcionkaakapitu"/>
    <w:uiPriority w:val="20"/>
    <w:qFormat/>
    <w:rsid w:val="00AC358C"/>
    <w:rPr>
      <w:i/>
      <w:iCs/>
    </w:rPr>
  </w:style>
  <w:style w:type="character" w:styleId="Hipercze">
    <w:name w:val="Hyperlink"/>
    <w:basedOn w:val="Domylnaczcionkaakapitu"/>
    <w:uiPriority w:val="99"/>
    <w:unhideWhenUsed/>
    <w:rsid w:val="00AC358C"/>
    <w:rPr>
      <w:color w:val="0000FF"/>
      <w:u w:val="single"/>
    </w:rPr>
  </w:style>
  <w:style w:type="paragraph" w:styleId="Akapitzlist">
    <w:name w:val="List Paragraph"/>
    <w:basedOn w:val="Normalny"/>
    <w:uiPriority w:val="34"/>
    <w:qFormat/>
    <w:rsid w:val="00AC358C"/>
    <w:pPr>
      <w:ind w:left="720"/>
      <w:contextualSpacing/>
    </w:pPr>
  </w:style>
  <w:style w:type="character" w:customStyle="1" w:styleId="viiyi">
    <w:name w:val="viiyi"/>
    <w:basedOn w:val="Domylnaczcionkaakapitu"/>
    <w:rsid w:val="00AC358C"/>
  </w:style>
  <w:style w:type="character" w:customStyle="1" w:styleId="jlqj4b">
    <w:name w:val="jlqj4b"/>
    <w:basedOn w:val="Domylnaczcionkaakapitu"/>
    <w:rsid w:val="00AC358C"/>
  </w:style>
  <w:style w:type="character" w:styleId="Nierozpoznanawzmianka">
    <w:name w:val="Unresolved Mention"/>
    <w:basedOn w:val="Domylnaczcionkaakapitu"/>
    <w:uiPriority w:val="99"/>
    <w:semiHidden/>
    <w:unhideWhenUsed/>
    <w:rsid w:val="00CE5056"/>
    <w:rPr>
      <w:color w:val="605E5C"/>
      <w:shd w:val="clear" w:color="auto" w:fill="E1DFDD"/>
    </w:rPr>
  </w:style>
  <w:style w:type="character" w:customStyle="1" w:styleId="news-box-country">
    <w:name w:val="news-box-country"/>
    <w:basedOn w:val="Domylnaczcionkaakapitu"/>
    <w:rsid w:val="000B0C43"/>
  </w:style>
  <w:style w:type="paragraph" w:customStyle="1" w:styleId="text-black">
    <w:name w:val="text-black"/>
    <w:basedOn w:val="Normalny"/>
    <w:rsid w:val="000B0C43"/>
    <w:pPr>
      <w:spacing w:before="100" w:beforeAutospacing="1" w:after="100" w:afterAutospacing="1"/>
      <w:jc w:val="left"/>
    </w:pPr>
  </w:style>
  <w:style w:type="table" w:styleId="Tabelasiatki2akcent5">
    <w:name w:val="Grid Table 2 Accent 5"/>
    <w:basedOn w:val="Standardowy"/>
    <w:uiPriority w:val="47"/>
    <w:rsid w:val="00A22B7A"/>
    <w:pPr>
      <w:spacing w:after="0"/>
      <w:jc w:val="left"/>
    </w:pPr>
    <w:rPr>
      <w:rFonts w:ascii="Times New Roman" w:eastAsia="Times New Roman" w:hAnsi="Times New Roman" w:cs="Times New Roman"/>
      <w:sz w:val="20"/>
      <w:szCs w:val="20"/>
      <w:lang w:eastAsia="pl-P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lid-translation">
    <w:name w:val="tlid-translation"/>
    <w:basedOn w:val="Domylnaczcionkaakapitu"/>
    <w:rsid w:val="00805C4F"/>
  </w:style>
  <w:style w:type="character" w:customStyle="1" w:styleId="Nagwek5Znak">
    <w:name w:val="Nagłówek 5 Znak"/>
    <w:basedOn w:val="Domylnaczcionkaakapitu"/>
    <w:link w:val="Nagwek5"/>
    <w:uiPriority w:val="9"/>
    <w:semiHidden/>
    <w:rsid w:val="00DF3DB1"/>
    <w:rPr>
      <w:rFonts w:asciiTheme="majorHAnsi" w:eastAsiaTheme="majorEastAsia" w:hAnsiTheme="majorHAnsi" w:cstheme="majorBidi"/>
      <w:color w:val="2F5496" w:themeColor="accent1" w:themeShade="BF"/>
      <w:sz w:val="24"/>
      <w:szCs w:val="24"/>
      <w:lang w:eastAsia="pl-PL"/>
    </w:rPr>
  </w:style>
  <w:style w:type="character" w:customStyle="1" w:styleId="Nagwek6Znak">
    <w:name w:val="Nagłówek 6 Znak"/>
    <w:basedOn w:val="Domylnaczcionkaakapitu"/>
    <w:link w:val="Nagwek6"/>
    <w:uiPriority w:val="9"/>
    <w:semiHidden/>
    <w:rsid w:val="00DF3DB1"/>
    <w:rPr>
      <w:rFonts w:asciiTheme="majorHAnsi" w:eastAsiaTheme="majorEastAsia" w:hAnsiTheme="majorHAnsi" w:cstheme="majorBidi"/>
      <w:color w:val="1F3763" w:themeColor="accent1" w:themeShade="7F"/>
      <w:sz w:val="24"/>
      <w:szCs w:val="24"/>
      <w:lang w:eastAsia="pl-PL"/>
    </w:rPr>
  </w:style>
  <w:style w:type="paragraph" w:customStyle="1" w:styleId="yetidone">
    <w:name w:val="_yeti_done"/>
    <w:basedOn w:val="Normalny"/>
    <w:rsid w:val="00DF3DB1"/>
    <w:pPr>
      <w:spacing w:before="100" w:beforeAutospacing="1" w:after="100" w:afterAutospacing="1"/>
      <w:jc w:val="left"/>
    </w:pPr>
  </w:style>
  <w:style w:type="character" w:customStyle="1" w:styleId="Nagwek3Znak">
    <w:name w:val="Nagłówek 3 Znak"/>
    <w:basedOn w:val="Domylnaczcionkaakapitu"/>
    <w:link w:val="Nagwek3"/>
    <w:uiPriority w:val="9"/>
    <w:semiHidden/>
    <w:rsid w:val="00CB592F"/>
    <w:rPr>
      <w:rFonts w:asciiTheme="majorHAnsi" w:eastAsiaTheme="majorEastAsia" w:hAnsiTheme="majorHAnsi" w:cstheme="majorBidi"/>
      <w:color w:val="1F3763" w:themeColor="accent1" w:themeShade="7F"/>
      <w:sz w:val="24"/>
      <w:szCs w:val="24"/>
      <w:lang w:eastAsia="pl-PL"/>
    </w:rPr>
  </w:style>
  <w:style w:type="character" w:customStyle="1" w:styleId="orange">
    <w:name w:val="orange"/>
    <w:basedOn w:val="Domylnaczcionkaakapitu"/>
    <w:rsid w:val="00E6119B"/>
  </w:style>
  <w:style w:type="character" w:styleId="HTML-cytat">
    <w:name w:val="HTML Cite"/>
    <w:basedOn w:val="Domylnaczcionkaakapitu"/>
    <w:uiPriority w:val="99"/>
    <w:semiHidden/>
    <w:unhideWhenUsed/>
    <w:rsid w:val="00E6119B"/>
    <w:rPr>
      <w:i/>
      <w:iCs/>
    </w:rPr>
  </w:style>
  <w:style w:type="paragraph" w:customStyle="1" w:styleId="tiny">
    <w:name w:val="tiny"/>
    <w:basedOn w:val="Normalny"/>
    <w:rsid w:val="00E6119B"/>
    <w:pPr>
      <w:spacing w:before="100" w:beforeAutospacing="1" w:after="100" w:afterAutospacing="1"/>
      <w:jc w:val="left"/>
    </w:pPr>
  </w:style>
  <w:style w:type="paragraph" w:styleId="Nagwek">
    <w:name w:val="header"/>
    <w:basedOn w:val="Normalny"/>
    <w:link w:val="NagwekZnak"/>
    <w:uiPriority w:val="99"/>
    <w:unhideWhenUsed/>
    <w:rsid w:val="00AD3D96"/>
    <w:pPr>
      <w:tabs>
        <w:tab w:val="center" w:pos="4536"/>
        <w:tab w:val="right" w:pos="9072"/>
      </w:tabs>
      <w:spacing w:after="0"/>
    </w:pPr>
  </w:style>
  <w:style w:type="character" w:customStyle="1" w:styleId="NagwekZnak">
    <w:name w:val="Nagłówek Znak"/>
    <w:basedOn w:val="Domylnaczcionkaakapitu"/>
    <w:link w:val="Nagwek"/>
    <w:uiPriority w:val="99"/>
    <w:rsid w:val="00AD3D9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3D96"/>
    <w:pPr>
      <w:tabs>
        <w:tab w:val="center" w:pos="4536"/>
        <w:tab w:val="right" w:pos="9072"/>
      </w:tabs>
      <w:spacing w:after="0"/>
    </w:pPr>
  </w:style>
  <w:style w:type="character" w:customStyle="1" w:styleId="StopkaZnak">
    <w:name w:val="Stopka Znak"/>
    <w:basedOn w:val="Domylnaczcionkaakapitu"/>
    <w:link w:val="Stopka"/>
    <w:uiPriority w:val="99"/>
    <w:rsid w:val="00AD3D9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6007">
      <w:bodyDiv w:val="1"/>
      <w:marLeft w:val="0"/>
      <w:marRight w:val="0"/>
      <w:marTop w:val="0"/>
      <w:marBottom w:val="0"/>
      <w:divBdr>
        <w:top w:val="none" w:sz="0" w:space="0" w:color="auto"/>
        <w:left w:val="none" w:sz="0" w:space="0" w:color="auto"/>
        <w:bottom w:val="none" w:sz="0" w:space="0" w:color="auto"/>
        <w:right w:val="none" w:sz="0" w:space="0" w:color="auto"/>
      </w:divBdr>
      <w:divsChild>
        <w:div w:id="1309356675">
          <w:marLeft w:val="0"/>
          <w:marRight w:val="0"/>
          <w:marTop w:val="0"/>
          <w:marBottom w:val="0"/>
          <w:divBdr>
            <w:top w:val="none" w:sz="0" w:space="0" w:color="auto"/>
            <w:left w:val="none" w:sz="0" w:space="0" w:color="auto"/>
            <w:bottom w:val="none" w:sz="0" w:space="0" w:color="auto"/>
            <w:right w:val="none" w:sz="0" w:space="0" w:color="auto"/>
          </w:divBdr>
        </w:div>
        <w:div w:id="1781604157">
          <w:marLeft w:val="0"/>
          <w:marRight w:val="0"/>
          <w:marTop w:val="0"/>
          <w:marBottom w:val="0"/>
          <w:divBdr>
            <w:top w:val="none" w:sz="0" w:space="0" w:color="auto"/>
            <w:left w:val="none" w:sz="0" w:space="0" w:color="auto"/>
            <w:bottom w:val="none" w:sz="0" w:space="0" w:color="auto"/>
            <w:right w:val="none" w:sz="0" w:space="0" w:color="auto"/>
          </w:divBdr>
        </w:div>
      </w:divsChild>
    </w:div>
    <w:div w:id="193884301">
      <w:bodyDiv w:val="1"/>
      <w:marLeft w:val="0"/>
      <w:marRight w:val="0"/>
      <w:marTop w:val="0"/>
      <w:marBottom w:val="0"/>
      <w:divBdr>
        <w:top w:val="none" w:sz="0" w:space="0" w:color="auto"/>
        <w:left w:val="none" w:sz="0" w:space="0" w:color="auto"/>
        <w:bottom w:val="none" w:sz="0" w:space="0" w:color="auto"/>
        <w:right w:val="none" w:sz="0" w:space="0" w:color="auto"/>
      </w:divBdr>
      <w:divsChild>
        <w:div w:id="1572042640">
          <w:marLeft w:val="0"/>
          <w:marRight w:val="0"/>
          <w:marTop w:val="0"/>
          <w:marBottom w:val="0"/>
          <w:divBdr>
            <w:top w:val="none" w:sz="0" w:space="0" w:color="auto"/>
            <w:left w:val="none" w:sz="0" w:space="0" w:color="auto"/>
            <w:bottom w:val="none" w:sz="0" w:space="0" w:color="auto"/>
            <w:right w:val="none" w:sz="0" w:space="0" w:color="auto"/>
          </w:divBdr>
        </w:div>
      </w:divsChild>
    </w:div>
    <w:div w:id="241107891">
      <w:bodyDiv w:val="1"/>
      <w:marLeft w:val="0"/>
      <w:marRight w:val="0"/>
      <w:marTop w:val="0"/>
      <w:marBottom w:val="0"/>
      <w:divBdr>
        <w:top w:val="none" w:sz="0" w:space="0" w:color="auto"/>
        <w:left w:val="none" w:sz="0" w:space="0" w:color="auto"/>
        <w:bottom w:val="none" w:sz="0" w:space="0" w:color="auto"/>
        <w:right w:val="none" w:sz="0" w:space="0" w:color="auto"/>
      </w:divBdr>
      <w:divsChild>
        <w:div w:id="844829461">
          <w:marLeft w:val="0"/>
          <w:marRight w:val="0"/>
          <w:marTop w:val="0"/>
          <w:marBottom w:val="0"/>
          <w:divBdr>
            <w:top w:val="none" w:sz="0" w:space="0" w:color="auto"/>
            <w:left w:val="none" w:sz="0" w:space="0" w:color="auto"/>
            <w:bottom w:val="none" w:sz="0" w:space="0" w:color="auto"/>
            <w:right w:val="none" w:sz="0" w:space="0" w:color="auto"/>
          </w:divBdr>
          <w:divsChild>
            <w:div w:id="1517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0893">
      <w:bodyDiv w:val="1"/>
      <w:marLeft w:val="0"/>
      <w:marRight w:val="0"/>
      <w:marTop w:val="0"/>
      <w:marBottom w:val="0"/>
      <w:divBdr>
        <w:top w:val="none" w:sz="0" w:space="0" w:color="auto"/>
        <w:left w:val="none" w:sz="0" w:space="0" w:color="auto"/>
        <w:bottom w:val="none" w:sz="0" w:space="0" w:color="auto"/>
        <w:right w:val="none" w:sz="0" w:space="0" w:color="auto"/>
      </w:divBdr>
      <w:divsChild>
        <w:div w:id="679309601">
          <w:marLeft w:val="0"/>
          <w:marRight w:val="0"/>
          <w:marTop w:val="0"/>
          <w:marBottom w:val="0"/>
          <w:divBdr>
            <w:top w:val="none" w:sz="0" w:space="0" w:color="auto"/>
            <w:left w:val="none" w:sz="0" w:space="0" w:color="auto"/>
            <w:bottom w:val="none" w:sz="0" w:space="0" w:color="auto"/>
            <w:right w:val="none" w:sz="0" w:space="0" w:color="auto"/>
          </w:divBdr>
          <w:divsChild>
            <w:div w:id="6186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0362">
      <w:bodyDiv w:val="1"/>
      <w:marLeft w:val="0"/>
      <w:marRight w:val="0"/>
      <w:marTop w:val="0"/>
      <w:marBottom w:val="0"/>
      <w:divBdr>
        <w:top w:val="none" w:sz="0" w:space="0" w:color="auto"/>
        <w:left w:val="none" w:sz="0" w:space="0" w:color="auto"/>
        <w:bottom w:val="none" w:sz="0" w:space="0" w:color="auto"/>
        <w:right w:val="none" w:sz="0" w:space="0" w:color="auto"/>
      </w:divBdr>
    </w:div>
    <w:div w:id="893463730">
      <w:bodyDiv w:val="1"/>
      <w:marLeft w:val="0"/>
      <w:marRight w:val="0"/>
      <w:marTop w:val="0"/>
      <w:marBottom w:val="0"/>
      <w:divBdr>
        <w:top w:val="none" w:sz="0" w:space="0" w:color="auto"/>
        <w:left w:val="none" w:sz="0" w:space="0" w:color="auto"/>
        <w:bottom w:val="none" w:sz="0" w:space="0" w:color="auto"/>
        <w:right w:val="none" w:sz="0" w:space="0" w:color="auto"/>
      </w:divBdr>
      <w:divsChild>
        <w:div w:id="1280378599">
          <w:marLeft w:val="0"/>
          <w:marRight w:val="0"/>
          <w:marTop w:val="0"/>
          <w:marBottom w:val="0"/>
          <w:divBdr>
            <w:top w:val="none" w:sz="0" w:space="0" w:color="auto"/>
            <w:left w:val="none" w:sz="0" w:space="0" w:color="auto"/>
            <w:bottom w:val="none" w:sz="0" w:space="0" w:color="auto"/>
            <w:right w:val="none" w:sz="0" w:space="0" w:color="auto"/>
          </w:divBdr>
          <w:divsChild>
            <w:div w:id="28193160">
              <w:marLeft w:val="0"/>
              <w:marRight w:val="0"/>
              <w:marTop w:val="0"/>
              <w:marBottom w:val="0"/>
              <w:divBdr>
                <w:top w:val="none" w:sz="0" w:space="0" w:color="auto"/>
                <w:left w:val="none" w:sz="0" w:space="0" w:color="auto"/>
                <w:bottom w:val="none" w:sz="0" w:space="0" w:color="auto"/>
                <w:right w:val="none" w:sz="0" w:space="0" w:color="auto"/>
              </w:divBdr>
              <w:divsChild>
                <w:div w:id="1540968253">
                  <w:marLeft w:val="0"/>
                  <w:marRight w:val="0"/>
                  <w:marTop w:val="0"/>
                  <w:marBottom w:val="0"/>
                  <w:divBdr>
                    <w:top w:val="none" w:sz="0" w:space="0" w:color="auto"/>
                    <w:left w:val="none" w:sz="0" w:space="0" w:color="auto"/>
                    <w:bottom w:val="none" w:sz="0" w:space="0" w:color="auto"/>
                    <w:right w:val="none" w:sz="0" w:space="0" w:color="auto"/>
                  </w:divBdr>
                  <w:divsChild>
                    <w:div w:id="10151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1366">
          <w:marLeft w:val="0"/>
          <w:marRight w:val="0"/>
          <w:marTop w:val="0"/>
          <w:marBottom w:val="0"/>
          <w:divBdr>
            <w:top w:val="none" w:sz="0" w:space="0" w:color="auto"/>
            <w:left w:val="none" w:sz="0" w:space="0" w:color="auto"/>
            <w:bottom w:val="none" w:sz="0" w:space="0" w:color="auto"/>
            <w:right w:val="none" w:sz="0" w:space="0" w:color="auto"/>
          </w:divBdr>
          <w:divsChild>
            <w:div w:id="503057606">
              <w:marLeft w:val="0"/>
              <w:marRight w:val="0"/>
              <w:marTop w:val="0"/>
              <w:marBottom w:val="0"/>
              <w:divBdr>
                <w:top w:val="none" w:sz="0" w:space="0" w:color="auto"/>
                <w:left w:val="none" w:sz="0" w:space="0" w:color="auto"/>
                <w:bottom w:val="none" w:sz="0" w:space="0" w:color="auto"/>
                <w:right w:val="none" w:sz="0" w:space="0" w:color="auto"/>
              </w:divBdr>
              <w:divsChild>
                <w:div w:id="1180776215">
                  <w:marLeft w:val="0"/>
                  <w:marRight w:val="0"/>
                  <w:marTop w:val="0"/>
                  <w:marBottom w:val="0"/>
                  <w:divBdr>
                    <w:top w:val="none" w:sz="0" w:space="0" w:color="auto"/>
                    <w:left w:val="none" w:sz="0" w:space="0" w:color="auto"/>
                    <w:bottom w:val="none" w:sz="0" w:space="0" w:color="auto"/>
                    <w:right w:val="none" w:sz="0" w:space="0" w:color="auto"/>
                  </w:divBdr>
                </w:div>
                <w:div w:id="4864849">
                  <w:marLeft w:val="0"/>
                  <w:marRight w:val="0"/>
                  <w:marTop w:val="0"/>
                  <w:marBottom w:val="0"/>
                  <w:divBdr>
                    <w:top w:val="none" w:sz="0" w:space="0" w:color="auto"/>
                    <w:left w:val="none" w:sz="0" w:space="0" w:color="auto"/>
                    <w:bottom w:val="none" w:sz="0" w:space="0" w:color="auto"/>
                    <w:right w:val="none" w:sz="0" w:space="0" w:color="auto"/>
                  </w:divBdr>
                  <w:divsChild>
                    <w:div w:id="373193128">
                      <w:marLeft w:val="0"/>
                      <w:marRight w:val="0"/>
                      <w:marTop w:val="0"/>
                      <w:marBottom w:val="0"/>
                      <w:divBdr>
                        <w:top w:val="none" w:sz="0" w:space="0" w:color="auto"/>
                        <w:left w:val="none" w:sz="0" w:space="0" w:color="auto"/>
                        <w:bottom w:val="none" w:sz="0" w:space="0" w:color="auto"/>
                        <w:right w:val="none" w:sz="0" w:space="0" w:color="auto"/>
                      </w:divBdr>
                      <w:divsChild>
                        <w:div w:id="650057216">
                          <w:marLeft w:val="0"/>
                          <w:marRight w:val="0"/>
                          <w:marTop w:val="0"/>
                          <w:marBottom w:val="0"/>
                          <w:divBdr>
                            <w:top w:val="none" w:sz="0" w:space="0" w:color="auto"/>
                            <w:left w:val="none" w:sz="0" w:space="0" w:color="auto"/>
                            <w:bottom w:val="none" w:sz="0" w:space="0" w:color="auto"/>
                            <w:right w:val="none" w:sz="0" w:space="0" w:color="auto"/>
                          </w:divBdr>
                          <w:divsChild>
                            <w:div w:id="2034305976">
                              <w:marLeft w:val="0"/>
                              <w:marRight w:val="0"/>
                              <w:marTop w:val="0"/>
                              <w:marBottom w:val="0"/>
                              <w:divBdr>
                                <w:top w:val="none" w:sz="0" w:space="0" w:color="auto"/>
                                <w:left w:val="none" w:sz="0" w:space="0" w:color="auto"/>
                                <w:bottom w:val="none" w:sz="0" w:space="0" w:color="auto"/>
                                <w:right w:val="none" w:sz="0" w:space="0" w:color="auto"/>
                              </w:divBdr>
                              <w:divsChild>
                                <w:div w:id="20864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4709">
                          <w:marLeft w:val="0"/>
                          <w:marRight w:val="0"/>
                          <w:marTop w:val="0"/>
                          <w:marBottom w:val="0"/>
                          <w:divBdr>
                            <w:top w:val="none" w:sz="0" w:space="0" w:color="auto"/>
                            <w:left w:val="none" w:sz="0" w:space="0" w:color="auto"/>
                            <w:bottom w:val="none" w:sz="0" w:space="0" w:color="auto"/>
                            <w:right w:val="none" w:sz="0" w:space="0" w:color="auto"/>
                          </w:divBdr>
                          <w:divsChild>
                            <w:div w:id="137960602">
                              <w:marLeft w:val="0"/>
                              <w:marRight w:val="0"/>
                              <w:marTop w:val="0"/>
                              <w:marBottom w:val="0"/>
                              <w:divBdr>
                                <w:top w:val="none" w:sz="0" w:space="0" w:color="auto"/>
                                <w:left w:val="none" w:sz="0" w:space="0" w:color="auto"/>
                                <w:bottom w:val="none" w:sz="0" w:space="0" w:color="auto"/>
                                <w:right w:val="none" w:sz="0" w:space="0" w:color="auto"/>
                              </w:divBdr>
                              <w:divsChild>
                                <w:div w:id="1453793055">
                                  <w:marLeft w:val="0"/>
                                  <w:marRight w:val="0"/>
                                  <w:marTop w:val="0"/>
                                  <w:marBottom w:val="0"/>
                                  <w:divBdr>
                                    <w:top w:val="none" w:sz="0" w:space="0" w:color="auto"/>
                                    <w:left w:val="none" w:sz="0" w:space="0" w:color="auto"/>
                                    <w:bottom w:val="none" w:sz="0" w:space="0" w:color="auto"/>
                                    <w:right w:val="none" w:sz="0" w:space="0" w:color="auto"/>
                                  </w:divBdr>
                                  <w:divsChild>
                                    <w:div w:id="206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21123">
                      <w:marLeft w:val="0"/>
                      <w:marRight w:val="0"/>
                      <w:marTop w:val="0"/>
                      <w:marBottom w:val="0"/>
                      <w:divBdr>
                        <w:top w:val="none" w:sz="0" w:space="0" w:color="auto"/>
                        <w:left w:val="none" w:sz="0" w:space="0" w:color="auto"/>
                        <w:bottom w:val="none" w:sz="0" w:space="0" w:color="auto"/>
                        <w:right w:val="none" w:sz="0" w:space="0" w:color="auto"/>
                      </w:divBdr>
                      <w:divsChild>
                        <w:div w:id="1270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90455">
      <w:bodyDiv w:val="1"/>
      <w:marLeft w:val="0"/>
      <w:marRight w:val="0"/>
      <w:marTop w:val="0"/>
      <w:marBottom w:val="0"/>
      <w:divBdr>
        <w:top w:val="none" w:sz="0" w:space="0" w:color="auto"/>
        <w:left w:val="none" w:sz="0" w:space="0" w:color="auto"/>
        <w:bottom w:val="none" w:sz="0" w:space="0" w:color="auto"/>
        <w:right w:val="none" w:sz="0" w:space="0" w:color="auto"/>
      </w:divBdr>
      <w:divsChild>
        <w:div w:id="2144106353">
          <w:marLeft w:val="0"/>
          <w:marRight w:val="0"/>
          <w:marTop w:val="0"/>
          <w:marBottom w:val="0"/>
          <w:divBdr>
            <w:top w:val="none" w:sz="0" w:space="0" w:color="auto"/>
            <w:left w:val="none" w:sz="0" w:space="0" w:color="auto"/>
            <w:bottom w:val="none" w:sz="0" w:space="0" w:color="auto"/>
            <w:right w:val="none" w:sz="0" w:space="0" w:color="auto"/>
          </w:divBdr>
        </w:div>
        <w:div w:id="1283534656">
          <w:marLeft w:val="0"/>
          <w:marRight w:val="0"/>
          <w:marTop w:val="0"/>
          <w:marBottom w:val="0"/>
          <w:divBdr>
            <w:top w:val="none" w:sz="0" w:space="0" w:color="auto"/>
            <w:left w:val="none" w:sz="0" w:space="0" w:color="auto"/>
            <w:bottom w:val="none" w:sz="0" w:space="0" w:color="auto"/>
            <w:right w:val="none" w:sz="0" w:space="0" w:color="auto"/>
          </w:divBdr>
        </w:div>
      </w:divsChild>
    </w:div>
    <w:div w:id="1179545536">
      <w:bodyDiv w:val="1"/>
      <w:marLeft w:val="0"/>
      <w:marRight w:val="0"/>
      <w:marTop w:val="0"/>
      <w:marBottom w:val="0"/>
      <w:divBdr>
        <w:top w:val="none" w:sz="0" w:space="0" w:color="auto"/>
        <w:left w:val="none" w:sz="0" w:space="0" w:color="auto"/>
        <w:bottom w:val="none" w:sz="0" w:space="0" w:color="auto"/>
        <w:right w:val="none" w:sz="0" w:space="0" w:color="auto"/>
      </w:divBdr>
      <w:divsChild>
        <w:div w:id="300035784">
          <w:marLeft w:val="0"/>
          <w:marRight w:val="0"/>
          <w:marTop w:val="0"/>
          <w:marBottom w:val="0"/>
          <w:divBdr>
            <w:top w:val="none" w:sz="0" w:space="0" w:color="auto"/>
            <w:left w:val="none" w:sz="0" w:space="0" w:color="auto"/>
            <w:bottom w:val="none" w:sz="0" w:space="0" w:color="auto"/>
            <w:right w:val="none" w:sz="0" w:space="0" w:color="auto"/>
          </w:divBdr>
        </w:div>
      </w:divsChild>
    </w:div>
    <w:div w:id="1428692457">
      <w:bodyDiv w:val="1"/>
      <w:marLeft w:val="0"/>
      <w:marRight w:val="0"/>
      <w:marTop w:val="0"/>
      <w:marBottom w:val="0"/>
      <w:divBdr>
        <w:top w:val="none" w:sz="0" w:space="0" w:color="auto"/>
        <w:left w:val="none" w:sz="0" w:space="0" w:color="auto"/>
        <w:bottom w:val="none" w:sz="0" w:space="0" w:color="auto"/>
        <w:right w:val="none" w:sz="0" w:space="0" w:color="auto"/>
      </w:divBdr>
    </w:div>
    <w:div w:id="1672561431">
      <w:bodyDiv w:val="1"/>
      <w:marLeft w:val="0"/>
      <w:marRight w:val="0"/>
      <w:marTop w:val="0"/>
      <w:marBottom w:val="0"/>
      <w:divBdr>
        <w:top w:val="none" w:sz="0" w:space="0" w:color="auto"/>
        <w:left w:val="none" w:sz="0" w:space="0" w:color="auto"/>
        <w:bottom w:val="none" w:sz="0" w:space="0" w:color="auto"/>
        <w:right w:val="none" w:sz="0" w:space="0" w:color="auto"/>
      </w:divBdr>
      <w:divsChild>
        <w:div w:id="130943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imagazine.com/news/newscanadas-general-fusion-to-build-demonstration-plant-in-the-uk-882779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ucnet.org/news/delegation-says-barakah-project-proves-south-korea-s-worth-as-nuclear-partner-6-1-2021"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nuclear-news.org/Articles/Kola-II-construction-to-start-in-2028" TargetMode="External"/><Relationship Id="rId11"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hyperlink" Target="https://www.world-nuclear-news.org/Articles/Duke-applies-for-Oconee-subsequent-licence-renewal" TargetMode="External"/><Relationship Id="rId4" Type="http://schemas.openxmlformats.org/officeDocument/2006/relationships/footnotes" Target="footnotes.xml"/><Relationship Id="rId9" Type="http://schemas.openxmlformats.org/officeDocument/2006/relationships/hyperlink" Target="https://www.world-nuclear-news.org/Articles/Fusion-demonstration-plant-to-be-built-in-UK"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obrane\death-rates-from-energy-production-per-twh.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9401425532709"/>
          <c:y val="5.7354618015963518E-2"/>
          <c:w val="0.78598537149680936"/>
          <c:h val="0.85447256664182658"/>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6FE2-4951-AC08-4FE5F341510C}"/>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6FE2-4951-AC08-4FE5F341510C}"/>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6FE2-4951-AC08-4FE5F341510C}"/>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6FE2-4951-AC08-4FE5F341510C}"/>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6FE2-4951-AC08-4FE5F341510C}"/>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6FE2-4951-AC08-4FE5F341510C}"/>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6FE2-4951-AC08-4FE5F341510C}"/>
              </c:ext>
            </c:extLst>
          </c:dPt>
          <c:dPt>
            <c:idx val="7"/>
            <c:invertIfNegative val="0"/>
            <c:bubble3D val="0"/>
            <c:spPr>
              <a:solidFill>
                <a:schemeClr val="bg2">
                  <a:lumMod val="50000"/>
                </a:schemeClr>
              </a:solidFill>
              <a:ln>
                <a:noFill/>
              </a:ln>
              <a:effectLst/>
            </c:spPr>
            <c:extLst>
              <c:ext xmlns:c16="http://schemas.microsoft.com/office/drawing/2014/chart" uri="{C3380CC4-5D6E-409C-BE32-E72D297353CC}">
                <c16:uniqueId val="{0000000F-6FE2-4951-AC08-4FE5F341510C}"/>
              </c:ext>
            </c:extLst>
          </c:dPt>
          <c:dPt>
            <c:idx val="8"/>
            <c:invertIfNegative val="0"/>
            <c:bubble3D val="0"/>
            <c:spPr>
              <a:solidFill>
                <a:schemeClr val="accent2">
                  <a:lumMod val="50000"/>
                </a:schemeClr>
              </a:solidFill>
              <a:ln>
                <a:noFill/>
              </a:ln>
              <a:effectLst/>
            </c:spPr>
            <c:extLst>
              <c:ext xmlns:c16="http://schemas.microsoft.com/office/drawing/2014/chart" uri="{C3380CC4-5D6E-409C-BE32-E72D297353CC}">
                <c16:uniqueId val="{00000011-6FE2-4951-AC08-4FE5F341510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'death-rates-from-energy-product'!$A$1:$A$9</c:f>
              <c:strCache>
                <c:ptCount val="9"/>
                <c:pt idx="0">
                  <c:v>Energia słoneczna PV</c:v>
                </c:pt>
                <c:pt idx="1">
                  <c:v>Hydroenergetyka</c:v>
                </c:pt>
                <c:pt idx="2">
                  <c:v>Wiatr</c:v>
                </c:pt>
                <c:pt idx="3">
                  <c:v>Energia jądrowa</c:v>
                </c:pt>
                <c:pt idx="4">
                  <c:v>Gaz ziemny</c:v>
                </c:pt>
                <c:pt idx="5">
                  <c:v>Biomasa</c:v>
                </c:pt>
                <c:pt idx="6">
                  <c:v>Ropa naftowa</c:v>
                </c:pt>
                <c:pt idx="7">
                  <c:v>Węgiel kamienny</c:v>
                </c:pt>
                <c:pt idx="8">
                  <c:v>Węgiel brunatny</c:v>
                </c:pt>
              </c:strCache>
            </c:strRef>
          </c:cat>
          <c:val>
            <c:numRef>
              <c:f>'death-rates-from-energy-product'!$B$1:$B$9</c:f>
              <c:numCache>
                <c:formatCode>0.00</c:formatCode>
                <c:ptCount val="9"/>
                <c:pt idx="0">
                  <c:v>1.9E-2</c:v>
                </c:pt>
                <c:pt idx="1">
                  <c:v>2.35E-2</c:v>
                </c:pt>
                <c:pt idx="2">
                  <c:v>3.5000000000000003E-2</c:v>
                </c:pt>
                <c:pt idx="3">
                  <c:v>7.0999999999999994E-2</c:v>
                </c:pt>
                <c:pt idx="4">
                  <c:v>2.8210000000000002</c:v>
                </c:pt>
                <c:pt idx="5">
                  <c:v>4.63</c:v>
                </c:pt>
                <c:pt idx="6">
                  <c:v>18.43</c:v>
                </c:pt>
                <c:pt idx="7">
                  <c:v>24.62</c:v>
                </c:pt>
                <c:pt idx="8">
                  <c:v>32.72</c:v>
                </c:pt>
              </c:numCache>
            </c:numRef>
          </c:val>
          <c:extLst>
            <c:ext xmlns:c16="http://schemas.microsoft.com/office/drawing/2014/chart" uri="{C3380CC4-5D6E-409C-BE32-E72D297353CC}">
              <c16:uniqueId val="{00000012-6FE2-4951-AC08-4FE5F341510C}"/>
            </c:ext>
          </c:extLst>
        </c:ser>
        <c:dLbls>
          <c:showLegendKey val="0"/>
          <c:showVal val="0"/>
          <c:showCatName val="0"/>
          <c:showSerName val="0"/>
          <c:showPercent val="0"/>
          <c:showBubbleSize val="0"/>
        </c:dLbls>
        <c:gapWidth val="116"/>
        <c:axId val="626865232"/>
        <c:axId val="626863920"/>
      </c:barChart>
      <c:catAx>
        <c:axId val="626865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626863920"/>
        <c:crosses val="autoZero"/>
        <c:auto val="1"/>
        <c:lblAlgn val="ctr"/>
        <c:lblOffset val="100"/>
        <c:noMultiLvlLbl val="0"/>
      </c:catAx>
      <c:valAx>
        <c:axId val="6268639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pl-PL"/>
          </a:p>
        </c:txPr>
        <c:crossAx val="626865232"/>
        <c:crosses val="autoZero"/>
        <c:crossBetween val="between"/>
      </c:valAx>
      <c:spPr>
        <a:gradFill flip="none" rotWithShape="1">
          <a:gsLst>
            <a:gs pos="0">
              <a:schemeClr val="accent1">
                <a:tint val="66000"/>
                <a:satMod val="160000"/>
              </a:schemeClr>
            </a:gs>
            <a:gs pos="35000">
              <a:schemeClr val="accent1">
                <a:tint val="44500"/>
                <a:satMod val="160000"/>
              </a:schemeClr>
            </a:gs>
            <a:gs pos="100000">
              <a:schemeClr val="accent1">
                <a:tint val="23500"/>
                <a:satMod val="160000"/>
              </a:schemeClr>
            </a:gs>
          </a:gsLst>
          <a:lin ang="2700000" scaled="1"/>
          <a:tileRect/>
        </a:gra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1942</Words>
  <Characters>11656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Dariusz</dc:creator>
  <cp:keywords/>
  <dc:description/>
  <cp:lastModifiedBy>BUNDA Grzegorz</cp:lastModifiedBy>
  <cp:revision>2</cp:revision>
  <dcterms:created xsi:type="dcterms:W3CDTF">2021-06-23T13:48:00Z</dcterms:created>
  <dcterms:modified xsi:type="dcterms:W3CDTF">2021-06-23T13:48:00Z</dcterms:modified>
</cp:coreProperties>
</file>