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keepLines/>
        <w:widowControl w:val="0"/>
        <w:shd w:val="clear" w:color="auto" w:fill="auto"/>
        <w:bidi w:val="0"/>
        <w:spacing w:before="0" w:after="0" w:line="240" w:lineRule="auto"/>
        <w:ind w:left="0" w:right="0" w:firstLine="0"/>
        <w:jc w:val="left"/>
      </w:pPr>
      <w:r>
        <w:drawing>
          <wp:anchor distT="0" distB="0" distL="0" distR="0" simplePos="0" relativeHeight="125829378" behindDoc="0" locked="0" layoutInCell="1" allowOverlap="1">
            <wp:simplePos x="0" y="0"/>
            <wp:positionH relativeFrom="page">
              <wp:posOffset>505460</wp:posOffset>
            </wp:positionH>
            <wp:positionV relativeFrom="paragraph">
              <wp:posOffset>-50800</wp:posOffset>
            </wp:positionV>
            <wp:extent cx="719455" cy="774065"/>
            <wp:wrapSquare wrapText="bothSides"/>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719455" cy="774065"/>
                    </a:xfrm>
                    <a:prstGeom prst="rect"/>
                  </pic:spPr>
                </pic:pic>
              </a:graphicData>
            </a:graphic>
          </wp:anchor>
        </w:drawing>
      </w:r>
      <w:bookmarkStart w:id="0" w:name="bookmark0"/>
      <w:r>
        <w:rPr>
          <w:rStyle w:val="CharStyle3"/>
        </w:rPr>
        <w:t>Ministerstwo</w:t>
      </w:r>
      <w:bookmarkEnd w:id="0"/>
    </w:p>
    <w:p>
      <w:pPr>
        <w:pStyle w:val="Style2"/>
        <w:keepNext/>
        <w:keepLines/>
        <w:widowControl w:val="0"/>
        <w:shd w:val="clear" w:color="auto" w:fill="auto"/>
        <w:bidi w:val="0"/>
        <w:spacing w:before="0" w:after="540" w:line="214" w:lineRule="auto"/>
        <w:ind w:left="0" w:right="0" w:firstLine="0"/>
        <w:jc w:val="left"/>
      </w:pPr>
      <w:r>
        <w:rPr>
          <w:rStyle w:val="CharStyle3"/>
        </w:rPr>
        <w:t>Klimatu i Środowiska</w:t>
      </w:r>
    </w:p>
    <w:p>
      <w:pPr>
        <w:pStyle w:val="Style4"/>
        <w:keepNext w:val="0"/>
        <w:keepLines w:val="0"/>
        <w:widowControl w:val="0"/>
        <w:shd w:val="clear" w:color="auto" w:fill="auto"/>
        <w:bidi w:val="0"/>
        <w:spacing w:before="0" w:after="0" w:line="240" w:lineRule="auto"/>
        <w:ind w:left="0" w:right="0" w:firstLine="0"/>
        <w:jc w:val="both"/>
      </w:pPr>
      <w:r>
        <w:rPr>
          <w:rStyle w:val="CharStyle5"/>
        </w:rPr>
        <w:t>DOZE-VI.053.1.2026.MR</w:t>
      </w:r>
    </w:p>
    <w:p>
      <w:pPr>
        <w:pStyle w:val="Style4"/>
        <w:keepNext w:val="0"/>
        <w:keepLines w:val="0"/>
        <w:widowControl w:val="0"/>
        <w:shd w:val="clear" w:color="auto" w:fill="auto"/>
        <w:bidi w:val="0"/>
        <w:spacing w:before="0" w:after="0" w:line="240" w:lineRule="auto"/>
        <w:ind w:left="0" w:right="0" w:firstLine="0"/>
        <w:jc w:val="both"/>
        <w:rPr>
          <w:sz w:val="18"/>
          <w:szCs w:val="18"/>
        </w:rPr>
      </w:pPr>
      <w:r>
        <w:rPr>
          <w:rStyle w:val="CharStyle5"/>
          <w:sz w:val="18"/>
          <w:szCs w:val="18"/>
        </w:rPr>
        <w:t>4470107.18645024.15053612</w:t>
      </w:r>
    </w:p>
    <w:p>
      <w:pPr>
        <w:pStyle w:val="Style4"/>
        <w:keepNext w:val="0"/>
        <w:keepLines w:val="0"/>
        <w:widowControl w:val="0"/>
        <w:shd w:val="clear" w:color="auto" w:fill="auto"/>
        <w:bidi w:val="0"/>
        <w:spacing w:before="0" w:after="720" w:line="240" w:lineRule="auto"/>
        <w:ind w:left="0" w:right="0" w:firstLine="0"/>
        <w:jc w:val="both"/>
      </w:pPr>
      <w:r>
        <w:rPr>
          <w:rStyle w:val="CharStyle5"/>
        </w:rPr>
        <w:t>Warszawa, 31-08-2026</w:t>
      </w:r>
    </w:p>
    <w:p>
      <w:pPr>
        <w:pStyle w:val="Style7"/>
        <w:keepNext/>
        <w:keepLines/>
        <w:widowControl w:val="0"/>
        <w:shd w:val="clear" w:color="auto" w:fill="auto"/>
        <w:bidi w:val="0"/>
        <w:spacing w:before="0" w:after="1680" w:line="240" w:lineRule="auto"/>
        <w:ind w:left="0" w:right="0" w:firstLine="0"/>
        <w:jc w:val="both"/>
      </w:pPr>
      <w:bookmarkStart w:id="3" w:name="bookmark3"/>
      <w:r>
        <w:rPr>
          <w:rStyle w:val="CharStyle8"/>
          <w:b/>
          <w:bCs/>
        </w:rPr>
        <w:t>Pan</w:t>
      </w:r>
      <w:bookmarkEnd w:id="3"/>
    </w:p>
    <w:p>
      <w:pPr>
        <w:pStyle w:val="Style4"/>
        <w:keepNext w:val="0"/>
        <w:keepLines w:val="0"/>
        <w:widowControl w:val="0"/>
        <w:shd w:val="clear" w:color="auto" w:fill="auto"/>
        <w:bidi w:val="0"/>
        <w:spacing w:before="0" w:after="220"/>
        <w:ind w:left="0" w:right="0" w:firstLine="0"/>
        <w:jc w:val="both"/>
      </w:pPr>
      <w:r>
        <w:rPr>
          <w:rStyle w:val="CharStyle5"/>
        </w:rPr>
        <w:t>Szanowny Panie,</w:t>
      </w:r>
    </w:p>
    <w:p>
      <w:pPr>
        <w:pStyle w:val="Style4"/>
        <w:keepNext w:val="0"/>
        <w:keepLines w:val="0"/>
        <w:widowControl w:val="0"/>
        <w:shd w:val="clear" w:color="auto" w:fill="auto"/>
        <w:bidi w:val="0"/>
        <w:spacing w:before="0"/>
        <w:ind w:left="0" w:right="0" w:firstLine="0"/>
        <w:jc w:val="both"/>
      </w:pPr>
      <w:r>
        <w:rPr>
          <w:rStyle w:val="CharStyle5"/>
        </w:rPr>
        <w:t>w odpowiedzi na petycję z dnia 27 maja 2026 r.</w:t>
      </w:r>
      <w:r>
        <w:rPr>
          <w:rStyle w:val="CharStyle5"/>
          <w:vertAlign w:val="superscript"/>
        </w:rPr>
        <w:t>1</w:t>
      </w:r>
      <w:r>
        <w:rPr>
          <w:rStyle w:val="CharStyle5"/>
        </w:rPr>
        <w:t xml:space="preserve"> dotyczącą podjęcia zintegrowanych działań legislacyjnych w celu zabezpieczenia suwerenności energetycznej Polski poprzez uruchomienie pożyczek na energetykę jądrową, modernizację technologiczną sektora węglowego, odpowiedzialną rozbudowę odnawialnych źródeł energii oraz podjęcie działań na rzecz obniżenia kosztów funkcjonowania unijnego systemu handlu uprawnieniami do emisji (EU ETS), po jej rozpatrzeniu informuję, że </w:t>
      </w:r>
      <w:r>
        <w:rPr>
          <w:rStyle w:val="CharStyle5"/>
          <w:b/>
          <w:bCs/>
        </w:rPr>
        <w:t>petycja nie została uwzględniona</w:t>
      </w:r>
      <w:r>
        <w:rPr>
          <w:rStyle w:val="CharStyle5"/>
          <w:vertAlign w:val="superscript"/>
        </w:rPr>
        <w:t>2</w:t>
      </w:r>
      <w:r>
        <w:rPr>
          <w:rStyle w:val="CharStyle5"/>
        </w:rPr>
        <w:t>. Porusza ona jednak zagadnienia pozostające w obszarze bieżącej polityki energetycznej państwa i działań realizowanych przez właściwe organy administracji publicznej.</w:t>
      </w:r>
    </w:p>
    <w:p>
      <w:pPr>
        <w:pStyle w:val="Style7"/>
        <w:keepNext/>
        <w:keepLines/>
        <w:widowControl w:val="0"/>
        <w:shd w:val="clear" w:color="auto" w:fill="auto"/>
        <w:bidi w:val="0"/>
        <w:spacing w:before="0" w:after="180" w:line="264" w:lineRule="auto"/>
        <w:ind w:left="0" w:right="0" w:firstLine="0"/>
        <w:jc w:val="center"/>
      </w:pPr>
      <w:bookmarkStart w:id="5" w:name="bookmark5"/>
      <w:r>
        <w:rPr>
          <w:rStyle w:val="CharStyle8"/>
          <w:b/>
          <w:bCs/>
        </w:rPr>
        <w:t>Uzasadnienie</w:t>
      </w:r>
      <w:bookmarkEnd w:id="5"/>
    </w:p>
    <w:p>
      <w:pPr>
        <w:pStyle w:val="Style4"/>
        <w:keepNext w:val="0"/>
        <w:keepLines w:val="0"/>
        <w:widowControl w:val="0"/>
        <w:shd w:val="clear" w:color="auto" w:fill="auto"/>
        <w:bidi w:val="0"/>
        <w:spacing w:before="0"/>
        <w:ind w:left="0" w:right="0" w:firstLine="0"/>
        <w:jc w:val="both"/>
      </w:pPr>
      <w:r>
        <w:rPr>
          <w:rStyle w:val="CharStyle5"/>
        </w:rPr>
        <w:t>Podzielając Pana stanowisko co do znaczenia bezpieczeństwa energetycznego państwa oraz konieczności zapewnienia odbiorcom stabilnych dostaw energii po akceptowalnych kosztach, należy wskazać, że transformacja energetyczna realizowana jest obecnie w ramach obowiązujących krajowych i europejskich ram prawnych oraz strategicznych dokumentów polityki energetycznej.</w:t>
      </w:r>
    </w:p>
    <w:p>
      <w:pPr>
        <w:pStyle w:val="Style4"/>
        <w:keepNext w:val="0"/>
        <w:keepLines w:val="0"/>
        <w:widowControl w:val="0"/>
        <w:shd w:val="clear" w:color="auto" w:fill="auto"/>
        <w:bidi w:val="0"/>
        <w:spacing w:before="0"/>
        <w:ind w:left="0" w:right="0" w:firstLine="0"/>
        <w:jc w:val="both"/>
      </w:pPr>
      <w:r>
        <w:rPr>
          <w:rStyle w:val="CharStyle5"/>
        </w:rPr>
        <w:t>W odniesieniu do postulatu wsparcia energetyki jądrowej należy wskazać, że rozwój tego sektora stanowi jeden z kluczowych elementów krajowej polityki energetycznej. Program polskiej energetyki jądrowej przewiduje budowę elektrowni jądrowych mających zapewnić stabilne, dyspozycyjne i niskoemisyjne źródła energii elektrycznej. Realizacja przedsięwzięć jądrowych wymaga jednak stosowania wyspecjalizowanych instrumentów finansowych oraz indywidualnych modeli finansowania dostosowanych do skali i charakteru tego rodzaju inwestycji. Z tego względu postulat wprowadzenia odrębnego, powszechnego systemu preferencyjnych pożyczek nie znajduje obecnie uzasadnienia jako rozwiązania wymagającego odrębnej inicjatywy legislacyjnej. Jednocześnie należy zauważyć, że realizacja programu energetyki jądrowej jest wspierana z wykorzystaniem dedykowanych mechanizmów finansowych przygotowywanych i wdrażanych w ramach działań państwa, dostosowanych do specyfiki i skali tego rodzaju inwestycji.</w:t>
      </w:r>
    </w:p>
    <w:p>
      <w:pPr>
        <w:pStyle w:val="Style4"/>
        <w:keepNext w:val="0"/>
        <w:keepLines w:val="0"/>
        <w:widowControl w:val="0"/>
        <w:shd w:val="clear" w:color="auto" w:fill="auto"/>
        <w:bidi w:val="0"/>
        <w:spacing w:before="0" w:after="280"/>
        <w:ind w:left="0" w:right="0" w:firstLine="0"/>
        <w:jc w:val="both"/>
      </w:pPr>
      <w:r>
        <w:rPr>
          <w:rStyle w:val="CharStyle5"/>
        </w:rPr>
        <w:t>W zakresie postulatów dotyczących modernizacji sektora węglowego należy zauważyć, że przedsiębiorstwa energetyczne i górnicze już obecnie podejmują działania mające na celu zwiększanie efektywności technologicznej procesów wydobywczych i wytwórczych,</w:t>
      </w:r>
    </w:p>
    <w:p>
      <w:pPr>
        <w:pStyle w:val="Style4"/>
        <w:keepNext w:val="0"/>
        <w:keepLines w:val="0"/>
        <w:widowControl w:val="0"/>
        <w:numPr>
          <w:ilvl w:val="0"/>
          <w:numId w:val="1"/>
        </w:numPr>
        <w:shd w:val="clear" w:color="auto" w:fill="auto"/>
        <w:tabs>
          <w:tab w:pos="193" w:val="left"/>
        </w:tabs>
        <w:bidi w:val="0"/>
        <w:spacing w:before="0" w:after="0" w:line="240" w:lineRule="auto"/>
        <w:ind w:left="0" w:right="0" w:firstLine="0"/>
        <w:jc w:val="both"/>
        <w:rPr>
          <w:sz w:val="18"/>
          <w:szCs w:val="18"/>
        </w:rPr>
      </w:pPr>
      <w:r>
        <w:rPr>
          <w:rStyle w:val="CharStyle5"/>
          <w:sz w:val="18"/>
          <w:szCs w:val="18"/>
        </w:rPr>
        <w:t>Petycja została wniesiona do Sejmu Rzeczypospolitej Polskiej i końcowo przekazana do Ministerstwa Klimatu i Środowiska, zgodnie z właściwością.</w:t>
      </w:r>
    </w:p>
    <w:p>
      <w:pPr>
        <w:pStyle w:val="Style4"/>
        <w:keepNext w:val="0"/>
        <w:keepLines w:val="0"/>
        <w:widowControl w:val="0"/>
        <w:numPr>
          <w:ilvl w:val="0"/>
          <w:numId w:val="1"/>
        </w:numPr>
        <w:shd w:val="clear" w:color="auto" w:fill="auto"/>
        <w:tabs>
          <w:tab w:pos="198" w:val="left"/>
        </w:tabs>
        <w:bidi w:val="0"/>
        <w:spacing w:before="0" w:after="340" w:line="240" w:lineRule="auto"/>
        <w:ind w:left="0" w:right="0" w:firstLine="0"/>
        <w:jc w:val="both"/>
        <w:rPr>
          <w:sz w:val="18"/>
          <w:szCs w:val="18"/>
        </w:rPr>
      </w:pPr>
      <w:r>
        <w:rPr>
          <w:rStyle w:val="CharStyle5"/>
          <w:sz w:val="18"/>
          <w:szCs w:val="18"/>
        </w:rPr>
        <w:t>Stosownie do art. 13 ustawy z dnia 11 lipca 2014 r. o petycjach (t.j. Dz.U. 2018 poz. 870) zawiadamiam o sposobie jej załatwienia wraz z uzasadnieniem.</w:t>
      </w:r>
    </w:p>
    <w:p>
      <w:pPr>
        <w:pStyle w:val="Style10"/>
        <w:keepNext w:val="0"/>
        <w:keepLines w:val="0"/>
        <w:widowControl w:val="0"/>
        <w:shd w:val="clear" w:color="auto" w:fill="auto"/>
        <w:bidi w:val="0"/>
        <w:spacing w:before="0" w:after="0" w:line="240" w:lineRule="auto"/>
        <w:ind w:left="0" w:right="0" w:firstLine="0"/>
        <w:jc w:val="both"/>
      </w:pPr>
      <w:r>
        <w:rPr>
          <w:rStyle w:val="CharStyle11"/>
        </w:rPr>
        <w:t xml:space="preserve">Telefon: (+48) 22 369 29 00 ul. Wawelska 52/54, 00-922 Warszawa </w:t>
      </w:r>
      <w:r>
        <w:fldChar w:fldCharType="begin"/>
      </w:r>
      <w:r>
        <w:rPr/>
        <w:instrText> HYPERLINK "mailto:info@klimat.gov.pl" </w:instrText>
      </w:r>
      <w:r>
        <w:fldChar w:fldCharType="separate"/>
      </w:r>
      <w:r>
        <w:rPr>
          <w:rStyle w:val="CharStyle11"/>
        </w:rPr>
        <w:t>info@klimat.gov.pl</w:t>
      </w:r>
      <w:r>
        <w:fldChar w:fldCharType="end"/>
      </w:r>
      <w:r>
        <w:rPr>
          <w:rStyle w:val="CharStyle11"/>
        </w:rPr>
        <w:t xml:space="preserve"> Ministerstwo Klimatu i Środowiska </w:t>
      </w:r>
      <w:r>
        <w:fldChar w:fldCharType="begin"/>
      </w:r>
      <w:r>
        <w:rPr/>
        <w:instrText> HYPERLINK "http://www.gov.pl/klimat" </w:instrText>
      </w:r>
      <w:r>
        <w:fldChar w:fldCharType="separate"/>
      </w:r>
      <w:r>
        <w:rPr>
          <w:rStyle w:val="CharStyle11"/>
        </w:rPr>
        <w:t>www.gov.pl/klimat</w:t>
      </w:r>
      <w:r>
        <w:fldChar w:fldCharType="end"/>
      </w:r>
    </w:p>
    <w:p>
      <w:pPr>
        <w:pStyle w:val="Style12"/>
        <w:keepNext w:val="0"/>
        <w:keepLines w:val="0"/>
        <w:widowControl w:val="0"/>
        <w:shd w:val="clear" w:color="auto" w:fill="auto"/>
        <w:bidi w:val="0"/>
        <w:spacing w:before="0" w:line="240" w:lineRule="auto"/>
        <w:ind w:left="0" w:right="0" w:firstLine="0"/>
        <w:jc w:val="center"/>
      </w:pPr>
      <w:r>
        <w:rPr>
          <w:rStyle w:val="CharStyle13"/>
        </w:rPr>
        <w:t>Działamy zgodnie z EMAS - zarządzając instytucją, dbamy o środowisko</w:t>
      </w:r>
    </w:p>
    <w:p>
      <w:pPr>
        <w:pStyle w:val="Style4"/>
        <w:keepNext w:val="0"/>
        <w:keepLines w:val="0"/>
        <w:widowControl w:val="0"/>
        <w:shd w:val="clear" w:color="auto" w:fill="auto"/>
        <w:bidi w:val="0"/>
        <w:spacing w:before="0"/>
        <w:ind w:left="0" w:right="0" w:firstLine="0"/>
        <w:jc w:val="both"/>
      </w:pPr>
      <w:r>
        <w:rPr>
          <w:rStyle w:val="CharStyle5"/>
        </w:rPr>
        <w:t>ograniczanie emisji zanieczyszczeń oraz poprawę bezpieczeństwa pracy. Zakres i kierunki modernizacji instalacji energetycznych wynikają z obowiązujących przepisów krajowych i unijnych dotyczących ochrony środowiska, standardów emisyjnych oraz efektywności energetycznej. Rozwiązania techniczne wskazane w petycji, takie jak systemy ograniczania emisji zanieczyszczeń czy automatyzacja procesów wydobywczych, pozostają w kompetencjach podmiotów prowadzących działalność gospodarczą i są wdrażane stosownie do potrzeb technologicznych i ekonomicznych poszczególnych przedsiębiorstw.</w:t>
      </w:r>
    </w:p>
    <w:p>
      <w:pPr>
        <w:pStyle w:val="Style4"/>
        <w:keepNext w:val="0"/>
        <w:keepLines w:val="0"/>
        <w:widowControl w:val="0"/>
        <w:shd w:val="clear" w:color="auto" w:fill="auto"/>
        <w:bidi w:val="0"/>
        <w:spacing w:before="0"/>
        <w:ind w:left="0" w:right="0" w:firstLine="0"/>
        <w:jc w:val="both"/>
      </w:pPr>
      <w:r>
        <w:rPr>
          <w:rStyle w:val="CharStyle5"/>
        </w:rPr>
        <w:t>Odnosząc się do przedstawionych postulatów dotyczących rozwoju odnawialnych źródeł energii (OZE), należy wskazać, że inwestycje OZE mają zapewnione zarówno instrumenty wsparcia inwestycyjnego, jak i operacyjnego. Jednocześnie proces realizacji takich przedsięwzięć podlega ścisłym wymogom prawnym związanym z planowaniem przestrzennym, ochroną środowiska czy przyłączaniem do sieci energetycznej. W zależności od rodzaju i skali inwestycji wymagane jest uzyskanie szeregu decyzji administracyjnych i uzgodnień, a przepisy przewidują chociażby mechanizmy udziału społeczeństwa w postępowaniach dotyczących lokalizacji przedsięwzięć mogących oddziaływać na środowisko. Rozwój odnawialnych źródeł energii odbywa się zatem z uwzględnieniem zarówno potrzeb transformacji energetycznej, jak i interesów społeczności lokalnych.</w:t>
      </w:r>
    </w:p>
    <w:p>
      <w:pPr>
        <w:pStyle w:val="Style4"/>
        <w:keepNext w:val="0"/>
        <w:keepLines w:val="0"/>
        <w:widowControl w:val="0"/>
        <w:shd w:val="clear" w:color="auto" w:fill="auto"/>
        <w:bidi w:val="0"/>
        <w:spacing w:before="0"/>
        <w:ind w:left="0" w:right="0" w:firstLine="0"/>
        <w:jc w:val="both"/>
      </w:pPr>
      <w:r>
        <w:rPr>
          <w:rStyle w:val="CharStyle5"/>
        </w:rPr>
        <w:t>Należy również wskazać, że odpowiedzialnemu społecznie rozwojowi odnawialnych źródeł energii służą wdrażane Obszary Przyspieszonego Rozwoju OZE (OPRO). Instrument ten opiera się na identyfikacji terenów posiadających najlepsze warunki dla rozwoju poszczególnych technologii odnawialnych źródeł energii z uwzględnieniem uwarunkowań środowiskowych, przestrzennych i infrastrukturalnych. Wyznaczanie OPRO następuje w oparciu o przeprowadzone mapowanie potencjału OZE, przygotowane dla obszaru całego kraju z uwzględnieniem uwarunkowań technicznych, środowiskowych i przestrzennych. Obszary te są wyznaczane przez samorządy województw z uwzględnieniem dokumentów planistycznych, map potencjału OZE oraz map wrażliwości przyrodniczej. Mapowanie potencjału OZE obejmuje m.in. energię słoneczną, wiatrową, wodną, geotermalną oraz biogazową i ma na celu wskazanie terenów posiadających najlepsze warunki dla rozwoju poszczególnych technologii odnawialnych źródeł energii. Zgodnie z przyjętymi założeniami, wyznaczanie OPRO ma umożliwić lepsze planowanie inwestycji OZE, skrócenie procedur administracyjnych oraz zwiększenie udziału energii odnawialnej w krajowym miksie energetycznym.</w:t>
      </w:r>
    </w:p>
    <w:p>
      <w:pPr>
        <w:pStyle w:val="Style4"/>
        <w:keepNext w:val="0"/>
        <w:keepLines w:val="0"/>
        <w:widowControl w:val="0"/>
        <w:shd w:val="clear" w:color="auto" w:fill="auto"/>
        <w:bidi w:val="0"/>
        <w:spacing w:before="0"/>
        <w:ind w:left="0" w:right="0" w:firstLine="0"/>
        <w:jc w:val="both"/>
      </w:pPr>
      <w:r>
        <w:rPr>
          <w:rStyle w:val="CharStyle5"/>
        </w:rPr>
        <w:t>W odniesieniu do postulatu obniżenia cen uprawnień w ramach systemu EU ETS należy zauważyć, że system handlu uprawnieniami do emisji gazów cieplarnianych stanowi element prawa Unii Europejskiej, a zasady jego funkcjonowania ustalane są na poziomie unijnym. Ewentualne zmiany dotyczące konstrukcji rynku, liczby uprawnień czy mechanizmów kształtowania cen wymagają działań legislacyjnych podejmowanych przez instytucje Unii Europejskiej zgodnie z procedurami przewidzianymi w prawie unijnym. Rząd Rzeczypospolitej Polskiej uczestniczy w prowadzonych na forum Unii Europejskiej pracach dotyczących polityki klimatycznej i energetycznej, przedstawiając stanowiska uwzględniające krajowe uwarunkowania gospodarcze i społeczne. Nie ma jednak podstaw do przyjęcia postulowanego w petycji poziomu cen uprawnień jako rozwiązania możliwego do jednostronnego wprowadzenia na poziomie krajowym.</w:t>
      </w:r>
    </w:p>
    <w:p>
      <w:pPr>
        <w:pStyle w:val="Style4"/>
        <w:keepNext w:val="0"/>
        <w:keepLines w:val="0"/>
        <w:widowControl w:val="0"/>
        <w:shd w:val="clear" w:color="auto" w:fill="auto"/>
        <w:bidi w:val="0"/>
        <w:spacing w:before="0"/>
        <w:ind w:left="0" w:right="0" w:firstLine="0"/>
        <w:jc w:val="both"/>
      </w:pPr>
      <w:r>
        <w:rPr>
          <w:rStyle w:val="CharStyle5"/>
        </w:rPr>
        <w:t>System EU ETS jest oparty na mechanizmie „cap and trade”, czyli zasadzie limitu i handlu uprawnieniami do emisji. Na poziomie Unii Europejskiej określany jest ogólny limit emisji dla sektorów objętych systemem, a liczba uprawnień wprowadzanych do systemu jest stopniowo zmniejszana. Cena uprawnień nie jest ustalana administracyjnie, lecz kształtuje</w:t>
      </w:r>
    </w:p>
    <w:p>
      <w:pPr>
        <w:pStyle w:val="Style4"/>
        <w:keepNext w:val="0"/>
        <w:keepLines w:val="0"/>
        <w:widowControl w:val="0"/>
        <w:shd w:val="clear" w:color="auto" w:fill="auto"/>
        <w:bidi w:val="0"/>
        <w:spacing w:before="0"/>
        <w:ind w:left="0" w:right="0" w:firstLine="0"/>
        <w:jc w:val="both"/>
      </w:pPr>
      <w:r>
        <w:rPr>
          <w:rStyle w:val="CharStyle5"/>
        </w:rPr>
        <w:t>się na rynku, w szczególności pod wpływem relacji podaży i popytu oraz parametrów regulacyjnych systemu.</w:t>
      </w:r>
    </w:p>
    <w:p>
      <w:pPr>
        <w:pStyle w:val="Style4"/>
        <w:keepNext w:val="0"/>
        <w:keepLines w:val="0"/>
        <w:widowControl w:val="0"/>
        <w:shd w:val="clear" w:color="auto" w:fill="auto"/>
        <w:bidi w:val="0"/>
        <w:spacing w:before="0"/>
        <w:ind w:left="0" w:right="0" w:firstLine="0"/>
        <w:jc w:val="both"/>
      </w:pPr>
      <w:r>
        <w:rPr>
          <w:rStyle w:val="CharStyle5"/>
        </w:rPr>
        <w:t>Po reformie EU ETS przyjętej w ramach pakietu „Fit for 55” współczynnik liniowej redukcji ogólnego limitu emisji (Linear Reduction Factor – LRF) wynosi 4,3% w latach 2024–2027 oraz 4,4% od 2028 r. Oznacza to coroczne zmniejszanie ogólnej puli uprawnień wprowadzanych do systemu o taki procent. Polska w toku negocjacji unijnych wskazywała na potrzebę takiego kształtowania parametrów EU ETS, aby ograniczać nadmierną presję kosztową na gospodarkę, energetykę, ciepłownictwo i gospodarstwa domowe, przy jednoczesnym utrzymaniu zachęt do redukcji emisji i inwestycji modernizacyjnych.</w:t>
      </w:r>
    </w:p>
    <w:p>
      <w:pPr>
        <w:pStyle w:val="Style4"/>
        <w:keepNext w:val="0"/>
        <w:keepLines w:val="0"/>
        <w:widowControl w:val="0"/>
        <w:shd w:val="clear" w:color="auto" w:fill="auto"/>
        <w:bidi w:val="0"/>
        <w:spacing w:before="0"/>
        <w:ind w:left="0" w:right="0" w:firstLine="0"/>
        <w:jc w:val="both"/>
      </w:pPr>
      <w:r>
        <w:rPr>
          <w:rStyle w:val="CharStyle5"/>
        </w:rPr>
        <w:t>Zaproponowane przez Komisję Europejską w lipcu 2026 r. obniżenie LRF do 3,7%, a od roku 2035 do 1,7% oznaczałoby, że na rynku mogłaby pozostać większa liczba uprawnień do emisji, co powinno ograniczać presję cenową względem trajektorii wynikającej z obecnych przepisów. Jeżeli zmiany w przepisach zostaną wprowadzone w kształcie zaproponowanym przez Komisję wówczas dłużej na rynku pozostaną dostępne uprawnienia do emisji gazów cieplarnianych.</w:t>
      </w:r>
    </w:p>
    <w:p>
      <w:pPr>
        <w:pStyle w:val="Style4"/>
        <w:keepNext w:val="0"/>
        <w:keepLines w:val="0"/>
        <w:widowControl w:val="0"/>
        <w:shd w:val="clear" w:color="auto" w:fill="auto"/>
        <w:bidi w:val="0"/>
        <w:spacing w:before="0"/>
        <w:ind w:left="0" w:right="0" w:firstLine="0"/>
        <w:jc w:val="both"/>
      </w:pPr>
      <w:r>
        <w:rPr>
          <w:rStyle w:val="CharStyle5"/>
        </w:rPr>
        <w:t>Kluczowe znaczenie dla kosztów uprawnień ma również dekarbonizacja przedsiębiorstw, energetyki i ciepłownictwa, ponieważ zmniejsza zapotrzebowanie na uprawnienia do emisji i ogranicza ekspozycję na koszty ich zakupu. Inwestycje te są wspierane m.in. ze środków Funduszu Modernizacyjnego, z którego Polska uzyskała dotychczas ponad 53 mld zł wsparcia. Środki te finansują m.in. rozwój odnawialnych źródeł energii, modernizację sieci, poprawę efektywności energetycznej budynków, inwestycje w ciepłownictwo oraz niskoemisyjny transport publiczny. Polska pozostaje największym beneficjentem Funduszu Modernizacyjnego do 2030 r., co zapewnia istotne wsparcie dla sprawiedliwej transformacji i bezpieczeństwa energetycznego kraju.</w:t>
      </w:r>
    </w:p>
    <w:p>
      <w:pPr>
        <w:pStyle w:val="Style4"/>
        <w:keepNext w:val="0"/>
        <w:keepLines w:val="0"/>
        <w:widowControl w:val="0"/>
        <w:shd w:val="clear" w:color="auto" w:fill="auto"/>
        <w:bidi w:val="0"/>
        <w:spacing w:before="0"/>
        <w:ind w:left="0" w:right="0" w:firstLine="0"/>
        <w:jc w:val="both"/>
      </w:pPr>
      <w:r>
        <w:rPr>
          <w:rStyle w:val="CharStyle5"/>
        </w:rPr>
        <w:t>Mając powyższe na uwadze, uznaje się, że kwestie podniesione w petycji pozostają przedmiotem działań prowadzonych w ramach obowiązujących polityk publicznych oraz istniejących instrumentów prawnych i finansowych. W związku z powyższym uznano, że postulaty przedstawione w petycji są obecnie realizowane lub analizowane w ramach obowiązujących instrumentów prawnych, programowych i finansowych, wobec czego brak jest podstaw do podejmowania odrębnych działań legislacyjnych w zakresie wskazanym w petycji.</w:t>
      </w:r>
    </w:p>
    <w:p>
      <w:pPr>
        <w:pStyle w:val="Style4"/>
        <w:keepNext w:val="0"/>
        <w:keepLines w:val="0"/>
        <w:widowControl w:val="0"/>
        <w:shd w:val="clear" w:color="auto" w:fill="auto"/>
        <w:bidi w:val="0"/>
        <w:spacing w:before="0"/>
        <w:ind w:left="0" w:right="0" w:firstLine="0"/>
        <w:jc w:val="center"/>
      </w:pPr>
      <w:r>
        <w:rPr>
          <w:rStyle w:val="CharStyle5"/>
        </w:rPr>
        <w:t>Pouczenie</w:t>
      </w:r>
    </w:p>
    <w:p>
      <w:pPr>
        <w:pStyle w:val="Style4"/>
        <w:keepNext w:val="0"/>
        <w:keepLines w:val="0"/>
        <w:widowControl w:val="0"/>
        <w:shd w:val="clear" w:color="auto" w:fill="auto"/>
        <w:bidi w:val="0"/>
        <w:spacing w:before="0" w:after="620"/>
        <w:ind w:left="0" w:right="0" w:firstLine="0"/>
        <w:jc w:val="both"/>
      </w:pPr>
      <w:r>
        <w:rPr>
          <w:rStyle w:val="CharStyle5"/>
        </w:rPr>
        <w:t>Zgodnie z art. 13 ust. 2 ustawy z dnia 11 lipca 2014 r. o petycjach (Dz.U. z 2018 r. poz. 870, z późn. zm.) sposób załatwienia petycji nie może być przedmiotem skargi.</w:t>
      </w:r>
    </w:p>
    <w:p>
      <w:pPr>
        <w:pStyle w:val="Style4"/>
        <w:keepNext w:val="0"/>
        <w:keepLines w:val="0"/>
        <w:widowControl w:val="0"/>
        <w:shd w:val="clear" w:color="auto" w:fill="auto"/>
        <w:bidi w:val="0"/>
        <w:spacing w:before="0" w:after="440" w:line="240" w:lineRule="auto"/>
        <w:ind w:left="0" w:right="0" w:firstLine="0"/>
        <w:jc w:val="both"/>
      </w:pPr>
      <w:r>
        <w:rPr>
          <w:rStyle w:val="CharStyle5"/>
        </w:rPr>
        <w:t>Z wyrazami szacunku</w:t>
      </w:r>
    </w:p>
    <w:p>
      <w:pPr>
        <w:pStyle w:val="Style4"/>
        <w:keepNext w:val="0"/>
        <w:keepLines w:val="0"/>
        <w:widowControl w:val="0"/>
        <w:shd w:val="clear" w:color="auto" w:fill="auto"/>
        <w:bidi w:val="0"/>
        <w:spacing w:before="0" w:after="0" w:line="240" w:lineRule="auto"/>
        <w:ind w:left="0" w:right="0" w:firstLine="0"/>
        <w:jc w:val="both"/>
      </w:pPr>
      <w:r>
        <w:rPr>
          <w:rStyle w:val="CharStyle5"/>
        </w:rPr>
        <w:t>Dyrektor</w:t>
      </w:r>
    </w:p>
    <w:p>
      <w:pPr>
        <w:pStyle w:val="Style4"/>
        <w:keepNext w:val="0"/>
        <w:keepLines w:val="0"/>
        <w:widowControl w:val="0"/>
        <w:shd w:val="clear" w:color="auto" w:fill="auto"/>
        <w:bidi w:val="0"/>
        <w:spacing w:before="0" w:after="0" w:line="240" w:lineRule="auto"/>
        <w:ind w:left="0" w:right="0" w:firstLine="0"/>
        <w:jc w:val="both"/>
      </w:pPr>
      <w:r>
        <w:rPr>
          <w:rStyle w:val="CharStyle5"/>
        </w:rPr>
        <w:t>Departament Odnawialnych Źródeł Energii</w:t>
      </w:r>
    </w:p>
    <w:p>
      <w:pPr>
        <w:pStyle w:val="Style4"/>
        <w:keepNext w:val="0"/>
        <w:keepLines w:val="0"/>
        <w:widowControl w:val="0"/>
        <w:shd w:val="clear" w:color="auto" w:fill="auto"/>
        <w:bidi w:val="0"/>
        <w:spacing w:before="0" w:after="0" w:line="240" w:lineRule="auto"/>
        <w:ind w:left="0" w:right="0" w:firstLine="0"/>
        <w:jc w:val="both"/>
      </w:pPr>
      <w:r>
        <w:rPr>
          <w:rStyle w:val="CharStyle5"/>
        </w:rPr>
        <w:t>Ministerstwo Klimatu i Środowiska</w:t>
      </w:r>
    </w:p>
    <w:p>
      <w:pPr>
        <w:pStyle w:val="Style4"/>
        <w:keepNext w:val="0"/>
        <w:keepLines w:val="0"/>
        <w:widowControl w:val="0"/>
        <w:shd w:val="clear" w:color="auto" w:fill="auto"/>
        <w:bidi w:val="0"/>
        <w:spacing w:before="0" w:line="240" w:lineRule="auto"/>
        <w:ind w:left="0" w:right="0" w:firstLine="0"/>
        <w:jc w:val="both"/>
      </w:pPr>
      <w:r>
        <w:rPr>
          <w:rStyle w:val="CharStyle5"/>
        </w:rPr>
        <w:t>/ – podpisany cyfrowo/</w:t>
      </w:r>
    </w:p>
    <w:sectPr>
      <w:footnotePr>
        <w:pos w:val="pageBottom"/>
        <w:numFmt w:val="decimal"/>
        <w:numRestart w:val="continuous"/>
      </w:footnotePr>
      <w:pgSz w:w="11900" w:h="16840"/>
      <w:pgMar w:top="754" w:right="1950" w:bottom="679" w:left="1948" w:header="326" w:footer="251" w:gutter="0"/>
      <w:pgNumType w:start="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8"/>
        <w:szCs w:val="18"/>
        <w:u w:val="none"/>
        <w:shd w:val="clear" w:color="auto" w:fill="auto"/>
        <w:vertAlign w:val="superscript"/>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Heading #1_"/>
    <w:basedOn w:val="DefaultParagraphFont"/>
    <w:link w:val="Style2"/>
    <w:rPr>
      <w:rFonts w:ascii="Corbel" w:eastAsia="Corbel" w:hAnsi="Corbel" w:cs="Corbel"/>
      <w:b w:val="0"/>
      <w:bCs w:val="0"/>
      <w:i w:val="0"/>
      <w:iCs w:val="0"/>
      <w:smallCaps w:val="0"/>
      <w:strike w:val="0"/>
      <w:sz w:val="36"/>
      <w:szCs w:val="36"/>
      <w:u w:val="none"/>
    </w:rPr>
  </w:style>
  <w:style w:type="character" w:customStyle="1" w:styleId="CharStyle5">
    <w:name w:val="Body text_"/>
    <w:basedOn w:val="DefaultParagraphFont"/>
    <w:link w:val="Style4"/>
    <w:rPr>
      <w:rFonts w:ascii="Arial" w:eastAsia="Arial" w:hAnsi="Arial" w:cs="Arial"/>
      <w:b w:val="0"/>
      <w:bCs w:val="0"/>
      <w:i w:val="0"/>
      <w:iCs w:val="0"/>
      <w:smallCaps w:val="0"/>
      <w:strike w:val="0"/>
      <w:sz w:val="19"/>
      <w:szCs w:val="19"/>
      <w:u w:val="none"/>
    </w:rPr>
  </w:style>
  <w:style w:type="character" w:customStyle="1" w:styleId="CharStyle8">
    <w:name w:val="Heading #2_"/>
    <w:basedOn w:val="DefaultParagraphFont"/>
    <w:link w:val="Style7"/>
    <w:rPr>
      <w:rFonts w:ascii="Arial" w:eastAsia="Arial" w:hAnsi="Arial" w:cs="Arial"/>
      <w:b/>
      <w:bCs/>
      <w:i w:val="0"/>
      <w:iCs w:val="0"/>
      <w:smallCaps w:val="0"/>
      <w:strike w:val="0"/>
      <w:sz w:val="19"/>
      <w:szCs w:val="19"/>
      <w:u w:val="none"/>
    </w:rPr>
  </w:style>
  <w:style w:type="character" w:customStyle="1" w:styleId="CharStyle11">
    <w:name w:val="Body text (2)_"/>
    <w:basedOn w:val="DefaultParagraphFont"/>
    <w:link w:val="Style10"/>
    <w:rPr>
      <w:rFonts w:ascii="Arial" w:eastAsia="Arial" w:hAnsi="Arial" w:cs="Arial"/>
      <w:b w:val="0"/>
      <w:bCs w:val="0"/>
      <w:i w:val="0"/>
      <w:iCs w:val="0"/>
      <w:smallCaps w:val="0"/>
      <w:strike w:val="0"/>
      <w:sz w:val="16"/>
      <w:szCs w:val="16"/>
      <w:u w:val="none"/>
    </w:rPr>
  </w:style>
  <w:style w:type="character" w:customStyle="1" w:styleId="CharStyle13">
    <w:name w:val="Body text (3)_"/>
    <w:basedOn w:val="DefaultParagraphFont"/>
    <w:link w:val="Style12"/>
    <w:rPr>
      <w:rFonts w:ascii="Arial" w:eastAsia="Arial" w:hAnsi="Arial" w:cs="Arial"/>
      <w:b w:val="0"/>
      <w:bCs w:val="0"/>
      <w:i w:val="0"/>
      <w:iCs w:val="0"/>
      <w:smallCaps w:val="0"/>
      <w:strike w:val="0"/>
      <w:sz w:val="13"/>
      <w:szCs w:val="13"/>
      <w:u w:val="none"/>
    </w:rPr>
  </w:style>
  <w:style w:type="paragraph" w:customStyle="1" w:styleId="Style2">
    <w:name w:val="Heading #1"/>
    <w:basedOn w:val="Normal"/>
    <w:link w:val="CharStyle3"/>
    <w:pPr>
      <w:widowControl w:val="0"/>
      <w:shd w:val="clear" w:color="auto" w:fill="auto"/>
      <w:spacing w:after="270" w:line="226" w:lineRule="auto"/>
      <w:outlineLvl w:val="0"/>
    </w:pPr>
    <w:rPr>
      <w:rFonts w:ascii="Corbel" w:eastAsia="Corbel" w:hAnsi="Corbel" w:cs="Corbel"/>
      <w:b w:val="0"/>
      <w:bCs w:val="0"/>
      <w:i w:val="0"/>
      <w:iCs w:val="0"/>
      <w:smallCaps w:val="0"/>
      <w:strike w:val="0"/>
      <w:sz w:val="36"/>
      <w:szCs w:val="36"/>
      <w:u w:val="none"/>
    </w:rPr>
  </w:style>
  <w:style w:type="paragraph" w:styleId="Style4">
    <w:name w:val="Body text"/>
    <w:basedOn w:val="Normal"/>
    <w:link w:val="CharStyle5"/>
    <w:qFormat/>
    <w:pPr>
      <w:widowControl w:val="0"/>
      <w:shd w:val="clear" w:color="auto" w:fill="auto"/>
      <w:spacing w:after="180" w:line="264" w:lineRule="auto"/>
    </w:pPr>
    <w:rPr>
      <w:rFonts w:ascii="Arial" w:eastAsia="Arial" w:hAnsi="Arial" w:cs="Arial"/>
      <w:b w:val="0"/>
      <w:bCs w:val="0"/>
      <w:i w:val="0"/>
      <w:iCs w:val="0"/>
      <w:smallCaps w:val="0"/>
      <w:strike w:val="0"/>
      <w:sz w:val="19"/>
      <w:szCs w:val="19"/>
      <w:u w:val="none"/>
    </w:rPr>
  </w:style>
  <w:style w:type="paragraph" w:customStyle="1" w:styleId="Style7">
    <w:name w:val="Heading #2"/>
    <w:basedOn w:val="Normal"/>
    <w:link w:val="CharStyle8"/>
    <w:pPr>
      <w:widowControl w:val="0"/>
      <w:shd w:val="clear" w:color="auto" w:fill="auto"/>
      <w:spacing w:after="930" w:line="252" w:lineRule="auto"/>
      <w:outlineLvl w:val="1"/>
    </w:pPr>
    <w:rPr>
      <w:rFonts w:ascii="Arial" w:eastAsia="Arial" w:hAnsi="Arial" w:cs="Arial"/>
      <w:b/>
      <w:bCs/>
      <w:i w:val="0"/>
      <w:iCs w:val="0"/>
      <w:smallCaps w:val="0"/>
      <w:strike w:val="0"/>
      <w:sz w:val="19"/>
      <w:szCs w:val="19"/>
      <w:u w:val="none"/>
    </w:rPr>
  </w:style>
  <w:style w:type="paragraph" w:customStyle="1" w:styleId="Style10">
    <w:name w:val="Body text (2)"/>
    <w:basedOn w:val="Normal"/>
    <w:link w:val="CharStyle11"/>
    <w:pPr>
      <w:widowControl w:val="0"/>
      <w:shd w:val="clear" w:color="auto" w:fill="auto"/>
    </w:pPr>
    <w:rPr>
      <w:rFonts w:ascii="Arial" w:eastAsia="Arial" w:hAnsi="Arial" w:cs="Arial"/>
      <w:b w:val="0"/>
      <w:bCs w:val="0"/>
      <w:i w:val="0"/>
      <w:iCs w:val="0"/>
      <w:smallCaps w:val="0"/>
      <w:strike w:val="0"/>
      <w:sz w:val="16"/>
      <w:szCs w:val="16"/>
      <w:u w:val="none"/>
    </w:rPr>
  </w:style>
  <w:style w:type="paragraph" w:customStyle="1" w:styleId="Style12">
    <w:name w:val="Body text (3)"/>
    <w:basedOn w:val="Normal"/>
    <w:link w:val="CharStyle13"/>
    <w:pPr>
      <w:widowControl w:val="0"/>
      <w:shd w:val="clear" w:color="auto" w:fill="auto"/>
      <w:spacing w:after="180"/>
      <w:jc w:val="center"/>
    </w:pPr>
    <w:rPr>
      <w:rFonts w:ascii="Arial" w:eastAsia="Arial" w:hAnsi="Arial" w:cs="Arial"/>
      <w:b w:val="0"/>
      <w:bCs w:val="0"/>
      <w:i w:val="0"/>
      <w:iCs w:val="0"/>
      <w:smallCaps w:val="0"/>
      <w:strike w:val="0"/>
      <w:sz w:val="13"/>
      <w:szCs w:val="13"/>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Szablon ogólny kolor</dc:title>
  <dc:subject/>
  <dc:creator/>
  <cp:keywords>PL, KOLOR</cp:keywords>
</cp:coreProperties>
</file>