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9B640" w14:textId="32F66C4B" w:rsidR="00E616A1" w:rsidRPr="005C7689" w:rsidRDefault="00E616A1" w:rsidP="00B950A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7689">
        <w:rPr>
          <w:rFonts w:ascii="Times New Roman" w:hAnsi="Times New Roman" w:cs="Times New Roman"/>
          <w:b/>
          <w:bCs/>
          <w:sz w:val="24"/>
          <w:szCs w:val="24"/>
        </w:rPr>
        <w:t>Odwrócona tabela zgodności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10597"/>
      </w:tblGrid>
      <w:tr w:rsidR="00E616A1" w:rsidRPr="005C7689" w14:paraId="7D17CD32" w14:textId="77777777" w:rsidTr="003715AB">
        <w:tc>
          <w:tcPr>
            <w:tcW w:w="3397" w:type="dxa"/>
          </w:tcPr>
          <w:p w14:paraId="66589E9B" w14:textId="50C27674" w:rsidR="00E616A1" w:rsidRPr="005C7689" w:rsidRDefault="00E616A1" w:rsidP="00B950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TYTUŁ PROJEKTU:</w:t>
            </w:r>
          </w:p>
        </w:tc>
        <w:tc>
          <w:tcPr>
            <w:tcW w:w="10597" w:type="dxa"/>
          </w:tcPr>
          <w:p w14:paraId="70C97EF1" w14:textId="20DACE83" w:rsidR="00E616A1" w:rsidRPr="005C7689" w:rsidRDefault="00F84D37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 xml:space="preserve">Projekt ustawy </w:t>
            </w:r>
            <w:r w:rsidR="00E616A1" w:rsidRPr="005C7689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="00E22852" w:rsidRPr="005C7689">
              <w:rPr>
                <w:rFonts w:ascii="Times New Roman" w:hAnsi="Times New Roman" w:cs="Times New Roman"/>
                <w:sz w:val="24"/>
                <w:szCs w:val="24"/>
              </w:rPr>
              <w:t>udziale Rzeczypospolitej Polskiej w systemie Eurodac</w:t>
            </w:r>
            <w:r w:rsidR="00B374E7">
              <w:rPr>
                <w:rFonts w:ascii="Times New Roman" w:hAnsi="Times New Roman" w:cs="Times New Roman"/>
                <w:sz w:val="24"/>
                <w:szCs w:val="24"/>
              </w:rPr>
              <w:t xml:space="preserve"> (UC139)</w:t>
            </w:r>
          </w:p>
        </w:tc>
      </w:tr>
    </w:tbl>
    <w:p w14:paraId="0D6BEBC0" w14:textId="77777777" w:rsidR="00E616A1" w:rsidRPr="005C7689" w:rsidRDefault="00E616A1" w:rsidP="00B950A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042"/>
        <w:gridCol w:w="1041"/>
        <w:gridCol w:w="6546"/>
        <w:gridCol w:w="5365"/>
      </w:tblGrid>
      <w:tr w:rsidR="00E22852" w:rsidRPr="005C7689" w14:paraId="46AB96D8" w14:textId="77777777" w:rsidTr="00EC7E1E">
        <w:tc>
          <w:tcPr>
            <w:tcW w:w="372" w:type="pct"/>
          </w:tcPr>
          <w:p w14:paraId="60B65D7C" w14:textId="381308AF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372" w:type="pct"/>
          </w:tcPr>
          <w:p w14:paraId="29900F79" w14:textId="75588A16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60723213"/>
            <w:r w:rsidRPr="005C7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Jedn. Red.</w:t>
            </w:r>
          </w:p>
        </w:tc>
        <w:tc>
          <w:tcPr>
            <w:tcW w:w="2339" w:type="pct"/>
          </w:tcPr>
          <w:p w14:paraId="16AE5386" w14:textId="072EF0E1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Treść przepisu </w:t>
            </w:r>
          </w:p>
        </w:tc>
        <w:tc>
          <w:tcPr>
            <w:tcW w:w="1917" w:type="pct"/>
          </w:tcPr>
          <w:p w14:paraId="38C708DB" w14:textId="77615B7C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Uzasadnienie wprowadzenia</w:t>
            </w:r>
          </w:p>
        </w:tc>
      </w:tr>
      <w:tr w:rsidR="00E22852" w:rsidRPr="005C7689" w14:paraId="67E1E0AA" w14:textId="77777777" w:rsidTr="00EC7E1E">
        <w:tc>
          <w:tcPr>
            <w:tcW w:w="372" w:type="pct"/>
          </w:tcPr>
          <w:p w14:paraId="1663BE84" w14:textId="523614F4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2" w:type="pct"/>
          </w:tcPr>
          <w:p w14:paraId="10D367EE" w14:textId="548AC2BB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3</w:t>
            </w:r>
          </w:p>
        </w:tc>
        <w:tc>
          <w:tcPr>
            <w:tcW w:w="2339" w:type="pct"/>
          </w:tcPr>
          <w:p w14:paraId="618E64FC" w14:textId="69F9F284" w:rsidR="00567F4E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3. 1. </w:t>
            </w:r>
            <w:r w:rsidR="00567F4E" w:rsidRPr="00567F4E">
              <w:rPr>
                <w:rFonts w:ascii="Times New Roman" w:hAnsi="Times New Roman" w:cs="Times New Roman"/>
                <w:bCs/>
                <w:sz w:val="24"/>
                <w:szCs w:val="24"/>
              </w:rPr>
              <w:t>Komendant Główny Policji</w:t>
            </w:r>
            <w:r w:rsidR="00F13B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realizuje zadania</w:t>
            </w:r>
            <w:r w:rsidR="00567F4E" w:rsidRPr="00567F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13BF9" w:rsidRPr="00567F4E">
              <w:rPr>
                <w:rFonts w:ascii="Times New Roman" w:hAnsi="Times New Roman" w:cs="Times New Roman"/>
                <w:bCs/>
                <w:sz w:val="24"/>
                <w:szCs w:val="24"/>
              </w:rPr>
              <w:t>Centralnego Organu Techn</w:t>
            </w:r>
            <w:r w:rsidR="00F13BF9">
              <w:rPr>
                <w:rFonts w:ascii="Times New Roman" w:hAnsi="Times New Roman" w:cs="Times New Roman"/>
                <w:bCs/>
                <w:sz w:val="24"/>
                <w:szCs w:val="24"/>
              </w:rPr>
              <w:t>icznego Eurodac, zwanego dalej „</w:t>
            </w:r>
            <w:r w:rsidR="00F13BF9" w:rsidRPr="00567F4E">
              <w:rPr>
                <w:rFonts w:ascii="Times New Roman" w:hAnsi="Times New Roman" w:cs="Times New Roman"/>
                <w:bCs/>
                <w:sz w:val="24"/>
                <w:szCs w:val="24"/>
              </w:rPr>
              <w:t>COT Eurodac</w:t>
            </w:r>
            <w:r w:rsidR="00F13BF9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  <w:r w:rsidR="00F13B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</w:t>
            </w:r>
            <w:r w:rsidR="00567F4E" w:rsidRPr="00567F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wyznacza </w:t>
            </w:r>
            <w:r w:rsidR="00F13B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 tym celu </w:t>
            </w:r>
            <w:r w:rsidR="00567F4E" w:rsidRPr="00567F4E">
              <w:rPr>
                <w:rFonts w:ascii="Times New Roman" w:hAnsi="Times New Roman" w:cs="Times New Roman"/>
                <w:bCs/>
                <w:sz w:val="24"/>
                <w:szCs w:val="24"/>
              </w:rPr>
              <w:t>komórkę organizacyjną Komendy Głównej Policji</w:t>
            </w:r>
            <w:r w:rsidR="00AD39F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bookmarkStart w:id="1" w:name="_GoBack"/>
            <w:bookmarkEnd w:id="1"/>
          </w:p>
          <w:p w14:paraId="7751F2F9" w14:textId="2DA78F11" w:rsidR="00E22852" w:rsidRPr="005C7689" w:rsidRDefault="00567F4E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E22852"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Komendant Główny Policji zapewnia obsługę krajowego punktu dostępu przy pomocy NAP Eurodac oraz „COT Eurodac”.</w:t>
            </w:r>
          </w:p>
          <w:p w14:paraId="1DE33112" w14:textId="10284A2F" w:rsidR="00E22852" w:rsidRPr="005C7689" w:rsidRDefault="00567F4E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="00E22852"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Komendant Główny Policji jest administratorem informacji, 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E22852"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w tym danych osobowych, przetwarzanych poprzez krajowy punkt dostępu.</w:t>
            </w:r>
          </w:p>
          <w:p w14:paraId="50D6E326" w14:textId="74B299BB" w:rsidR="00E82F12" w:rsidRDefault="00567F4E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E22852"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79279D">
              <w:rPr>
                <w:rFonts w:ascii="Times New Roman" w:hAnsi="Times New Roman" w:cs="Times New Roman"/>
                <w:bCs/>
                <w:sz w:val="24"/>
                <w:szCs w:val="24"/>
              </w:rPr>
              <w:t>Organ, o którym mowa w art. 9–15, jest administratorem w odniesieniu do informacji, w tym danych osobowych, które pobrał, w szczególności umożliwia osobie, której dane dotyczą, realizację prawa do dostępu do danych osobowych, do ich sprostowania, uzupełnienia lub usunięcia, lub ograniczenia ich przetwarzania, zgodnie z art. 26 ust. 1.</w:t>
            </w:r>
          </w:p>
          <w:p w14:paraId="2FDE47B2" w14:textId="02C07EAB" w:rsidR="00E22852" w:rsidRPr="005C7689" w:rsidRDefault="00567F4E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22852"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Do zadań NAP Eurodac należy:</w:t>
            </w:r>
          </w:p>
          <w:p w14:paraId="7D714E6D" w14:textId="3C5C9196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przetwarzanie danych na potrzeby systemu Eurodac, 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a w szczególności przesyłanie danych zgodnie z art. 37 oraz art. 38 ust. 1 rozporządzenia 2024/1358 oraz weryfikowanie otrzymanych wyników porównań danych biometrycznych zgodnie z art. 38 ust. 4 i 5 rozporządzenia 2024/1358;</w:t>
            </w:r>
          </w:p>
          <w:p w14:paraId="7EDAB8D5" w14:textId="07341C1C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2) przekazywanie organom, o których mowa w art. 5 ust. 1, danych uzyskanych z systemu Eurodac za pośrednictwem systemów teleinformatycznych;</w:t>
            </w:r>
          </w:p>
          <w:p w14:paraId="27F1D2B8" w14:textId="765E64AA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3) wykonywanie porównań danych biometrycznych z danymi Eurodac na potrzeby ochrony porządku publicznego, zgodnie z art. 33 ust. 3 rozporządzenia 2024/1358; </w:t>
            </w:r>
          </w:p>
          <w:p w14:paraId="032DA2C2" w14:textId="1E787EB1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przekazywanie wyników porównania danych biometrycznych 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 danymi Eurodac jednostkom operacyjnym, o których mowa 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w art. 5 ust. 4, za pośrednictwem organów weryfikujących, o których mowa w art. 5 ust. 5;</w:t>
            </w:r>
          </w:p>
          <w:p w14:paraId="08C98BA7" w14:textId="2B9CBE19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5) obsługa krajowego zbioru danych biometrycznych.</w:t>
            </w:r>
          </w:p>
          <w:p w14:paraId="36FF285D" w14:textId="2DC8109B" w:rsidR="00E22852" w:rsidRPr="005C7689" w:rsidRDefault="00567F4E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22852"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. Do zadań COT Eurodac należy:</w:t>
            </w:r>
          </w:p>
          <w:p w14:paraId="75BC4613" w14:textId="1E527E97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1) zapewnienie technicznego funkcjonowania i utrzymania krajowego punktu dostępu;</w:t>
            </w:r>
          </w:p>
          <w:p w14:paraId="52D930B3" w14:textId="70BB77CF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2) zapewnienie sprawnego działania i bezpieczeństwa krajowego punktu dostępu;</w:t>
            </w:r>
          </w:p>
          <w:p w14:paraId="712E2F25" w14:textId="310CF8E6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3) współpraca z organami, o których mowa w art. 4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ust. 1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, w zakresie zapewnienia łączności z krajowym punktem dostępu,;</w:t>
            </w:r>
          </w:p>
          <w:p w14:paraId="1946DC92" w14:textId="5E081539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4) współpraca z agencją eu-LISA w zakresie wskazanym w art. 4 ust. 1 rozporządzenia 2024/1358.</w:t>
            </w:r>
          </w:p>
        </w:tc>
        <w:tc>
          <w:tcPr>
            <w:tcW w:w="1917" w:type="pct"/>
          </w:tcPr>
          <w:p w14:paraId="4E888EFA" w14:textId="67FC0F20" w:rsidR="00E22852" w:rsidRPr="005C7689" w:rsidRDefault="00C656C5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Przepis o charakterze organizacyjnym, </w:t>
            </w:r>
            <w:r w:rsidR="00567F4E">
              <w:rPr>
                <w:rFonts w:ascii="Times New Roman" w:hAnsi="Times New Roman" w:cs="Times New Roman"/>
                <w:sz w:val="24"/>
                <w:szCs w:val="24"/>
              </w:rPr>
              <w:t xml:space="preserve">dotyczącym wyznaczenia komórki organizacyjnej realizującej zadania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Centralnego Organu Technicznego Eurodac</w:t>
            </w:r>
            <w:r w:rsidR="00567F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F4E">
              <w:rPr>
                <w:rFonts w:ascii="Times New Roman" w:hAnsi="Times New Roman" w:cs="Times New Roman"/>
                <w:sz w:val="24"/>
                <w:szCs w:val="24"/>
              </w:rPr>
              <w:t xml:space="preserve">a także wskazujący właściwość w zakresie obsługi krajowego punktu dostępu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oraz </w:t>
            </w:r>
            <w:r w:rsidRPr="00C656C5">
              <w:rPr>
                <w:rFonts w:ascii="Times New Roman" w:hAnsi="Times New Roman" w:cs="Times New Roman"/>
                <w:sz w:val="24"/>
                <w:szCs w:val="24"/>
              </w:rPr>
              <w:t>komórk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656C5">
              <w:rPr>
                <w:rFonts w:ascii="Times New Roman" w:hAnsi="Times New Roman" w:cs="Times New Roman"/>
                <w:sz w:val="24"/>
                <w:szCs w:val="24"/>
              </w:rPr>
              <w:t xml:space="preserve"> organizacyj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nej</w:t>
            </w:r>
            <w:r w:rsidRPr="00C656C5">
              <w:rPr>
                <w:rFonts w:ascii="Times New Roman" w:hAnsi="Times New Roman" w:cs="Times New Roman"/>
                <w:sz w:val="24"/>
                <w:szCs w:val="24"/>
              </w:rPr>
              <w:t xml:space="preserve"> znajdując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ej</w:t>
            </w:r>
            <w:r w:rsidRPr="00C656C5">
              <w:rPr>
                <w:rFonts w:ascii="Times New Roman" w:hAnsi="Times New Roman" w:cs="Times New Roman"/>
                <w:sz w:val="24"/>
                <w:szCs w:val="24"/>
              </w:rPr>
              <w:t xml:space="preserve"> się w strukturze Centralnego Laboratorium Kryminalistycznego Policji, zajmując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ej</w:t>
            </w:r>
            <w:r w:rsidRPr="00C656C5">
              <w:rPr>
                <w:rFonts w:ascii="Times New Roman" w:hAnsi="Times New Roman" w:cs="Times New Roman"/>
                <w:sz w:val="24"/>
                <w:szCs w:val="24"/>
              </w:rPr>
              <w:t xml:space="preserve"> się w szczególności obsługą krajowego punktu dostępu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pełniącej funkcję NAP Eurodac.</w:t>
            </w:r>
            <w:r w:rsidR="00EC7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E1E" w:rsidRPr="00EC7E1E">
              <w:rPr>
                <w:rFonts w:ascii="Times New Roman" w:hAnsi="Times New Roman" w:cs="Times New Roman"/>
                <w:sz w:val="24"/>
                <w:szCs w:val="24"/>
              </w:rPr>
              <w:t>Wskazano również, że administratorem danych osobowych przetwarzanych poprzez system Eurodac jest Komendant Główny Policji.</w:t>
            </w:r>
          </w:p>
        </w:tc>
      </w:tr>
      <w:tr w:rsidR="00E22852" w:rsidRPr="005C7689" w14:paraId="45626D12" w14:textId="77777777" w:rsidTr="00EC7E1E">
        <w:tc>
          <w:tcPr>
            <w:tcW w:w="372" w:type="pct"/>
          </w:tcPr>
          <w:p w14:paraId="7C80B586" w14:textId="34052609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2" w:type="pct"/>
          </w:tcPr>
          <w:p w14:paraId="70C0BFC7" w14:textId="4FA78873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4 ust. 1</w:t>
            </w:r>
          </w:p>
        </w:tc>
        <w:tc>
          <w:tcPr>
            <w:tcW w:w="2339" w:type="pct"/>
          </w:tcPr>
          <w:p w14:paraId="5FAF6568" w14:textId="77777777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Art. 4. 1. Uprawnienie do bezpośredniego dostępu do danych zapisanych w systemie Eurodac w celu dokonywania wpisów przysługuje:</w:t>
            </w:r>
          </w:p>
          <w:p w14:paraId="66D23825" w14:textId="762EF197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1) Policji;</w:t>
            </w:r>
          </w:p>
          <w:p w14:paraId="29C0DCD4" w14:textId="0252CB57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2) Straży Granicznej;</w:t>
            </w:r>
          </w:p>
          <w:p w14:paraId="66E46E61" w14:textId="2B16544C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3) Szefowi Urzędu do Spraw Cudzoziemców;</w:t>
            </w:r>
          </w:p>
          <w:p w14:paraId="2D8A16ED" w14:textId="002B9A3F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4) Radzie do Spraw Uchodźców.</w:t>
            </w:r>
          </w:p>
        </w:tc>
        <w:tc>
          <w:tcPr>
            <w:tcW w:w="1917" w:type="pct"/>
          </w:tcPr>
          <w:p w14:paraId="259E4FA6" w14:textId="1D9A0A48" w:rsidR="00E22852" w:rsidRPr="005C7689" w:rsidRDefault="00C656C5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Projektowany przepis stanowi odzwierciedlenie rozwiązań o charakterze merytorycznym przewidzianych w art. 9-15, art. 20 i art. 21 projektowanej ustawy. Przepisy te określają właściwość poszczególnych organów do dostępu do systemu Eurodac. </w:t>
            </w:r>
          </w:p>
        </w:tc>
      </w:tr>
      <w:tr w:rsidR="00E22852" w:rsidRPr="005C7689" w14:paraId="76B8E391" w14:textId="77777777" w:rsidTr="00EC7E1E">
        <w:tc>
          <w:tcPr>
            <w:tcW w:w="372" w:type="pct"/>
          </w:tcPr>
          <w:p w14:paraId="47AA6C9B" w14:textId="302C8D74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2" w:type="pct"/>
          </w:tcPr>
          <w:p w14:paraId="70154CEC" w14:textId="187661FE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7</w:t>
            </w:r>
          </w:p>
        </w:tc>
        <w:tc>
          <w:tcPr>
            <w:tcW w:w="2339" w:type="pct"/>
          </w:tcPr>
          <w:p w14:paraId="5F7AE3D6" w14:textId="0FA121CC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7. Minister właściwy do spraw wewnętrznych określi, 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w drodze rozporządzenia:</w:t>
            </w:r>
          </w:p>
          <w:p w14:paraId="08836056" w14:textId="621364D3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1) tryb porównywania i przesyłania danych do systemu Eurodac na potrzeby ochrony porządku publicznego,</w:t>
            </w:r>
          </w:p>
          <w:p w14:paraId="331383AE" w14:textId="04D3D08A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2) wzory:</w:t>
            </w:r>
          </w:p>
          <w:p w14:paraId="0EAF8C25" w14:textId="47578A86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a) wniosku o porównanie danych z danymi Eurodac,</w:t>
            </w:r>
          </w:p>
          <w:p w14:paraId="7FA02A6C" w14:textId="7245444A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wniosku o udostępnienie danych Eurodac po uprzednim dokonaniu sprawdzenia we wspólnym repozytorium danych 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umożliwiających identyfikację na podstawie art. 33 ust. 2 rozporządzenia 2024/1358,</w:t>
            </w:r>
          </w:p>
          <w:p w14:paraId="3E888046" w14:textId="1CF9465E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c) formularza wyniku porównania danych z danymi Eurodac</w:t>
            </w:r>
          </w:p>
          <w:p w14:paraId="7C34F909" w14:textId="490FC555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uwzględniając potrzebę sprawnego udzielania informacji 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o wyniku porównania danych z danymi Eurodac.</w:t>
            </w:r>
          </w:p>
        </w:tc>
        <w:tc>
          <w:tcPr>
            <w:tcW w:w="1917" w:type="pct"/>
          </w:tcPr>
          <w:p w14:paraId="1742BF7D" w14:textId="5714C08A" w:rsidR="00E22852" w:rsidRPr="005C7689" w:rsidRDefault="00EC7E1E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Przepis upoważniający służący uszczegółowieniu rozwiązań w zakresie dostępu do Eurodac na potrzeby ochrony porządku publicznego.</w:t>
            </w:r>
          </w:p>
        </w:tc>
      </w:tr>
      <w:tr w:rsidR="00E22852" w:rsidRPr="005C7689" w14:paraId="6CDB05CD" w14:textId="77777777" w:rsidTr="00EC7E1E">
        <w:tc>
          <w:tcPr>
            <w:tcW w:w="372" w:type="pct"/>
          </w:tcPr>
          <w:p w14:paraId="1AF371D0" w14:textId="5D45807D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2" w:type="pct"/>
          </w:tcPr>
          <w:p w14:paraId="0861F722" w14:textId="5F9B773A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17 ust. 1 i 3</w:t>
            </w:r>
          </w:p>
        </w:tc>
        <w:tc>
          <w:tcPr>
            <w:tcW w:w="2339" w:type="pct"/>
          </w:tcPr>
          <w:p w14:paraId="3D949B03" w14:textId="77777777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Art. 17. 1. Zestawy danych, o których mowa w art. 9–15, przesyła się do NAP Eurodac drogą elektroniczną niezwłocznie, jednak nie później niż w terminie 48 godzin od pobrania danych biometrycznych, o których mowa w tych przepisach.</w:t>
            </w:r>
          </w:p>
          <w:p w14:paraId="31527A2A" w14:textId="4ABE5442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3. Minister właściwy do spraw wewnętrznych określi</w:t>
            </w:r>
            <w:r w:rsidR="00A862C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 drodze rozporządzenia</w:t>
            </w:r>
            <w:r w:rsidR="00A862C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sposób nadawania i strukturę numeru identyfikacyjnego oraz numeru referencyjnego, uwzględniając konieczność zapewnienia jednoznacznego przyporządkowania danych do określonej osoby oraz wymogi w zakresie nadawania numeru referencyjnego określone w art. 37 ust. 3 i 4 rozporządzenia 2024/1358.</w:t>
            </w:r>
          </w:p>
        </w:tc>
        <w:tc>
          <w:tcPr>
            <w:tcW w:w="1917" w:type="pct"/>
          </w:tcPr>
          <w:p w14:paraId="53DADDA9" w14:textId="339A4C40" w:rsidR="00D75532" w:rsidRDefault="00D7553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W art. 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ust. 1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 xml:space="preserve">projektu określono termin przesyłania do NAP Eurodac zestawów danych, o których mowa w art. 9-15. Powinny być one przesyłane niezwłocznie, jednak nie później niż w terminie 48 godzin od pobrania danych biometrycznych,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o których mowa w tych przepisach.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Wskazany termin ma na celu umożliwienie zachowania 72-godzinnego terminu wprowadzenia danych do systemu Eurodac wynikającego z przepisów rozporządzenia 2024/1358.</w:t>
            </w:r>
          </w:p>
          <w:p w14:paraId="44257A8B" w14:textId="3DF1114E" w:rsidR="00E22852" w:rsidRPr="005C7689" w:rsidRDefault="00D7553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Art. 17 ust. 3 zawiera przepis upoważniający </w:t>
            </w:r>
            <w:r w:rsidRPr="00D75532">
              <w:rPr>
                <w:rFonts w:ascii="Times New Roman" w:hAnsi="Times New Roman" w:cs="Times New Roman"/>
                <w:sz w:val="24"/>
                <w:szCs w:val="24"/>
              </w:rPr>
              <w:t>do wydania rozporządzenia określającego sposób nadawania i strukturę numeru identyfikacyjnego oraz numeru referencyjnego, przy uwzględnieniu konieczności zapewnienia jednoznacznego przyporządkowania danych do określonej osoby oraz wymogów w zakresie nadawania numeru referencyjnego określonych w art. 37 ust. 3 i 4 rozporządzenia 2024/1358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2852" w:rsidRPr="005C7689" w14:paraId="6E749C75" w14:textId="77777777" w:rsidTr="00EC7E1E">
        <w:tc>
          <w:tcPr>
            <w:tcW w:w="372" w:type="pct"/>
          </w:tcPr>
          <w:p w14:paraId="4935E5CE" w14:textId="2E080518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2" w:type="pct"/>
          </w:tcPr>
          <w:p w14:paraId="33BDE0FC" w14:textId="2CB4029E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19</w:t>
            </w:r>
          </w:p>
        </w:tc>
        <w:tc>
          <w:tcPr>
            <w:tcW w:w="2339" w:type="pct"/>
          </w:tcPr>
          <w:p w14:paraId="09E58422" w14:textId="77777777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Art. 19. 1. Organy, o których mowa w art. 9–15, aktualizują zestawy danych o osobach, o których mowa w art. 15 ust. 1, art. 22 ust. 1, art. 23 ust. 1 oraz art. 24 ust. 1 rozporządzenia 2024/1358 lub wskazują odpowiedzialne państwo członkowskie, przy użyciu WUI.</w:t>
            </w:r>
          </w:p>
          <w:p w14:paraId="450AC645" w14:textId="1F32B904" w:rsidR="00E22852" w:rsidRPr="005C7689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Komendant Główny Policji zapewnia 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>organom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, o których mowa</w:t>
            </w:r>
            <w:r w:rsidR="007927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>w art. 9</w:t>
            </w:r>
            <w:r w:rsidR="0079279D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, dostęp do WUI.</w:t>
            </w:r>
          </w:p>
          <w:p w14:paraId="6F56D6BE" w14:textId="77777777" w:rsidR="00E22852" w:rsidRDefault="00E2285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 Centralne Laboratorium Kryminalistyczne Policji zarządza dostępem użytkowników do WUI, w tym nadaje i cofa uprawnienia dostępu do WUI oraz prowadzi ewidencję uprawnień tych użytkowników.</w:t>
            </w:r>
          </w:p>
          <w:p w14:paraId="166CF286" w14:textId="7A025EFB" w:rsidR="00330D35" w:rsidRPr="005C7689" w:rsidRDefault="00330D35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D35">
              <w:rPr>
                <w:rFonts w:ascii="Times New Roman" w:hAnsi="Times New Roman" w:cs="Times New Roman"/>
                <w:bCs/>
                <w:sz w:val="24"/>
                <w:szCs w:val="24"/>
              </w:rPr>
              <w:t>4. Minister właściwy do spraw wewnętrznych określi</w:t>
            </w:r>
            <w:r w:rsidR="000650D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330D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 drodze rozporządzenia, tryb dostępu organów, o których mowa w art. 9–15, do WUI, a także wzór upoważnienia do dostępu do WUI, mając na względzie zapewnienie bezpieczeństwa danych oraz prawidłową realizację przez Rzeczpospolitą Polską obowiązków wynikających z udziału w Eurodac.</w:t>
            </w:r>
          </w:p>
        </w:tc>
        <w:tc>
          <w:tcPr>
            <w:tcW w:w="1917" w:type="pct"/>
          </w:tcPr>
          <w:p w14:paraId="6CA0C363" w14:textId="416C157B" w:rsidR="00E22852" w:rsidRPr="005C7689" w:rsidRDefault="00D75532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Przepis o charakterze technicznym, wskazujący </w:t>
            </w:r>
            <w:r>
              <w:rPr>
                <w:rFonts w:ascii="Times New Roman" w:hAnsi="Times New Roman" w:cs="Times New Roman"/>
                <w:sz w:val="24"/>
              </w:rPr>
              <w:t xml:space="preserve">sposób aktualizacji zestawów danych </w:t>
            </w:r>
            <w:r w:rsidRPr="00050D8A">
              <w:rPr>
                <w:rFonts w:ascii="Times New Roman" w:hAnsi="Times New Roman" w:cs="Times New Roman"/>
                <w:sz w:val="24"/>
              </w:rPr>
              <w:t xml:space="preserve">o osobach, </w:t>
            </w:r>
            <w:r w:rsidR="00B426C9">
              <w:rPr>
                <w:rFonts w:ascii="Times New Roman" w:hAnsi="Times New Roman" w:cs="Times New Roman"/>
                <w:sz w:val="24"/>
              </w:rPr>
              <w:br/>
            </w:r>
            <w:r w:rsidRPr="00050D8A">
              <w:rPr>
                <w:rFonts w:ascii="Times New Roman" w:hAnsi="Times New Roman" w:cs="Times New Roman"/>
                <w:sz w:val="24"/>
              </w:rPr>
              <w:t>o których mowa w art. 15 ust. 1, art. 22 ust. 1, art. 23 ust. 1 oraz art. 24 ust. 1 rozporządzenia 2024/1358 lub wskaz</w:t>
            </w:r>
            <w:r>
              <w:rPr>
                <w:rFonts w:ascii="Times New Roman" w:hAnsi="Times New Roman" w:cs="Times New Roman"/>
                <w:sz w:val="24"/>
              </w:rPr>
              <w:t>ywania</w:t>
            </w:r>
            <w:r w:rsidRPr="00050D8A">
              <w:rPr>
                <w:rFonts w:ascii="Times New Roman" w:hAnsi="Times New Roman" w:cs="Times New Roman"/>
                <w:sz w:val="24"/>
              </w:rPr>
              <w:t xml:space="preserve"> odpowiedzialne</w:t>
            </w:r>
            <w:r>
              <w:rPr>
                <w:rFonts w:ascii="Times New Roman" w:hAnsi="Times New Roman" w:cs="Times New Roman"/>
                <w:sz w:val="24"/>
              </w:rPr>
              <w:t>go</w:t>
            </w:r>
            <w:r w:rsidRPr="00050D8A">
              <w:rPr>
                <w:rFonts w:ascii="Times New Roman" w:hAnsi="Times New Roman" w:cs="Times New Roman"/>
                <w:sz w:val="24"/>
              </w:rPr>
              <w:t xml:space="preserve"> państw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050D8A">
              <w:rPr>
                <w:rFonts w:ascii="Times New Roman" w:hAnsi="Times New Roman" w:cs="Times New Roman"/>
                <w:sz w:val="24"/>
              </w:rPr>
              <w:t xml:space="preserve"> członkowskie</w:t>
            </w:r>
            <w:r>
              <w:rPr>
                <w:rFonts w:ascii="Times New Roman" w:hAnsi="Times New Roman" w:cs="Times New Roman"/>
                <w:sz w:val="24"/>
              </w:rPr>
              <w:t xml:space="preserve">go. Będzie to następowało przy użyciu WUI, czyli </w:t>
            </w:r>
            <w:r w:rsidRPr="00050D8A">
              <w:rPr>
                <w:rFonts w:ascii="Times New Roman" w:hAnsi="Times New Roman" w:cs="Times New Roman"/>
                <w:sz w:val="24"/>
              </w:rPr>
              <w:t>interfejs</w:t>
            </w:r>
            <w:r>
              <w:rPr>
                <w:rFonts w:ascii="Times New Roman" w:hAnsi="Times New Roman" w:cs="Times New Roman"/>
                <w:sz w:val="24"/>
              </w:rPr>
              <w:t>u</w:t>
            </w:r>
            <w:r w:rsidRPr="00050D8A">
              <w:rPr>
                <w:rFonts w:ascii="Times New Roman" w:hAnsi="Times New Roman" w:cs="Times New Roman"/>
                <w:sz w:val="24"/>
              </w:rPr>
              <w:t xml:space="preserve"> użytkownika opart</w:t>
            </w:r>
            <w:r>
              <w:rPr>
                <w:rFonts w:ascii="Times New Roman" w:hAnsi="Times New Roman" w:cs="Times New Roman"/>
                <w:sz w:val="24"/>
              </w:rPr>
              <w:t>ego</w:t>
            </w:r>
            <w:r w:rsidRPr="00050D8A">
              <w:rPr>
                <w:rFonts w:ascii="Times New Roman" w:hAnsi="Times New Roman" w:cs="Times New Roman"/>
                <w:sz w:val="24"/>
              </w:rPr>
              <w:t xml:space="preserve"> na technologii internetowej, umożliwiając</w:t>
            </w:r>
            <w:r>
              <w:rPr>
                <w:rFonts w:ascii="Times New Roman" w:hAnsi="Times New Roman" w:cs="Times New Roman"/>
                <w:sz w:val="24"/>
              </w:rPr>
              <w:t>ego</w:t>
            </w:r>
            <w:r w:rsidRPr="00050D8A">
              <w:rPr>
                <w:rFonts w:ascii="Times New Roman" w:hAnsi="Times New Roman" w:cs="Times New Roman"/>
                <w:sz w:val="24"/>
              </w:rPr>
              <w:t xml:space="preserve"> dostęp do </w:t>
            </w:r>
            <w:r w:rsidRPr="00050D8A">
              <w:rPr>
                <w:rFonts w:ascii="Times New Roman" w:hAnsi="Times New Roman" w:cs="Times New Roman"/>
                <w:sz w:val="24"/>
              </w:rPr>
              <w:lastRenderedPageBreak/>
              <w:t>funkcjonalności Eurodac za pośrednictwem przeglądarki internetowej</w:t>
            </w:r>
            <w:r>
              <w:rPr>
                <w:rFonts w:ascii="Times New Roman" w:hAnsi="Times New Roman" w:cs="Times New Roman"/>
                <w:sz w:val="24"/>
              </w:rPr>
              <w:t xml:space="preserve">. Dostęp do WUI dla organów, o których mowa w art. 9-15, będzie zapewniany przez Komendanta Głównego Policji. Natomiast </w:t>
            </w:r>
            <w:r w:rsidRPr="00DF78E9">
              <w:rPr>
                <w:rFonts w:ascii="Times New Roman" w:hAnsi="Times New Roman" w:cs="Times New Roman"/>
                <w:sz w:val="24"/>
              </w:rPr>
              <w:t>Centralne Laboratorium Kryminalistyczne Policji</w:t>
            </w:r>
            <w:r>
              <w:rPr>
                <w:rFonts w:ascii="Times New Roman" w:hAnsi="Times New Roman" w:cs="Times New Roman"/>
                <w:sz w:val="24"/>
              </w:rPr>
              <w:t xml:space="preserve"> będzie</w:t>
            </w:r>
            <w:r w:rsidRPr="00DF78E9">
              <w:rPr>
                <w:rFonts w:ascii="Times New Roman" w:hAnsi="Times New Roman" w:cs="Times New Roman"/>
                <w:sz w:val="24"/>
              </w:rPr>
              <w:t xml:space="preserve"> zarządza</w:t>
            </w:r>
            <w:r>
              <w:rPr>
                <w:rFonts w:ascii="Times New Roman" w:hAnsi="Times New Roman" w:cs="Times New Roman"/>
                <w:sz w:val="24"/>
              </w:rPr>
              <w:t>ło</w:t>
            </w:r>
            <w:r w:rsidRPr="00DF78E9">
              <w:rPr>
                <w:rFonts w:ascii="Times New Roman" w:hAnsi="Times New Roman" w:cs="Times New Roman"/>
                <w:sz w:val="24"/>
              </w:rPr>
              <w:t xml:space="preserve"> dostępem użytkowników do WUI, w tym nada</w:t>
            </w:r>
            <w:r>
              <w:rPr>
                <w:rFonts w:ascii="Times New Roman" w:hAnsi="Times New Roman" w:cs="Times New Roman"/>
                <w:sz w:val="24"/>
              </w:rPr>
              <w:t>wało</w:t>
            </w:r>
            <w:r w:rsidRPr="00DF78E9">
              <w:rPr>
                <w:rFonts w:ascii="Times New Roman" w:hAnsi="Times New Roman" w:cs="Times New Roman"/>
                <w:sz w:val="24"/>
              </w:rPr>
              <w:t xml:space="preserve"> i cofa</w:t>
            </w:r>
            <w:r>
              <w:rPr>
                <w:rFonts w:ascii="Times New Roman" w:hAnsi="Times New Roman" w:cs="Times New Roman"/>
                <w:sz w:val="24"/>
              </w:rPr>
              <w:t>ło</w:t>
            </w:r>
            <w:r w:rsidRPr="00DF78E9">
              <w:rPr>
                <w:rFonts w:ascii="Times New Roman" w:hAnsi="Times New Roman" w:cs="Times New Roman"/>
                <w:sz w:val="24"/>
              </w:rPr>
              <w:t xml:space="preserve"> uprawnienia dostępu do WUI oraz prowadzi</w:t>
            </w:r>
            <w:r>
              <w:rPr>
                <w:rFonts w:ascii="Times New Roman" w:hAnsi="Times New Roman" w:cs="Times New Roman"/>
                <w:sz w:val="24"/>
              </w:rPr>
              <w:t>ło</w:t>
            </w:r>
            <w:r w:rsidRPr="00DF78E9">
              <w:rPr>
                <w:rFonts w:ascii="Times New Roman" w:hAnsi="Times New Roman" w:cs="Times New Roman"/>
                <w:sz w:val="24"/>
              </w:rPr>
              <w:t xml:space="preserve"> ewidencję uprawnień tych użytkowników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5C7689" w:rsidRPr="005C7689" w14:paraId="53F366D8" w14:textId="77777777" w:rsidTr="00EC7E1E">
        <w:tc>
          <w:tcPr>
            <w:tcW w:w="372" w:type="pct"/>
          </w:tcPr>
          <w:p w14:paraId="5D57A623" w14:textId="0D710163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72" w:type="pct"/>
          </w:tcPr>
          <w:p w14:paraId="068D7C23" w14:textId="21E8203A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28 ust. 2, 6 i 7</w:t>
            </w:r>
          </w:p>
        </w:tc>
        <w:tc>
          <w:tcPr>
            <w:tcW w:w="2339" w:type="pct"/>
          </w:tcPr>
          <w:p w14:paraId="3AF3932D" w14:textId="2ACAC3F5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>Organy mające dostęp do danych zapisanych w systemie Eurodac, o których mowa w art. 4 ust. 1, stosują procedury kontrolne określające czynności podejmowane w tych organach w celu zapewnienia zgodności przetwarzania danych z rozporządzeniem 2024/1358 oraz przepisami o ochronie danych osobowych.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976E548" w14:textId="3FCC4BD2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6. Organy mające dostęp do danych zapisanych w systemie Eurodac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o których mowa w art. 4 ust. 1, 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prowadzą szkolenia osób upoważnionych do dostępu do danych zapisanych w systemie Eurodac oraz do wprowadzania, aktualizacji, usuwania i wyszukiwania tych danych w zakresie użytkowania, bezpieczeństwa i jakości danych, praw podstawowych oraz procedur regulujących przetwarzanie danych w systemie Eurodac.</w:t>
            </w:r>
          </w:p>
          <w:p w14:paraId="7CE00202" w14:textId="7DA9CBC2" w:rsidR="005C7689" w:rsidRPr="005C7689" w:rsidRDefault="005C7689" w:rsidP="00E82F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7. COT Eurodac oraz NAP Eurodac udzielają organom mającym dostęp do danych zapisanych w systemie Eurodac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o których mowa w art. 4 ust. 1, </w:t>
            </w:r>
            <w:r w:rsidR="00567F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wsparcia w przygotowaniu 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materiałów szkoleniowych.</w:t>
            </w:r>
          </w:p>
        </w:tc>
        <w:tc>
          <w:tcPr>
            <w:tcW w:w="1917" w:type="pct"/>
          </w:tcPr>
          <w:p w14:paraId="137A922C" w14:textId="77777777" w:rsidR="005C7689" w:rsidRDefault="00B950AE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Przepis zawierający rozwiązania mające na celu zapewnienie bezpieczeństwa danych przed ich przesłaniem do Eurodac i w trakcie tego przesyłania.</w:t>
            </w:r>
          </w:p>
          <w:p w14:paraId="38BA08E1" w14:textId="56DB8BC2" w:rsidR="00B950AE" w:rsidRPr="005C7689" w:rsidRDefault="00B950AE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Dodatkowo, zgodnie z motywem 49 rozporządzenia 2024/1358, p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 xml:space="preserve">aństwa członkowskie powinny zapewnić przekazywanie danych biometrycznych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 xml:space="preserve">o odpowiedniej jakości, umożliwiającej ich porównywanie za pomocą skomputeryzowanego systemu rozpoznawania odcisków palców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>i rozpoznawania twarzy. Wszystkie organy, które mają prawo dostępu do Eurodac, powinny przeznaczyć środki finansowe na odpowiednie szkolenia oraz na niezbędny sprzęt techniczny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689" w:rsidRPr="005C7689" w14:paraId="2879CB5B" w14:textId="77777777" w:rsidTr="00EC7E1E">
        <w:tc>
          <w:tcPr>
            <w:tcW w:w="372" w:type="pct"/>
          </w:tcPr>
          <w:p w14:paraId="09627E9B" w14:textId="0953FCA1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2" w:type="pct"/>
          </w:tcPr>
          <w:p w14:paraId="229FA9BF" w14:textId="270A393C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32 ust. 4</w:t>
            </w:r>
          </w:p>
        </w:tc>
        <w:tc>
          <w:tcPr>
            <w:tcW w:w="2339" w:type="pct"/>
          </w:tcPr>
          <w:p w14:paraId="623FC905" w14:textId="58B513F6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4. Organy mające dostęp do danych zapisanych w systemie Eurodac, o których mowa w art. 4, przekazują Komendantowi Głównemu Policji informacje, o których mowa w ust. 1–3, w zakresie korzystania przez nie z systemu Eurodac.</w:t>
            </w:r>
          </w:p>
        </w:tc>
        <w:tc>
          <w:tcPr>
            <w:tcW w:w="1917" w:type="pct"/>
          </w:tcPr>
          <w:p w14:paraId="440FAD57" w14:textId="06B3EF60" w:rsidR="005C7689" w:rsidRPr="005C7689" w:rsidRDefault="00B950AE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Rozwiązanie o charakterze organizacyjnym, mające na celu usprawnienie przesyłania informacji niezbędnych Komendantowi Głównemu Policji do wypełnienia obowiązków sprawozdawczych wynikających z art. 57 rozporządzenia 2024/1358.</w:t>
            </w:r>
          </w:p>
        </w:tc>
      </w:tr>
      <w:tr w:rsidR="005C7689" w:rsidRPr="005C7689" w14:paraId="3A36126E" w14:textId="77777777" w:rsidTr="00EC7E1E">
        <w:tc>
          <w:tcPr>
            <w:tcW w:w="372" w:type="pct"/>
          </w:tcPr>
          <w:p w14:paraId="59456CB7" w14:textId="5ABFC935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72" w:type="pct"/>
          </w:tcPr>
          <w:p w14:paraId="57689E1E" w14:textId="2EB56523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33</w:t>
            </w:r>
          </w:p>
        </w:tc>
        <w:tc>
          <w:tcPr>
            <w:tcW w:w="2339" w:type="pct"/>
          </w:tcPr>
          <w:p w14:paraId="3F5E9F8F" w14:textId="2BD6D6FC" w:rsidR="00E82F12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33. 1. 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>W celu realizacji zadań związanych z udziałem Rzeczypospolitej Polskiej w systemie Eurodac oraz w celu zapewnienia jego prawidłowego funkcjonowania w Polsce, o</w:t>
            </w:r>
            <w:r w:rsidR="00E82F12"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rgany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, o których mowa w</w:t>
            </w:r>
            <w:r w:rsidR="00925E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art. 4 ust. 1 oraz art. 5 ust. 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1, są obowiązane, w zakresie swojej właś</w:t>
            </w:r>
            <w:r w:rsidR="001D5779">
              <w:rPr>
                <w:rFonts w:ascii="Times New Roman" w:hAnsi="Times New Roman" w:cs="Times New Roman"/>
                <w:bCs/>
                <w:sz w:val="24"/>
                <w:szCs w:val="24"/>
              </w:rPr>
              <w:t>ciwości, do współpracy z 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Komendantem Głównym Policji w tym do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40B3D906" w14:textId="6C025A2F" w:rsidR="00E82F12" w:rsidRPr="004A1A9C" w:rsidRDefault="005C7689" w:rsidP="004A1A9C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A9C">
              <w:rPr>
                <w:rFonts w:ascii="Times New Roman" w:hAnsi="Times New Roman" w:cs="Times New Roman"/>
                <w:bCs/>
                <w:sz w:val="24"/>
                <w:szCs w:val="24"/>
              </w:rPr>
              <w:t>przekazywania dokumentów</w:t>
            </w:r>
            <w:r w:rsidR="00E82F12" w:rsidRPr="004A1A9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BEBBADF" w14:textId="0B781909" w:rsidR="00E82F12" w:rsidRDefault="005C7689" w:rsidP="004A1A9C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udzielania informacji oraz aktualnych i niezbędnych danych do prowadzenia wykazu jednostek operacyjnych oraz w celu przekazywania powiadomień o organach uprawnionych do przetwarzania danych Eurodac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8907B8D" w14:textId="19651D67" w:rsidR="005C7689" w:rsidRPr="004A1A9C" w:rsidRDefault="005C7689" w:rsidP="004A1A9C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1A9C">
              <w:rPr>
                <w:rFonts w:ascii="Times New Roman" w:hAnsi="Times New Roman" w:cs="Times New Roman"/>
                <w:bCs/>
                <w:sz w:val="24"/>
                <w:szCs w:val="24"/>
              </w:rPr>
              <w:t>zgłaszania ujawnionych incydentów bezpieczeństwa i nieprawidłowości w związku z dostępem do krajowego punktu dostępu oraz przetwarzaniem danych poprzez ten punkt.</w:t>
            </w:r>
          </w:p>
          <w:p w14:paraId="29E08653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2. Komendant Główny Policji przedstawia ministrowi właściwemu do spraw wewnętrznych w terminie do dnia 31 marca każdego roku, informacje dotyczące oceny funkcjonowania krajowego punktu dostępu w poprzednim roku kalendarzowym.</w:t>
            </w:r>
          </w:p>
          <w:p w14:paraId="258DD72D" w14:textId="283DBFDC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3. Minister właściwy do spraw wewnętrznych sprawuje nadzór nad funkcjono</w:t>
            </w:r>
            <w:r w:rsidR="00AE15F2">
              <w:rPr>
                <w:rFonts w:ascii="Times New Roman" w:hAnsi="Times New Roman" w:cs="Times New Roman"/>
                <w:bCs/>
                <w:sz w:val="24"/>
                <w:szCs w:val="24"/>
              </w:rPr>
              <w:t>waniem krajowego punktu dostępu.</w:t>
            </w:r>
          </w:p>
          <w:p w14:paraId="4D849597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4. Minister właściwy do spraw wewnętrznych, w celu sprawowania nadzoru, ma prawo do:</w:t>
            </w:r>
          </w:p>
          <w:p w14:paraId="726B9D31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1) dostępu do informacji, o których mowa w art. 48 ust. 2 lit. j 2024/1358;</w:t>
            </w:r>
          </w:p>
          <w:p w14:paraId="257A4AC0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2) sprawdzania, czy krajowy punkt dostępu spełnia wymagania techniczne niezbędne do udziału Rzeczypospolitej Polskiej w systemie Eurodac;</w:t>
            </w:r>
          </w:p>
          <w:p w14:paraId="5F927B98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sprawdzania, czy osoby mające dostęp do krajowego punktu dostępu posiadają ważne upoważnienie do dostępu do krajowego punktu dostępu, przetwarzania danych poprzez krajowy punkt dostępu oraz zaświadczenie o przeszkoleniu w zakresie zasad 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bezpieczeństwa danych oraz ich ochrony, a także w zakresie praw podstawowych;</w:t>
            </w:r>
          </w:p>
          <w:p w14:paraId="119C59E0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4) sprawdzania prawidłowości opisu zadań i funkcji osób mających dostęp do krajowego punktu dostępu;</w:t>
            </w:r>
          </w:p>
          <w:p w14:paraId="3630B02E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5) sprawdzania zapewnienia odpowiedniej ochrony fizycznej krajowego punktu dostępu przez organy mające do niego bezpośredni dostęp, w szczególności poprzez uniemożliwianie dostępu osobom nieuprawnionym do krajowego punktu dostępu.</w:t>
            </w:r>
          </w:p>
          <w:p w14:paraId="04E3AB55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5. Minister właściwy do spraw wewnętrznych sprawując nadzór, o którym mowa w ust. 3, może:</w:t>
            </w:r>
          </w:p>
          <w:p w14:paraId="2D308E75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1) żądać przedłożenia informacji w zakresie niezbędnym do ustalenia stanu faktycznego;</w:t>
            </w:r>
          </w:p>
          <w:p w14:paraId="3AD5E948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2) przeprowadzać, w godzinach urzędowania danego organu, oględziny urządzeń, nośników oraz systemów informatycznych włączonych do krajowego punktu dostępu w ramach danego organu;</w:t>
            </w:r>
          </w:p>
          <w:p w14:paraId="3B6353A3" w14:textId="7ED4CA48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3) zlecać sporządzanie ekspertyz i opinii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 zakresie funkcjonowania krajowego punktu dostępu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386C57B" w14:textId="6C8C5DF1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4) żądać zablokowania bezpośredniego dostępu do krajowego punktu dostępu do czasu usunięcia stwierdzonych nieprawidłowości.</w:t>
            </w:r>
          </w:p>
        </w:tc>
        <w:tc>
          <w:tcPr>
            <w:tcW w:w="1917" w:type="pct"/>
          </w:tcPr>
          <w:p w14:paraId="4452DEB1" w14:textId="3F8D78CE" w:rsidR="005C7689" w:rsidRPr="005C7689" w:rsidRDefault="00B950AE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Przepis o charakterze kompetencyjnym, określający 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 xml:space="preserve">obowiązek współpracy wskazanych organów, uprawnionych do </w:t>
            </w:r>
            <w:r w:rsidR="00925EDF">
              <w:rPr>
                <w:rFonts w:ascii="Times New Roman" w:hAnsi="Times New Roman" w:cs="Times New Roman"/>
                <w:sz w:val="24"/>
                <w:szCs w:val="24"/>
              </w:rPr>
              <w:t>przetwarzania danych Eurodac, z 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>Komendantem Głównym Policji w celu realizacji zadań związanych z udziałem RP w systemie Eurodac, w tym odnośnie przekazywania dokumentów, udzielania informacji oraz przekazywania aktualnych danych niezbędnych do prowadzenia w</w:t>
            </w:r>
            <w:r w:rsidR="00925EDF">
              <w:rPr>
                <w:rFonts w:ascii="Times New Roman" w:hAnsi="Times New Roman" w:cs="Times New Roman"/>
                <w:sz w:val="24"/>
                <w:szCs w:val="24"/>
              </w:rPr>
              <w:t>ykazu jednostek operacyjnych (w 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>ramach wyznaczonych organów) oraz organów uprawnionych do prze</w:t>
            </w:r>
            <w:r w:rsidR="00925EDF">
              <w:rPr>
                <w:rFonts w:ascii="Times New Roman" w:hAnsi="Times New Roman" w:cs="Times New Roman"/>
                <w:sz w:val="24"/>
                <w:szCs w:val="24"/>
              </w:rPr>
              <w:t>twarzania danych Eurodac i 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 xml:space="preserve">mających dostęp do Eurodac, celem dalszego przesyłania informacji w tym zakresie przez Komendanta Głównego Policji, a także zgłaszania przez wskazane organy ujawnionych nieprawidłowości w związku z przetwarzaniem danych Eurodac poprzez krajowy punkt dostępu. Określono także organ sprawujący nadzór nad prawidłowością działania krajowego punktu dostępu oraz zakres uprawnień mu przyznanych w celu wykonywania nadzoru. Organem tym będzie minister właściwy do spraw wewnętrznych. Ponadto celem zapewnienia właściwego przepływu informacji w tym obszarze nałożony został obowiązek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>Komendanta Głównego Policji względem ministra właściwego do spraw wewnętrznych, odnośnie konieczności przedstawiania w terminie do dnia 31 marca każdego roku, informacji dotyczących oceny funkcjonowania krajowego punktu dostępu w poprzednim roku kalendarzowym, w tym technicznego działania krajowego punktu dostępu.</w:t>
            </w:r>
          </w:p>
        </w:tc>
      </w:tr>
      <w:tr w:rsidR="005C7689" w:rsidRPr="005C7689" w14:paraId="137B9A82" w14:textId="77777777" w:rsidTr="00EC7E1E">
        <w:tc>
          <w:tcPr>
            <w:tcW w:w="372" w:type="pct"/>
          </w:tcPr>
          <w:p w14:paraId="0D1E564A" w14:textId="0338F580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2" w:type="pct"/>
          </w:tcPr>
          <w:p w14:paraId="5FE11612" w14:textId="0E7287AF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34</w:t>
            </w:r>
          </w:p>
        </w:tc>
        <w:tc>
          <w:tcPr>
            <w:tcW w:w="2339" w:type="pct"/>
          </w:tcPr>
          <w:p w14:paraId="727080C4" w14:textId="77777777" w:rsidR="00E82F12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34. </w:t>
            </w:r>
            <w:r w:rsidR="00E82F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Minister właściwy do spraw wewnętrznych przed uruchomieniem krajowego punktu dostępu sprawdza gotowość do prawidłowej eksploatacji krajowego punktu dostępu. </w:t>
            </w:r>
          </w:p>
          <w:p w14:paraId="59188B6D" w14:textId="22DCC69E" w:rsidR="005C7689" w:rsidRPr="005C7689" w:rsidRDefault="00E82F12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="005C7689"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W celu sprawdzenia gotowości, ministrowi właściwemu do spraw wewnętrznych przysługują uprawnienia, o których mowa w art. 33 ust. 4 i 5.</w:t>
            </w:r>
          </w:p>
        </w:tc>
        <w:tc>
          <w:tcPr>
            <w:tcW w:w="1917" w:type="pct"/>
          </w:tcPr>
          <w:p w14:paraId="1DA9BB1A" w14:textId="1979CBFB" w:rsidR="005C7689" w:rsidRPr="005C7689" w:rsidRDefault="00B950AE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Przepis o charakterze organizacyjnym, zobowiązujący 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>Komendanta Głównego Policji do poinformowania, przed uruchomieniem krajowego punktu dostępu, ministra właściwego do spraw wewnętrznych o gotowości do jego uruchomienia produkcyjnego. Minister sprawdza gotowość do prawidłowej eksploatacji krajowego punktu dostępu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689" w:rsidRPr="005C7689" w14:paraId="5484A4A1" w14:textId="77777777" w:rsidTr="00EC7E1E">
        <w:tc>
          <w:tcPr>
            <w:tcW w:w="372" w:type="pct"/>
          </w:tcPr>
          <w:p w14:paraId="41BA8623" w14:textId="2614ADFE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72" w:type="pct"/>
          </w:tcPr>
          <w:p w14:paraId="2BB8B7DF" w14:textId="72872F01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35</w:t>
            </w:r>
          </w:p>
        </w:tc>
        <w:tc>
          <w:tcPr>
            <w:tcW w:w="2339" w:type="pct"/>
          </w:tcPr>
          <w:p w14:paraId="303ED55E" w14:textId="1D2D9049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Art. 35. W ustawie z dnia 6 kwietnia 1990 r. o Policji (Dz. U. 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z 2025 r. poz. 636, 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718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1366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) wprowadza się następujące zmiany:</w:t>
            </w:r>
          </w:p>
          <w:p w14:paraId="758C406D" w14:textId="3A10BBFD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użyte w art. 20 ust. 1o, art. 21h ust. 2 i 3, art. 21i–21n oraz art. 21nb ust. 1a pkt 2, w różnym przypadku wyrazy „zbiory danych 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daktyloskopijnych” zastępuje się użytymi w odpowiednim przypadku wyrazami „zbiory danych biometrycznych”;</w:t>
            </w:r>
          </w:p>
          <w:p w14:paraId="2090882A" w14:textId="7AC15843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2) w art. 21h:</w:t>
            </w:r>
          </w:p>
          <w:p w14:paraId="63C482C1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a) ust. 1 otrzymuje brzmienie:</w:t>
            </w:r>
          </w:p>
          <w:p w14:paraId="04D91B9B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„1. Komendant Główny Policji prowadzi następujące zbiory danych biometrycznych, których jest administratorem w rozumieniu przepisów o ochronie danych osobowych:</w:t>
            </w:r>
          </w:p>
          <w:p w14:paraId="1804B598" w14:textId="271870EE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1) Centralną Registraturę Daktyloskopijną, w której gromadzi się karty daktyloskopijne palców i dłoni, zawierające odciski linii papilarnych osób;</w:t>
            </w:r>
          </w:p>
          <w:p w14:paraId="07B7491C" w14:textId="79B4FC39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2) zbiór automatycznie przetwarzający dane biometryczne, w którym przetwarza się informacje, w tym dane osobowe, w postaci odcisków linii papilarnych osób, wizerunku twarzy lub wizerunku osoby, niezidentyfikowane ślady linii papilarnych z miejsc przestępstw oraz ślady linii papilarnych, które mogą pochodzić od osób zaginionych</w:t>
            </w:r>
          </w:p>
          <w:p w14:paraId="1D7C7630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– zwane dalej „zbiorami danych biometrycznych”.”,</w:t>
            </w:r>
          </w:p>
          <w:p w14:paraId="4ACEE00F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b) w ust. 2:</w:t>
            </w:r>
          </w:p>
          <w:p w14:paraId="7D768A5E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– w pkt 2:</w:t>
            </w:r>
          </w:p>
          <w:p w14:paraId="47A74011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– – lit. a otrzymuje brzmienie:</w:t>
            </w:r>
          </w:p>
          <w:p w14:paraId="7651B932" w14:textId="78050DD8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„a) imiona, nazwiska, w tym wcześniej stosowane imiona 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i nazwiska, lub pseudonimy,”</w:t>
            </w:r>
          </w:p>
          <w:p w14:paraId="383A9805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– – lit. d otrzymuje brzmienie:</w:t>
            </w:r>
          </w:p>
          <w:p w14:paraId="3AE6BE2D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„d) rodzaj i numer dokumentu tożsamości lub dokumentu podróży, trzyliterowy kod państwa wydającego oraz datę ważności tego dokumentu,”</w:t>
            </w:r>
          </w:p>
          <w:p w14:paraId="411A8D54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– – w lit. j średnik zastępuje się przecinkiem i dodaje się lit. k oraz l w brzmieniu:</w:t>
            </w:r>
          </w:p>
          <w:p w14:paraId="32ACA635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„k) wizerunek twarzy lub wizerunek osoby,</w:t>
            </w:r>
          </w:p>
          <w:p w14:paraId="24711F2A" w14:textId="74F102B0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l) w przypadku osób, o których mowa w pkt 1 lit. g – zeskanowaną kolorową kopię dokumentu tożsamości lub dokumentu podróży, 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w przypadku, gdy nie jest on dostępny – innego dokumentu 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ułatwiającego identyfikację, wraz z adnotacją o ich autentyczności;”,</w:t>
            </w:r>
          </w:p>
          <w:p w14:paraId="22C554EB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– w pkt 3:</w:t>
            </w:r>
          </w:p>
          <w:p w14:paraId="075779DD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– – lit. b otrzymuje brzmienie:</w:t>
            </w:r>
          </w:p>
          <w:p w14:paraId="41EAD97E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„b) datę lub rok urodzenia,”,</w:t>
            </w:r>
          </w:p>
          <w:p w14:paraId="69A6982E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– – w lit. f średnik zastępuje się przecinkiem i dodaje się lit. g oraz h w brzmieniu:</w:t>
            </w:r>
          </w:p>
          <w:p w14:paraId="3728FBA5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„g) wizerunek twarzy lub wizerunek osoby,</w:t>
            </w:r>
          </w:p>
          <w:p w14:paraId="3A4AC81A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h) obywatelstwo;”;</w:t>
            </w:r>
          </w:p>
          <w:p w14:paraId="61EB5B25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3) w art. 21k:</w:t>
            </w:r>
          </w:p>
          <w:p w14:paraId="1D148225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a) ust. 2 otrzymuje brzmienie:</w:t>
            </w:r>
          </w:p>
          <w:p w14:paraId="36D187E7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„2. Informacje, w tym dane osobowe o których mowa w art. 21h ust. 2 pkt 1 lit. a–g, są przechowywane w zbiorach danych biometrycznych i wykorzystywane w celu prowadzenia czynności wykrywczych, z zastrzeżeniem ust. 4.”,</w:t>
            </w:r>
          </w:p>
          <w:p w14:paraId="1F57872E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b) dodaje się ust. 4 w brzmieniu:</w:t>
            </w:r>
          </w:p>
          <w:p w14:paraId="7BE9B684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„4. Informacje, w tym dane osobowe, o których mowa w art. 21h ust. 2 pkt 1 lit. g mogą być wykorzystywane w celu prowadzenia czynności wykrywczych wyłącznie w odniesieniu do przestępstw o charakterze terrorystycznym lub przestępstw, o których mowa w art. 607w ustawy z dnia 6 czerwca 1997 r. – Kodeks postępowania karnego.”; </w:t>
            </w:r>
          </w:p>
          <w:p w14:paraId="500BD8BE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4) w art. 21l w ust. 3 w pkt 3 kropkę zastępuje się średnikiem i dodaje się pkt 4 w brzmieniu:</w:t>
            </w:r>
          </w:p>
          <w:p w14:paraId="7186D55A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„4) uzyskała obywatelstwo jednego z państw członkowskich Unii Europejskiej.”;</w:t>
            </w:r>
          </w:p>
          <w:p w14:paraId="5CB3BFDA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5) w art. 145j:</w:t>
            </w:r>
          </w:p>
          <w:p w14:paraId="76D3E63C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a) w ust. 1 uchyla się pkt 7;</w:t>
            </w:r>
          </w:p>
          <w:p w14:paraId="3A34760C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b) uchyla się ust. 5b;</w:t>
            </w:r>
          </w:p>
          <w:p w14:paraId="09A173B8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c) ust. 6 otrzymuje brzmienie:</w:t>
            </w:r>
          </w:p>
          <w:p w14:paraId="6872A09A" w14:textId="11E106A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„6. Zadania, o których mowa w ust. 2 i 3, Komendant Główny Policji wykonuje przy pomocy CLKP.”.</w:t>
            </w:r>
          </w:p>
        </w:tc>
        <w:tc>
          <w:tcPr>
            <w:tcW w:w="1917" w:type="pct"/>
          </w:tcPr>
          <w:p w14:paraId="108835CD" w14:textId="213300AF" w:rsidR="005C7689" w:rsidRPr="005C7689" w:rsidRDefault="00B950AE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Zmiany w przepisach ustawy z dnia 6 kwietnia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1990 r. o Policji mają charakter wynikowy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dostosowujący do rozwiązań przewidzianych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 rozporządzeniu 2024/1358 oraz w projektowanej ustawie.</w:t>
            </w:r>
          </w:p>
        </w:tc>
      </w:tr>
      <w:tr w:rsidR="005C7689" w:rsidRPr="005C7689" w14:paraId="0C603244" w14:textId="77777777" w:rsidTr="00EC7E1E">
        <w:tc>
          <w:tcPr>
            <w:tcW w:w="372" w:type="pct"/>
          </w:tcPr>
          <w:p w14:paraId="5FA3F933" w14:textId="5FCEB1C2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72" w:type="pct"/>
          </w:tcPr>
          <w:p w14:paraId="309C0D25" w14:textId="69A2EAAD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36</w:t>
            </w:r>
          </w:p>
        </w:tc>
        <w:tc>
          <w:tcPr>
            <w:tcW w:w="2339" w:type="pct"/>
          </w:tcPr>
          <w:p w14:paraId="17D8FD9C" w14:textId="4AED2902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Art. 36. W ustawie z dnia 16 września 2011 r. o wymianie informacji z organami ścigania państw członkowskich Unii Europejskiej, państw trzecich, agencjami Unii Europejskiej oraz organizacjami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międzynarodowymi (Dz. U. z 2025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r. poz. 783</w:t>
            </w:r>
            <w:r w:rsidR="00B426C9">
              <w:rPr>
                <w:rFonts w:ascii="Times New Roman" w:hAnsi="Times New Roman" w:cs="Times New Roman"/>
                <w:bCs/>
                <w:sz w:val="24"/>
                <w:szCs w:val="24"/>
              </w:rPr>
              <w:t>, 820 i 1729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) wprowadza się następujące zmiany:</w:t>
            </w:r>
          </w:p>
          <w:p w14:paraId="7A860F21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1) w art. 1 w ust. 3 pkt 2 otrzymuje brzmienie:</w:t>
            </w:r>
          </w:p>
          <w:p w14:paraId="03FF4D71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„2) w sposób całkowicie lub częściowo zautomatyzowany, zgromadzonych w zbiorach danych referencyjnych, w szczególności obejmujących dane o wynikach analizy kwasu deoksyrybonukleinowego (DNA), oraz w zbiorach danych biometrycznych;”;</w:t>
            </w:r>
          </w:p>
          <w:p w14:paraId="744AA39E" w14:textId="77777777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2) w art. 6 ust. 2 otrzymuje brzmienie:</w:t>
            </w:r>
          </w:p>
          <w:p w14:paraId="6DB10254" w14:textId="1F5CBF61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„2. Punkt kontaktowy posiada pośredni dostęp do zbiorów danych zawierających informacje o wynikach analizy kwasu deoksyrybonukleinowego (DNA) oraz zbiorów danych biometrycznych prowadzonych na podstawie przepisów ustawy z dnia 6 kwietnia 1990 r. o Policji (Dz. U. z 2025 r. poz. 636</w:t>
            </w:r>
            <w:r w:rsidR="003715AB">
              <w:rPr>
                <w:rFonts w:ascii="Times New Roman" w:hAnsi="Times New Roman" w:cs="Times New Roman"/>
                <w:bCs/>
                <w:sz w:val="24"/>
                <w:szCs w:val="24"/>
              </w:rPr>
              <w:t>, 718  1366</w:t>
            </w:r>
            <w:r w:rsidRPr="005C7689">
              <w:rPr>
                <w:rFonts w:ascii="Times New Roman" w:hAnsi="Times New Roman" w:cs="Times New Roman"/>
                <w:bCs/>
                <w:sz w:val="24"/>
                <w:szCs w:val="24"/>
              </w:rPr>
              <w:t>).”.</w:t>
            </w:r>
          </w:p>
        </w:tc>
        <w:tc>
          <w:tcPr>
            <w:tcW w:w="1917" w:type="pct"/>
          </w:tcPr>
          <w:p w14:paraId="3AB35211" w14:textId="0DED2D7C" w:rsidR="005C7689" w:rsidRPr="005C7689" w:rsidRDefault="00B950AE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>mian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 xml:space="preserve"> w ustawie z dnia 16 września 2011 r.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 xml:space="preserve">o wymianie informacji z organami ścigania państw członkowskich Unii Europejskiej, państw trzecich, agencjami Unii Europejskiej oraz organizacjami międzynarodowymi mają charakter wynikowy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>w stosunku do zaproponowanych w projekcie rozwiązań.</w:t>
            </w:r>
          </w:p>
        </w:tc>
      </w:tr>
      <w:tr w:rsidR="005C7689" w:rsidRPr="005C7689" w14:paraId="3A8DFFB2" w14:textId="77777777" w:rsidTr="00EC7E1E">
        <w:tc>
          <w:tcPr>
            <w:tcW w:w="372" w:type="pct"/>
          </w:tcPr>
          <w:p w14:paraId="723261F0" w14:textId="70D1D126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72" w:type="pct"/>
          </w:tcPr>
          <w:p w14:paraId="11E43990" w14:textId="7FA7AF5A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689">
              <w:rPr>
                <w:rFonts w:ascii="Times New Roman" w:hAnsi="Times New Roman" w:cs="Times New Roman"/>
                <w:sz w:val="24"/>
                <w:szCs w:val="24"/>
              </w:rPr>
              <w:t>Art. 39</w:t>
            </w:r>
          </w:p>
        </w:tc>
        <w:tc>
          <w:tcPr>
            <w:tcW w:w="2339" w:type="pct"/>
          </w:tcPr>
          <w:p w14:paraId="1975806C" w14:textId="3991621B" w:rsidR="00EC6C77" w:rsidRPr="006A5C28" w:rsidRDefault="009A6E13" w:rsidP="00EC6C77">
            <w:pPr>
              <w:pStyle w:val="ARTartustawynprozporzdzenia"/>
              <w:spacing w:before="0" w:line="240" w:lineRule="auto"/>
            </w:pPr>
            <w:r w:rsidRPr="009A6E13">
              <w:rPr>
                <w:rFonts w:ascii="Times New Roman" w:hAnsi="Times New Roman" w:cs="Times New Roman"/>
                <w:b/>
                <w:bCs/>
                <w:szCs w:val="24"/>
              </w:rPr>
              <w:t>Art. 39</w:t>
            </w:r>
            <w:r w:rsidRPr="009A6E13">
              <w:rPr>
                <w:rFonts w:ascii="Times New Roman" w:hAnsi="Times New Roman" w:cs="Times New Roman"/>
                <w:bCs/>
                <w:szCs w:val="24"/>
              </w:rPr>
              <w:t xml:space="preserve">. 1. </w:t>
            </w:r>
            <w:r w:rsidR="00EC6C77" w:rsidRPr="006A5C28">
              <w:t>W</w:t>
            </w:r>
            <w:r w:rsidR="00EC6C77">
              <w:t> </w:t>
            </w:r>
            <w:r w:rsidR="00EC6C77" w:rsidRPr="006A5C28">
              <w:t>latach 2026–2035</w:t>
            </w:r>
            <w:r w:rsidR="00EC6C77">
              <w:t> </w:t>
            </w:r>
            <w:r w:rsidR="00EC6C77" w:rsidRPr="006A5C28">
              <w:t>maksymalny limit wydatków ministra właściwego do spraw wewnętrznych będących skutkiem finansowym niniejszej ustawy wynosi 12</w:t>
            </w:r>
            <w:r w:rsidR="00EC6C77">
              <w:t>4</w:t>
            </w:r>
            <w:r w:rsidR="00491318">
              <w:t xml:space="preserve"> </w:t>
            </w:r>
            <w:r w:rsidR="00EC6C77">
              <w:t>005 </w:t>
            </w:r>
            <w:r w:rsidR="00EC6C77" w:rsidRPr="006A5C28">
              <w:t>tys. zł, z</w:t>
            </w:r>
            <w:r w:rsidR="00EC6C77">
              <w:t> </w:t>
            </w:r>
            <w:r w:rsidR="00EC6C77" w:rsidRPr="006A5C28">
              <w:t>tym że w</w:t>
            </w:r>
            <w:r w:rsidR="00EC6C77">
              <w:t> </w:t>
            </w:r>
            <w:r w:rsidR="00EC6C77" w:rsidRPr="006A5C28">
              <w:t>poszczególnych latach limit wynosi w:</w:t>
            </w:r>
          </w:p>
          <w:p w14:paraId="4BCC72BF" w14:textId="77777777" w:rsidR="00EC6C77" w:rsidRPr="006A5C28" w:rsidRDefault="00EC6C77" w:rsidP="00EC6C77">
            <w:pPr>
              <w:pStyle w:val="PKTpunkt"/>
              <w:spacing w:line="240" w:lineRule="auto"/>
            </w:pPr>
            <w:r w:rsidRPr="006A5C28">
              <w:t>1)</w:t>
            </w:r>
            <w:r>
              <w:tab/>
            </w:r>
            <w:r w:rsidRPr="006A5C28">
              <w:t>2026</w:t>
            </w:r>
            <w:r>
              <w:t> </w:t>
            </w:r>
            <w:r w:rsidRPr="006A5C28">
              <w:t xml:space="preserve">r. – </w:t>
            </w:r>
            <w:r>
              <w:t>2 214 </w:t>
            </w:r>
            <w:r w:rsidRPr="006A5C28">
              <w:t>tys. zł;</w:t>
            </w:r>
          </w:p>
          <w:p w14:paraId="7D5AD61C" w14:textId="77777777" w:rsidR="00EC6C77" w:rsidRPr="006A5C28" w:rsidRDefault="00EC6C77" w:rsidP="00EC6C77">
            <w:pPr>
              <w:pStyle w:val="PKTpunkt"/>
              <w:spacing w:line="240" w:lineRule="auto"/>
            </w:pPr>
            <w:r w:rsidRPr="006A5C28">
              <w:t>2)</w:t>
            </w:r>
            <w:r w:rsidRPr="006A5C28">
              <w:tab/>
              <w:t>2027</w:t>
            </w:r>
            <w:r>
              <w:t> </w:t>
            </w:r>
            <w:r w:rsidRPr="006A5C28">
              <w:t xml:space="preserve">r. – </w:t>
            </w:r>
            <w:r>
              <w:t>37 160 </w:t>
            </w:r>
            <w:r w:rsidRPr="006A5C28">
              <w:t>tys. zł;</w:t>
            </w:r>
          </w:p>
          <w:p w14:paraId="20D4F060" w14:textId="77777777" w:rsidR="00EC6C77" w:rsidRPr="006A5C28" w:rsidRDefault="00EC6C77" w:rsidP="00EC6C77">
            <w:pPr>
              <w:pStyle w:val="PKTpunkt"/>
              <w:spacing w:line="240" w:lineRule="auto"/>
            </w:pPr>
            <w:r w:rsidRPr="006A5C28">
              <w:t>3)</w:t>
            </w:r>
            <w:r w:rsidRPr="006A5C28">
              <w:tab/>
              <w:t>2028</w:t>
            </w:r>
            <w:r>
              <w:t> </w:t>
            </w:r>
            <w:r w:rsidRPr="006A5C28">
              <w:t xml:space="preserve">r. – </w:t>
            </w:r>
            <w:r>
              <w:t>10 479 </w:t>
            </w:r>
            <w:r w:rsidRPr="006A5C28">
              <w:t>tys. zł;</w:t>
            </w:r>
          </w:p>
          <w:p w14:paraId="241664A0" w14:textId="77777777" w:rsidR="00EC6C77" w:rsidRPr="006A5C28" w:rsidRDefault="00EC6C77" w:rsidP="00EC6C77">
            <w:pPr>
              <w:pStyle w:val="PKTpunkt"/>
              <w:spacing w:line="240" w:lineRule="auto"/>
            </w:pPr>
            <w:r w:rsidRPr="006A5C28">
              <w:t>4)</w:t>
            </w:r>
            <w:r w:rsidRPr="006A5C28">
              <w:tab/>
              <w:t>2029</w:t>
            </w:r>
            <w:r>
              <w:t> </w:t>
            </w:r>
            <w:r w:rsidRPr="006A5C28">
              <w:t xml:space="preserve">r. – </w:t>
            </w:r>
            <w:r>
              <w:t>10 490 </w:t>
            </w:r>
            <w:r w:rsidRPr="006A5C28">
              <w:t>tys. zł;</w:t>
            </w:r>
          </w:p>
          <w:p w14:paraId="0A1F0820" w14:textId="77777777" w:rsidR="00EC6C77" w:rsidRPr="006A5C28" w:rsidRDefault="00EC6C77" w:rsidP="00EC6C77">
            <w:pPr>
              <w:pStyle w:val="PKTpunkt"/>
              <w:spacing w:line="240" w:lineRule="auto"/>
            </w:pPr>
            <w:r w:rsidRPr="006A5C28">
              <w:t>5)</w:t>
            </w:r>
            <w:r w:rsidRPr="006A5C28">
              <w:tab/>
              <w:t>2030</w:t>
            </w:r>
            <w:r>
              <w:t> </w:t>
            </w:r>
            <w:r w:rsidRPr="006A5C28">
              <w:t xml:space="preserve">r. – </w:t>
            </w:r>
            <w:r>
              <w:t>8 702 </w:t>
            </w:r>
            <w:r w:rsidRPr="006A5C28">
              <w:t>tys. zł;</w:t>
            </w:r>
          </w:p>
          <w:p w14:paraId="6387575D" w14:textId="77777777" w:rsidR="00EC6C77" w:rsidRPr="006A5C28" w:rsidRDefault="00EC6C77" w:rsidP="00EC6C77">
            <w:pPr>
              <w:pStyle w:val="PKTpunkt"/>
              <w:spacing w:line="240" w:lineRule="auto"/>
            </w:pPr>
            <w:r w:rsidRPr="006A5C28">
              <w:t>6)</w:t>
            </w:r>
            <w:r w:rsidRPr="006A5C28">
              <w:tab/>
              <w:t>2031</w:t>
            </w:r>
            <w:r>
              <w:t> </w:t>
            </w:r>
            <w:r w:rsidRPr="006A5C28">
              <w:t xml:space="preserve">r. – </w:t>
            </w:r>
            <w:r>
              <w:t>8 713 </w:t>
            </w:r>
            <w:r w:rsidRPr="006A5C28">
              <w:t>tys. zł;</w:t>
            </w:r>
          </w:p>
          <w:p w14:paraId="5A2F7D46" w14:textId="77777777" w:rsidR="00EC6C77" w:rsidRPr="006A5C28" w:rsidRDefault="00EC6C77" w:rsidP="00EC6C77">
            <w:pPr>
              <w:pStyle w:val="PKTpunkt"/>
              <w:spacing w:line="240" w:lineRule="auto"/>
            </w:pPr>
            <w:r w:rsidRPr="006A5C28">
              <w:t>7)</w:t>
            </w:r>
            <w:r w:rsidRPr="006A5C28">
              <w:tab/>
              <w:t>2032</w:t>
            </w:r>
            <w:r>
              <w:t> </w:t>
            </w:r>
            <w:r w:rsidRPr="006A5C28">
              <w:t>r. –</w:t>
            </w:r>
            <w:r>
              <w:t xml:space="preserve"> 9 225 </w:t>
            </w:r>
            <w:r w:rsidRPr="006A5C28">
              <w:t>tys. zł;</w:t>
            </w:r>
          </w:p>
          <w:p w14:paraId="6AE5D53F" w14:textId="77777777" w:rsidR="00EC6C77" w:rsidRPr="006A5C28" w:rsidRDefault="00EC6C77" w:rsidP="00EC6C77">
            <w:pPr>
              <w:pStyle w:val="PKTpunkt"/>
              <w:spacing w:line="240" w:lineRule="auto"/>
            </w:pPr>
            <w:r w:rsidRPr="006A5C28">
              <w:t>8)</w:t>
            </w:r>
            <w:r w:rsidRPr="006A5C28">
              <w:tab/>
              <w:t>2033</w:t>
            </w:r>
            <w:r>
              <w:t> </w:t>
            </w:r>
            <w:r w:rsidRPr="006A5C28">
              <w:t xml:space="preserve">r. – </w:t>
            </w:r>
            <w:r>
              <w:t>9 236 </w:t>
            </w:r>
            <w:r w:rsidRPr="006A5C28">
              <w:t>tys. zł;</w:t>
            </w:r>
          </w:p>
          <w:p w14:paraId="0E32C488" w14:textId="77777777" w:rsidR="00EC6C77" w:rsidRPr="006A5C28" w:rsidRDefault="00EC6C77" w:rsidP="00EC6C77">
            <w:pPr>
              <w:pStyle w:val="PKTpunkt"/>
              <w:spacing w:line="240" w:lineRule="auto"/>
            </w:pPr>
            <w:r w:rsidRPr="006A5C28">
              <w:t>9)</w:t>
            </w:r>
            <w:r w:rsidRPr="006A5C28">
              <w:tab/>
              <w:t>2034</w:t>
            </w:r>
            <w:r>
              <w:t> </w:t>
            </w:r>
            <w:r w:rsidRPr="006A5C28">
              <w:t xml:space="preserve">r. – </w:t>
            </w:r>
            <w:r>
              <w:t>9 249  </w:t>
            </w:r>
            <w:r w:rsidRPr="006A5C28">
              <w:t>tys. zł;</w:t>
            </w:r>
          </w:p>
          <w:p w14:paraId="4CAA4596" w14:textId="77777777" w:rsidR="00EC6C77" w:rsidRPr="006A5C28" w:rsidRDefault="00EC6C77" w:rsidP="00EC6C77">
            <w:pPr>
              <w:pStyle w:val="PKTpunkt"/>
              <w:spacing w:line="240" w:lineRule="auto"/>
            </w:pPr>
            <w:r w:rsidRPr="006A5C28">
              <w:t>10)</w:t>
            </w:r>
            <w:r w:rsidRPr="006A5C28">
              <w:tab/>
              <w:t>2035</w:t>
            </w:r>
            <w:r>
              <w:t> </w:t>
            </w:r>
            <w:r w:rsidRPr="006A5C28">
              <w:t xml:space="preserve">r. – </w:t>
            </w:r>
            <w:r>
              <w:t>9 262 </w:t>
            </w:r>
            <w:r w:rsidRPr="006A5C28">
              <w:t>tys. zł.</w:t>
            </w:r>
          </w:p>
          <w:p w14:paraId="61B69571" w14:textId="78F161C4" w:rsidR="009A6E13" w:rsidRPr="009A6E13" w:rsidRDefault="009A6E13" w:rsidP="009A6E1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9005C4" w14:textId="77777777" w:rsidR="009A6E13" w:rsidRPr="009A6E13" w:rsidRDefault="009A6E13" w:rsidP="009A6E1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E13">
              <w:rPr>
                <w:rFonts w:ascii="Times New Roman" w:hAnsi="Times New Roman" w:cs="Times New Roman"/>
                <w:bCs/>
                <w:sz w:val="24"/>
                <w:szCs w:val="24"/>
              </w:rPr>
              <w:t>2. Minister właściwy do spraw wewnętrznych monitoruje wykorzystanie limitu wydatków, o którym mowa w ust. 1, i dokonuje oceny wykorzystania tego limitu według stanu na koniec każdego półrocza i na koniec każdego roku kalendarzowego oraz w razie konieczności wdraża mechanizm korygujący określony w ust. 3.</w:t>
            </w:r>
          </w:p>
          <w:p w14:paraId="1439F165" w14:textId="77777777" w:rsidR="009A6E13" w:rsidRPr="009A6E13" w:rsidRDefault="009A6E13" w:rsidP="009A6E1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6E13">
              <w:rPr>
                <w:rFonts w:ascii="Times New Roman" w:hAnsi="Times New Roman" w:cs="Times New Roman"/>
                <w:bCs/>
                <w:sz w:val="24"/>
                <w:szCs w:val="24"/>
              </w:rPr>
              <w:t>3. W przypadku zagrożenia przekroczeniem lub przekroczenia w danym roku budżetowym limitu wydatków, o którym mowa w ust. 1, minister właściwy do spraw wewnętrznych wprowadza mechanizm korygujący polegający na zmniejszeniu wydatków budżetu państwa będących skutkiem finansowym niniejszej ustawy.</w:t>
            </w:r>
          </w:p>
          <w:p w14:paraId="7B810913" w14:textId="36559FEF" w:rsidR="005C7689" w:rsidRPr="005C7689" w:rsidRDefault="005C7689" w:rsidP="00B950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7" w:type="pct"/>
          </w:tcPr>
          <w:p w14:paraId="20460DD9" w14:textId="485E8FD8" w:rsidR="005C7689" w:rsidRPr="005C7689" w:rsidRDefault="00B950AE" w:rsidP="00B42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 xml:space="preserve">rt. 39 projektowanej ustawy, ze względu na to, że jej skutkiem finansowym może być zmiana poziomu wydatków jednostek sektora finansów publicznych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 xml:space="preserve">w stosunku do wielkości wynikających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>z obowiązujących przepisów, określ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 xml:space="preserve"> maksymalny limit tych wydatków wyrażony kwotowo, na okres 10 lat budżetowych wykonywania ustawy, oddzielnie dla każdego roku, poczynając od pierwszego roku planowanego wejścia w życie ustawy, zgodnie z art. 50 ust. 1a ustawy z dnia 27 sierpnia 2009 r.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>o finansach publicznych (Dz. U. z 202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 xml:space="preserve"> r. poz.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t>1483,</w:t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6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50AE">
              <w:rPr>
                <w:rFonts w:ascii="Times New Roman" w:hAnsi="Times New Roman" w:cs="Times New Roman"/>
                <w:sz w:val="24"/>
                <w:szCs w:val="24"/>
              </w:rPr>
              <w:t>z późn. zm.).</w:t>
            </w:r>
          </w:p>
        </w:tc>
      </w:tr>
      <w:bookmarkEnd w:id="0"/>
    </w:tbl>
    <w:p w14:paraId="1E86FC6C" w14:textId="77777777" w:rsidR="00721215" w:rsidRPr="005C7689" w:rsidRDefault="00721215" w:rsidP="00B950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1215" w:rsidRPr="005C7689" w:rsidSect="00B949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A1F03" w14:textId="77777777" w:rsidR="00DB29BD" w:rsidRDefault="00DB29BD" w:rsidP="00E616A1">
      <w:pPr>
        <w:spacing w:after="0" w:line="240" w:lineRule="auto"/>
      </w:pPr>
      <w:r>
        <w:separator/>
      </w:r>
    </w:p>
  </w:endnote>
  <w:endnote w:type="continuationSeparator" w:id="0">
    <w:p w14:paraId="5BD5B693" w14:textId="77777777" w:rsidR="00DB29BD" w:rsidRDefault="00DB29BD" w:rsidP="00E61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96848" w14:textId="77777777" w:rsidR="00DB29BD" w:rsidRDefault="00DB29BD" w:rsidP="00E616A1">
      <w:pPr>
        <w:spacing w:after="0" w:line="240" w:lineRule="auto"/>
      </w:pPr>
      <w:r>
        <w:separator/>
      </w:r>
    </w:p>
  </w:footnote>
  <w:footnote w:type="continuationSeparator" w:id="0">
    <w:p w14:paraId="03637344" w14:textId="77777777" w:rsidR="00DB29BD" w:rsidRDefault="00DB29BD" w:rsidP="00E616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41317"/>
    <w:multiLevelType w:val="hybridMultilevel"/>
    <w:tmpl w:val="9F0041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D137F"/>
    <w:multiLevelType w:val="hybridMultilevel"/>
    <w:tmpl w:val="5F581D22"/>
    <w:lvl w:ilvl="0" w:tplc="3AC88A72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A60FDD"/>
    <w:multiLevelType w:val="hybridMultilevel"/>
    <w:tmpl w:val="5F581D22"/>
    <w:lvl w:ilvl="0" w:tplc="3AC88A72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6E19CB"/>
    <w:multiLevelType w:val="hybridMultilevel"/>
    <w:tmpl w:val="6B5C2E42"/>
    <w:lvl w:ilvl="0" w:tplc="045E049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50A"/>
    <w:rsid w:val="00030264"/>
    <w:rsid w:val="000650D6"/>
    <w:rsid w:val="000D4398"/>
    <w:rsid w:val="000D5307"/>
    <w:rsid w:val="000F228C"/>
    <w:rsid w:val="0012726F"/>
    <w:rsid w:val="00174213"/>
    <w:rsid w:val="00185269"/>
    <w:rsid w:val="001C0186"/>
    <w:rsid w:val="001D5779"/>
    <w:rsid w:val="00216AF6"/>
    <w:rsid w:val="00217B2B"/>
    <w:rsid w:val="00246A45"/>
    <w:rsid w:val="00266DC4"/>
    <w:rsid w:val="00277543"/>
    <w:rsid w:val="00283144"/>
    <w:rsid w:val="002B0BA1"/>
    <w:rsid w:val="002C3DC6"/>
    <w:rsid w:val="002C55A6"/>
    <w:rsid w:val="002F5DF6"/>
    <w:rsid w:val="00330D35"/>
    <w:rsid w:val="00344463"/>
    <w:rsid w:val="003715AB"/>
    <w:rsid w:val="00394A47"/>
    <w:rsid w:val="00397C1C"/>
    <w:rsid w:val="003E500C"/>
    <w:rsid w:val="004109CA"/>
    <w:rsid w:val="00447DA8"/>
    <w:rsid w:val="0046554D"/>
    <w:rsid w:val="00491318"/>
    <w:rsid w:val="0049397A"/>
    <w:rsid w:val="004A1A9C"/>
    <w:rsid w:val="005539DA"/>
    <w:rsid w:val="00567F4E"/>
    <w:rsid w:val="005729C9"/>
    <w:rsid w:val="005C4BE3"/>
    <w:rsid w:val="005C7689"/>
    <w:rsid w:val="00680A1D"/>
    <w:rsid w:val="006C333C"/>
    <w:rsid w:val="006D2190"/>
    <w:rsid w:val="006E1E04"/>
    <w:rsid w:val="006E682E"/>
    <w:rsid w:val="0070506B"/>
    <w:rsid w:val="00721215"/>
    <w:rsid w:val="00733350"/>
    <w:rsid w:val="007349DA"/>
    <w:rsid w:val="00746DF3"/>
    <w:rsid w:val="0079279D"/>
    <w:rsid w:val="007E2DD9"/>
    <w:rsid w:val="007F1C9E"/>
    <w:rsid w:val="0081613F"/>
    <w:rsid w:val="00837AA0"/>
    <w:rsid w:val="008B4136"/>
    <w:rsid w:val="008D2778"/>
    <w:rsid w:val="008E650A"/>
    <w:rsid w:val="00925EDF"/>
    <w:rsid w:val="00953AC1"/>
    <w:rsid w:val="0097560F"/>
    <w:rsid w:val="0098378B"/>
    <w:rsid w:val="009A6E13"/>
    <w:rsid w:val="009F2302"/>
    <w:rsid w:val="00A55ACC"/>
    <w:rsid w:val="00A670E6"/>
    <w:rsid w:val="00A862C7"/>
    <w:rsid w:val="00AC55B3"/>
    <w:rsid w:val="00AD39FE"/>
    <w:rsid w:val="00AE15F2"/>
    <w:rsid w:val="00B04D8B"/>
    <w:rsid w:val="00B374E7"/>
    <w:rsid w:val="00B426C9"/>
    <w:rsid w:val="00B441FE"/>
    <w:rsid w:val="00B94942"/>
    <w:rsid w:val="00B950AE"/>
    <w:rsid w:val="00C02559"/>
    <w:rsid w:val="00C07074"/>
    <w:rsid w:val="00C321DA"/>
    <w:rsid w:val="00C4645C"/>
    <w:rsid w:val="00C656C5"/>
    <w:rsid w:val="00C7606C"/>
    <w:rsid w:val="00CD2600"/>
    <w:rsid w:val="00CE7491"/>
    <w:rsid w:val="00D0054F"/>
    <w:rsid w:val="00D16686"/>
    <w:rsid w:val="00D27887"/>
    <w:rsid w:val="00D31799"/>
    <w:rsid w:val="00D75532"/>
    <w:rsid w:val="00D92AEC"/>
    <w:rsid w:val="00D94A71"/>
    <w:rsid w:val="00DB29BD"/>
    <w:rsid w:val="00DF55E4"/>
    <w:rsid w:val="00E02D4C"/>
    <w:rsid w:val="00E22852"/>
    <w:rsid w:val="00E606C5"/>
    <w:rsid w:val="00E616A1"/>
    <w:rsid w:val="00E740A1"/>
    <w:rsid w:val="00E82A7B"/>
    <w:rsid w:val="00E82F12"/>
    <w:rsid w:val="00EA6E0F"/>
    <w:rsid w:val="00EC6C77"/>
    <w:rsid w:val="00EC7E1E"/>
    <w:rsid w:val="00F13BF9"/>
    <w:rsid w:val="00F43955"/>
    <w:rsid w:val="00F44677"/>
    <w:rsid w:val="00F51572"/>
    <w:rsid w:val="00F5513A"/>
    <w:rsid w:val="00F7195B"/>
    <w:rsid w:val="00F829C8"/>
    <w:rsid w:val="00F84D37"/>
    <w:rsid w:val="00F9309F"/>
    <w:rsid w:val="00FE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524BB1"/>
  <w15:chartTrackingRefBased/>
  <w15:docId w15:val="{D0B5BA37-F7D1-4601-A19E-E84CFB9D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94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semiHidden/>
    <w:rsid w:val="00C7606C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6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60F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97560F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92AE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2AEC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2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F1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82F12"/>
    <w:pPr>
      <w:ind w:left="720"/>
      <w:contextualSpacing/>
    </w:pPr>
  </w:style>
  <w:style w:type="paragraph" w:customStyle="1" w:styleId="ARTartustawynprozporzdzenia">
    <w:name w:val="ART(§) – art. ustawy (§ np. rozporządzenia)"/>
    <w:uiPriority w:val="11"/>
    <w:qFormat/>
    <w:rsid w:val="00EC6C7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EC6C77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72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72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67F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5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2824</Words>
  <Characters>16948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Stelmach Magdalena</dc:creator>
  <cp:keywords/>
  <dc:description/>
  <cp:lastModifiedBy>Dep. Prawny </cp:lastModifiedBy>
  <cp:revision>3</cp:revision>
  <dcterms:created xsi:type="dcterms:W3CDTF">2026-02-25T07:25:00Z</dcterms:created>
  <dcterms:modified xsi:type="dcterms:W3CDTF">2026-02-27T09:34:00Z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UxC4dwLulzfINJ8nQH+xvX5LNGipWa4BRSZhPgxsCvkylqCxdjrUMA17yXl7yxDIFcF7OYxpl9etTRxvbZnrYw==</vt:lpwstr>
  </property>
  <property fmtid="{D5CDD505-2E9C-101B-9397-08002B2CF9AE}" pid="4" name="MFClassificationDate">
    <vt:lpwstr>2024-03-07T18:15:57.7638090+01:00</vt:lpwstr>
  </property>
  <property fmtid="{D5CDD505-2E9C-101B-9397-08002B2CF9AE}" pid="5" name="MFClassifiedBySID">
    <vt:lpwstr>UxC4dwLulzfINJ8nQH+xvX5LNGipWa4BRSZhPgxsCvm42mrIC/DSDv0ggS+FjUN/2v1BBotkLlY5aAiEhoi6uVcPY+nRIZsBkTarx9I6aQZC8Mj+NB8FHN8US6KE2vMO</vt:lpwstr>
  </property>
  <property fmtid="{D5CDD505-2E9C-101B-9397-08002B2CF9AE}" pid="6" name="MFGRNItemId">
    <vt:lpwstr>GRN-306b30e2-4313-4359-98b1-7ab1889b5768</vt:lpwstr>
  </property>
  <property fmtid="{D5CDD505-2E9C-101B-9397-08002B2CF9AE}" pid="7" name="MFHash">
    <vt:lpwstr>XcNRNJOaFXH3lQlMxdVv3tYB3EMVV4Q4wlOFJA856sU=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