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pPr w:leftFromText="141" w:rightFromText="141" w:vertAnchor="text" w:horzAnchor="margin" w:tblpXSpec="center" w:tblpY="-1071"/>
        <w:tblW w:w="15115" w:type="dxa"/>
        <w:tblLayout w:type="fixed"/>
        <w:tblLook w:val="01E0" w:firstRow="1" w:lastRow="1" w:firstColumn="1" w:lastColumn="1" w:noHBand="0" w:noVBand="0"/>
      </w:tblPr>
      <w:tblGrid>
        <w:gridCol w:w="421"/>
        <w:gridCol w:w="1417"/>
        <w:gridCol w:w="1276"/>
        <w:gridCol w:w="3260"/>
        <w:gridCol w:w="8741"/>
      </w:tblGrid>
      <w:tr w:rsidR="00C019E3" w:rsidRPr="003265FD" w14:paraId="7D0B3F43" w14:textId="77777777" w:rsidTr="002F1A80">
        <w:tc>
          <w:tcPr>
            <w:tcW w:w="15115" w:type="dxa"/>
            <w:gridSpan w:val="5"/>
          </w:tcPr>
          <w:p w14:paraId="56B51C4B" w14:textId="37966CC2" w:rsidR="00C019E3" w:rsidRPr="003265FD" w:rsidRDefault="007C6876" w:rsidP="00C7438D">
            <w:pPr>
              <w:spacing w:before="120" w:after="120"/>
              <w:jc w:val="both"/>
              <w:rPr>
                <w:rFonts w:eastAsia="Times New Roman" w:cstheme="minorHAnsi"/>
                <w:b/>
                <w:i/>
                <w:lang w:eastAsia="pl-PL"/>
              </w:rPr>
            </w:pPr>
            <w:r w:rsidRPr="003265FD">
              <w:rPr>
                <w:rFonts w:eastAsia="Times New Roman" w:cstheme="minorHAnsi"/>
                <w:b/>
                <w:i/>
                <w:lang w:eastAsia="pl-PL"/>
              </w:rPr>
              <w:t xml:space="preserve">Protokół rozbieżności </w:t>
            </w:r>
            <w:r w:rsidR="00E5354D" w:rsidRPr="003265FD">
              <w:rPr>
                <w:rFonts w:eastAsia="Times New Roman" w:cstheme="minorHAnsi"/>
                <w:b/>
                <w:i/>
                <w:lang w:eastAsia="pl-PL"/>
              </w:rPr>
              <w:t>do p</w:t>
            </w:r>
            <w:r w:rsidR="001D6392" w:rsidRPr="003265FD">
              <w:rPr>
                <w:rFonts w:cstheme="minorHAnsi"/>
                <w:b/>
                <w:i/>
              </w:rPr>
              <w:t>rojekt</w:t>
            </w:r>
            <w:r w:rsidR="00E5354D" w:rsidRPr="003265FD">
              <w:rPr>
                <w:rFonts w:cstheme="minorHAnsi"/>
                <w:b/>
                <w:i/>
              </w:rPr>
              <w:t>u</w:t>
            </w:r>
            <w:r w:rsidR="00F67E6F" w:rsidRPr="003265FD">
              <w:rPr>
                <w:rFonts w:cstheme="minorHAnsi"/>
                <w:b/>
                <w:i/>
              </w:rPr>
              <w:t xml:space="preserve"> ustawy</w:t>
            </w:r>
            <w:r w:rsidR="002267F4" w:rsidRPr="003265FD">
              <w:rPr>
                <w:rFonts w:cstheme="minorHAnsi"/>
                <w:b/>
                <w:i/>
              </w:rPr>
              <w:t xml:space="preserve"> o udziale R</w:t>
            </w:r>
            <w:r w:rsidR="00AD0874">
              <w:rPr>
                <w:rFonts w:cstheme="minorHAnsi"/>
                <w:b/>
                <w:i/>
              </w:rPr>
              <w:t xml:space="preserve">zeczypospolitej </w:t>
            </w:r>
            <w:r w:rsidR="002267F4" w:rsidRPr="003265FD">
              <w:rPr>
                <w:rFonts w:cstheme="minorHAnsi"/>
                <w:b/>
                <w:i/>
              </w:rPr>
              <w:t>P</w:t>
            </w:r>
            <w:r w:rsidR="00AD0874">
              <w:rPr>
                <w:rFonts w:cstheme="minorHAnsi"/>
                <w:b/>
                <w:i/>
              </w:rPr>
              <w:t>olskiej</w:t>
            </w:r>
            <w:r w:rsidR="002267F4" w:rsidRPr="003265FD">
              <w:rPr>
                <w:rFonts w:cstheme="minorHAnsi"/>
                <w:b/>
                <w:i/>
              </w:rPr>
              <w:t xml:space="preserve"> w systemie </w:t>
            </w:r>
            <w:proofErr w:type="spellStart"/>
            <w:r w:rsidR="002267F4" w:rsidRPr="003265FD">
              <w:rPr>
                <w:rFonts w:cstheme="minorHAnsi"/>
                <w:b/>
                <w:i/>
              </w:rPr>
              <w:t>Eurodac</w:t>
            </w:r>
            <w:proofErr w:type="spellEnd"/>
          </w:p>
        </w:tc>
      </w:tr>
      <w:tr w:rsidR="00FB7994" w:rsidRPr="003265FD" w14:paraId="7AD74809" w14:textId="77777777" w:rsidTr="00AD0874">
        <w:tc>
          <w:tcPr>
            <w:tcW w:w="421" w:type="dxa"/>
          </w:tcPr>
          <w:p w14:paraId="3386DB43" w14:textId="77777777" w:rsidR="00FB7994" w:rsidRPr="003265FD" w:rsidRDefault="00FB7994" w:rsidP="003A4B18">
            <w:pPr>
              <w:spacing w:line="276" w:lineRule="auto"/>
              <w:jc w:val="both"/>
              <w:rPr>
                <w:rFonts w:eastAsia="Times New Roman" w:cstheme="minorHAnsi"/>
                <w:b/>
                <w:lang w:eastAsia="pl-PL"/>
              </w:rPr>
            </w:pPr>
            <w:r w:rsidRPr="003265FD">
              <w:rPr>
                <w:rFonts w:eastAsia="Times New Roman" w:cstheme="minorHAnsi"/>
                <w:b/>
                <w:lang w:eastAsia="pl-PL"/>
              </w:rPr>
              <w:t>Lp</w:t>
            </w:r>
            <w:r w:rsidR="0054431D" w:rsidRPr="003265FD">
              <w:rPr>
                <w:rFonts w:eastAsia="Times New Roman" w:cstheme="minorHAnsi"/>
                <w:b/>
                <w:lang w:eastAsia="pl-PL"/>
              </w:rPr>
              <w:t>.</w:t>
            </w:r>
          </w:p>
        </w:tc>
        <w:tc>
          <w:tcPr>
            <w:tcW w:w="1417" w:type="dxa"/>
          </w:tcPr>
          <w:p w14:paraId="57965ECC" w14:textId="77777777" w:rsidR="00FB7994" w:rsidRPr="003265FD" w:rsidRDefault="00FB7994" w:rsidP="003A4B18">
            <w:pPr>
              <w:spacing w:line="276" w:lineRule="auto"/>
              <w:jc w:val="both"/>
              <w:rPr>
                <w:rFonts w:eastAsia="Times New Roman" w:cstheme="minorHAnsi"/>
                <w:b/>
                <w:lang w:eastAsia="pl-PL"/>
              </w:rPr>
            </w:pPr>
            <w:r w:rsidRPr="003265FD">
              <w:rPr>
                <w:rFonts w:eastAsia="Times New Roman" w:cstheme="minorHAnsi"/>
                <w:b/>
                <w:lang w:eastAsia="pl-PL"/>
              </w:rPr>
              <w:t>Podmiot wnoszący uwagi</w:t>
            </w:r>
          </w:p>
        </w:tc>
        <w:tc>
          <w:tcPr>
            <w:tcW w:w="1276" w:type="dxa"/>
          </w:tcPr>
          <w:p w14:paraId="3EBFA08F" w14:textId="75782808" w:rsidR="001759BD" w:rsidRPr="003265FD" w:rsidRDefault="00AD0874" w:rsidP="003A4B18">
            <w:pPr>
              <w:spacing w:line="276" w:lineRule="auto"/>
              <w:jc w:val="both"/>
              <w:rPr>
                <w:rFonts w:eastAsia="Times New Roman" w:cstheme="minorHAnsi"/>
                <w:b/>
                <w:lang w:eastAsia="pl-PL"/>
              </w:rPr>
            </w:pPr>
            <w:r>
              <w:rPr>
                <w:rFonts w:eastAsia="Times New Roman" w:cstheme="minorHAnsi"/>
                <w:b/>
                <w:lang w:eastAsia="pl-PL"/>
              </w:rPr>
              <w:t>Jednostka redakcyjna</w:t>
            </w:r>
            <w:r w:rsidR="00FB7994" w:rsidRPr="003265FD">
              <w:rPr>
                <w:rFonts w:eastAsia="Times New Roman" w:cstheme="minorHAnsi"/>
                <w:b/>
                <w:lang w:eastAsia="pl-PL"/>
              </w:rPr>
              <w:t xml:space="preserve">, </w:t>
            </w:r>
          </w:p>
          <w:p w14:paraId="587F6FBB" w14:textId="77777777" w:rsidR="00FB7994" w:rsidRPr="003265FD" w:rsidRDefault="00FB7994" w:rsidP="003A4B18">
            <w:pPr>
              <w:spacing w:line="276" w:lineRule="auto"/>
              <w:jc w:val="both"/>
              <w:rPr>
                <w:rFonts w:eastAsia="Times New Roman" w:cstheme="minorHAnsi"/>
                <w:b/>
                <w:lang w:eastAsia="pl-PL"/>
              </w:rPr>
            </w:pPr>
            <w:r w:rsidRPr="003265FD">
              <w:rPr>
                <w:rFonts w:eastAsia="Times New Roman" w:cstheme="minorHAnsi"/>
                <w:b/>
                <w:lang w:eastAsia="pl-PL"/>
              </w:rPr>
              <w:t xml:space="preserve">do której wnoszone są uwagi </w:t>
            </w:r>
          </w:p>
        </w:tc>
        <w:tc>
          <w:tcPr>
            <w:tcW w:w="3260" w:type="dxa"/>
          </w:tcPr>
          <w:p w14:paraId="2BEE3459" w14:textId="77777777" w:rsidR="00FB7994" w:rsidRPr="003265FD" w:rsidRDefault="00FB7994" w:rsidP="003A4B18">
            <w:pPr>
              <w:spacing w:line="276" w:lineRule="auto"/>
              <w:jc w:val="both"/>
              <w:rPr>
                <w:rFonts w:eastAsia="Times New Roman" w:cstheme="minorHAnsi"/>
                <w:b/>
                <w:lang w:eastAsia="pl-PL"/>
              </w:rPr>
            </w:pPr>
            <w:r w:rsidRPr="003265FD">
              <w:rPr>
                <w:rFonts w:eastAsia="Times New Roman" w:cstheme="minorHAnsi"/>
                <w:b/>
                <w:lang w:eastAsia="pl-PL"/>
              </w:rPr>
              <w:t>Treść uwagi</w:t>
            </w:r>
          </w:p>
        </w:tc>
        <w:tc>
          <w:tcPr>
            <w:tcW w:w="8741" w:type="dxa"/>
          </w:tcPr>
          <w:p w14:paraId="6C5B04E2" w14:textId="77777777" w:rsidR="00FB7994" w:rsidRPr="003265FD" w:rsidRDefault="009C37E3" w:rsidP="003A4B18">
            <w:pPr>
              <w:spacing w:line="276" w:lineRule="auto"/>
              <w:jc w:val="both"/>
              <w:rPr>
                <w:rFonts w:eastAsia="Times New Roman" w:cstheme="minorHAnsi"/>
                <w:b/>
                <w:lang w:eastAsia="pl-PL"/>
              </w:rPr>
            </w:pPr>
            <w:r w:rsidRPr="003265FD">
              <w:rPr>
                <w:rFonts w:eastAsia="Times New Roman" w:cstheme="minorHAnsi"/>
                <w:b/>
                <w:lang w:eastAsia="pl-PL"/>
              </w:rPr>
              <w:t>Stanowisko proje</w:t>
            </w:r>
            <w:r w:rsidR="00D43C5A" w:rsidRPr="003265FD">
              <w:rPr>
                <w:rFonts w:eastAsia="Times New Roman" w:cstheme="minorHAnsi"/>
                <w:b/>
                <w:lang w:eastAsia="pl-PL"/>
              </w:rPr>
              <w:t>ktodawcy</w:t>
            </w:r>
            <w:r w:rsidR="002267F4" w:rsidRPr="003265FD">
              <w:rPr>
                <w:rFonts w:eastAsia="Times New Roman" w:cstheme="minorHAnsi"/>
                <w:b/>
                <w:lang w:eastAsia="pl-PL"/>
              </w:rPr>
              <w:t xml:space="preserve"> </w:t>
            </w:r>
          </w:p>
        </w:tc>
      </w:tr>
      <w:tr w:rsidR="009F18E2" w:rsidRPr="003265FD" w14:paraId="182C388F" w14:textId="77777777" w:rsidTr="00AD0874">
        <w:tc>
          <w:tcPr>
            <w:tcW w:w="421" w:type="dxa"/>
          </w:tcPr>
          <w:p w14:paraId="2FF37DE0" w14:textId="77777777" w:rsidR="009F18E2" w:rsidRPr="003265FD" w:rsidRDefault="009F18E2" w:rsidP="009F18E2">
            <w:pPr>
              <w:spacing w:line="276" w:lineRule="auto"/>
              <w:jc w:val="both"/>
              <w:rPr>
                <w:rFonts w:eastAsia="Times New Roman" w:cstheme="minorHAnsi"/>
                <w:lang w:eastAsia="pl-PL"/>
              </w:rPr>
            </w:pPr>
            <w:r w:rsidRPr="003265FD">
              <w:rPr>
                <w:rFonts w:eastAsia="Times New Roman" w:cstheme="minorHAnsi"/>
                <w:lang w:eastAsia="pl-PL"/>
              </w:rPr>
              <w:t>1.</w:t>
            </w:r>
          </w:p>
        </w:tc>
        <w:tc>
          <w:tcPr>
            <w:tcW w:w="1417" w:type="dxa"/>
          </w:tcPr>
          <w:p w14:paraId="2B30D6EA" w14:textId="19CB52BA" w:rsidR="009F18E2" w:rsidRPr="003265FD" w:rsidRDefault="00C7438D" w:rsidP="009F18E2">
            <w:pPr>
              <w:spacing w:line="276" w:lineRule="auto"/>
              <w:jc w:val="both"/>
              <w:rPr>
                <w:rFonts w:eastAsia="Times New Roman" w:cstheme="minorHAnsi"/>
                <w:lang w:eastAsia="pl-PL"/>
              </w:rPr>
            </w:pPr>
            <w:r>
              <w:rPr>
                <w:rFonts w:eastAsia="Times New Roman" w:cstheme="minorHAnsi"/>
                <w:lang w:eastAsia="pl-PL"/>
              </w:rPr>
              <w:t>Minister Finansów i </w:t>
            </w:r>
            <w:r w:rsidR="009F18E2" w:rsidRPr="003265FD">
              <w:rPr>
                <w:rFonts w:eastAsia="Times New Roman" w:cstheme="minorHAnsi"/>
                <w:lang w:eastAsia="pl-PL"/>
              </w:rPr>
              <w:t>Gospodarki</w:t>
            </w:r>
          </w:p>
        </w:tc>
        <w:tc>
          <w:tcPr>
            <w:tcW w:w="1276" w:type="dxa"/>
          </w:tcPr>
          <w:p w14:paraId="0BB18F00" w14:textId="77777777" w:rsidR="009F18E2" w:rsidRPr="003265FD" w:rsidRDefault="009F18E2" w:rsidP="009F18E2">
            <w:pPr>
              <w:spacing w:line="276" w:lineRule="auto"/>
              <w:jc w:val="both"/>
              <w:rPr>
                <w:rFonts w:eastAsia="Times New Roman" w:cstheme="minorHAnsi"/>
                <w:lang w:eastAsia="pl-PL"/>
              </w:rPr>
            </w:pPr>
            <w:r w:rsidRPr="003265FD">
              <w:rPr>
                <w:rFonts w:eastAsia="Times New Roman" w:cstheme="minorHAnsi"/>
                <w:lang w:eastAsia="pl-PL"/>
              </w:rPr>
              <w:t>Art. 39 ust. 3</w:t>
            </w:r>
          </w:p>
        </w:tc>
        <w:tc>
          <w:tcPr>
            <w:tcW w:w="3260" w:type="dxa"/>
          </w:tcPr>
          <w:p w14:paraId="35C7AB1F" w14:textId="2037F5C3" w:rsidR="009F18E2" w:rsidRPr="003265FD" w:rsidRDefault="009F18E2" w:rsidP="00C30D65">
            <w:pPr>
              <w:jc w:val="both"/>
              <w:rPr>
                <w:rFonts w:cstheme="minorHAnsi"/>
              </w:rPr>
            </w:pPr>
            <w:r w:rsidRPr="003265FD">
              <w:rPr>
                <w:rFonts w:cstheme="minorHAnsi"/>
              </w:rPr>
              <w:t>Z</w:t>
            </w:r>
            <w:r w:rsidRPr="003265FD">
              <w:rPr>
                <w:rFonts w:eastAsia="Calibri" w:cstheme="minorHAnsi"/>
              </w:rPr>
              <w:t>auważenia</w:t>
            </w:r>
            <w:r w:rsidRPr="003265FD">
              <w:rPr>
                <w:rFonts w:cstheme="minorHAnsi"/>
              </w:rPr>
              <w:t xml:space="preserve"> wymaga, </w:t>
            </w:r>
            <w:r w:rsidRPr="003265FD">
              <w:rPr>
                <w:rFonts w:eastAsia="Calibri" w:cstheme="minorHAnsi"/>
              </w:rPr>
              <w:t>że</w:t>
            </w:r>
            <w:r w:rsidRPr="003265FD">
              <w:rPr>
                <w:rFonts w:cstheme="minorHAnsi"/>
              </w:rPr>
              <w:t xml:space="preserve"> w art. 39 ust. 3 projektu </w:t>
            </w:r>
            <w:r w:rsidRPr="003265FD">
              <w:rPr>
                <w:rFonts w:eastAsia="Calibri" w:cstheme="minorHAnsi"/>
              </w:rPr>
              <w:t>określono</w:t>
            </w:r>
            <w:r w:rsidRPr="003265FD">
              <w:rPr>
                <w:rFonts w:cstheme="minorHAnsi"/>
              </w:rPr>
              <w:t xml:space="preserve"> mechanizm </w:t>
            </w:r>
            <w:r w:rsidRPr="003265FD">
              <w:rPr>
                <w:rFonts w:eastAsia="Calibri" w:cstheme="minorHAnsi"/>
              </w:rPr>
              <w:t>korygujący</w:t>
            </w:r>
            <w:r w:rsidRPr="003265FD">
              <w:rPr>
                <w:rFonts w:cstheme="minorHAnsi"/>
              </w:rPr>
              <w:t xml:space="preserve"> </w:t>
            </w:r>
            <w:r w:rsidRPr="003265FD">
              <w:rPr>
                <w:rFonts w:eastAsia="Calibri" w:cstheme="minorHAnsi"/>
              </w:rPr>
              <w:t>polegający</w:t>
            </w:r>
            <w:r w:rsidRPr="003265FD">
              <w:rPr>
                <w:rFonts w:cstheme="minorHAnsi"/>
              </w:rPr>
              <w:t xml:space="preserve"> na zmniejszeniu wydatków </w:t>
            </w:r>
            <w:r w:rsidRPr="003265FD">
              <w:rPr>
                <w:rFonts w:eastAsia="Calibri" w:cstheme="minorHAnsi"/>
              </w:rPr>
              <w:t>budżetu</w:t>
            </w:r>
            <w:r w:rsidRPr="003265FD">
              <w:rPr>
                <w:rFonts w:cstheme="minorHAnsi"/>
              </w:rPr>
              <w:t xml:space="preserve"> </w:t>
            </w:r>
            <w:r w:rsidRPr="003265FD">
              <w:rPr>
                <w:rFonts w:eastAsia="Calibri" w:cstheme="minorHAnsi"/>
              </w:rPr>
              <w:t>państwa</w:t>
            </w:r>
            <w:r w:rsidRPr="003265FD">
              <w:rPr>
                <w:rFonts w:cstheme="minorHAnsi"/>
              </w:rPr>
              <w:t xml:space="preserve"> </w:t>
            </w:r>
            <w:r w:rsidRPr="003265FD">
              <w:rPr>
                <w:rFonts w:eastAsia="Calibri" w:cstheme="minorHAnsi"/>
              </w:rPr>
              <w:t>będących</w:t>
            </w:r>
            <w:r w:rsidRPr="003265FD">
              <w:rPr>
                <w:rFonts w:cstheme="minorHAnsi"/>
              </w:rPr>
              <w:t xml:space="preserve"> skutkiem finansowym niniejszej ustawy. Zaproponowane brzmienie </w:t>
            </w:r>
            <w:r w:rsidRPr="003265FD">
              <w:rPr>
                <w:rFonts w:eastAsia="Calibri" w:cstheme="minorHAnsi"/>
              </w:rPr>
              <w:t>powyższego</w:t>
            </w:r>
            <w:r w:rsidRPr="003265FD">
              <w:rPr>
                <w:rFonts w:cstheme="minorHAnsi"/>
              </w:rPr>
              <w:t xml:space="preserve"> mechanizmu </w:t>
            </w:r>
            <w:r w:rsidRPr="003265FD">
              <w:rPr>
                <w:rFonts w:eastAsia="Calibri" w:cstheme="minorHAnsi"/>
              </w:rPr>
              <w:t>korygującego</w:t>
            </w:r>
            <w:r w:rsidRPr="003265FD">
              <w:rPr>
                <w:rFonts w:cstheme="minorHAnsi"/>
              </w:rPr>
              <w:t xml:space="preserve"> pozostaje na </w:t>
            </w:r>
            <w:r w:rsidRPr="003265FD">
              <w:rPr>
                <w:rFonts w:eastAsia="Calibri" w:cstheme="minorHAnsi"/>
              </w:rPr>
              <w:t>dużym</w:t>
            </w:r>
            <w:r w:rsidRPr="003265FD">
              <w:rPr>
                <w:rFonts w:cstheme="minorHAnsi"/>
              </w:rPr>
              <w:t xml:space="preserve"> stopniu </w:t>
            </w:r>
            <w:r w:rsidRPr="003265FD">
              <w:rPr>
                <w:rFonts w:eastAsia="Calibri" w:cstheme="minorHAnsi"/>
              </w:rPr>
              <w:t>ogólności,</w:t>
            </w:r>
            <w:r w:rsidRPr="003265FD">
              <w:rPr>
                <w:rFonts w:cstheme="minorHAnsi"/>
              </w:rPr>
              <w:t xml:space="preserve"> a co za tym idzie nie </w:t>
            </w:r>
            <w:r w:rsidRPr="003265FD">
              <w:rPr>
                <w:rFonts w:eastAsia="Calibri" w:cstheme="minorHAnsi"/>
              </w:rPr>
              <w:t>spełnia</w:t>
            </w:r>
            <w:r w:rsidRPr="003265FD">
              <w:rPr>
                <w:rFonts w:cstheme="minorHAnsi"/>
              </w:rPr>
              <w:t xml:space="preserve"> wymogów </w:t>
            </w:r>
            <w:r w:rsidRPr="003265FD">
              <w:rPr>
                <w:rFonts w:eastAsia="Calibri" w:cstheme="minorHAnsi"/>
              </w:rPr>
              <w:t>określonych</w:t>
            </w:r>
            <w:r w:rsidR="00F20ECF">
              <w:rPr>
                <w:rFonts w:cstheme="minorHAnsi"/>
              </w:rPr>
              <w:t xml:space="preserve"> w </w:t>
            </w:r>
            <w:r w:rsidRPr="003265FD">
              <w:rPr>
                <w:rFonts w:cstheme="minorHAnsi"/>
              </w:rPr>
              <w:t xml:space="preserve">art. 50 ust. 4 ustawy o finansach publicznych. </w:t>
            </w:r>
            <w:r w:rsidRPr="003265FD">
              <w:rPr>
                <w:rFonts w:eastAsia="Calibri" w:cstheme="minorHAnsi"/>
              </w:rPr>
              <w:t>Zauważenia</w:t>
            </w:r>
            <w:r w:rsidRPr="003265FD">
              <w:rPr>
                <w:rFonts w:cstheme="minorHAnsi"/>
              </w:rPr>
              <w:t xml:space="preserve"> bowiem wymaga, </w:t>
            </w:r>
            <w:r w:rsidRPr="003265FD">
              <w:rPr>
                <w:rFonts w:eastAsia="Calibri" w:cstheme="minorHAnsi"/>
              </w:rPr>
              <w:t>że</w:t>
            </w:r>
            <w:r w:rsidRPr="003265FD">
              <w:rPr>
                <w:rFonts w:cstheme="minorHAnsi"/>
              </w:rPr>
              <w:t xml:space="preserve"> zgodnie z tym przepisem, mechanizm </w:t>
            </w:r>
            <w:r w:rsidRPr="003265FD">
              <w:rPr>
                <w:rFonts w:eastAsia="Calibri" w:cstheme="minorHAnsi"/>
              </w:rPr>
              <w:t>korygujący</w:t>
            </w:r>
            <w:r w:rsidRPr="003265FD">
              <w:rPr>
                <w:rFonts w:cstheme="minorHAnsi"/>
              </w:rPr>
              <w:t xml:space="preserve"> konstruowany przez </w:t>
            </w:r>
            <w:r w:rsidRPr="003265FD">
              <w:rPr>
                <w:rFonts w:eastAsia="Calibri" w:cstheme="minorHAnsi"/>
              </w:rPr>
              <w:t>projektodawcę</w:t>
            </w:r>
            <w:r w:rsidRPr="003265FD">
              <w:rPr>
                <w:rFonts w:cstheme="minorHAnsi"/>
              </w:rPr>
              <w:t xml:space="preserve"> ustawy winien </w:t>
            </w:r>
            <w:r w:rsidRPr="003265FD">
              <w:rPr>
                <w:rFonts w:eastAsia="Calibri" w:cstheme="minorHAnsi"/>
              </w:rPr>
              <w:t>polegać</w:t>
            </w:r>
            <w:r w:rsidRPr="003265FD">
              <w:rPr>
                <w:rFonts w:cstheme="minorHAnsi"/>
              </w:rPr>
              <w:t xml:space="preserve"> na </w:t>
            </w:r>
            <w:r w:rsidRPr="003265FD">
              <w:rPr>
                <w:rFonts w:eastAsia="Calibri" w:cstheme="minorHAnsi"/>
              </w:rPr>
              <w:t>obniżeniu</w:t>
            </w:r>
            <w:r w:rsidRPr="003265FD">
              <w:rPr>
                <w:rFonts w:cstheme="minorHAnsi"/>
              </w:rPr>
              <w:t xml:space="preserve"> kosztów realizacji wyznaczonych </w:t>
            </w:r>
            <w:r w:rsidRPr="003265FD">
              <w:rPr>
                <w:rFonts w:eastAsia="Calibri" w:cstheme="minorHAnsi"/>
              </w:rPr>
              <w:t>zadań,</w:t>
            </w:r>
            <w:r w:rsidRPr="003265FD">
              <w:rPr>
                <w:rFonts w:cstheme="minorHAnsi"/>
              </w:rPr>
              <w:t xml:space="preserve"> tj. powinien w sposób </w:t>
            </w:r>
            <w:r w:rsidRPr="003265FD">
              <w:rPr>
                <w:rFonts w:eastAsia="Calibri" w:cstheme="minorHAnsi"/>
              </w:rPr>
              <w:t>dokładny</w:t>
            </w:r>
            <w:r w:rsidR="00F20ECF">
              <w:rPr>
                <w:rFonts w:cstheme="minorHAnsi"/>
              </w:rPr>
              <w:t xml:space="preserve"> i </w:t>
            </w:r>
            <w:r w:rsidRPr="003265FD">
              <w:rPr>
                <w:rFonts w:cstheme="minorHAnsi"/>
              </w:rPr>
              <w:t xml:space="preserve">konkretny </w:t>
            </w:r>
            <w:r w:rsidRPr="003265FD">
              <w:rPr>
                <w:rFonts w:eastAsia="Calibri" w:cstheme="minorHAnsi"/>
              </w:rPr>
              <w:t>określać</w:t>
            </w:r>
            <w:r w:rsidRPr="003265FD">
              <w:rPr>
                <w:rFonts w:cstheme="minorHAnsi"/>
              </w:rPr>
              <w:t xml:space="preserve"> zakres wprowadzanego ograniczenia, tak aby </w:t>
            </w:r>
            <w:r w:rsidRPr="003265FD">
              <w:rPr>
                <w:rFonts w:eastAsia="Calibri" w:cstheme="minorHAnsi"/>
              </w:rPr>
              <w:t>mógł</w:t>
            </w:r>
            <w:r w:rsidRPr="003265FD">
              <w:rPr>
                <w:rFonts w:cstheme="minorHAnsi"/>
              </w:rPr>
              <w:t xml:space="preserve"> on </w:t>
            </w:r>
            <w:r w:rsidRPr="003265FD">
              <w:rPr>
                <w:rFonts w:eastAsia="Calibri" w:cstheme="minorHAnsi"/>
              </w:rPr>
              <w:t>doprowadzić</w:t>
            </w:r>
            <w:r w:rsidRPr="003265FD">
              <w:rPr>
                <w:rFonts w:cstheme="minorHAnsi"/>
              </w:rPr>
              <w:t xml:space="preserve"> do redukcji kosztów do maksymalnego limitu wydatków </w:t>
            </w:r>
            <w:r w:rsidRPr="003265FD">
              <w:rPr>
                <w:rFonts w:eastAsia="Calibri" w:cstheme="minorHAnsi"/>
              </w:rPr>
              <w:t>przyjętego</w:t>
            </w:r>
            <w:r w:rsidRPr="003265FD">
              <w:rPr>
                <w:rFonts w:cstheme="minorHAnsi"/>
              </w:rPr>
              <w:t xml:space="preserve"> na dany rok </w:t>
            </w:r>
            <w:r w:rsidRPr="003265FD">
              <w:rPr>
                <w:rFonts w:eastAsia="Calibri" w:cstheme="minorHAnsi"/>
              </w:rPr>
              <w:t>budżetowy,</w:t>
            </w:r>
            <w:r w:rsidRPr="003265FD">
              <w:rPr>
                <w:rFonts w:cstheme="minorHAnsi"/>
              </w:rPr>
              <w:t xml:space="preserve"> w przypadku </w:t>
            </w:r>
            <w:r w:rsidRPr="003265FD">
              <w:rPr>
                <w:rFonts w:eastAsia="Calibri" w:cstheme="minorHAnsi"/>
              </w:rPr>
              <w:t>zagrożenia</w:t>
            </w:r>
            <w:r w:rsidRPr="003265FD">
              <w:rPr>
                <w:rFonts w:cstheme="minorHAnsi"/>
              </w:rPr>
              <w:t xml:space="preserve"> przekroczenia tego </w:t>
            </w:r>
            <w:r w:rsidRPr="003265FD">
              <w:rPr>
                <w:rFonts w:cstheme="minorHAnsi"/>
              </w:rPr>
              <w:lastRenderedPageBreak/>
              <w:t xml:space="preserve">limitu. </w:t>
            </w:r>
            <w:r w:rsidRPr="003265FD">
              <w:rPr>
                <w:rFonts w:eastAsia="Calibri" w:cstheme="minorHAnsi"/>
              </w:rPr>
              <w:t>Jednocześnie</w:t>
            </w:r>
            <w:r w:rsidRPr="003265FD">
              <w:rPr>
                <w:rFonts w:cstheme="minorHAnsi"/>
              </w:rPr>
              <w:t xml:space="preserve"> </w:t>
            </w:r>
            <w:r w:rsidRPr="003265FD">
              <w:rPr>
                <w:rFonts w:eastAsia="Calibri" w:cstheme="minorHAnsi"/>
              </w:rPr>
              <w:t>właściwe</w:t>
            </w:r>
            <w:r w:rsidRPr="003265FD">
              <w:rPr>
                <w:rFonts w:cstheme="minorHAnsi"/>
              </w:rPr>
              <w:t xml:space="preserve"> </w:t>
            </w:r>
            <w:r w:rsidRPr="003265FD">
              <w:rPr>
                <w:rFonts w:eastAsia="Calibri" w:cstheme="minorHAnsi"/>
              </w:rPr>
              <w:t>określenie</w:t>
            </w:r>
            <w:r w:rsidRPr="003265FD">
              <w:rPr>
                <w:rFonts w:cstheme="minorHAnsi"/>
              </w:rPr>
              <w:t xml:space="preserve"> przez </w:t>
            </w:r>
            <w:r w:rsidRPr="003265FD">
              <w:rPr>
                <w:rFonts w:eastAsia="Calibri" w:cstheme="minorHAnsi"/>
              </w:rPr>
              <w:t>projektodawcę</w:t>
            </w:r>
            <w:r w:rsidRPr="003265FD">
              <w:rPr>
                <w:rFonts w:cstheme="minorHAnsi"/>
              </w:rPr>
              <w:t xml:space="preserve"> mechanizmów </w:t>
            </w:r>
            <w:r w:rsidRPr="003265FD">
              <w:rPr>
                <w:rFonts w:eastAsia="Calibri" w:cstheme="minorHAnsi"/>
              </w:rPr>
              <w:t>uzależnione</w:t>
            </w:r>
            <w:r w:rsidRPr="003265FD">
              <w:rPr>
                <w:rFonts w:cstheme="minorHAnsi"/>
              </w:rPr>
              <w:t xml:space="preserve"> jest </w:t>
            </w:r>
            <w:r w:rsidRPr="003265FD">
              <w:rPr>
                <w:rFonts w:eastAsia="Calibri" w:cstheme="minorHAnsi"/>
              </w:rPr>
              <w:t>głównie</w:t>
            </w:r>
            <w:r w:rsidRPr="003265FD">
              <w:rPr>
                <w:rFonts w:cstheme="minorHAnsi"/>
              </w:rPr>
              <w:t xml:space="preserve"> od </w:t>
            </w:r>
            <w:r w:rsidRPr="003265FD">
              <w:rPr>
                <w:rFonts w:eastAsia="Calibri" w:cstheme="minorHAnsi"/>
              </w:rPr>
              <w:t>zdolności</w:t>
            </w:r>
            <w:r w:rsidRPr="003265FD">
              <w:rPr>
                <w:rFonts w:cstheme="minorHAnsi"/>
              </w:rPr>
              <w:t xml:space="preserve"> monitorowania przez wskazany organ wykorzystania limitu wydatków na wykonanie zadania publicznego. Tym samym wskazana </w:t>
            </w:r>
            <w:r w:rsidRPr="003265FD">
              <w:rPr>
                <w:rFonts w:eastAsia="Calibri" w:cstheme="minorHAnsi"/>
              </w:rPr>
              <w:t>wyżej</w:t>
            </w:r>
            <w:r w:rsidRPr="003265FD">
              <w:rPr>
                <w:rFonts w:cstheme="minorHAnsi"/>
              </w:rPr>
              <w:t xml:space="preserve"> regulacja wymaga doprecyzowania w zakresie jednoznacznego wskaz</w:t>
            </w:r>
            <w:r w:rsidR="00F20ECF">
              <w:rPr>
                <w:rFonts w:cstheme="minorHAnsi"/>
              </w:rPr>
              <w:t>ania warunków (m.in. terminów i </w:t>
            </w:r>
            <w:r w:rsidRPr="003265FD">
              <w:rPr>
                <w:rFonts w:eastAsia="Calibri" w:cstheme="minorHAnsi"/>
              </w:rPr>
              <w:t>wysokości</w:t>
            </w:r>
            <w:r w:rsidRPr="003265FD">
              <w:rPr>
                <w:rFonts w:cstheme="minorHAnsi"/>
              </w:rPr>
              <w:t xml:space="preserve"> wydatków), które </w:t>
            </w:r>
            <w:r w:rsidRPr="003265FD">
              <w:rPr>
                <w:rFonts w:eastAsia="Calibri" w:cstheme="minorHAnsi"/>
              </w:rPr>
              <w:t>będą</w:t>
            </w:r>
            <w:r w:rsidRPr="003265FD">
              <w:rPr>
                <w:rFonts w:cstheme="minorHAnsi"/>
              </w:rPr>
              <w:t xml:space="preserve"> </w:t>
            </w:r>
            <w:r w:rsidRPr="003265FD">
              <w:rPr>
                <w:rFonts w:eastAsia="Calibri" w:cstheme="minorHAnsi"/>
              </w:rPr>
              <w:t>powodowały</w:t>
            </w:r>
            <w:r w:rsidRPr="003265FD">
              <w:rPr>
                <w:rFonts w:cstheme="minorHAnsi"/>
              </w:rPr>
              <w:t xml:space="preserve"> </w:t>
            </w:r>
            <w:r w:rsidRPr="003265FD">
              <w:rPr>
                <w:rFonts w:eastAsia="Calibri" w:cstheme="minorHAnsi"/>
              </w:rPr>
              <w:t>konieczność</w:t>
            </w:r>
            <w:r w:rsidRPr="003265FD">
              <w:rPr>
                <w:rFonts w:cstheme="minorHAnsi"/>
              </w:rPr>
              <w:t xml:space="preserve"> uruchomienia mechanizmu </w:t>
            </w:r>
            <w:r w:rsidRPr="003265FD">
              <w:rPr>
                <w:rFonts w:eastAsia="Calibri" w:cstheme="minorHAnsi"/>
              </w:rPr>
              <w:t>korygującego.</w:t>
            </w:r>
          </w:p>
          <w:p w14:paraId="47FC9FF9" w14:textId="77777777" w:rsidR="009F18E2" w:rsidRPr="003265FD" w:rsidRDefault="009F18E2" w:rsidP="00C30D65">
            <w:pPr>
              <w:jc w:val="both"/>
              <w:rPr>
                <w:rFonts w:eastAsia="Times New Roman" w:cstheme="minorHAnsi"/>
                <w:lang w:eastAsia="pl-PL"/>
              </w:rPr>
            </w:pPr>
            <w:r w:rsidRPr="003265FD">
              <w:rPr>
                <w:rFonts w:eastAsia="Calibri" w:cstheme="minorHAnsi"/>
              </w:rPr>
              <w:t>Należy</w:t>
            </w:r>
            <w:r w:rsidRPr="003265FD">
              <w:rPr>
                <w:rFonts w:cstheme="minorHAnsi"/>
              </w:rPr>
              <w:t xml:space="preserve"> </w:t>
            </w:r>
            <w:r w:rsidRPr="003265FD">
              <w:rPr>
                <w:rFonts w:eastAsia="Calibri" w:cstheme="minorHAnsi"/>
              </w:rPr>
              <w:t>również</w:t>
            </w:r>
            <w:r w:rsidRPr="003265FD">
              <w:rPr>
                <w:rFonts w:cstheme="minorHAnsi"/>
              </w:rPr>
              <w:t xml:space="preserve"> </w:t>
            </w:r>
            <w:r w:rsidRPr="003265FD">
              <w:rPr>
                <w:rFonts w:eastAsia="Calibri" w:cstheme="minorHAnsi"/>
              </w:rPr>
              <w:t>przypomnieć,</w:t>
            </w:r>
            <w:r w:rsidRPr="003265FD">
              <w:rPr>
                <w:rFonts w:cstheme="minorHAnsi"/>
              </w:rPr>
              <w:t xml:space="preserve"> </w:t>
            </w:r>
            <w:r w:rsidRPr="003265FD">
              <w:rPr>
                <w:rFonts w:eastAsia="Calibri" w:cstheme="minorHAnsi"/>
              </w:rPr>
              <w:t>że</w:t>
            </w:r>
            <w:r w:rsidRPr="003265FD">
              <w:rPr>
                <w:rFonts w:cstheme="minorHAnsi"/>
              </w:rPr>
              <w:t xml:space="preserve"> </w:t>
            </w:r>
            <w:r w:rsidRPr="003265FD">
              <w:rPr>
                <w:rFonts w:eastAsia="Calibri" w:cstheme="minorHAnsi"/>
                <w:u w:val="single" w:color="000000"/>
              </w:rPr>
              <w:t>określenie</w:t>
            </w:r>
            <w:r w:rsidRPr="003265FD">
              <w:rPr>
                <w:rFonts w:cstheme="minorHAnsi"/>
                <w:u w:val="single" w:color="000000"/>
              </w:rPr>
              <w:t xml:space="preserve"> w </w:t>
            </w:r>
            <w:r w:rsidRPr="003265FD">
              <w:rPr>
                <w:rFonts w:eastAsia="Calibri" w:cstheme="minorHAnsi"/>
                <w:u w:val="single" w:color="000000"/>
              </w:rPr>
              <w:t>treści</w:t>
            </w:r>
            <w:r w:rsidRPr="003265FD">
              <w:rPr>
                <w:rFonts w:cstheme="minorHAnsi"/>
                <w:u w:val="single" w:color="000000"/>
              </w:rPr>
              <w:t xml:space="preserve"> ustawy maksymalnego limitu</w:t>
            </w:r>
            <w:r w:rsidRPr="003265FD">
              <w:rPr>
                <w:rFonts w:cstheme="minorHAnsi"/>
              </w:rPr>
              <w:t xml:space="preserve"> </w:t>
            </w:r>
            <w:r w:rsidRPr="003265FD">
              <w:rPr>
                <w:rFonts w:cstheme="minorHAnsi"/>
                <w:u w:val="single" w:color="000000"/>
              </w:rPr>
              <w:t xml:space="preserve">wydatków nie oznacza automatycznego </w:t>
            </w:r>
            <w:r w:rsidRPr="003265FD">
              <w:rPr>
                <w:rFonts w:eastAsia="Calibri" w:cstheme="minorHAnsi"/>
                <w:u w:val="single" w:color="000000"/>
              </w:rPr>
              <w:t>zwiększenia</w:t>
            </w:r>
            <w:r w:rsidRPr="003265FD">
              <w:rPr>
                <w:rFonts w:cstheme="minorHAnsi"/>
                <w:u w:val="single" w:color="000000"/>
              </w:rPr>
              <w:t xml:space="preserve"> </w:t>
            </w:r>
            <w:r w:rsidRPr="003265FD">
              <w:rPr>
                <w:rFonts w:eastAsia="Calibri" w:cstheme="minorHAnsi"/>
                <w:u w:val="single" w:color="000000"/>
              </w:rPr>
              <w:t>budżetu</w:t>
            </w:r>
            <w:r w:rsidRPr="003265FD">
              <w:rPr>
                <w:rFonts w:cstheme="minorHAnsi"/>
                <w:u w:val="single" w:color="000000"/>
              </w:rPr>
              <w:t xml:space="preserve"> dysponenta o te</w:t>
            </w:r>
            <w:r w:rsidRPr="003265FD">
              <w:rPr>
                <w:rFonts w:cstheme="minorHAnsi"/>
              </w:rPr>
              <w:t xml:space="preserve"> </w:t>
            </w:r>
            <w:r w:rsidRPr="003265FD">
              <w:rPr>
                <w:rFonts w:cstheme="minorHAnsi"/>
                <w:u w:val="single" w:color="000000"/>
              </w:rPr>
              <w:t xml:space="preserve">kwoty w kolejnych latach, lecz z </w:t>
            </w:r>
            <w:r w:rsidRPr="003265FD">
              <w:rPr>
                <w:rFonts w:eastAsia="Calibri" w:cstheme="minorHAnsi"/>
                <w:u w:val="single" w:color="000000"/>
              </w:rPr>
              <w:t>założenia</w:t>
            </w:r>
            <w:r w:rsidRPr="003265FD">
              <w:rPr>
                <w:rFonts w:cstheme="minorHAnsi"/>
                <w:u w:val="single" w:color="000000"/>
              </w:rPr>
              <w:t xml:space="preserve"> ma </w:t>
            </w:r>
            <w:r w:rsidRPr="003265FD">
              <w:rPr>
                <w:rFonts w:eastAsia="Calibri" w:cstheme="minorHAnsi"/>
                <w:u w:val="single" w:color="000000"/>
              </w:rPr>
              <w:t>wspomagać</w:t>
            </w:r>
            <w:r w:rsidRPr="003265FD">
              <w:rPr>
                <w:rFonts w:cstheme="minorHAnsi"/>
                <w:u w:val="single" w:color="000000"/>
              </w:rPr>
              <w:t xml:space="preserve"> jedynie ograniczenie</w:t>
            </w:r>
            <w:r w:rsidRPr="003265FD">
              <w:rPr>
                <w:rFonts w:cstheme="minorHAnsi"/>
              </w:rPr>
              <w:t xml:space="preserve"> </w:t>
            </w:r>
            <w:r w:rsidRPr="003265FD">
              <w:rPr>
                <w:rFonts w:cstheme="minorHAnsi"/>
                <w:u w:val="single" w:color="000000"/>
              </w:rPr>
              <w:t xml:space="preserve">wzrostu wydatków planowanych w dalszym </w:t>
            </w:r>
            <w:r w:rsidRPr="003265FD">
              <w:rPr>
                <w:rFonts w:eastAsia="Calibri" w:cstheme="minorHAnsi"/>
                <w:u w:val="single" w:color="000000"/>
              </w:rPr>
              <w:t>ciągu</w:t>
            </w:r>
            <w:r w:rsidRPr="003265FD">
              <w:rPr>
                <w:rFonts w:cstheme="minorHAnsi"/>
                <w:u w:val="single" w:color="000000"/>
              </w:rPr>
              <w:t xml:space="preserve"> zgodnie z </w:t>
            </w:r>
            <w:r w:rsidRPr="003265FD">
              <w:rPr>
                <w:rFonts w:eastAsia="Calibri" w:cstheme="minorHAnsi"/>
                <w:u w:val="single" w:color="000000"/>
              </w:rPr>
              <w:t>przyjętymi</w:t>
            </w:r>
            <w:r w:rsidRPr="003265FD">
              <w:rPr>
                <w:rFonts w:cstheme="minorHAnsi"/>
                <w:u w:val="single" w:color="000000"/>
              </w:rPr>
              <w:t xml:space="preserve"> przez</w:t>
            </w:r>
            <w:r w:rsidRPr="003265FD">
              <w:rPr>
                <w:rFonts w:cstheme="minorHAnsi"/>
              </w:rPr>
              <w:t xml:space="preserve"> </w:t>
            </w:r>
            <w:r w:rsidRPr="003265FD">
              <w:rPr>
                <w:rFonts w:eastAsia="Calibri" w:cstheme="minorHAnsi"/>
                <w:u w:val="single" w:color="000000"/>
              </w:rPr>
              <w:t>Radę</w:t>
            </w:r>
            <w:r w:rsidRPr="003265FD">
              <w:rPr>
                <w:rFonts w:cstheme="minorHAnsi"/>
                <w:u w:val="single" w:color="000000"/>
              </w:rPr>
              <w:t xml:space="preserve"> Ministrów </w:t>
            </w:r>
            <w:r w:rsidRPr="003265FD">
              <w:rPr>
                <w:rFonts w:eastAsia="Calibri" w:cstheme="minorHAnsi"/>
                <w:u w:val="single" w:color="000000"/>
              </w:rPr>
              <w:t>założeniami</w:t>
            </w:r>
            <w:r w:rsidRPr="003265FD">
              <w:rPr>
                <w:rFonts w:cstheme="minorHAnsi"/>
                <w:u w:val="single" w:color="000000"/>
              </w:rPr>
              <w:t xml:space="preserve"> do projektu </w:t>
            </w:r>
            <w:r w:rsidRPr="003265FD">
              <w:rPr>
                <w:rFonts w:eastAsia="Calibri" w:cstheme="minorHAnsi"/>
                <w:u w:val="single" w:color="000000"/>
              </w:rPr>
              <w:t>budżetu</w:t>
            </w:r>
            <w:r w:rsidRPr="003265FD">
              <w:rPr>
                <w:rFonts w:cstheme="minorHAnsi"/>
                <w:u w:val="single" w:color="000000"/>
              </w:rPr>
              <w:t xml:space="preserve"> </w:t>
            </w:r>
            <w:r w:rsidRPr="003265FD">
              <w:rPr>
                <w:rFonts w:eastAsia="Calibri" w:cstheme="minorHAnsi"/>
                <w:u w:val="single" w:color="000000"/>
              </w:rPr>
              <w:t>państwa</w:t>
            </w:r>
            <w:r w:rsidRPr="003265FD">
              <w:rPr>
                <w:rFonts w:cstheme="minorHAnsi"/>
                <w:u w:val="single" w:color="000000"/>
              </w:rPr>
              <w:t xml:space="preserve"> na dany rok</w:t>
            </w:r>
            <w:r w:rsidRPr="003265FD">
              <w:rPr>
                <w:rFonts w:cstheme="minorHAnsi"/>
              </w:rPr>
              <w:t xml:space="preserve"> </w:t>
            </w:r>
            <w:r w:rsidRPr="003265FD">
              <w:rPr>
                <w:rFonts w:eastAsia="Calibri" w:cstheme="minorHAnsi"/>
                <w:u w:val="single" w:color="000000"/>
              </w:rPr>
              <w:t>budżetowy</w:t>
            </w:r>
            <w:r w:rsidRPr="003265FD">
              <w:rPr>
                <w:rFonts w:cstheme="minorHAnsi"/>
              </w:rPr>
              <w:t>.</w:t>
            </w:r>
          </w:p>
        </w:tc>
        <w:tc>
          <w:tcPr>
            <w:tcW w:w="8741" w:type="dxa"/>
          </w:tcPr>
          <w:p w14:paraId="550ABBD7" w14:textId="77777777" w:rsidR="009F18E2" w:rsidRDefault="009F18E2" w:rsidP="009F18E2">
            <w:pPr>
              <w:jc w:val="both"/>
              <w:rPr>
                <w:rFonts w:eastAsia="Times New Roman" w:cstheme="minorHAnsi"/>
                <w:color w:val="000000"/>
                <w:lang w:eastAsia="pl-PL"/>
              </w:rPr>
            </w:pPr>
            <w:r w:rsidRPr="003265FD">
              <w:rPr>
                <w:rFonts w:eastAsia="Times New Roman" w:cstheme="minorHAnsi"/>
                <w:color w:val="000000"/>
                <w:lang w:eastAsia="pl-PL"/>
              </w:rPr>
              <w:lastRenderedPageBreak/>
              <w:t>Zgodnie z art. 39</w:t>
            </w:r>
            <w:r w:rsidRPr="003265FD">
              <w:rPr>
                <w:rFonts w:cstheme="minorHAnsi"/>
              </w:rPr>
              <w:t xml:space="preserve"> </w:t>
            </w:r>
            <w:r w:rsidRPr="003265FD">
              <w:rPr>
                <w:rFonts w:eastAsia="Times New Roman" w:cstheme="minorHAnsi"/>
                <w:color w:val="000000"/>
                <w:lang w:eastAsia="pl-PL"/>
              </w:rPr>
              <w:t>minister właściwy do spraw wewnętrznych monitoruje wykorzystanie limitu wydatków, o którym mowa w ust. 1 tego przepisu, i dokonuje oceny wykorzystania tego limitu według stanu na koniec każdego półrocza i na koniec każdego roku kalendarzowego jak również w przypadku zagrożenia przekroczeniem lub przekroczenia w danym roku budżetowym limitu wydatków wprowadza mechanizm korygujący polegający na zmniejszeniu wydatków budżetu państwa będących skutkiem finansowym projektowanej ustawy.</w:t>
            </w:r>
          </w:p>
          <w:p w14:paraId="7727591B" w14:textId="78668C70" w:rsidR="006C7940" w:rsidRDefault="006C7940" w:rsidP="00AD0874">
            <w:pPr>
              <w:pStyle w:val="NormalnyWeb"/>
              <w:jc w:val="both"/>
              <w:rPr>
                <w:rFonts w:ascii="Calibri" w:hAnsi="Calibri" w:cs="Calibri"/>
                <w:sz w:val="22"/>
                <w:szCs w:val="22"/>
              </w:rPr>
            </w:pPr>
            <w:r>
              <w:rPr>
                <w:rFonts w:ascii="Calibri" w:hAnsi="Calibri" w:cs="Calibri"/>
                <w:sz w:val="22"/>
                <w:szCs w:val="22"/>
              </w:rPr>
              <w:t xml:space="preserve">W ocenie projektodawcy nie jest zasadne doprecyzowywanie ani enumeratywne wskazywanie szczegółowych warunków, których wystąpienie mogłoby powodować konieczność uruchomienia mechanizmu korygującego. Wprowadzenie zamkniętego katalogu przesłanek uruchomienia mechanizmu korygującego mogłoby prowadzić do nadmiernego usztywnienia regulacji oraz ograniczenia zdolności organu właściwego do podejmowania działań adekwatnych do rzeczywistej sytuacji finansowej państwa. W praktyce bowiem zagrożenie przekroczenia limitu wydatków może wynikać z różnorodnych i trudnych do przewidzenia okoliczności, których nie sposób wyczerpująco określić na etapie tworzenia przepisów. Ponadto, przesłanka w postaci zagrożenia przekroczenia lub przekroczenia limitu wydatków ma charakter obiektywny </w:t>
            </w:r>
            <w:r w:rsidR="00AD0874">
              <w:rPr>
                <w:rFonts w:ascii="Calibri" w:hAnsi="Calibri" w:cs="Calibri"/>
                <w:sz w:val="22"/>
                <w:szCs w:val="22"/>
              </w:rPr>
              <w:br/>
            </w:r>
            <w:r>
              <w:rPr>
                <w:rFonts w:ascii="Calibri" w:hAnsi="Calibri" w:cs="Calibri"/>
                <w:sz w:val="22"/>
                <w:szCs w:val="22"/>
              </w:rPr>
              <w:t xml:space="preserve">i weryfikowalny w oparciu o dane dotyczące wykonania budżetu państwa. Dodatkowe doprecyzowywanie warunków mogłoby prowadzić do powstawania wątpliwości interpretacyjnych, a w konsekwencji opóźniać podjęcie działań korygujących, co byłoby sprzeczne z celem mechanizmu, jakim jest zapewnienie przestrzegania limitów wydatkowych oraz zachowanie równowagi finansów publicznych. Z tych względów pozostawienie ogólnej formuły odnoszącej się do zagrożenia przekroczenia lub przekroczenia limitu wydatków w danym roku budżetowym należy uznać za rozwiązanie optymalne, zapewniające zarówno zgodność </w:t>
            </w:r>
            <w:r w:rsidR="00AD0874">
              <w:rPr>
                <w:rFonts w:ascii="Calibri" w:hAnsi="Calibri" w:cs="Calibri"/>
                <w:sz w:val="22"/>
                <w:szCs w:val="22"/>
              </w:rPr>
              <w:br/>
            </w:r>
            <w:r>
              <w:rPr>
                <w:rFonts w:ascii="Calibri" w:hAnsi="Calibri" w:cs="Calibri"/>
                <w:sz w:val="22"/>
                <w:szCs w:val="22"/>
              </w:rPr>
              <w:t xml:space="preserve">z zasadami racjonalnej gospodarki finansowej, jak i odpowiedni poziom elastyczności </w:t>
            </w:r>
            <w:r w:rsidR="00AD0874">
              <w:rPr>
                <w:rFonts w:ascii="Calibri" w:hAnsi="Calibri" w:cs="Calibri"/>
                <w:sz w:val="22"/>
                <w:szCs w:val="22"/>
              </w:rPr>
              <w:br/>
            </w:r>
            <w:r>
              <w:rPr>
                <w:rFonts w:ascii="Calibri" w:hAnsi="Calibri" w:cs="Calibri"/>
                <w:sz w:val="22"/>
                <w:szCs w:val="22"/>
              </w:rPr>
              <w:t xml:space="preserve">w zarządzaniu środkami publicznymi. </w:t>
            </w:r>
          </w:p>
          <w:p w14:paraId="4191F9E2" w14:textId="77777777" w:rsidR="006C7940" w:rsidRPr="003265FD" w:rsidRDefault="006C7940" w:rsidP="009F18E2">
            <w:pPr>
              <w:jc w:val="both"/>
              <w:rPr>
                <w:rFonts w:eastAsia="Times New Roman" w:cstheme="minorHAnsi"/>
                <w:lang w:eastAsia="pl-PL"/>
              </w:rPr>
            </w:pPr>
          </w:p>
        </w:tc>
      </w:tr>
      <w:tr w:rsidR="00E03E77" w:rsidRPr="003265FD" w14:paraId="3B76180C" w14:textId="77777777" w:rsidTr="00AD0874">
        <w:tc>
          <w:tcPr>
            <w:tcW w:w="421" w:type="dxa"/>
          </w:tcPr>
          <w:p w14:paraId="7382772D" w14:textId="77777777" w:rsidR="00E03E77" w:rsidRPr="003265FD" w:rsidRDefault="009F18E2" w:rsidP="003A4B18">
            <w:pPr>
              <w:spacing w:line="276" w:lineRule="auto"/>
              <w:jc w:val="both"/>
              <w:rPr>
                <w:rFonts w:eastAsia="Times New Roman" w:cstheme="minorHAnsi"/>
                <w:lang w:eastAsia="pl-PL"/>
              </w:rPr>
            </w:pPr>
            <w:r w:rsidRPr="003265FD">
              <w:rPr>
                <w:rFonts w:eastAsia="Times New Roman" w:cstheme="minorHAnsi"/>
                <w:lang w:eastAsia="pl-PL"/>
              </w:rPr>
              <w:t>2</w:t>
            </w:r>
          </w:p>
        </w:tc>
        <w:tc>
          <w:tcPr>
            <w:tcW w:w="1417" w:type="dxa"/>
          </w:tcPr>
          <w:p w14:paraId="6F22E026" w14:textId="77777777" w:rsidR="00E03E77" w:rsidRPr="003265FD" w:rsidRDefault="00E03E77" w:rsidP="003A4B18">
            <w:pPr>
              <w:spacing w:line="276" w:lineRule="auto"/>
              <w:jc w:val="both"/>
              <w:rPr>
                <w:rFonts w:eastAsia="Times New Roman" w:cstheme="minorHAnsi"/>
                <w:lang w:eastAsia="pl-PL"/>
              </w:rPr>
            </w:pPr>
            <w:r w:rsidRPr="003265FD">
              <w:rPr>
                <w:rFonts w:eastAsia="Times New Roman" w:cstheme="minorHAnsi"/>
                <w:lang w:eastAsia="pl-PL"/>
              </w:rPr>
              <w:t>M</w:t>
            </w:r>
            <w:r w:rsidR="007A68BE" w:rsidRPr="003265FD">
              <w:rPr>
                <w:rFonts w:eastAsia="Times New Roman" w:cstheme="minorHAnsi"/>
                <w:lang w:eastAsia="pl-PL"/>
              </w:rPr>
              <w:t xml:space="preserve">inister </w:t>
            </w:r>
            <w:r w:rsidRPr="003265FD">
              <w:rPr>
                <w:rFonts w:eastAsia="Times New Roman" w:cstheme="minorHAnsi"/>
                <w:lang w:eastAsia="pl-PL"/>
              </w:rPr>
              <w:t>F</w:t>
            </w:r>
            <w:r w:rsidR="007A68BE" w:rsidRPr="003265FD">
              <w:rPr>
                <w:rFonts w:eastAsia="Times New Roman" w:cstheme="minorHAnsi"/>
                <w:lang w:eastAsia="pl-PL"/>
              </w:rPr>
              <w:t>inansów</w:t>
            </w:r>
            <w:r w:rsidR="000F570D" w:rsidRPr="003265FD">
              <w:rPr>
                <w:rFonts w:eastAsia="Times New Roman" w:cstheme="minorHAnsi"/>
                <w:lang w:eastAsia="pl-PL"/>
              </w:rPr>
              <w:t xml:space="preserve"> i Gospodarki</w:t>
            </w:r>
          </w:p>
        </w:tc>
        <w:tc>
          <w:tcPr>
            <w:tcW w:w="1276" w:type="dxa"/>
          </w:tcPr>
          <w:p w14:paraId="27FDF3BD" w14:textId="77777777" w:rsidR="00E03E77" w:rsidRPr="003265FD" w:rsidRDefault="00C82659" w:rsidP="003A4B18">
            <w:pPr>
              <w:spacing w:line="276" w:lineRule="auto"/>
              <w:jc w:val="both"/>
              <w:rPr>
                <w:rFonts w:eastAsia="Times New Roman" w:cstheme="minorHAnsi"/>
                <w:lang w:eastAsia="pl-PL"/>
              </w:rPr>
            </w:pPr>
            <w:r w:rsidRPr="003265FD">
              <w:rPr>
                <w:rFonts w:eastAsia="Times New Roman" w:cstheme="minorHAnsi"/>
                <w:lang w:eastAsia="pl-PL"/>
              </w:rPr>
              <w:t>Uwaga Ogólna</w:t>
            </w:r>
            <w:r w:rsidR="002267F4" w:rsidRPr="003265FD">
              <w:rPr>
                <w:rFonts w:eastAsia="Times New Roman" w:cstheme="minorHAnsi"/>
                <w:lang w:eastAsia="pl-PL"/>
              </w:rPr>
              <w:t xml:space="preserve"> do OSR</w:t>
            </w:r>
          </w:p>
        </w:tc>
        <w:tc>
          <w:tcPr>
            <w:tcW w:w="3260" w:type="dxa"/>
          </w:tcPr>
          <w:p w14:paraId="547C5CB8" w14:textId="77777777" w:rsidR="002267F4" w:rsidRPr="003265FD" w:rsidRDefault="002267F4" w:rsidP="00C30D65">
            <w:pPr>
              <w:rPr>
                <w:rFonts w:cstheme="minorHAnsi"/>
              </w:rPr>
            </w:pPr>
            <w:r w:rsidRPr="003265FD">
              <w:rPr>
                <w:rFonts w:cstheme="minorHAnsi"/>
              </w:rPr>
              <w:t xml:space="preserve">Zgodnie z informacjami zawartymi w Ocenie Skutków Regulacji </w:t>
            </w:r>
            <w:r w:rsidRPr="003265FD">
              <w:rPr>
                <w:rFonts w:eastAsia="Calibri" w:cstheme="minorHAnsi"/>
              </w:rPr>
              <w:t>wejście</w:t>
            </w:r>
            <w:r w:rsidRPr="003265FD">
              <w:rPr>
                <w:rFonts w:cstheme="minorHAnsi"/>
              </w:rPr>
              <w:t xml:space="preserve"> w </w:t>
            </w:r>
            <w:r w:rsidRPr="003265FD">
              <w:rPr>
                <w:rFonts w:eastAsia="Calibri" w:cstheme="minorHAnsi"/>
              </w:rPr>
              <w:t>życie</w:t>
            </w:r>
            <w:r w:rsidRPr="003265FD">
              <w:rPr>
                <w:rFonts w:cstheme="minorHAnsi"/>
              </w:rPr>
              <w:t xml:space="preserve"> ustawy </w:t>
            </w:r>
            <w:r w:rsidRPr="003265FD">
              <w:rPr>
                <w:rFonts w:eastAsia="Calibri" w:cstheme="minorHAnsi"/>
              </w:rPr>
              <w:t>wywoła</w:t>
            </w:r>
            <w:r w:rsidRPr="003265FD">
              <w:rPr>
                <w:rFonts w:cstheme="minorHAnsi"/>
              </w:rPr>
              <w:t xml:space="preserve"> istotne skutki finansowe </w:t>
            </w:r>
            <w:r w:rsidRPr="003265FD">
              <w:rPr>
                <w:rFonts w:cstheme="minorHAnsi"/>
              </w:rPr>
              <w:lastRenderedPageBreak/>
              <w:t xml:space="preserve">dla </w:t>
            </w:r>
            <w:r w:rsidRPr="003265FD">
              <w:rPr>
                <w:rFonts w:eastAsia="Calibri" w:cstheme="minorHAnsi"/>
              </w:rPr>
              <w:t>budżetu</w:t>
            </w:r>
            <w:r w:rsidRPr="003265FD">
              <w:rPr>
                <w:rFonts w:cstheme="minorHAnsi"/>
              </w:rPr>
              <w:t xml:space="preserve"> </w:t>
            </w:r>
            <w:r w:rsidRPr="003265FD">
              <w:rPr>
                <w:rFonts w:eastAsia="Calibri" w:cstheme="minorHAnsi"/>
              </w:rPr>
              <w:t>państwa.</w:t>
            </w:r>
            <w:r w:rsidRPr="003265FD">
              <w:rPr>
                <w:rFonts w:cstheme="minorHAnsi"/>
              </w:rPr>
              <w:t xml:space="preserve"> Jak wskazano </w:t>
            </w:r>
            <w:r w:rsidRPr="003265FD">
              <w:rPr>
                <w:rFonts w:eastAsia="Calibri" w:cstheme="minorHAnsi"/>
              </w:rPr>
              <w:t>będzie</w:t>
            </w:r>
            <w:r w:rsidRPr="003265FD">
              <w:rPr>
                <w:rFonts w:cstheme="minorHAnsi"/>
              </w:rPr>
              <w:t xml:space="preserve"> to </w:t>
            </w:r>
            <w:r w:rsidRPr="003265FD">
              <w:rPr>
                <w:rFonts w:eastAsia="Calibri" w:cstheme="minorHAnsi"/>
              </w:rPr>
              <w:t>stanowiło</w:t>
            </w:r>
            <w:r w:rsidRPr="003265FD">
              <w:rPr>
                <w:rFonts w:cstheme="minorHAnsi"/>
              </w:rPr>
              <w:t xml:space="preserve"> </w:t>
            </w:r>
            <w:r w:rsidRPr="003265FD">
              <w:rPr>
                <w:rFonts w:eastAsia="Calibri" w:cstheme="minorHAnsi"/>
              </w:rPr>
              <w:t>podstawę</w:t>
            </w:r>
            <w:r w:rsidRPr="003265FD">
              <w:rPr>
                <w:rFonts w:cstheme="minorHAnsi"/>
              </w:rPr>
              <w:t xml:space="preserve"> do ubiegania </w:t>
            </w:r>
            <w:r w:rsidRPr="003265FD">
              <w:rPr>
                <w:rFonts w:eastAsia="Calibri" w:cstheme="minorHAnsi"/>
              </w:rPr>
              <w:t>się</w:t>
            </w:r>
            <w:r w:rsidRPr="003265FD">
              <w:rPr>
                <w:rFonts w:cstheme="minorHAnsi"/>
              </w:rPr>
              <w:t xml:space="preserve"> o </w:t>
            </w:r>
            <w:r w:rsidRPr="003265FD">
              <w:rPr>
                <w:rFonts w:eastAsia="Calibri" w:cstheme="minorHAnsi"/>
              </w:rPr>
              <w:t>zwiększenie</w:t>
            </w:r>
            <w:r w:rsidRPr="003265FD">
              <w:rPr>
                <w:rFonts w:cstheme="minorHAnsi"/>
              </w:rPr>
              <w:t xml:space="preserve"> limitu wydatków w </w:t>
            </w:r>
            <w:r w:rsidRPr="003265FD">
              <w:rPr>
                <w:rFonts w:eastAsia="Calibri" w:cstheme="minorHAnsi"/>
              </w:rPr>
              <w:t>części</w:t>
            </w:r>
            <w:r w:rsidRPr="003265FD">
              <w:rPr>
                <w:rFonts w:cstheme="minorHAnsi"/>
              </w:rPr>
              <w:t xml:space="preserve"> 42 – Sprawy </w:t>
            </w:r>
            <w:r w:rsidRPr="003265FD">
              <w:rPr>
                <w:rFonts w:eastAsia="Calibri" w:cstheme="minorHAnsi"/>
              </w:rPr>
              <w:t>wewnętrzne.</w:t>
            </w:r>
            <w:r w:rsidRPr="003265FD">
              <w:rPr>
                <w:rFonts w:cstheme="minorHAnsi"/>
              </w:rPr>
              <w:t xml:space="preserve"> </w:t>
            </w:r>
            <w:r w:rsidRPr="003265FD">
              <w:rPr>
                <w:rFonts w:eastAsia="Calibri" w:cstheme="minorHAnsi"/>
                <w:b/>
              </w:rPr>
              <w:t>Nie wskazano jednak źródła ich sfinansowania.</w:t>
            </w:r>
          </w:p>
          <w:p w14:paraId="41FDEE7D" w14:textId="556AEABE" w:rsidR="002267F4" w:rsidRPr="003265FD" w:rsidRDefault="002267F4" w:rsidP="00C30D65">
            <w:pPr>
              <w:rPr>
                <w:rFonts w:cstheme="minorHAnsi"/>
              </w:rPr>
            </w:pPr>
            <w:r w:rsidRPr="003265FD">
              <w:rPr>
                <w:rFonts w:eastAsia="Calibri" w:cstheme="minorHAnsi"/>
              </w:rPr>
              <w:t>Należy</w:t>
            </w:r>
            <w:r w:rsidRPr="003265FD">
              <w:rPr>
                <w:rFonts w:cstheme="minorHAnsi"/>
              </w:rPr>
              <w:t xml:space="preserve"> </w:t>
            </w:r>
            <w:r w:rsidRPr="003265FD">
              <w:rPr>
                <w:rFonts w:eastAsia="Calibri" w:cstheme="minorHAnsi"/>
              </w:rPr>
              <w:t>wskazać,</w:t>
            </w:r>
            <w:r w:rsidRPr="003265FD">
              <w:rPr>
                <w:rFonts w:cstheme="minorHAnsi"/>
              </w:rPr>
              <w:t xml:space="preserve"> </w:t>
            </w:r>
            <w:r w:rsidRPr="003265FD">
              <w:rPr>
                <w:rFonts w:eastAsia="Calibri" w:cstheme="minorHAnsi"/>
              </w:rPr>
              <w:t>że</w:t>
            </w:r>
            <w:r w:rsidRPr="003265FD">
              <w:rPr>
                <w:rFonts w:cstheme="minorHAnsi"/>
              </w:rPr>
              <w:t xml:space="preserve"> nie powinno </w:t>
            </w:r>
            <w:r w:rsidRPr="003265FD">
              <w:rPr>
                <w:rFonts w:eastAsia="Calibri" w:cstheme="minorHAnsi"/>
              </w:rPr>
              <w:t>mieć</w:t>
            </w:r>
            <w:r w:rsidRPr="003265FD">
              <w:rPr>
                <w:rFonts w:cstheme="minorHAnsi"/>
              </w:rPr>
              <w:t xml:space="preserve"> miejsca oczekiwanie </w:t>
            </w:r>
            <w:r w:rsidRPr="003265FD">
              <w:rPr>
                <w:rFonts w:eastAsia="Calibri" w:cstheme="minorHAnsi"/>
              </w:rPr>
              <w:t>dodatkowości</w:t>
            </w:r>
            <w:r w:rsidRPr="003265FD">
              <w:rPr>
                <w:rFonts w:cstheme="minorHAnsi"/>
              </w:rPr>
              <w:t xml:space="preserve"> </w:t>
            </w:r>
            <w:r w:rsidRPr="003265FD">
              <w:rPr>
                <w:rFonts w:eastAsia="Calibri" w:cstheme="minorHAnsi"/>
              </w:rPr>
              <w:t>środków</w:t>
            </w:r>
            <w:r w:rsidRPr="003265FD">
              <w:rPr>
                <w:rFonts w:cstheme="minorHAnsi"/>
              </w:rPr>
              <w:t xml:space="preserve"> i podstawy do </w:t>
            </w:r>
            <w:r w:rsidRPr="003265FD">
              <w:rPr>
                <w:rFonts w:eastAsia="Calibri" w:cstheme="minorHAnsi"/>
              </w:rPr>
              <w:t>zwiększenia</w:t>
            </w:r>
            <w:r w:rsidRPr="003265FD">
              <w:rPr>
                <w:rFonts w:cstheme="minorHAnsi"/>
              </w:rPr>
              <w:t xml:space="preserve"> limitu wydatków </w:t>
            </w:r>
            <w:r w:rsidRPr="003265FD">
              <w:rPr>
                <w:rFonts w:eastAsia="Calibri" w:cstheme="minorHAnsi"/>
              </w:rPr>
              <w:t>właściwych</w:t>
            </w:r>
            <w:r w:rsidRPr="003265FD">
              <w:rPr>
                <w:rFonts w:cstheme="minorHAnsi"/>
              </w:rPr>
              <w:t xml:space="preserve"> dysponentów, bez wskazania </w:t>
            </w:r>
            <w:r w:rsidRPr="003265FD">
              <w:rPr>
                <w:rFonts w:eastAsia="Calibri" w:cstheme="minorHAnsi"/>
              </w:rPr>
              <w:t>oszczędności</w:t>
            </w:r>
            <w:r w:rsidRPr="003265FD">
              <w:rPr>
                <w:rFonts w:cstheme="minorHAnsi"/>
              </w:rPr>
              <w:t xml:space="preserve"> w ramach dotychczasowej przestrzeni wydatkowej. Skutki finansowe </w:t>
            </w:r>
            <w:r w:rsidRPr="003265FD">
              <w:rPr>
                <w:rFonts w:eastAsia="Calibri" w:cstheme="minorHAnsi"/>
              </w:rPr>
              <w:t>wynikające</w:t>
            </w:r>
            <w:r w:rsidRPr="003265FD">
              <w:rPr>
                <w:rFonts w:cstheme="minorHAnsi"/>
              </w:rPr>
              <w:t xml:space="preserve"> z projektowanych </w:t>
            </w:r>
            <w:r w:rsidRPr="003265FD">
              <w:rPr>
                <w:rFonts w:eastAsia="Calibri" w:cstheme="minorHAnsi"/>
              </w:rPr>
              <w:t>rozwiązań</w:t>
            </w:r>
            <w:r w:rsidRPr="003265FD">
              <w:rPr>
                <w:rFonts w:cstheme="minorHAnsi"/>
              </w:rPr>
              <w:t xml:space="preserve"> nie </w:t>
            </w:r>
            <w:r w:rsidRPr="003265FD">
              <w:rPr>
                <w:rFonts w:eastAsia="Calibri" w:cstheme="minorHAnsi"/>
              </w:rPr>
              <w:t>mogą</w:t>
            </w:r>
            <w:r w:rsidRPr="003265FD">
              <w:rPr>
                <w:rFonts w:cstheme="minorHAnsi"/>
              </w:rPr>
              <w:t xml:space="preserve"> dodatkowo </w:t>
            </w:r>
            <w:r w:rsidRPr="003265FD">
              <w:rPr>
                <w:rFonts w:eastAsia="Calibri" w:cstheme="minorHAnsi"/>
              </w:rPr>
              <w:t>obciążać</w:t>
            </w:r>
            <w:r w:rsidRPr="003265FD">
              <w:rPr>
                <w:rFonts w:cstheme="minorHAnsi"/>
              </w:rPr>
              <w:t xml:space="preserve"> </w:t>
            </w:r>
            <w:r w:rsidRPr="003265FD">
              <w:rPr>
                <w:rFonts w:eastAsia="Calibri" w:cstheme="minorHAnsi"/>
              </w:rPr>
              <w:t>budżetu</w:t>
            </w:r>
            <w:r w:rsidRPr="003265FD">
              <w:rPr>
                <w:rFonts w:cstheme="minorHAnsi"/>
              </w:rPr>
              <w:t xml:space="preserve"> </w:t>
            </w:r>
            <w:r w:rsidRPr="003265FD">
              <w:rPr>
                <w:rFonts w:eastAsia="Calibri" w:cstheme="minorHAnsi"/>
              </w:rPr>
              <w:t>państwa</w:t>
            </w:r>
            <w:r w:rsidR="00F20ECF">
              <w:rPr>
                <w:rFonts w:cstheme="minorHAnsi"/>
              </w:rPr>
              <w:t xml:space="preserve"> z </w:t>
            </w:r>
            <w:r w:rsidRPr="003265FD">
              <w:rPr>
                <w:rFonts w:cstheme="minorHAnsi"/>
              </w:rPr>
              <w:t xml:space="preserve">uwagi na ograniczenie przestrzeni wydatkowej na skutek </w:t>
            </w:r>
            <w:r w:rsidRPr="003265FD">
              <w:rPr>
                <w:rFonts w:eastAsia="Calibri" w:cstheme="minorHAnsi"/>
              </w:rPr>
              <w:t>obowiązywania</w:t>
            </w:r>
            <w:r w:rsidRPr="003265FD">
              <w:rPr>
                <w:rFonts w:cstheme="minorHAnsi"/>
              </w:rPr>
              <w:t xml:space="preserve"> </w:t>
            </w:r>
            <w:r w:rsidRPr="003265FD">
              <w:rPr>
                <w:rFonts w:eastAsia="Calibri" w:cstheme="minorHAnsi"/>
              </w:rPr>
              <w:t>stabilizującej</w:t>
            </w:r>
            <w:r w:rsidRPr="003265FD">
              <w:rPr>
                <w:rFonts w:cstheme="minorHAnsi"/>
              </w:rPr>
              <w:t xml:space="preserve"> </w:t>
            </w:r>
            <w:r w:rsidRPr="003265FD">
              <w:rPr>
                <w:rFonts w:eastAsia="Calibri" w:cstheme="minorHAnsi"/>
              </w:rPr>
              <w:t>reguły</w:t>
            </w:r>
            <w:r w:rsidRPr="003265FD">
              <w:rPr>
                <w:rFonts w:cstheme="minorHAnsi"/>
              </w:rPr>
              <w:t xml:space="preserve"> wydatkowej i limitu</w:t>
            </w:r>
            <w:r w:rsidR="00F20ECF">
              <w:rPr>
                <w:rFonts w:cstheme="minorHAnsi"/>
              </w:rPr>
              <w:t xml:space="preserve"> wydatków, o którym mowa w art. 112aa ust. 3 ustawy o </w:t>
            </w:r>
            <w:r w:rsidRPr="003265FD">
              <w:rPr>
                <w:rFonts w:cstheme="minorHAnsi"/>
              </w:rPr>
              <w:t xml:space="preserve">finansach publicznych, jak </w:t>
            </w:r>
            <w:r w:rsidRPr="003265FD">
              <w:rPr>
                <w:rFonts w:eastAsia="Calibri" w:cstheme="minorHAnsi"/>
              </w:rPr>
              <w:t>również</w:t>
            </w:r>
            <w:r w:rsidRPr="003265FD">
              <w:rPr>
                <w:rFonts w:cstheme="minorHAnsi"/>
              </w:rPr>
              <w:t xml:space="preserve"> </w:t>
            </w:r>
            <w:r w:rsidRPr="003265FD">
              <w:rPr>
                <w:rFonts w:eastAsia="Calibri" w:cstheme="minorHAnsi"/>
              </w:rPr>
              <w:t>objęcia</w:t>
            </w:r>
            <w:r w:rsidRPr="003265FD">
              <w:rPr>
                <w:rFonts w:cstheme="minorHAnsi"/>
              </w:rPr>
              <w:t xml:space="preserve"> Polski </w:t>
            </w:r>
            <w:r w:rsidRPr="003265FD">
              <w:rPr>
                <w:rFonts w:eastAsia="Calibri" w:cstheme="minorHAnsi"/>
              </w:rPr>
              <w:t>procedurą</w:t>
            </w:r>
            <w:r w:rsidRPr="003265FD">
              <w:rPr>
                <w:rFonts w:cstheme="minorHAnsi"/>
              </w:rPr>
              <w:t xml:space="preserve"> nadmiernego deficytu (EDP).</w:t>
            </w:r>
          </w:p>
          <w:p w14:paraId="45B2FD9D" w14:textId="77777777" w:rsidR="002267F4" w:rsidRPr="003265FD" w:rsidRDefault="002267F4" w:rsidP="00C30D65">
            <w:pPr>
              <w:rPr>
                <w:rFonts w:cstheme="minorHAnsi"/>
              </w:rPr>
            </w:pPr>
            <w:r w:rsidRPr="003265FD">
              <w:rPr>
                <w:rFonts w:cstheme="minorHAnsi"/>
              </w:rPr>
              <w:t xml:space="preserve">W konsekwencji </w:t>
            </w:r>
            <w:r w:rsidRPr="003265FD">
              <w:rPr>
                <w:rFonts w:eastAsia="Calibri" w:cstheme="minorHAnsi"/>
              </w:rPr>
              <w:t>powyższego</w:t>
            </w:r>
            <w:r w:rsidRPr="003265FD">
              <w:rPr>
                <w:rFonts w:cstheme="minorHAnsi"/>
              </w:rPr>
              <w:t xml:space="preserve"> realizacja projektowanych </w:t>
            </w:r>
            <w:r w:rsidRPr="003265FD">
              <w:rPr>
                <w:rFonts w:eastAsia="Calibri" w:cstheme="minorHAnsi"/>
              </w:rPr>
              <w:t>rozwiązań</w:t>
            </w:r>
            <w:r w:rsidRPr="003265FD">
              <w:rPr>
                <w:rFonts w:cstheme="minorHAnsi"/>
              </w:rPr>
              <w:t xml:space="preserve"> powinna </w:t>
            </w:r>
            <w:r w:rsidRPr="003265FD">
              <w:rPr>
                <w:rFonts w:eastAsia="Calibri" w:cstheme="minorHAnsi"/>
              </w:rPr>
              <w:t>nastąpić</w:t>
            </w:r>
            <w:r w:rsidRPr="003265FD">
              <w:rPr>
                <w:rFonts w:cstheme="minorHAnsi"/>
              </w:rPr>
              <w:t xml:space="preserve"> w pierwszej </w:t>
            </w:r>
            <w:r w:rsidRPr="003265FD">
              <w:rPr>
                <w:rFonts w:eastAsia="Calibri" w:cstheme="minorHAnsi"/>
              </w:rPr>
              <w:t>kolejności</w:t>
            </w:r>
            <w:r w:rsidRPr="003265FD">
              <w:rPr>
                <w:rFonts w:cstheme="minorHAnsi"/>
              </w:rPr>
              <w:t xml:space="preserve"> poprzez </w:t>
            </w:r>
            <w:r w:rsidRPr="003265FD">
              <w:rPr>
                <w:rFonts w:eastAsia="Calibri" w:cstheme="minorHAnsi"/>
              </w:rPr>
              <w:t>analizę</w:t>
            </w:r>
            <w:r w:rsidRPr="003265FD">
              <w:rPr>
                <w:rFonts w:cstheme="minorHAnsi"/>
              </w:rPr>
              <w:t xml:space="preserve"> i </w:t>
            </w:r>
            <w:r w:rsidRPr="003265FD">
              <w:rPr>
                <w:rFonts w:eastAsia="Calibri" w:cstheme="minorHAnsi"/>
              </w:rPr>
              <w:t>racjonalizację</w:t>
            </w:r>
            <w:r w:rsidRPr="003265FD">
              <w:rPr>
                <w:rFonts w:cstheme="minorHAnsi"/>
              </w:rPr>
              <w:t xml:space="preserve"> dotychczas </w:t>
            </w:r>
            <w:r w:rsidRPr="003265FD">
              <w:rPr>
                <w:rFonts w:cstheme="minorHAnsi"/>
              </w:rPr>
              <w:lastRenderedPageBreak/>
              <w:t xml:space="preserve">realizowanych </w:t>
            </w:r>
            <w:r w:rsidRPr="003265FD">
              <w:rPr>
                <w:rFonts w:eastAsia="Calibri" w:cstheme="minorHAnsi"/>
              </w:rPr>
              <w:t>zadań,</w:t>
            </w:r>
            <w:r w:rsidRPr="003265FD">
              <w:rPr>
                <w:rFonts w:cstheme="minorHAnsi"/>
              </w:rPr>
              <w:t xml:space="preserve"> w ramach </w:t>
            </w:r>
            <w:r w:rsidRPr="003265FD">
              <w:rPr>
                <w:rFonts w:eastAsia="Calibri" w:cstheme="minorHAnsi"/>
              </w:rPr>
              <w:t>środków</w:t>
            </w:r>
            <w:r w:rsidRPr="003265FD">
              <w:rPr>
                <w:rFonts w:cstheme="minorHAnsi"/>
              </w:rPr>
              <w:t xml:space="preserve"> </w:t>
            </w:r>
            <w:r w:rsidRPr="003265FD">
              <w:rPr>
                <w:rFonts w:eastAsia="Calibri" w:cstheme="minorHAnsi"/>
              </w:rPr>
              <w:t>pozostających</w:t>
            </w:r>
            <w:r w:rsidRPr="003265FD">
              <w:rPr>
                <w:rFonts w:cstheme="minorHAnsi"/>
              </w:rPr>
              <w:t xml:space="preserve"> w dyspozycji dysponenta </w:t>
            </w:r>
            <w:r w:rsidRPr="003265FD">
              <w:rPr>
                <w:rFonts w:eastAsia="Calibri" w:cstheme="minorHAnsi"/>
              </w:rPr>
              <w:t>części,</w:t>
            </w:r>
            <w:r w:rsidRPr="003265FD">
              <w:rPr>
                <w:rFonts w:cstheme="minorHAnsi"/>
              </w:rPr>
              <w:t xml:space="preserve"> a wnioskowane </w:t>
            </w:r>
            <w:r w:rsidRPr="003265FD">
              <w:rPr>
                <w:rFonts w:eastAsia="Calibri" w:cstheme="minorHAnsi"/>
              </w:rPr>
              <w:t>zwiększenie</w:t>
            </w:r>
            <w:r w:rsidRPr="003265FD">
              <w:rPr>
                <w:rFonts w:cstheme="minorHAnsi"/>
              </w:rPr>
              <w:t xml:space="preserve"> wydatków powinno </w:t>
            </w:r>
            <w:r w:rsidRPr="003265FD">
              <w:rPr>
                <w:rFonts w:eastAsia="Calibri" w:cstheme="minorHAnsi"/>
              </w:rPr>
              <w:t>zostać</w:t>
            </w:r>
            <w:r w:rsidRPr="003265FD">
              <w:rPr>
                <w:rFonts w:cstheme="minorHAnsi"/>
              </w:rPr>
              <w:t xml:space="preserve">  dokonane w ramach </w:t>
            </w:r>
            <w:r w:rsidRPr="003265FD">
              <w:rPr>
                <w:rFonts w:eastAsia="Calibri" w:cstheme="minorHAnsi"/>
              </w:rPr>
              <w:t>oszczędności</w:t>
            </w:r>
            <w:r w:rsidRPr="003265FD">
              <w:rPr>
                <w:rFonts w:cstheme="minorHAnsi"/>
              </w:rPr>
              <w:t xml:space="preserve"> wygospodarowanych w </w:t>
            </w:r>
            <w:r w:rsidRPr="003265FD">
              <w:rPr>
                <w:rFonts w:eastAsia="Calibri" w:cstheme="minorHAnsi"/>
              </w:rPr>
              <w:t>częściach</w:t>
            </w:r>
            <w:r w:rsidRPr="003265FD">
              <w:rPr>
                <w:rFonts w:cstheme="minorHAnsi"/>
              </w:rPr>
              <w:t xml:space="preserve"> </w:t>
            </w:r>
            <w:r w:rsidRPr="003265FD">
              <w:rPr>
                <w:rFonts w:eastAsia="Calibri" w:cstheme="minorHAnsi"/>
              </w:rPr>
              <w:t>budżetowych</w:t>
            </w:r>
            <w:r w:rsidRPr="003265FD">
              <w:rPr>
                <w:rFonts w:cstheme="minorHAnsi"/>
              </w:rPr>
              <w:t xml:space="preserve"> i jednostkach </w:t>
            </w:r>
            <w:r w:rsidRPr="003265FD">
              <w:rPr>
                <w:rFonts w:eastAsia="Calibri" w:cstheme="minorHAnsi"/>
              </w:rPr>
              <w:t>objętych</w:t>
            </w:r>
            <w:r w:rsidRPr="003265FD">
              <w:rPr>
                <w:rFonts w:cstheme="minorHAnsi"/>
              </w:rPr>
              <w:t xml:space="preserve"> SRW </w:t>
            </w:r>
            <w:r w:rsidRPr="003265FD">
              <w:rPr>
                <w:rFonts w:eastAsia="Calibri" w:cstheme="minorHAnsi"/>
              </w:rPr>
              <w:t>zarządzanych</w:t>
            </w:r>
            <w:r w:rsidRPr="003265FD">
              <w:rPr>
                <w:rFonts w:cstheme="minorHAnsi"/>
              </w:rPr>
              <w:t xml:space="preserve"> przez Ministra Spraw </w:t>
            </w:r>
            <w:r w:rsidRPr="003265FD">
              <w:rPr>
                <w:rFonts w:eastAsia="Calibri" w:cstheme="minorHAnsi"/>
              </w:rPr>
              <w:t>Wewnętrznych</w:t>
            </w:r>
            <w:r w:rsidRPr="003265FD">
              <w:rPr>
                <w:rFonts w:cstheme="minorHAnsi"/>
              </w:rPr>
              <w:t xml:space="preserve"> i Administracji.  Nie bez znaczenia pozostaje </w:t>
            </w:r>
            <w:r w:rsidRPr="003265FD">
              <w:rPr>
                <w:rFonts w:eastAsia="Calibri" w:cstheme="minorHAnsi"/>
              </w:rPr>
              <w:t>również</w:t>
            </w:r>
            <w:r w:rsidRPr="003265FD">
              <w:rPr>
                <w:rFonts w:cstheme="minorHAnsi"/>
              </w:rPr>
              <w:t xml:space="preserve"> fakt, </w:t>
            </w:r>
            <w:r w:rsidRPr="003265FD">
              <w:rPr>
                <w:rFonts w:eastAsia="Calibri" w:cstheme="minorHAnsi"/>
              </w:rPr>
              <w:t>że</w:t>
            </w:r>
            <w:r w:rsidRPr="003265FD">
              <w:rPr>
                <w:rFonts w:cstheme="minorHAnsi"/>
              </w:rPr>
              <w:t xml:space="preserve"> system </w:t>
            </w:r>
            <w:proofErr w:type="spellStart"/>
            <w:r w:rsidRPr="003265FD">
              <w:rPr>
                <w:rFonts w:cstheme="minorHAnsi"/>
              </w:rPr>
              <w:t>Eurodac</w:t>
            </w:r>
            <w:proofErr w:type="spellEnd"/>
            <w:r w:rsidRPr="003265FD">
              <w:rPr>
                <w:rFonts w:cstheme="minorHAnsi"/>
              </w:rPr>
              <w:t xml:space="preserve"> funkcjonuje od 15 stycznia 2003 r., a Polska </w:t>
            </w:r>
            <w:r w:rsidRPr="003265FD">
              <w:rPr>
                <w:rFonts w:eastAsia="Calibri" w:cstheme="minorHAnsi"/>
              </w:rPr>
              <w:t>włączyła</w:t>
            </w:r>
            <w:r w:rsidRPr="003265FD">
              <w:rPr>
                <w:rFonts w:cstheme="minorHAnsi"/>
              </w:rPr>
              <w:t xml:space="preserve"> </w:t>
            </w:r>
            <w:r w:rsidRPr="003265FD">
              <w:rPr>
                <w:rFonts w:eastAsia="Calibri" w:cstheme="minorHAnsi"/>
              </w:rPr>
              <w:t>się</w:t>
            </w:r>
            <w:r w:rsidRPr="003265FD">
              <w:rPr>
                <w:rFonts w:cstheme="minorHAnsi"/>
              </w:rPr>
              <w:t xml:space="preserve"> w jego </w:t>
            </w:r>
            <w:r w:rsidRPr="003265FD">
              <w:rPr>
                <w:rFonts w:eastAsia="Calibri" w:cstheme="minorHAnsi"/>
              </w:rPr>
              <w:t>działanie</w:t>
            </w:r>
            <w:r w:rsidRPr="003265FD">
              <w:rPr>
                <w:rFonts w:cstheme="minorHAnsi"/>
              </w:rPr>
              <w:t xml:space="preserve"> z </w:t>
            </w:r>
            <w:r w:rsidRPr="003265FD">
              <w:rPr>
                <w:rFonts w:eastAsia="Calibri" w:cstheme="minorHAnsi"/>
              </w:rPr>
              <w:t>chwilą</w:t>
            </w:r>
            <w:r w:rsidRPr="003265FD">
              <w:rPr>
                <w:rFonts w:cstheme="minorHAnsi"/>
              </w:rPr>
              <w:t xml:space="preserve"> </w:t>
            </w:r>
            <w:r w:rsidRPr="003265FD">
              <w:rPr>
                <w:rFonts w:eastAsia="Calibri" w:cstheme="minorHAnsi"/>
              </w:rPr>
              <w:t>przystąpienia</w:t>
            </w:r>
            <w:r w:rsidRPr="003265FD">
              <w:rPr>
                <w:rFonts w:cstheme="minorHAnsi"/>
              </w:rPr>
              <w:t xml:space="preserve"> do Unii Europejskiej, co </w:t>
            </w:r>
            <w:r w:rsidRPr="003265FD">
              <w:rPr>
                <w:rFonts w:eastAsia="Calibri" w:cstheme="minorHAnsi"/>
              </w:rPr>
              <w:t>także</w:t>
            </w:r>
            <w:r w:rsidRPr="003265FD">
              <w:rPr>
                <w:rFonts w:cstheme="minorHAnsi"/>
              </w:rPr>
              <w:t xml:space="preserve"> nie powinno </w:t>
            </w:r>
            <w:r w:rsidRPr="003265FD">
              <w:rPr>
                <w:rFonts w:eastAsia="Calibri" w:cstheme="minorHAnsi"/>
              </w:rPr>
              <w:t>pozostać</w:t>
            </w:r>
            <w:r w:rsidRPr="003265FD">
              <w:rPr>
                <w:rFonts w:cstheme="minorHAnsi"/>
              </w:rPr>
              <w:t xml:space="preserve"> </w:t>
            </w:r>
            <w:r w:rsidRPr="003265FD">
              <w:rPr>
                <w:rFonts w:eastAsia="Calibri" w:cstheme="minorHAnsi"/>
              </w:rPr>
              <w:t>pominięte</w:t>
            </w:r>
            <w:r w:rsidRPr="003265FD">
              <w:rPr>
                <w:rFonts w:cstheme="minorHAnsi"/>
              </w:rPr>
              <w:t xml:space="preserve"> przy analizie skutków finansowych projektu.</w:t>
            </w:r>
          </w:p>
          <w:p w14:paraId="7EB83F75" w14:textId="77777777" w:rsidR="002267F4" w:rsidRPr="003265FD" w:rsidRDefault="002267F4" w:rsidP="00C30D65">
            <w:pPr>
              <w:ind w:right="-14"/>
              <w:rPr>
                <w:rFonts w:cstheme="minorHAnsi"/>
              </w:rPr>
            </w:pPr>
            <w:r w:rsidRPr="003265FD">
              <w:rPr>
                <w:rFonts w:eastAsia="Calibri" w:cstheme="minorHAnsi"/>
              </w:rPr>
              <w:t>Reasumując,</w:t>
            </w:r>
            <w:r w:rsidRPr="003265FD">
              <w:rPr>
                <w:rFonts w:cstheme="minorHAnsi"/>
              </w:rPr>
              <w:t xml:space="preserve"> informacje zawarte w projekcie </w:t>
            </w:r>
            <w:r w:rsidRPr="003265FD">
              <w:rPr>
                <w:rFonts w:eastAsia="Calibri" w:cstheme="minorHAnsi"/>
              </w:rPr>
              <w:t>wskazują,</w:t>
            </w:r>
            <w:r w:rsidRPr="003265FD">
              <w:rPr>
                <w:rFonts w:cstheme="minorHAnsi"/>
              </w:rPr>
              <w:t xml:space="preserve"> </w:t>
            </w:r>
            <w:r w:rsidRPr="003265FD">
              <w:rPr>
                <w:rFonts w:eastAsia="Calibri" w:cstheme="minorHAnsi"/>
              </w:rPr>
              <w:t>że</w:t>
            </w:r>
            <w:r w:rsidRPr="003265FD">
              <w:rPr>
                <w:rFonts w:cstheme="minorHAnsi"/>
              </w:rPr>
              <w:t xml:space="preserve"> </w:t>
            </w:r>
            <w:r w:rsidRPr="003265FD">
              <w:rPr>
                <w:rFonts w:eastAsia="Calibri" w:cstheme="minorHAnsi"/>
                <w:b/>
                <w:u w:val="single" w:color="000000"/>
              </w:rPr>
              <w:t>przedmiotowy projekt</w:t>
            </w:r>
            <w:r w:rsidRPr="003265FD">
              <w:rPr>
                <w:rFonts w:eastAsia="Calibri" w:cstheme="minorHAnsi"/>
                <w:b/>
              </w:rPr>
              <w:t xml:space="preserve"> </w:t>
            </w:r>
            <w:r w:rsidRPr="003265FD">
              <w:rPr>
                <w:rFonts w:eastAsia="Calibri" w:cstheme="minorHAnsi"/>
                <w:b/>
                <w:u w:val="single" w:color="000000"/>
              </w:rPr>
              <w:t>nie posiada obecnie źródeł sfinansowania, co skutkuje tym, że nie może zostać</w:t>
            </w:r>
            <w:r w:rsidRPr="003265FD">
              <w:rPr>
                <w:rFonts w:eastAsia="Calibri" w:cstheme="minorHAnsi"/>
                <w:b/>
              </w:rPr>
              <w:t xml:space="preserve"> </w:t>
            </w:r>
            <w:r w:rsidRPr="003265FD">
              <w:rPr>
                <w:rFonts w:eastAsia="Calibri" w:cstheme="minorHAnsi"/>
                <w:b/>
                <w:u w:val="single" w:color="000000"/>
              </w:rPr>
              <w:t>przyjęty w zaproponowanym kształcie</w:t>
            </w:r>
            <w:r w:rsidRPr="003265FD">
              <w:rPr>
                <w:rFonts w:cstheme="minorHAnsi"/>
              </w:rPr>
              <w:t>.</w:t>
            </w:r>
          </w:p>
          <w:p w14:paraId="7D675A05" w14:textId="77777777" w:rsidR="00E03E77" w:rsidRPr="003265FD" w:rsidRDefault="002267F4" w:rsidP="002267F4">
            <w:pPr>
              <w:jc w:val="both"/>
              <w:rPr>
                <w:rFonts w:eastAsia="Times New Roman" w:cstheme="minorHAnsi"/>
                <w:lang w:eastAsia="pl-PL"/>
              </w:rPr>
            </w:pPr>
            <w:r w:rsidRPr="003265FD">
              <w:rPr>
                <w:rFonts w:eastAsia="Calibri" w:cstheme="minorHAnsi"/>
              </w:rPr>
              <w:t>Mając</w:t>
            </w:r>
            <w:r w:rsidRPr="003265FD">
              <w:rPr>
                <w:rFonts w:cstheme="minorHAnsi"/>
              </w:rPr>
              <w:t xml:space="preserve"> na </w:t>
            </w:r>
            <w:r w:rsidRPr="003265FD">
              <w:rPr>
                <w:rFonts w:eastAsia="Calibri" w:cstheme="minorHAnsi"/>
              </w:rPr>
              <w:t>względzie</w:t>
            </w:r>
            <w:r w:rsidRPr="003265FD">
              <w:rPr>
                <w:rFonts w:cstheme="minorHAnsi"/>
              </w:rPr>
              <w:t xml:space="preserve"> </w:t>
            </w:r>
            <w:r w:rsidRPr="003265FD">
              <w:rPr>
                <w:rFonts w:eastAsia="Calibri" w:cstheme="minorHAnsi"/>
              </w:rPr>
              <w:t>powyższe,</w:t>
            </w:r>
            <w:r w:rsidRPr="003265FD">
              <w:rPr>
                <w:rFonts w:cstheme="minorHAnsi"/>
              </w:rPr>
              <w:t xml:space="preserve"> w pkt 6 OSR </w:t>
            </w:r>
            <w:r w:rsidRPr="003265FD">
              <w:rPr>
                <w:rFonts w:eastAsia="Calibri" w:cstheme="minorHAnsi"/>
              </w:rPr>
              <w:t>należy</w:t>
            </w:r>
            <w:r w:rsidRPr="003265FD">
              <w:rPr>
                <w:rFonts w:cstheme="minorHAnsi"/>
              </w:rPr>
              <w:t xml:space="preserve"> </w:t>
            </w:r>
            <w:r w:rsidRPr="003265FD">
              <w:rPr>
                <w:rFonts w:eastAsia="Calibri" w:cstheme="minorHAnsi"/>
              </w:rPr>
              <w:t>zawrzeć</w:t>
            </w:r>
            <w:r w:rsidRPr="003265FD">
              <w:rPr>
                <w:rFonts w:cstheme="minorHAnsi"/>
              </w:rPr>
              <w:t xml:space="preserve"> </w:t>
            </w:r>
            <w:r w:rsidRPr="003265FD">
              <w:rPr>
                <w:rFonts w:eastAsia="Calibri" w:cstheme="minorHAnsi"/>
              </w:rPr>
              <w:t>informację</w:t>
            </w:r>
            <w:r w:rsidRPr="003265FD">
              <w:rPr>
                <w:rFonts w:cstheme="minorHAnsi"/>
              </w:rPr>
              <w:t xml:space="preserve"> jednoznacznie </w:t>
            </w:r>
            <w:r w:rsidRPr="003265FD">
              <w:rPr>
                <w:rFonts w:eastAsia="Calibri" w:cstheme="minorHAnsi"/>
              </w:rPr>
              <w:t>wskazującą,</w:t>
            </w:r>
            <w:r w:rsidRPr="003265FD">
              <w:rPr>
                <w:rFonts w:cstheme="minorHAnsi"/>
              </w:rPr>
              <w:t xml:space="preserve"> </w:t>
            </w:r>
            <w:r w:rsidRPr="003265FD">
              <w:rPr>
                <w:rFonts w:eastAsia="Calibri" w:cstheme="minorHAnsi"/>
              </w:rPr>
              <w:t>że</w:t>
            </w:r>
            <w:r w:rsidRPr="003265FD">
              <w:rPr>
                <w:rFonts w:cstheme="minorHAnsi"/>
              </w:rPr>
              <w:t xml:space="preserve"> </w:t>
            </w:r>
            <w:r w:rsidRPr="003265FD">
              <w:rPr>
                <w:rFonts w:eastAsia="Calibri" w:cstheme="minorHAnsi"/>
                <w:b/>
              </w:rPr>
              <w:t xml:space="preserve">wszystkie skutki wynikające z przedmiotowego projektu zostaną sfinansowane w </w:t>
            </w:r>
            <w:r w:rsidRPr="003265FD">
              <w:rPr>
                <w:rFonts w:eastAsia="Calibri" w:cstheme="minorHAnsi"/>
                <w:b/>
              </w:rPr>
              <w:lastRenderedPageBreak/>
              <w:t>ramach limitu wydatków właściwych dysponentów, w tym w ramach limitu wydatków na wynagrodzenia, i nie będą stanowić podstawy do ubiegania się o dodatkowe środki na ten cel z budżetu państwa zarówno w roku wejścia w życie ustawy jak i w latach kolejnych</w:t>
            </w:r>
            <w:r w:rsidRPr="003265FD">
              <w:rPr>
                <w:rFonts w:cstheme="minorHAnsi"/>
              </w:rPr>
              <w:t>.</w:t>
            </w:r>
          </w:p>
        </w:tc>
        <w:tc>
          <w:tcPr>
            <w:tcW w:w="8741" w:type="dxa"/>
          </w:tcPr>
          <w:p w14:paraId="00F56F07" w14:textId="77777777" w:rsidR="002267F4" w:rsidRPr="003265FD" w:rsidRDefault="002267F4" w:rsidP="00C30D65">
            <w:pPr>
              <w:contextualSpacing/>
              <w:jc w:val="both"/>
              <w:rPr>
                <w:rFonts w:eastAsia="Times New Roman" w:cstheme="minorHAnsi"/>
                <w:color w:val="000000"/>
                <w:lang w:eastAsia="pl-PL"/>
              </w:rPr>
            </w:pPr>
            <w:r w:rsidRPr="003265FD">
              <w:rPr>
                <w:rFonts w:eastAsia="Times New Roman" w:cstheme="minorHAnsi"/>
                <w:color w:val="000000"/>
                <w:lang w:eastAsia="pl-PL"/>
              </w:rPr>
              <w:lastRenderedPageBreak/>
              <w:t>W budżecie Ministra Spraw Wewnętrznych i Administracji nie ma środków na realizację zadań przewidzianych w projektowanej regulacji, wobec czego koniecznym jest zwiększenie limitu wydatków w części 42 – Sprawy wewnętrzne.</w:t>
            </w:r>
          </w:p>
          <w:p w14:paraId="62B100BC" w14:textId="25B49C99" w:rsidR="00482220" w:rsidRPr="003265FD" w:rsidRDefault="002267F4" w:rsidP="002267F4">
            <w:pPr>
              <w:jc w:val="both"/>
              <w:rPr>
                <w:rFonts w:eastAsia="Times New Roman" w:cstheme="minorHAnsi"/>
                <w:lang w:eastAsia="pl-PL"/>
              </w:rPr>
            </w:pPr>
            <w:r w:rsidRPr="003265FD">
              <w:rPr>
                <w:rFonts w:eastAsia="Times New Roman" w:cstheme="minorHAnsi"/>
                <w:color w:val="000000"/>
                <w:lang w:eastAsia="pl-PL"/>
              </w:rPr>
              <w:lastRenderedPageBreak/>
              <w:t>W związku ze zgłaszanymi przez podległych dysponentów dodatkowymi potrzebami finansowymi w ramach budżetu części 42 – Sprawy wewnętrzne na rok 2027 i lata kolejne, brak jest możliwości wskazania oszczędności w ramach dotychczasowe</w:t>
            </w:r>
            <w:r w:rsidR="00B362DB">
              <w:rPr>
                <w:rFonts w:eastAsia="Times New Roman" w:cstheme="minorHAnsi"/>
                <w:color w:val="000000"/>
                <w:lang w:eastAsia="pl-PL"/>
              </w:rPr>
              <w:t>j przestrzeni wydatkowej, tj. w </w:t>
            </w:r>
            <w:r w:rsidRPr="003265FD">
              <w:rPr>
                <w:rFonts w:eastAsia="Times New Roman" w:cstheme="minorHAnsi"/>
                <w:color w:val="000000"/>
                <w:lang w:eastAsia="pl-PL"/>
              </w:rPr>
              <w:t>ramach limitu wydatków przyznawanego przez Ministra Finansów i Gospodarki.</w:t>
            </w:r>
          </w:p>
        </w:tc>
      </w:tr>
      <w:tr w:rsidR="009F18E2" w:rsidRPr="003265FD" w14:paraId="11FCB661" w14:textId="77777777" w:rsidTr="00AD0874">
        <w:tc>
          <w:tcPr>
            <w:tcW w:w="421" w:type="dxa"/>
          </w:tcPr>
          <w:p w14:paraId="3C854AF1" w14:textId="77777777" w:rsidR="009F18E2" w:rsidRPr="003265FD" w:rsidRDefault="009F18E2" w:rsidP="009F18E2">
            <w:pPr>
              <w:spacing w:line="276" w:lineRule="auto"/>
              <w:jc w:val="both"/>
              <w:rPr>
                <w:rFonts w:eastAsia="Times New Roman" w:cstheme="minorHAnsi"/>
                <w:lang w:eastAsia="pl-PL"/>
              </w:rPr>
            </w:pPr>
            <w:r w:rsidRPr="003265FD">
              <w:rPr>
                <w:rFonts w:eastAsia="Times New Roman" w:cstheme="minorHAnsi"/>
                <w:lang w:eastAsia="pl-PL"/>
              </w:rPr>
              <w:lastRenderedPageBreak/>
              <w:t>3</w:t>
            </w:r>
          </w:p>
        </w:tc>
        <w:tc>
          <w:tcPr>
            <w:tcW w:w="1417" w:type="dxa"/>
          </w:tcPr>
          <w:p w14:paraId="6098DD6F" w14:textId="77777777" w:rsidR="009F18E2" w:rsidRPr="003265FD" w:rsidRDefault="009F18E2" w:rsidP="009F18E2">
            <w:pPr>
              <w:spacing w:line="276" w:lineRule="auto"/>
              <w:jc w:val="both"/>
              <w:rPr>
                <w:rFonts w:eastAsia="Times New Roman" w:cstheme="minorHAnsi"/>
                <w:lang w:eastAsia="pl-PL"/>
              </w:rPr>
            </w:pPr>
            <w:r w:rsidRPr="003265FD">
              <w:rPr>
                <w:rFonts w:eastAsia="Times New Roman" w:cstheme="minorHAnsi"/>
                <w:lang w:eastAsia="pl-PL"/>
              </w:rPr>
              <w:t>Minister Finansów i Gospodarki</w:t>
            </w:r>
          </w:p>
        </w:tc>
        <w:tc>
          <w:tcPr>
            <w:tcW w:w="1276" w:type="dxa"/>
          </w:tcPr>
          <w:p w14:paraId="6373DC04" w14:textId="77777777" w:rsidR="009F18E2" w:rsidRPr="003265FD" w:rsidRDefault="009F18E2" w:rsidP="009F18E2">
            <w:pPr>
              <w:spacing w:line="276" w:lineRule="auto"/>
              <w:jc w:val="both"/>
              <w:rPr>
                <w:rFonts w:eastAsia="Times New Roman" w:cstheme="minorHAnsi"/>
                <w:lang w:eastAsia="pl-PL"/>
              </w:rPr>
            </w:pPr>
            <w:r w:rsidRPr="003265FD">
              <w:rPr>
                <w:rFonts w:eastAsia="Times New Roman" w:cstheme="minorHAnsi"/>
                <w:lang w:eastAsia="pl-PL"/>
              </w:rPr>
              <w:t>Uwaga ogólna do OSR</w:t>
            </w:r>
          </w:p>
        </w:tc>
        <w:tc>
          <w:tcPr>
            <w:tcW w:w="3260" w:type="dxa"/>
          </w:tcPr>
          <w:p w14:paraId="6ECC667C" w14:textId="454C9F7F" w:rsidR="009F18E2" w:rsidRPr="003265FD" w:rsidRDefault="009F18E2" w:rsidP="00C30D65">
            <w:pPr>
              <w:jc w:val="both"/>
              <w:rPr>
                <w:rFonts w:cstheme="minorHAnsi"/>
              </w:rPr>
            </w:pPr>
            <w:r w:rsidRPr="003265FD">
              <w:rPr>
                <w:rFonts w:cstheme="minorHAnsi"/>
              </w:rPr>
              <w:t xml:space="preserve">Projektodawca </w:t>
            </w:r>
            <w:r w:rsidRPr="003265FD">
              <w:rPr>
                <w:rFonts w:eastAsia="Calibri" w:cstheme="minorHAnsi"/>
              </w:rPr>
              <w:t>zakłada</w:t>
            </w:r>
            <w:r w:rsidRPr="003265FD">
              <w:rPr>
                <w:rFonts w:cstheme="minorHAnsi"/>
              </w:rPr>
              <w:t xml:space="preserve"> ponadto </w:t>
            </w:r>
            <w:r w:rsidRPr="003265FD">
              <w:rPr>
                <w:rFonts w:eastAsia="Calibri" w:cstheme="minorHAnsi"/>
              </w:rPr>
              <w:t>zwiększenie</w:t>
            </w:r>
            <w:r w:rsidR="00F20ECF">
              <w:rPr>
                <w:rFonts w:cstheme="minorHAnsi"/>
              </w:rPr>
              <w:t xml:space="preserve"> etatowe w </w:t>
            </w:r>
            <w:r w:rsidRPr="003265FD">
              <w:rPr>
                <w:rFonts w:cstheme="minorHAnsi"/>
              </w:rPr>
              <w:t xml:space="preserve">Ministerstwie Spraw </w:t>
            </w:r>
            <w:r w:rsidRPr="003265FD">
              <w:rPr>
                <w:rFonts w:eastAsia="Calibri" w:cstheme="minorHAnsi"/>
              </w:rPr>
              <w:t>Wewnętrznych</w:t>
            </w:r>
            <w:r w:rsidRPr="003265FD">
              <w:rPr>
                <w:rFonts w:cstheme="minorHAnsi"/>
              </w:rPr>
              <w:t xml:space="preserve"> i Administracji (2 etaty). </w:t>
            </w:r>
            <w:r w:rsidRPr="003265FD">
              <w:rPr>
                <w:rFonts w:eastAsia="Calibri" w:cstheme="minorHAnsi"/>
              </w:rPr>
              <w:t>Należy</w:t>
            </w:r>
            <w:r w:rsidRPr="003265FD">
              <w:rPr>
                <w:rFonts w:cstheme="minorHAnsi"/>
              </w:rPr>
              <w:t xml:space="preserve"> </w:t>
            </w:r>
            <w:r w:rsidRPr="003265FD">
              <w:rPr>
                <w:rFonts w:eastAsia="Calibri" w:cstheme="minorHAnsi"/>
              </w:rPr>
              <w:t>zauważyć,</w:t>
            </w:r>
            <w:r w:rsidRPr="003265FD">
              <w:rPr>
                <w:rFonts w:cstheme="minorHAnsi"/>
              </w:rPr>
              <w:t xml:space="preserve"> </w:t>
            </w:r>
            <w:r w:rsidRPr="003265FD">
              <w:rPr>
                <w:rFonts w:eastAsia="Calibri" w:cstheme="minorHAnsi"/>
              </w:rPr>
              <w:t>że</w:t>
            </w:r>
            <w:r w:rsidRPr="003265FD">
              <w:rPr>
                <w:rFonts w:cstheme="minorHAnsi"/>
              </w:rPr>
              <w:t xml:space="preserve"> realizacja nowych </w:t>
            </w:r>
            <w:r w:rsidRPr="003265FD">
              <w:rPr>
                <w:rFonts w:eastAsia="Calibri" w:cstheme="minorHAnsi"/>
              </w:rPr>
              <w:t>zadań</w:t>
            </w:r>
            <w:r w:rsidRPr="003265FD">
              <w:rPr>
                <w:rFonts w:cstheme="minorHAnsi"/>
              </w:rPr>
              <w:t xml:space="preserve"> nie zawsze powinna </w:t>
            </w:r>
            <w:r w:rsidRPr="003265FD">
              <w:rPr>
                <w:rFonts w:eastAsia="Calibri" w:cstheme="minorHAnsi"/>
              </w:rPr>
              <w:t>wiązać</w:t>
            </w:r>
            <w:r w:rsidRPr="003265FD">
              <w:rPr>
                <w:rFonts w:cstheme="minorHAnsi"/>
              </w:rPr>
              <w:t xml:space="preserve"> </w:t>
            </w:r>
            <w:r w:rsidRPr="003265FD">
              <w:rPr>
                <w:rFonts w:eastAsia="Calibri" w:cstheme="minorHAnsi"/>
              </w:rPr>
              <w:t>się</w:t>
            </w:r>
            <w:r w:rsidRPr="003265FD">
              <w:rPr>
                <w:rFonts w:cstheme="minorHAnsi"/>
              </w:rPr>
              <w:t xml:space="preserve"> ze wzrostem limitu wydatków oraz automatycznym wzrostem zatrudnienia i wydatków z tym </w:t>
            </w:r>
            <w:r w:rsidRPr="003265FD">
              <w:rPr>
                <w:rFonts w:eastAsia="Calibri" w:cstheme="minorHAnsi"/>
              </w:rPr>
              <w:t>związanych.</w:t>
            </w:r>
            <w:r w:rsidRPr="003265FD">
              <w:rPr>
                <w:rFonts w:cstheme="minorHAnsi"/>
              </w:rPr>
              <w:t xml:space="preserve"> Brak jest </w:t>
            </w:r>
            <w:r w:rsidRPr="003265FD">
              <w:rPr>
                <w:rFonts w:eastAsia="Calibri" w:cstheme="minorHAnsi"/>
              </w:rPr>
              <w:t>również</w:t>
            </w:r>
            <w:r w:rsidRPr="003265FD">
              <w:rPr>
                <w:rFonts w:cstheme="minorHAnsi"/>
              </w:rPr>
              <w:t xml:space="preserve"> informacji na temat </w:t>
            </w:r>
            <w:r w:rsidRPr="003265FD">
              <w:rPr>
                <w:rFonts w:eastAsia="Calibri" w:cstheme="minorHAnsi"/>
              </w:rPr>
              <w:t>możliwości</w:t>
            </w:r>
            <w:r w:rsidRPr="003265FD">
              <w:rPr>
                <w:rFonts w:cstheme="minorHAnsi"/>
              </w:rPr>
              <w:t xml:space="preserve"> realizacji </w:t>
            </w:r>
            <w:r w:rsidRPr="003265FD">
              <w:rPr>
                <w:rFonts w:eastAsia="Calibri" w:cstheme="minorHAnsi"/>
              </w:rPr>
              <w:t>zadań</w:t>
            </w:r>
            <w:r w:rsidRPr="003265FD">
              <w:rPr>
                <w:rFonts w:cstheme="minorHAnsi"/>
              </w:rPr>
              <w:t xml:space="preserve"> w ramach reorganizacji pracy w jednostce, a </w:t>
            </w:r>
            <w:r w:rsidRPr="003265FD">
              <w:rPr>
                <w:rFonts w:eastAsia="Calibri" w:cstheme="minorHAnsi"/>
              </w:rPr>
              <w:t>także</w:t>
            </w:r>
            <w:r w:rsidRPr="003265FD">
              <w:rPr>
                <w:rFonts w:cstheme="minorHAnsi"/>
              </w:rPr>
              <w:t xml:space="preserve"> brak jest </w:t>
            </w:r>
            <w:r w:rsidRPr="003265FD">
              <w:rPr>
                <w:rFonts w:eastAsia="Calibri" w:cstheme="minorHAnsi"/>
              </w:rPr>
              <w:t>szczegółowej</w:t>
            </w:r>
            <w:r w:rsidRPr="003265FD">
              <w:rPr>
                <w:rFonts w:cstheme="minorHAnsi"/>
              </w:rPr>
              <w:t xml:space="preserve"> informacji na temat oszacowania </w:t>
            </w:r>
            <w:r w:rsidRPr="003265FD">
              <w:rPr>
                <w:rFonts w:eastAsia="Calibri" w:cstheme="minorHAnsi"/>
              </w:rPr>
              <w:t>pracochłonności</w:t>
            </w:r>
            <w:r w:rsidRPr="003265FD">
              <w:rPr>
                <w:rFonts w:cstheme="minorHAnsi"/>
              </w:rPr>
              <w:t xml:space="preserve"> nowych </w:t>
            </w:r>
            <w:r w:rsidRPr="003265FD">
              <w:rPr>
                <w:rFonts w:eastAsia="Calibri" w:cstheme="minorHAnsi"/>
              </w:rPr>
              <w:t>zadań.</w:t>
            </w:r>
            <w:r w:rsidRPr="003265FD">
              <w:rPr>
                <w:rFonts w:cstheme="minorHAnsi"/>
              </w:rPr>
              <w:t xml:space="preserve"> Zawarcie w OSR takich informacji jest wymagane na podstawie najnowszych wytycznych Koordynatora Oceny Skutków Regulacji.</w:t>
            </w:r>
          </w:p>
          <w:p w14:paraId="32848581" w14:textId="77777777" w:rsidR="009F18E2" w:rsidRPr="003265FD" w:rsidRDefault="009F18E2" w:rsidP="009F18E2">
            <w:pPr>
              <w:jc w:val="both"/>
              <w:rPr>
                <w:rFonts w:eastAsia="Times New Roman" w:cstheme="minorHAnsi"/>
                <w:lang w:eastAsia="pl-PL"/>
              </w:rPr>
            </w:pPr>
            <w:r w:rsidRPr="003265FD">
              <w:rPr>
                <w:rFonts w:eastAsia="Calibri" w:cstheme="minorHAnsi"/>
                <w:b/>
                <w:u w:val="single" w:color="000000"/>
              </w:rPr>
              <w:t xml:space="preserve">Projektodawca zatem powinien wygospodarować środki </w:t>
            </w:r>
            <w:r w:rsidRPr="003265FD">
              <w:rPr>
                <w:rFonts w:eastAsia="Calibri" w:cstheme="minorHAnsi"/>
                <w:b/>
                <w:u w:val="single" w:color="000000"/>
              </w:rPr>
              <w:lastRenderedPageBreak/>
              <w:t>finansowe</w:t>
            </w:r>
            <w:r w:rsidRPr="003265FD">
              <w:rPr>
                <w:rFonts w:eastAsia="Calibri" w:cstheme="minorHAnsi"/>
                <w:b/>
              </w:rPr>
              <w:t xml:space="preserve"> </w:t>
            </w:r>
            <w:r w:rsidRPr="003265FD">
              <w:rPr>
                <w:rFonts w:eastAsia="Calibri" w:cstheme="minorHAnsi"/>
                <w:b/>
                <w:u w:val="single" w:color="000000"/>
              </w:rPr>
              <w:t>– w ramach zaplanowanych i posiadanych w limicie wydatków środków na</w:t>
            </w:r>
            <w:r w:rsidRPr="003265FD">
              <w:rPr>
                <w:rFonts w:eastAsia="Calibri" w:cstheme="minorHAnsi"/>
                <w:b/>
              </w:rPr>
              <w:t xml:space="preserve"> </w:t>
            </w:r>
            <w:r w:rsidRPr="003265FD">
              <w:rPr>
                <w:rFonts w:eastAsia="Calibri" w:cstheme="minorHAnsi"/>
                <w:b/>
                <w:u w:val="single" w:color="000000"/>
              </w:rPr>
              <w:t>wynagrodzenia i pochodne z przeznaczeniem na nowotworzone stanowiska</w:t>
            </w:r>
            <w:r w:rsidRPr="003265FD">
              <w:rPr>
                <w:rFonts w:eastAsia="Calibri" w:cstheme="minorHAnsi"/>
                <w:b/>
              </w:rPr>
              <w:t xml:space="preserve"> </w:t>
            </w:r>
            <w:r w:rsidRPr="003265FD">
              <w:rPr>
                <w:rFonts w:eastAsia="Calibri" w:cstheme="minorHAnsi"/>
                <w:b/>
                <w:u w:val="single" w:color="000000"/>
              </w:rPr>
              <w:t>pracy, albo zrealizować zadania w ramach posiadanych zasobów kadrowych</w:t>
            </w:r>
            <w:r w:rsidRPr="003265FD">
              <w:rPr>
                <w:rFonts w:cstheme="minorHAnsi"/>
              </w:rPr>
              <w:t>.</w:t>
            </w:r>
          </w:p>
        </w:tc>
        <w:tc>
          <w:tcPr>
            <w:tcW w:w="8741" w:type="dxa"/>
          </w:tcPr>
          <w:p w14:paraId="2102736B" w14:textId="1126AFAF" w:rsidR="009F18E2" w:rsidRPr="003265FD" w:rsidRDefault="009F18E2" w:rsidP="00C30D65">
            <w:pPr>
              <w:jc w:val="both"/>
              <w:rPr>
                <w:rFonts w:eastAsia="Times New Roman" w:cstheme="minorHAnsi"/>
                <w:color w:val="000000"/>
                <w:lang w:eastAsia="pl-PL"/>
              </w:rPr>
            </w:pPr>
            <w:r w:rsidRPr="003265FD">
              <w:rPr>
                <w:rFonts w:eastAsia="Times New Roman" w:cstheme="minorHAnsi"/>
                <w:color w:val="000000"/>
                <w:lang w:eastAsia="pl-PL"/>
              </w:rPr>
              <w:lastRenderedPageBreak/>
              <w:t xml:space="preserve">W ocenie </w:t>
            </w:r>
            <w:r w:rsidR="00B362DB">
              <w:rPr>
                <w:rFonts w:eastAsia="Times New Roman" w:cstheme="minorHAnsi"/>
                <w:color w:val="000000"/>
                <w:lang w:eastAsia="pl-PL"/>
              </w:rPr>
              <w:t>projektodawcy</w:t>
            </w:r>
            <w:r w:rsidRPr="003265FD">
              <w:rPr>
                <w:rFonts w:eastAsia="Times New Roman" w:cstheme="minorHAnsi"/>
                <w:color w:val="000000"/>
                <w:lang w:eastAsia="pl-PL"/>
              </w:rPr>
              <w:t xml:space="preserve"> stanowisko w kwestii możliwości wygospodarowania środków finansowych na 2 nowe etaty – w ramach zaplanowanych i posiadanych w limicie wydatków środków na wynagrodzenia i pochodne albo możliwości zrealizowania zadań w ramach posiadanych zasobów kadrowych, można oszacować korzystając ze sporządzonych posiadanych wyliczeń zastosowanych przy innych systemach wielkoskalowych. W związku z tym można zastosować w tym przypadku analogiczne wyliczenia.</w:t>
            </w:r>
          </w:p>
          <w:p w14:paraId="76128345" w14:textId="142E7DF4" w:rsidR="009F18E2" w:rsidRPr="003265FD" w:rsidRDefault="009F18E2" w:rsidP="00C30D65">
            <w:pPr>
              <w:jc w:val="both"/>
              <w:rPr>
                <w:rFonts w:cstheme="minorHAnsi"/>
              </w:rPr>
            </w:pPr>
            <w:r w:rsidRPr="003265FD">
              <w:rPr>
                <w:rFonts w:cstheme="minorHAnsi"/>
              </w:rPr>
              <w:t xml:space="preserve">Oszacowanie pracochłonności nowych zadań zawarto w Ocenie Skutków Regulacji do projektu </w:t>
            </w:r>
            <w:r w:rsidRPr="003265FD">
              <w:rPr>
                <w:rFonts w:cstheme="minorHAnsi"/>
                <w:i/>
              </w:rPr>
              <w:t>uchwały Rady Ministrów w sprawie częściowego podziału rezerwy celowej na zwiększenia wynagrodzeń wynikających ze zmian organizacyjnych i nowych zadań w państwowych jednostkach budżetowych</w:t>
            </w:r>
            <w:r w:rsidR="008E22CA">
              <w:rPr>
                <w:rFonts w:cstheme="minorHAnsi"/>
                <w:i/>
              </w:rPr>
              <w:t xml:space="preserve"> </w:t>
            </w:r>
            <w:r w:rsidRPr="003265FD">
              <w:rPr>
                <w:rFonts w:cstheme="minorHAnsi"/>
                <w:i/>
              </w:rPr>
              <w:t>w 2025 r</w:t>
            </w:r>
            <w:r w:rsidRPr="003265FD">
              <w:rPr>
                <w:rFonts w:cstheme="minorHAnsi"/>
              </w:rPr>
              <w:t>. obrazującej pracochłonność w zakresie nadzoru nad prawidłowością działania Krajowego Systemu Informatycznego (KSI) oraz Krajowego Systemu Informatycznego do spraw Systemu Wjazdu/Wyjazdu (KSI EES):</w:t>
            </w:r>
          </w:p>
          <w:p w14:paraId="3F42DF22" w14:textId="58E41530" w:rsidR="009F18E2" w:rsidRPr="003265FD" w:rsidRDefault="009F18E2" w:rsidP="00C30D65">
            <w:pPr>
              <w:rPr>
                <w:rFonts w:cstheme="minorHAnsi"/>
              </w:rPr>
            </w:pPr>
            <w:r w:rsidRPr="003265FD">
              <w:rPr>
                <w:rFonts w:cstheme="minorHAnsi"/>
              </w:rPr>
              <w:t>Realizacja zadań wynikających z nadzoru nad wielkoskalowymi systemami informa</w:t>
            </w:r>
            <w:r w:rsidR="00AD0874">
              <w:rPr>
                <w:rFonts w:cstheme="minorHAnsi"/>
              </w:rPr>
              <w:t>cyj</w:t>
            </w:r>
            <w:r w:rsidRPr="003265FD">
              <w:rPr>
                <w:rFonts w:cstheme="minorHAnsi"/>
              </w:rPr>
              <w:t>nymi Unii Europejskiej (2 stanowiska):</w:t>
            </w:r>
          </w:p>
          <w:p w14:paraId="0376F8F1" w14:textId="77777777" w:rsidR="009F18E2" w:rsidRPr="003265FD" w:rsidRDefault="009F18E2" w:rsidP="009F18E2">
            <w:pPr>
              <w:rPr>
                <w:rFonts w:cstheme="minorHAnsi"/>
              </w:rPr>
            </w:pPr>
          </w:p>
          <w:tbl>
            <w:tblPr>
              <w:tblW w:w="7540" w:type="dxa"/>
              <w:tblLayout w:type="fixed"/>
              <w:tblCellMar>
                <w:left w:w="0" w:type="dxa"/>
                <w:right w:w="0" w:type="dxa"/>
              </w:tblCellMar>
              <w:tblLook w:val="04A0" w:firstRow="1" w:lastRow="0" w:firstColumn="1" w:lastColumn="0" w:noHBand="0" w:noVBand="1"/>
            </w:tblPr>
            <w:tblGrid>
              <w:gridCol w:w="3137"/>
              <w:gridCol w:w="4403"/>
            </w:tblGrid>
            <w:tr w:rsidR="009F18E2" w:rsidRPr="003265FD" w14:paraId="73234326" w14:textId="77777777" w:rsidTr="000462BD">
              <w:trPr>
                <w:trHeight w:val="552"/>
              </w:trPr>
              <w:tc>
                <w:tcPr>
                  <w:tcW w:w="313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638E403" w14:textId="77777777" w:rsidR="009F18E2" w:rsidRPr="003265FD" w:rsidRDefault="009F18E2" w:rsidP="00AD0874">
                  <w:pPr>
                    <w:framePr w:hSpace="141" w:wrap="around" w:vAnchor="text" w:hAnchor="margin" w:xAlign="center" w:y="-1071"/>
                    <w:jc w:val="center"/>
                    <w:rPr>
                      <w:rFonts w:cstheme="minorHAnsi"/>
                      <w:smallCaps/>
                      <w:color w:val="000000"/>
                    </w:rPr>
                  </w:pPr>
                  <w:r w:rsidRPr="003265FD">
                    <w:rPr>
                      <w:rFonts w:cstheme="minorHAnsi"/>
                      <w:smallCaps/>
                      <w:color w:val="000000"/>
                    </w:rPr>
                    <w:t>Czynność</w:t>
                  </w:r>
                </w:p>
              </w:tc>
              <w:tc>
                <w:tcPr>
                  <w:tcW w:w="440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F8FEBE1" w14:textId="77777777" w:rsidR="009F18E2" w:rsidRPr="003265FD" w:rsidRDefault="009F18E2" w:rsidP="00AD0874">
                  <w:pPr>
                    <w:framePr w:hSpace="141" w:wrap="around" w:vAnchor="text" w:hAnchor="margin" w:xAlign="center" w:y="-1071"/>
                    <w:jc w:val="center"/>
                    <w:rPr>
                      <w:rFonts w:cstheme="minorHAnsi"/>
                      <w:smallCaps/>
                      <w:color w:val="000000"/>
                    </w:rPr>
                  </w:pPr>
                  <w:r w:rsidRPr="003265FD">
                    <w:rPr>
                      <w:rFonts w:cstheme="minorHAnsi"/>
                      <w:smallCaps/>
                      <w:color w:val="000000"/>
                    </w:rPr>
                    <w:t xml:space="preserve">Pracochłonność </w:t>
                  </w:r>
                </w:p>
                <w:p w14:paraId="5F58F7B2" w14:textId="77777777" w:rsidR="009F18E2" w:rsidRPr="003265FD" w:rsidRDefault="009F18E2" w:rsidP="00AD0874">
                  <w:pPr>
                    <w:framePr w:hSpace="141" w:wrap="around" w:vAnchor="text" w:hAnchor="margin" w:xAlign="center" w:y="-1071"/>
                    <w:jc w:val="center"/>
                    <w:rPr>
                      <w:rFonts w:cstheme="minorHAnsi"/>
                      <w:smallCaps/>
                      <w:color w:val="000000"/>
                    </w:rPr>
                  </w:pPr>
                  <w:r w:rsidRPr="003265FD">
                    <w:rPr>
                      <w:rFonts w:cstheme="minorHAnsi"/>
                      <w:smallCaps/>
                      <w:color w:val="000000"/>
                    </w:rPr>
                    <w:t>w godzinach (rocznie)</w:t>
                  </w:r>
                </w:p>
              </w:tc>
            </w:tr>
            <w:tr w:rsidR="009F18E2" w:rsidRPr="003265FD" w14:paraId="72EC2F94" w14:textId="77777777" w:rsidTr="000462BD">
              <w:trPr>
                <w:trHeight w:val="600"/>
              </w:trPr>
              <w:tc>
                <w:tcPr>
                  <w:tcW w:w="3137"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2AD400B1" w14:textId="77777777" w:rsidR="009F18E2" w:rsidRPr="003265FD" w:rsidRDefault="009F18E2" w:rsidP="00AD0874">
                  <w:pPr>
                    <w:framePr w:hSpace="141" w:wrap="around" w:vAnchor="text" w:hAnchor="margin" w:xAlign="center" w:y="-1071"/>
                    <w:rPr>
                      <w:rFonts w:cstheme="minorHAnsi"/>
                    </w:rPr>
                  </w:pPr>
                  <w:r w:rsidRPr="003265FD">
                    <w:rPr>
                      <w:rFonts w:cstheme="minorHAnsi"/>
                    </w:rPr>
                    <w:t>Koordynacja pracy wielu podmiotów (spotkania, uzgodnienia, raportowanie)</w:t>
                  </w:r>
                </w:p>
              </w:tc>
              <w:tc>
                <w:tcPr>
                  <w:tcW w:w="4403" w:type="dxa"/>
                  <w:tcBorders>
                    <w:top w:val="nil"/>
                    <w:left w:val="nil"/>
                    <w:bottom w:val="single" w:sz="8" w:space="0" w:color="auto"/>
                    <w:right w:val="single" w:sz="8" w:space="0" w:color="auto"/>
                  </w:tcBorders>
                  <w:noWrap/>
                  <w:tcMar>
                    <w:top w:w="0" w:type="dxa"/>
                    <w:left w:w="108" w:type="dxa"/>
                    <w:bottom w:w="0" w:type="dxa"/>
                    <w:right w:w="108" w:type="dxa"/>
                  </w:tcMar>
                  <w:hideMark/>
                </w:tcPr>
                <w:p w14:paraId="222B51C1" w14:textId="77777777" w:rsidR="009F18E2" w:rsidRPr="003265FD" w:rsidRDefault="009F18E2" w:rsidP="00AD0874">
                  <w:pPr>
                    <w:framePr w:hSpace="141" w:wrap="around" w:vAnchor="text" w:hAnchor="margin" w:xAlign="center" w:y="-1071"/>
                    <w:rPr>
                      <w:rFonts w:cstheme="minorHAnsi"/>
                    </w:rPr>
                  </w:pPr>
                  <w:r w:rsidRPr="003265FD">
                    <w:rPr>
                      <w:rFonts w:cstheme="minorHAnsi"/>
                    </w:rPr>
                    <w:t>1012</w:t>
                  </w:r>
                </w:p>
              </w:tc>
            </w:tr>
            <w:tr w:rsidR="009F18E2" w:rsidRPr="003265FD" w14:paraId="774DA11C" w14:textId="77777777" w:rsidTr="000462BD">
              <w:trPr>
                <w:trHeight w:val="600"/>
              </w:trPr>
              <w:tc>
                <w:tcPr>
                  <w:tcW w:w="3137"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69EA3221" w14:textId="77777777" w:rsidR="009F18E2" w:rsidRPr="003265FD" w:rsidRDefault="009F18E2" w:rsidP="00AD0874">
                  <w:pPr>
                    <w:framePr w:hSpace="141" w:wrap="around" w:vAnchor="text" w:hAnchor="margin" w:xAlign="center" w:y="-1071"/>
                    <w:rPr>
                      <w:rFonts w:cstheme="minorHAnsi"/>
                    </w:rPr>
                  </w:pPr>
                  <w:r w:rsidRPr="003265FD">
                    <w:rPr>
                      <w:rFonts w:cstheme="minorHAnsi"/>
                    </w:rPr>
                    <w:lastRenderedPageBreak/>
                    <w:t>Zapewnienie zgodności z regulacjami i procedurami (audyty, zmiany ustaw, aktualizacje)</w:t>
                  </w:r>
                </w:p>
              </w:tc>
              <w:tc>
                <w:tcPr>
                  <w:tcW w:w="4403" w:type="dxa"/>
                  <w:tcBorders>
                    <w:top w:val="nil"/>
                    <w:left w:val="nil"/>
                    <w:bottom w:val="single" w:sz="8" w:space="0" w:color="auto"/>
                    <w:right w:val="single" w:sz="8" w:space="0" w:color="auto"/>
                  </w:tcBorders>
                  <w:noWrap/>
                  <w:tcMar>
                    <w:top w:w="0" w:type="dxa"/>
                    <w:left w:w="108" w:type="dxa"/>
                    <w:bottom w:w="0" w:type="dxa"/>
                    <w:right w:w="108" w:type="dxa"/>
                  </w:tcMar>
                  <w:hideMark/>
                </w:tcPr>
                <w:p w14:paraId="58921572" w14:textId="77777777" w:rsidR="009F18E2" w:rsidRPr="003265FD" w:rsidRDefault="009F18E2" w:rsidP="00AD0874">
                  <w:pPr>
                    <w:framePr w:hSpace="141" w:wrap="around" w:vAnchor="text" w:hAnchor="margin" w:xAlign="center" w:y="-1071"/>
                    <w:rPr>
                      <w:rFonts w:cstheme="minorHAnsi"/>
                    </w:rPr>
                  </w:pPr>
                  <w:r w:rsidRPr="003265FD">
                    <w:rPr>
                      <w:rFonts w:cstheme="minorHAnsi"/>
                    </w:rPr>
                    <w:t>844</w:t>
                  </w:r>
                </w:p>
              </w:tc>
            </w:tr>
            <w:tr w:rsidR="009F18E2" w:rsidRPr="003265FD" w14:paraId="1B0C3271" w14:textId="77777777" w:rsidTr="000462BD">
              <w:trPr>
                <w:trHeight w:val="600"/>
              </w:trPr>
              <w:tc>
                <w:tcPr>
                  <w:tcW w:w="3137"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782AA22F" w14:textId="77777777" w:rsidR="009F18E2" w:rsidRPr="003265FD" w:rsidRDefault="009F18E2" w:rsidP="00AD0874">
                  <w:pPr>
                    <w:framePr w:hSpace="141" w:wrap="around" w:vAnchor="text" w:hAnchor="margin" w:xAlign="center" w:y="-1071"/>
                    <w:rPr>
                      <w:rFonts w:cstheme="minorHAnsi"/>
                    </w:rPr>
                  </w:pPr>
                  <w:r w:rsidRPr="003265FD">
                    <w:rPr>
                      <w:rFonts w:cstheme="minorHAnsi"/>
                    </w:rPr>
                    <w:t>Zarządzanie prawidłowością działania (kryzysy, decyzje, analiza i działania naprawcze)</w:t>
                  </w:r>
                </w:p>
              </w:tc>
              <w:tc>
                <w:tcPr>
                  <w:tcW w:w="4403" w:type="dxa"/>
                  <w:tcBorders>
                    <w:top w:val="nil"/>
                    <w:left w:val="nil"/>
                    <w:bottom w:val="single" w:sz="8" w:space="0" w:color="auto"/>
                    <w:right w:val="single" w:sz="8" w:space="0" w:color="auto"/>
                  </w:tcBorders>
                  <w:noWrap/>
                  <w:tcMar>
                    <w:top w:w="0" w:type="dxa"/>
                    <w:left w:w="108" w:type="dxa"/>
                    <w:bottom w:w="0" w:type="dxa"/>
                    <w:right w:w="108" w:type="dxa"/>
                  </w:tcMar>
                  <w:hideMark/>
                </w:tcPr>
                <w:p w14:paraId="169CDE63" w14:textId="77777777" w:rsidR="009F18E2" w:rsidRPr="003265FD" w:rsidRDefault="009F18E2" w:rsidP="00AD0874">
                  <w:pPr>
                    <w:framePr w:hSpace="141" w:wrap="around" w:vAnchor="text" w:hAnchor="margin" w:xAlign="center" w:y="-1071"/>
                    <w:rPr>
                      <w:rFonts w:cstheme="minorHAnsi"/>
                    </w:rPr>
                  </w:pPr>
                  <w:r w:rsidRPr="003265FD">
                    <w:rPr>
                      <w:rFonts w:cstheme="minorHAnsi"/>
                    </w:rPr>
                    <w:t>674</w:t>
                  </w:r>
                </w:p>
              </w:tc>
            </w:tr>
            <w:tr w:rsidR="009F18E2" w:rsidRPr="003265FD" w14:paraId="4C89F8EB" w14:textId="77777777" w:rsidTr="000462BD">
              <w:trPr>
                <w:trHeight w:val="600"/>
              </w:trPr>
              <w:tc>
                <w:tcPr>
                  <w:tcW w:w="3137"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3DF7CE8D" w14:textId="77777777" w:rsidR="009F18E2" w:rsidRPr="003265FD" w:rsidRDefault="009F18E2" w:rsidP="00AD0874">
                  <w:pPr>
                    <w:framePr w:hSpace="141" w:wrap="around" w:vAnchor="text" w:hAnchor="margin" w:xAlign="center" w:y="-1071"/>
                    <w:rPr>
                      <w:rFonts w:cstheme="minorHAnsi"/>
                    </w:rPr>
                  </w:pPr>
                  <w:r w:rsidRPr="003265FD">
                    <w:rPr>
                      <w:rFonts w:cstheme="minorHAnsi"/>
                    </w:rPr>
                    <w:t xml:space="preserve">Wyznaczanie priorytetów działań i planowanie (uwzględnianie </w:t>
                  </w:r>
                  <w:proofErr w:type="spellStart"/>
                  <w:r w:rsidRPr="003265FD">
                    <w:rPr>
                      <w:rFonts w:cstheme="minorHAnsi"/>
                    </w:rPr>
                    <w:t>ryzyk</w:t>
                  </w:r>
                  <w:proofErr w:type="spellEnd"/>
                  <w:r w:rsidRPr="003265FD">
                    <w:rPr>
                      <w:rFonts w:cstheme="minorHAnsi"/>
                    </w:rPr>
                    <w:t xml:space="preserve"> i skutków)</w:t>
                  </w:r>
                </w:p>
              </w:tc>
              <w:tc>
                <w:tcPr>
                  <w:tcW w:w="4403" w:type="dxa"/>
                  <w:tcBorders>
                    <w:top w:val="nil"/>
                    <w:left w:val="nil"/>
                    <w:bottom w:val="single" w:sz="8" w:space="0" w:color="auto"/>
                    <w:right w:val="single" w:sz="8" w:space="0" w:color="auto"/>
                  </w:tcBorders>
                  <w:noWrap/>
                  <w:tcMar>
                    <w:top w:w="0" w:type="dxa"/>
                    <w:left w:w="108" w:type="dxa"/>
                    <w:bottom w:w="0" w:type="dxa"/>
                    <w:right w:w="108" w:type="dxa"/>
                  </w:tcMar>
                  <w:hideMark/>
                </w:tcPr>
                <w:p w14:paraId="66BBC539" w14:textId="77777777" w:rsidR="009F18E2" w:rsidRPr="003265FD" w:rsidRDefault="009F18E2" w:rsidP="00AD0874">
                  <w:pPr>
                    <w:framePr w:hSpace="141" w:wrap="around" w:vAnchor="text" w:hAnchor="margin" w:xAlign="center" w:y="-1071"/>
                    <w:rPr>
                      <w:rFonts w:cstheme="minorHAnsi"/>
                    </w:rPr>
                  </w:pPr>
                  <w:r w:rsidRPr="003265FD">
                    <w:rPr>
                      <w:rFonts w:cstheme="minorHAnsi"/>
                    </w:rPr>
                    <w:t>506</w:t>
                  </w:r>
                </w:p>
              </w:tc>
            </w:tr>
            <w:tr w:rsidR="009F18E2" w:rsidRPr="003265FD" w14:paraId="23828076" w14:textId="77777777" w:rsidTr="000462BD">
              <w:trPr>
                <w:trHeight w:val="600"/>
              </w:trPr>
              <w:tc>
                <w:tcPr>
                  <w:tcW w:w="3137"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641F27B6" w14:textId="77777777" w:rsidR="009F18E2" w:rsidRPr="003265FD" w:rsidRDefault="009F18E2" w:rsidP="00AD0874">
                  <w:pPr>
                    <w:framePr w:hSpace="141" w:wrap="around" w:vAnchor="text" w:hAnchor="margin" w:xAlign="center" w:y="-1071"/>
                    <w:rPr>
                      <w:rFonts w:cstheme="minorHAnsi"/>
                    </w:rPr>
                  </w:pPr>
                  <w:r w:rsidRPr="003265FD">
                    <w:rPr>
                      <w:rFonts w:cstheme="minorHAnsi"/>
                    </w:rPr>
                    <w:t>Nadzór nad komunikacją między jednostkami (przepływ informacji, testy współpracy)</w:t>
                  </w:r>
                </w:p>
              </w:tc>
              <w:tc>
                <w:tcPr>
                  <w:tcW w:w="4403" w:type="dxa"/>
                  <w:tcBorders>
                    <w:top w:val="nil"/>
                    <w:left w:val="nil"/>
                    <w:bottom w:val="single" w:sz="8" w:space="0" w:color="auto"/>
                    <w:right w:val="single" w:sz="8" w:space="0" w:color="auto"/>
                  </w:tcBorders>
                  <w:noWrap/>
                  <w:tcMar>
                    <w:top w:w="0" w:type="dxa"/>
                    <w:left w:w="108" w:type="dxa"/>
                    <w:bottom w:w="0" w:type="dxa"/>
                    <w:right w:w="108" w:type="dxa"/>
                  </w:tcMar>
                  <w:hideMark/>
                </w:tcPr>
                <w:p w14:paraId="1A4350E1" w14:textId="77777777" w:rsidR="009F18E2" w:rsidRPr="003265FD" w:rsidRDefault="009F18E2" w:rsidP="00AD0874">
                  <w:pPr>
                    <w:framePr w:hSpace="141" w:wrap="around" w:vAnchor="text" w:hAnchor="margin" w:xAlign="center" w:y="-1071"/>
                    <w:rPr>
                      <w:rFonts w:cstheme="minorHAnsi"/>
                    </w:rPr>
                  </w:pPr>
                  <w:r w:rsidRPr="003265FD">
                    <w:rPr>
                      <w:rFonts w:cstheme="minorHAnsi"/>
                    </w:rPr>
                    <w:t>338</w:t>
                  </w:r>
                </w:p>
              </w:tc>
            </w:tr>
            <w:tr w:rsidR="009F18E2" w:rsidRPr="003265FD" w14:paraId="012F89DF" w14:textId="77777777" w:rsidTr="000462BD">
              <w:trPr>
                <w:trHeight w:val="300"/>
              </w:trPr>
              <w:tc>
                <w:tcPr>
                  <w:tcW w:w="313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086F599" w14:textId="77777777" w:rsidR="009F18E2" w:rsidRPr="003265FD" w:rsidRDefault="009F18E2" w:rsidP="00AD0874">
                  <w:pPr>
                    <w:framePr w:hSpace="141" w:wrap="around" w:vAnchor="text" w:hAnchor="margin" w:xAlign="center" w:y="-1071"/>
                    <w:rPr>
                      <w:rFonts w:cstheme="minorHAnsi"/>
                    </w:rPr>
                  </w:pPr>
                  <w:r w:rsidRPr="003265FD">
                    <w:rPr>
                      <w:rFonts w:cstheme="minorHAnsi"/>
                    </w:rPr>
                    <w:t>SUMA</w:t>
                  </w:r>
                </w:p>
              </w:tc>
              <w:tc>
                <w:tcPr>
                  <w:tcW w:w="4403" w:type="dxa"/>
                  <w:tcBorders>
                    <w:top w:val="nil"/>
                    <w:left w:val="nil"/>
                    <w:bottom w:val="single" w:sz="8" w:space="0" w:color="auto"/>
                    <w:right w:val="single" w:sz="8" w:space="0" w:color="auto"/>
                  </w:tcBorders>
                  <w:noWrap/>
                  <w:tcMar>
                    <w:top w:w="0" w:type="dxa"/>
                    <w:left w:w="108" w:type="dxa"/>
                    <w:bottom w:w="0" w:type="dxa"/>
                    <w:right w:w="108" w:type="dxa"/>
                  </w:tcMar>
                  <w:hideMark/>
                </w:tcPr>
                <w:p w14:paraId="3488DA68" w14:textId="77777777" w:rsidR="009F18E2" w:rsidRPr="003265FD" w:rsidRDefault="009F18E2" w:rsidP="00AD0874">
                  <w:pPr>
                    <w:framePr w:hSpace="141" w:wrap="around" w:vAnchor="text" w:hAnchor="margin" w:xAlign="center" w:y="-1071"/>
                    <w:rPr>
                      <w:rFonts w:cstheme="minorHAnsi"/>
                    </w:rPr>
                  </w:pPr>
                  <w:r w:rsidRPr="003265FD">
                    <w:rPr>
                      <w:rFonts w:cstheme="minorHAnsi"/>
                    </w:rPr>
                    <w:t>3372</w:t>
                  </w:r>
                </w:p>
              </w:tc>
            </w:tr>
          </w:tbl>
          <w:p w14:paraId="17C8EB6F" w14:textId="77777777" w:rsidR="009F18E2" w:rsidRPr="003265FD" w:rsidRDefault="009F18E2" w:rsidP="009F18E2">
            <w:pPr>
              <w:spacing w:line="242" w:lineRule="auto"/>
              <w:jc w:val="both"/>
              <w:rPr>
                <w:rFonts w:eastAsia="Times New Roman" w:cstheme="minorHAnsi"/>
                <w:lang w:eastAsia="pl-PL"/>
              </w:rPr>
            </w:pPr>
          </w:p>
        </w:tc>
      </w:tr>
      <w:tr w:rsidR="00E03E77" w:rsidRPr="003265FD" w14:paraId="50D6B180" w14:textId="77777777" w:rsidTr="00AD0874">
        <w:trPr>
          <w:trHeight w:val="666"/>
        </w:trPr>
        <w:tc>
          <w:tcPr>
            <w:tcW w:w="421" w:type="dxa"/>
          </w:tcPr>
          <w:p w14:paraId="452324B2" w14:textId="516F44EA" w:rsidR="00E03E77" w:rsidRPr="003265FD" w:rsidRDefault="00EB6CBC" w:rsidP="003A4B18">
            <w:pPr>
              <w:spacing w:line="276" w:lineRule="auto"/>
              <w:jc w:val="both"/>
              <w:rPr>
                <w:rFonts w:eastAsia="Times New Roman" w:cstheme="minorHAnsi"/>
                <w:lang w:eastAsia="pl-PL"/>
              </w:rPr>
            </w:pPr>
            <w:r>
              <w:rPr>
                <w:rFonts w:eastAsia="Times New Roman" w:cstheme="minorHAnsi"/>
                <w:lang w:eastAsia="pl-PL"/>
              </w:rPr>
              <w:lastRenderedPageBreak/>
              <w:t>4</w:t>
            </w:r>
          </w:p>
        </w:tc>
        <w:tc>
          <w:tcPr>
            <w:tcW w:w="1417" w:type="dxa"/>
          </w:tcPr>
          <w:p w14:paraId="70439DB9" w14:textId="77777777" w:rsidR="00E03E77" w:rsidRPr="003265FD" w:rsidRDefault="00627438" w:rsidP="003A4B18">
            <w:pPr>
              <w:spacing w:line="276" w:lineRule="auto"/>
              <w:jc w:val="both"/>
              <w:rPr>
                <w:rFonts w:eastAsia="Times New Roman" w:cstheme="minorHAnsi"/>
                <w:lang w:eastAsia="pl-PL"/>
              </w:rPr>
            </w:pPr>
            <w:r w:rsidRPr="003265FD">
              <w:rPr>
                <w:rFonts w:eastAsia="Times New Roman" w:cstheme="minorHAnsi"/>
                <w:lang w:eastAsia="pl-PL"/>
              </w:rPr>
              <w:t>M</w:t>
            </w:r>
            <w:r w:rsidR="007A68BE" w:rsidRPr="003265FD">
              <w:rPr>
                <w:rFonts w:eastAsia="Times New Roman" w:cstheme="minorHAnsi"/>
                <w:lang w:eastAsia="pl-PL"/>
              </w:rPr>
              <w:t xml:space="preserve">inister </w:t>
            </w:r>
            <w:r w:rsidRPr="003265FD">
              <w:rPr>
                <w:rFonts w:eastAsia="Times New Roman" w:cstheme="minorHAnsi"/>
                <w:lang w:eastAsia="pl-PL"/>
              </w:rPr>
              <w:t>F</w:t>
            </w:r>
            <w:r w:rsidR="007A68BE" w:rsidRPr="003265FD">
              <w:rPr>
                <w:rFonts w:eastAsia="Times New Roman" w:cstheme="minorHAnsi"/>
                <w:lang w:eastAsia="pl-PL"/>
              </w:rPr>
              <w:t>inansów</w:t>
            </w:r>
            <w:r w:rsidR="000F570D" w:rsidRPr="003265FD">
              <w:rPr>
                <w:rFonts w:eastAsia="Times New Roman" w:cstheme="minorHAnsi"/>
                <w:lang w:eastAsia="pl-PL"/>
              </w:rPr>
              <w:t xml:space="preserve"> i Gospodarki</w:t>
            </w:r>
          </w:p>
        </w:tc>
        <w:tc>
          <w:tcPr>
            <w:tcW w:w="1276" w:type="dxa"/>
          </w:tcPr>
          <w:p w14:paraId="6D06B2F9" w14:textId="621FE0BD" w:rsidR="00E03E77" w:rsidRPr="003265FD" w:rsidRDefault="00F505E9" w:rsidP="003A4B18">
            <w:pPr>
              <w:spacing w:line="276" w:lineRule="auto"/>
              <w:jc w:val="both"/>
              <w:rPr>
                <w:rFonts w:eastAsia="Times New Roman" w:cstheme="minorHAnsi"/>
                <w:lang w:eastAsia="pl-PL"/>
              </w:rPr>
            </w:pPr>
            <w:r>
              <w:rPr>
                <w:rFonts w:eastAsia="Times New Roman" w:cstheme="minorHAnsi"/>
                <w:lang w:eastAsia="pl-PL"/>
              </w:rPr>
              <w:t>Pkt</w:t>
            </w:r>
            <w:r w:rsidR="002267F4" w:rsidRPr="003265FD">
              <w:rPr>
                <w:rFonts w:eastAsia="Times New Roman" w:cstheme="minorHAnsi"/>
                <w:lang w:eastAsia="pl-PL"/>
              </w:rPr>
              <w:t xml:space="preserve"> 6 OSR</w:t>
            </w:r>
          </w:p>
        </w:tc>
        <w:tc>
          <w:tcPr>
            <w:tcW w:w="3260" w:type="dxa"/>
          </w:tcPr>
          <w:p w14:paraId="350CE289" w14:textId="0AAB855B" w:rsidR="003A4B18" w:rsidRPr="003265FD" w:rsidRDefault="002267F4" w:rsidP="00AC0A49">
            <w:pPr>
              <w:jc w:val="both"/>
              <w:rPr>
                <w:rFonts w:eastAsia="Times New Roman" w:cstheme="minorHAnsi"/>
                <w:lang w:eastAsia="pl-PL"/>
              </w:rPr>
            </w:pPr>
            <w:r w:rsidRPr="003265FD">
              <w:rPr>
                <w:rFonts w:cstheme="minorHAnsi"/>
              </w:rPr>
              <w:t xml:space="preserve">Istotne </w:t>
            </w:r>
            <w:r w:rsidRPr="003265FD">
              <w:rPr>
                <w:rFonts w:eastAsia="Calibri" w:cstheme="minorHAnsi"/>
              </w:rPr>
              <w:t>wątpliwości</w:t>
            </w:r>
            <w:r w:rsidRPr="003265FD">
              <w:rPr>
                <w:rFonts w:cstheme="minorHAnsi"/>
              </w:rPr>
              <w:t xml:space="preserve"> </w:t>
            </w:r>
            <w:r w:rsidRPr="003265FD">
              <w:rPr>
                <w:rFonts w:eastAsia="Calibri" w:cstheme="minorHAnsi"/>
              </w:rPr>
              <w:t>budzą</w:t>
            </w:r>
            <w:r w:rsidRPr="003265FD">
              <w:rPr>
                <w:rFonts w:cstheme="minorHAnsi"/>
              </w:rPr>
              <w:t xml:space="preserve"> </w:t>
            </w:r>
            <w:r w:rsidRPr="003265FD">
              <w:rPr>
                <w:rFonts w:eastAsia="Calibri" w:cstheme="minorHAnsi"/>
              </w:rPr>
              <w:t>także</w:t>
            </w:r>
            <w:r w:rsidR="00993DEE">
              <w:rPr>
                <w:rFonts w:cstheme="minorHAnsi"/>
              </w:rPr>
              <w:t xml:space="preserve"> informacje przedstawione w </w:t>
            </w:r>
            <w:r w:rsidRPr="003265FD">
              <w:rPr>
                <w:rFonts w:eastAsia="Calibri" w:cstheme="minorHAnsi"/>
              </w:rPr>
              <w:t>części</w:t>
            </w:r>
            <w:r w:rsidR="00993DEE">
              <w:rPr>
                <w:rFonts w:cstheme="minorHAnsi"/>
              </w:rPr>
              <w:t xml:space="preserve"> opisowej punktu 6 OSR, w </w:t>
            </w:r>
            <w:r w:rsidRPr="003265FD">
              <w:rPr>
                <w:rFonts w:cstheme="minorHAnsi"/>
              </w:rPr>
              <w:t xml:space="preserve">których wskazuje </w:t>
            </w:r>
            <w:r w:rsidRPr="003265FD">
              <w:rPr>
                <w:rFonts w:eastAsia="Calibri" w:cstheme="minorHAnsi"/>
              </w:rPr>
              <w:t>się</w:t>
            </w:r>
            <w:r w:rsidRPr="003265FD">
              <w:rPr>
                <w:rFonts w:cstheme="minorHAnsi"/>
              </w:rPr>
              <w:t xml:space="preserve"> zadania</w:t>
            </w:r>
            <w:r w:rsidRPr="003265FD">
              <w:rPr>
                <w:rFonts w:cstheme="minorHAnsi"/>
                <w:vertAlign w:val="superscript"/>
              </w:rPr>
              <w:footnoteReference w:id="1"/>
            </w:r>
            <w:r w:rsidRPr="003265FD">
              <w:rPr>
                <w:rFonts w:cstheme="minorHAnsi"/>
              </w:rPr>
              <w:t xml:space="preserve">, których wydatkowanie zaplanowane jest na rok 2026. Przede wszystkim </w:t>
            </w:r>
            <w:r w:rsidRPr="003265FD">
              <w:rPr>
                <w:rFonts w:eastAsia="Calibri" w:cstheme="minorHAnsi"/>
              </w:rPr>
              <w:t>należy</w:t>
            </w:r>
            <w:r w:rsidRPr="003265FD">
              <w:rPr>
                <w:rFonts w:cstheme="minorHAnsi"/>
              </w:rPr>
              <w:t xml:space="preserve"> jednoznacznie </w:t>
            </w:r>
            <w:r w:rsidRPr="003265FD">
              <w:rPr>
                <w:rFonts w:eastAsia="Calibri" w:cstheme="minorHAnsi"/>
              </w:rPr>
              <w:t>podkreślić,</w:t>
            </w:r>
            <w:r w:rsidRPr="003265FD">
              <w:rPr>
                <w:rFonts w:cstheme="minorHAnsi"/>
              </w:rPr>
              <w:t xml:space="preserve"> </w:t>
            </w:r>
            <w:r w:rsidRPr="003265FD">
              <w:rPr>
                <w:rFonts w:eastAsia="Calibri" w:cstheme="minorHAnsi"/>
              </w:rPr>
              <w:t>że</w:t>
            </w:r>
            <w:r w:rsidRPr="003265FD">
              <w:rPr>
                <w:rFonts w:cstheme="minorHAnsi"/>
              </w:rPr>
              <w:t xml:space="preserve"> w ustawie </w:t>
            </w:r>
            <w:r w:rsidRPr="003265FD">
              <w:rPr>
                <w:rFonts w:eastAsia="Calibri" w:cstheme="minorHAnsi"/>
              </w:rPr>
              <w:t>budżetowej</w:t>
            </w:r>
            <w:r w:rsidRPr="003265FD">
              <w:rPr>
                <w:rFonts w:cstheme="minorHAnsi"/>
              </w:rPr>
              <w:t xml:space="preserve"> </w:t>
            </w:r>
            <w:r w:rsidRPr="003265FD">
              <w:rPr>
                <w:rFonts w:eastAsia="Calibri" w:cstheme="minorHAnsi"/>
                <w:b/>
                <w:u w:val="single" w:color="000000"/>
              </w:rPr>
              <w:t>na rok 2026 nie zostały zabezpieczone</w:t>
            </w:r>
            <w:r w:rsidRPr="003265FD">
              <w:rPr>
                <w:rFonts w:eastAsia="Calibri" w:cstheme="minorHAnsi"/>
                <w:b/>
              </w:rPr>
              <w:t xml:space="preserve"> </w:t>
            </w:r>
            <w:r w:rsidRPr="003265FD">
              <w:rPr>
                <w:rFonts w:eastAsia="Calibri" w:cstheme="minorHAnsi"/>
                <w:b/>
                <w:u w:val="single" w:color="000000"/>
              </w:rPr>
              <w:t xml:space="preserve">dodatkowe środki z przeznaczeniem na </w:t>
            </w:r>
            <w:r w:rsidRPr="003265FD">
              <w:rPr>
                <w:rFonts w:eastAsia="Calibri" w:cstheme="minorHAnsi"/>
                <w:b/>
                <w:u w:val="single" w:color="000000"/>
              </w:rPr>
              <w:lastRenderedPageBreak/>
              <w:t>sfinansowanie zadań, o których mowa</w:t>
            </w:r>
            <w:r w:rsidRPr="003265FD">
              <w:rPr>
                <w:rFonts w:eastAsia="Calibri" w:cstheme="minorHAnsi"/>
                <w:b/>
              </w:rPr>
              <w:t xml:space="preserve"> </w:t>
            </w:r>
            <w:r w:rsidRPr="003265FD">
              <w:rPr>
                <w:rFonts w:eastAsia="Calibri" w:cstheme="minorHAnsi"/>
                <w:b/>
                <w:u w:val="single" w:color="000000"/>
              </w:rPr>
              <w:t>w przedmiotowym projekcie</w:t>
            </w:r>
            <w:r w:rsidRPr="003265FD">
              <w:rPr>
                <w:rFonts w:cstheme="minorHAnsi"/>
              </w:rPr>
              <w:t xml:space="preserve">. </w:t>
            </w:r>
            <w:r w:rsidRPr="003265FD">
              <w:rPr>
                <w:rFonts w:eastAsia="Calibri" w:cstheme="minorHAnsi"/>
              </w:rPr>
              <w:t>Powyższe</w:t>
            </w:r>
            <w:r w:rsidRPr="003265FD">
              <w:rPr>
                <w:rFonts w:cstheme="minorHAnsi"/>
              </w:rPr>
              <w:t xml:space="preserve"> jednoznacznie wskazuje na </w:t>
            </w:r>
            <w:r w:rsidRPr="003265FD">
              <w:rPr>
                <w:rFonts w:eastAsia="Calibri" w:cstheme="minorHAnsi"/>
              </w:rPr>
              <w:t>dostępną</w:t>
            </w:r>
            <w:r w:rsidRPr="003265FD">
              <w:rPr>
                <w:rFonts w:cstheme="minorHAnsi"/>
              </w:rPr>
              <w:t xml:space="preserve"> </w:t>
            </w:r>
            <w:r w:rsidRPr="003265FD">
              <w:rPr>
                <w:rFonts w:eastAsia="Calibri" w:cstheme="minorHAnsi"/>
              </w:rPr>
              <w:t>przestrzeń</w:t>
            </w:r>
            <w:r w:rsidRPr="003265FD">
              <w:rPr>
                <w:rFonts w:cstheme="minorHAnsi"/>
              </w:rPr>
              <w:t xml:space="preserve"> </w:t>
            </w:r>
            <w:r w:rsidRPr="003265FD">
              <w:rPr>
                <w:rFonts w:eastAsia="Calibri" w:cstheme="minorHAnsi"/>
              </w:rPr>
              <w:t>finansową</w:t>
            </w:r>
            <w:r w:rsidRPr="003265FD">
              <w:rPr>
                <w:rFonts w:cstheme="minorHAnsi"/>
              </w:rPr>
              <w:t xml:space="preserve"> w </w:t>
            </w:r>
            <w:r w:rsidRPr="003265FD">
              <w:rPr>
                <w:rFonts w:eastAsia="Calibri" w:cstheme="minorHAnsi"/>
              </w:rPr>
              <w:t>budżecie</w:t>
            </w:r>
            <w:r w:rsidRPr="003265FD">
              <w:rPr>
                <w:rFonts w:cstheme="minorHAnsi"/>
              </w:rPr>
              <w:t xml:space="preserve"> dysponenta na </w:t>
            </w:r>
            <w:r w:rsidRPr="003265FD">
              <w:rPr>
                <w:rFonts w:eastAsia="Calibri" w:cstheme="minorHAnsi"/>
              </w:rPr>
              <w:t>realizację</w:t>
            </w:r>
            <w:r w:rsidRPr="003265FD">
              <w:rPr>
                <w:rFonts w:cstheme="minorHAnsi"/>
              </w:rPr>
              <w:t xml:space="preserve"> ww. </w:t>
            </w:r>
            <w:r w:rsidRPr="003265FD">
              <w:rPr>
                <w:rFonts w:eastAsia="Calibri" w:cstheme="minorHAnsi"/>
              </w:rPr>
              <w:t>zadań.</w:t>
            </w:r>
            <w:r w:rsidRPr="003265FD">
              <w:rPr>
                <w:rFonts w:cstheme="minorHAnsi"/>
              </w:rPr>
              <w:t xml:space="preserve"> W tym miejscu </w:t>
            </w:r>
            <w:r w:rsidRPr="003265FD">
              <w:rPr>
                <w:rFonts w:eastAsia="Calibri" w:cstheme="minorHAnsi"/>
              </w:rPr>
              <w:t>należy</w:t>
            </w:r>
            <w:r w:rsidRPr="003265FD">
              <w:rPr>
                <w:rFonts w:cstheme="minorHAnsi"/>
              </w:rPr>
              <w:t xml:space="preserve"> </w:t>
            </w:r>
            <w:r w:rsidRPr="003265FD">
              <w:rPr>
                <w:rFonts w:eastAsia="Calibri" w:cstheme="minorHAnsi"/>
              </w:rPr>
              <w:t>zauważyć,</w:t>
            </w:r>
            <w:r w:rsidRPr="003265FD">
              <w:rPr>
                <w:rFonts w:cstheme="minorHAnsi"/>
              </w:rPr>
              <w:t xml:space="preserve"> </w:t>
            </w:r>
            <w:r w:rsidRPr="003265FD">
              <w:rPr>
                <w:rFonts w:eastAsia="Calibri" w:cstheme="minorHAnsi"/>
              </w:rPr>
              <w:t>że</w:t>
            </w:r>
            <w:r w:rsidRPr="003265FD">
              <w:rPr>
                <w:rFonts w:cstheme="minorHAnsi"/>
              </w:rPr>
              <w:t xml:space="preserve"> w </w:t>
            </w:r>
            <w:r w:rsidRPr="003265FD">
              <w:rPr>
                <w:rFonts w:eastAsia="Calibri" w:cstheme="minorHAnsi"/>
              </w:rPr>
              <w:t>materiałach</w:t>
            </w:r>
            <w:r w:rsidRPr="003265FD">
              <w:rPr>
                <w:rFonts w:cstheme="minorHAnsi"/>
              </w:rPr>
              <w:t xml:space="preserve"> przekazanych do opracowania projektu ustawy </w:t>
            </w:r>
            <w:r w:rsidRPr="003265FD">
              <w:rPr>
                <w:rFonts w:eastAsia="Calibri" w:cstheme="minorHAnsi"/>
              </w:rPr>
              <w:t>budżetowej</w:t>
            </w:r>
            <w:r w:rsidRPr="003265FD">
              <w:rPr>
                <w:rFonts w:cstheme="minorHAnsi"/>
              </w:rPr>
              <w:t xml:space="preserve"> na 2026 r., dysponent nie </w:t>
            </w:r>
            <w:r w:rsidRPr="003265FD">
              <w:rPr>
                <w:rFonts w:eastAsia="Calibri" w:cstheme="minorHAnsi"/>
              </w:rPr>
              <w:t>zgłaszał</w:t>
            </w:r>
            <w:r w:rsidRPr="003265FD">
              <w:rPr>
                <w:rFonts w:cstheme="minorHAnsi"/>
              </w:rPr>
              <w:t xml:space="preserve"> </w:t>
            </w:r>
            <w:r w:rsidRPr="003265FD">
              <w:rPr>
                <w:rFonts w:eastAsia="Calibri" w:cstheme="minorHAnsi"/>
              </w:rPr>
              <w:t>konieczności</w:t>
            </w:r>
            <w:r w:rsidRPr="003265FD">
              <w:rPr>
                <w:rFonts w:cstheme="minorHAnsi"/>
              </w:rPr>
              <w:t xml:space="preserve"> zabezpieczenia dodatkowych </w:t>
            </w:r>
            <w:r w:rsidRPr="003265FD">
              <w:rPr>
                <w:rFonts w:eastAsia="Calibri" w:cstheme="minorHAnsi"/>
              </w:rPr>
              <w:t>środków</w:t>
            </w:r>
            <w:r w:rsidRPr="003265FD">
              <w:rPr>
                <w:rFonts w:cstheme="minorHAnsi"/>
              </w:rPr>
              <w:t xml:space="preserve"> z tego </w:t>
            </w:r>
            <w:r w:rsidRPr="003265FD">
              <w:rPr>
                <w:rFonts w:eastAsia="Calibri" w:cstheme="minorHAnsi"/>
              </w:rPr>
              <w:t>tytułu.</w:t>
            </w:r>
          </w:p>
        </w:tc>
        <w:tc>
          <w:tcPr>
            <w:tcW w:w="8741" w:type="dxa"/>
          </w:tcPr>
          <w:p w14:paraId="4A5B60C9" w14:textId="410DC7A0" w:rsidR="002267F4" w:rsidRPr="003265FD" w:rsidRDefault="002267F4" w:rsidP="00C30D65">
            <w:pPr>
              <w:contextualSpacing/>
              <w:jc w:val="both"/>
              <w:rPr>
                <w:rFonts w:eastAsia="Times New Roman" w:cstheme="minorHAnsi"/>
                <w:b/>
                <w:bCs/>
                <w:color w:val="000000"/>
                <w:lang w:eastAsia="pl-PL"/>
              </w:rPr>
            </w:pPr>
            <w:r w:rsidRPr="003265FD">
              <w:rPr>
                <w:rFonts w:cstheme="minorHAnsi"/>
              </w:rPr>
              <w:lastRenderedPageBreak/>
              <w:t xml:space="preserve">Sytuacja związania z finansowaniem wdrożenia systemu wynika z opóźnień w przekazaniu środków unijnych dedykowanych na jego wdrożenie. Od czerwca 2025 r. MSWiA czekało na decyzje dotyczące zapewnienia środków finansowych na </w:t>
            </w:r>
            <w:r w:rsidR="00F20ECF">
              <w:rPr>
                <w:rFonts w:cstheme="minorHAnsi"/>
              </w:rPr>
              <w:t xml:space="preserve">uruchomienie </w:t>
            </w:r>
            <w:proofErr w:type="spellStart"/>
            <w:r w:rsidR="00F20ECF">
              <w:rPr>
                <w:rFonts w:cstheme="minorHAnsi"/>
              </w:rPr>
              <w:t>Eurodac</w:t>
            </w:r>
            <w:proofErr w:type="spellEnd"/>
            <w:r w:rsidR="00F20ECF">
              <w:rPr>
                <w:rFonts w:cstheme="minorHAnsi"/>
              </w:rPr>
              <w:t>. Dopiero w </w:t>
            </w:r>
            <w:r w:rsidRPr="003265FD">
              <w:rPr>
                <w:rFonts w:cstheme="minorHAnsi"/>
              </w:rPr>
              <w:t xml:space="preserve">grudniu 2025 r. MSWiA otrzymało informację, że KE pozytywnie rozpatrzyła przygotowane przez Polskę aneksy do dokumentacji implementującej unijne rozwiązania na rzecz migracji </w:t>
            </w:r>
            <w:r w:rsidR="00AD0874">
              <w:rPr>
                <w:rFonts w:cstheme="minorHAnsi"/>
              </w:rPr>
              <w:br/>
            </w:r>
            <w:r w:rsidRPr="003265FD">
              <w:rPr>
                <w:rFonts w:cstheme="minorHAnsi"/>
              </w:rPr>
              <w:t>i azylu. Nie było zatem możliwości uwzględnienia kosztów w ustawie budżetowej na 2026 rok.</w:t>
            </w:r>
          </w:p>
          <w:p w14:paraId="2E9CCFA5" w14:textId="77777777" w:rsidR="00E03E77" w:rsidRPr="003265FD" w:rsidRDefault="00E03E77" w:rsidP="003A4B18">
            <w:pPr>
              <w:spacing w:line="276" w:lineRule="auto"/>
              <w:jc w:val="both"/>
              <w:rPr>
                <w:rFonts w:eastAsia="Times New Roman" w:cstheme="minorHAnsi"/>
                <w:lang w:eastAsia="pl-PL"/>
              </w:rPr>
            </w:pPr>
          </w:p>
        </w:tc>
      </w:tr>
      <w:tr w:rsidR="00BD4E6A" w:rsidRPr="003265FD" w14:paraId="046DDB48" w14:textId="77777777" w:rsidTr="00CC2220">
        <w:tc>
          <w:tcPr>
            <w:tcW w:w="15115" w:type="dxa"/>
            <w:gridSpan w:val="5"/>
          </w:tcPr>
          <w:p w14:paraId="0F7E8981" w14:textId="4D390C2D" w:rsidR="00FE6BBE" w:rsidRPr="003265FD" w:rsidRDefault="00BD4E6A" w:rsidP="00132D19">
            <w:pPr>
              <w:jc w:val="both"/>
              <w:rPr>
                <w:rFonts w:eastAsia="Times New Roman" w:cstheme="minorHAnsi"/>
                <w:b/>
                <w:lang w:eastAsia="pl-PL"/>
              </w:rPr>
            </w:pPr>
            <w:r w:rsidRPr="003265FD">
              <w:rPr>
                <w:rFonts w:eastAsia="Times New Roman" w:cstheme="minorHAnsi"/>
                <w:b/>
                <w:lang w:eastAsia="pl-PL"/>
              </w:rPr>
              <w:t xml:space="preserve">Projektodawca proponuje, aby rozstrzygnięcie odnośnie do powyższych uwag </w:t>
            </w:r>
            <w:r w:rsidRPr="00993DEE">
              <w:rPr>
                <w:rFonts w:eastAsia="Times New Roman" w:cstheme="minorHAnsi"/>
                <w:b/>
                <w:lang w:eastAsia="pl-PL"/>
              </w:rPr>
              <w:t>zostało pozostawione Stałemu Komitetowi Rady Ministrów.</w:t>
            </w:r>
          </w:p>
        </w:tc>
      </w:tr>
    </w:tbl>
    <w:p w14:paraId="0581FC3A" w14:textId="77777777" w:rsidR="000268B0" w:rsidRPr="003265FD" w:rsidRDefault="000268B0" w:rsidP="00E80AE3">
      <w:pPr>
        <w:rPr>
          <w:rFonts w:cstheme="minorHAnsi"/>
        </w:rPr>
      </w:pPr>
    </w:p>
    <w:sectPr w:rsidR="000268B0" w:rsidRPr="003265FD" w:rsidSect="00C019E3">
      <w:foot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E4215" w14:textId="77777777" w:rsidR="0097339B" w:rsidRDefault="0097339B" w:rsidP="006979F4">
      <w:pPr>
        <w:spacing w:after="0" w:line="240" w:lineRule="auto"/>
      </w:pPr>
      <w:r>
        <w:separator/>
      </w:r>
    </w:p>
  </w:endnote>
  <w:endnote w:type="continuationSeparator" w:id="0">
    <w:p w14:paraId="1BE317ED" w14:textId="77777777" w:rsidR="0097339B" w:rsidRDefault="0097339B" w:rsidP="00697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3706198"/>
      <w:docPartObj>
        <w:docPartGallery w:val="Page Numbers (Bottom of Page)"/>
        <w:docPartUnique/>
      </w:docPartObj>
    </w:sdtPr>
    <w:sdtEndPr/>
    <w:sdtContent>
      <w:p w14:paraId="0B1F9C78" w14:textId="0C1AAA19" w:rsidR="008D683A" w:rsidRDefault="008D683A">
        <w:pPr>
          <w:pStyle w:val="Stopka"/>
          <w:jc w:val="center"/>
        </w:pPr>
        <w:r w:rsidRPr="006F75EF">
          <w:rPr>
            <w:sz w:val="16"/>
            <w:szCs w:val="16"/>
          </w:rPr>
          <w:fldChar w:fldCharType="begin"/>
        </w:r>
        <w:r w:rsidRPr="006F75EF">
          <w:rPr>
            <w:sz w:val="16"/>
            <w:szCs w:val="16"/>
          </w:rPr>
          <w:instrText>PAGE   \* MERGEFORMAT</w:instrText>
        </w:r>
        <w:r w:rsidRPr="006F75EF">
          <w:rPr>
            <w:sz w:val="16"/>
            <w:szCs w:val="16"/>
          </w:rPr>
          <w:fldChar w:fldCharType="separate"/>
        </w:r>
        <w:r w:rsidR="00AD0874">
          <w:rPr>
            <w:noProof/>
            <w:sz w:val="16"/>
            <w:szCs w:val="16"/>
          </w:rPr>
          <w:t>7</w:t>
        </w:r>
        <w:r w:rsidRPr="006F75EF">
          <w:rPr>
            <w:sz w:val="16"/>
            <w:szCs w:val="16"/>
          </w:rPr>
          <w:fldChar w:fldCharType="end"/>
        </w:r>
      </w:p>
    </w:sdtContent>
  </w:sdt>
  <w:p w14:paraId="56C25539" w14:textId="77777777" w:rsidR="008D683A" w:rsidRDefault="008D683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2C54F" w14:textId="77777777" w:rsidR="0097339B" w:rsidRDefault="0097339B" w:rsidP="006979F4">
      <w:pPr>
        <w:spacing w:after="0" w:line="240" w:lineRule="auto"/>
      </w:pPr>
      <w:r>
        <w:separator/>
      </w:r>
    </w:p>
  </w:footnote>
  <w:footnote w:type="continuationSeparator" w:id="0">
    <w:p w14:paraId="7851F8CC" w14:textId="77777777" w:rsidR="0097339B" w:rsidRDefault="0097339B" w:rsidP="006979F4">
      <w:pPr>
        <w:spacing w:after="0" w:line="240" w:lineRule="auto"/>
      </w:pPr>
      <w:r>
        <w:continuationSeparator/>
      </w:r>
    </w:p>
  </w:footnote>
  <w:footnote w:id="1">
    <w:p w14:paraId="45B4A336" w14:textId="77777777" w:rsidR="002267F4" w:rsidRDefault="002267F4" w:rsidP="00AD0874">
      <w:pPr>
        <w:pStyle w:val="footnotedescription"/>
        <w:jc w:val="both"/>
      </w:pPr>
      <w:r>
        <w:rPr>
          <w:rStyle w:val="footnotemark"/>
        </w:rPr>
        <w:footnoteRef/>
      </w:r>
      <w:r>
        <w:t xml:space="preserve"> </w:t>
      </w:r>
      <w:bookmarkStart w:id="0" w:name="_GoBack"/>
      <w:r>
        <w:t xml:space="preserve">dostarczenie przez Wykonawcę dokumentacji projektowych oraz modernizacja/budowa nowej bramy dostępowej (styku) pomiędzy instytucjami uprawnionymi do dostępu do </w:t>
      </w:r>
      <w:proofErr w:type="spellStart"/>
      <w:r>
        <w:t>Eurodac</w:t>
      </w:r>
      <w:proofErr w:type="spellEnd"/>
      <w:r>
        <w:t xml:space="preserve"> </w:t>
      </w:r>
      <w:proofErr w:type="spellStart"/>
      <w:r>
        <w:t>Recast</w:t>
      </w:r>
      <w:proofErr w:type="spellEnd"/>
      <w:r>
        <w:t xml:space="preserve"> w infrastrukturze Biura Łączności i Informatyki Komendy Głównej Policji</w:t>
      </w:r>
      <w:bookmarkEnd w:id="0"/>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28C"/>
    <w:multiLevelType w:val="multilevel"/>
    <w:tmpl w:val="95BCE5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7D388A"/>
    <w:multiLevelType w:val="hybridMultilevel"/>
    <w:tmpl w:val="D80830BC"/>
    <w:lvl w:ilvl="0" w:tplc="1C5EBE96">
      <w:start w:val="1"/>
      <w:numFmt w:val="decimal"/>
      <w:lvlText w:val="%1."/>
      <w:lvlJc w:val="left"/>
      <w:pPr>
        <w:ind w:left="502" w:hanging="360"/>
      </w:pPr>
      <w:rPr>
        <w:i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7E03BD8"/>
    <w:multiLevelType w:val="hybridMultilevel"/>
    <w:tmpl w:val="AD6ED5A4"/>
    <w:lvl w:ilvl="0" w:tplc="EAA8D1A2">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B25313A"/>
    <w:multiLevelType w:val="hybridMultilevel"/>
    <w:tmpl w:val="46C2D52A"/>
    <w:lvl w:ilvl="0" w:tplc="BE7AD0D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C3154E8"/>
    <w:multiLevelType w:val="hybridMultilevel"/>
    <w:tmpl w:val="30AEF776"/>
    <w:lvl w:ilvl="0" w:tplc="3508EE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A23A2F"/>
    <w:multiLevelType w:val="hybridMultilevel"/>
    <w:tmpl w:val="19F4F2D8"/>
    <w:lvl w:ilvl="0" w:tplc="3B5EEA04">
      <w:start w:val="1"/>
      <w:numFmt w:val="decimal"/>
      <w:lvlText w:val="%1."/>
      <w:lvlJc w:val="left"/>
      <w:pPr>
        <w:ind w:left="960" w:hanging="60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E422E0"/>
    <w:multiLevelType w:val="hybridMultilevel"/>
    <w:tmpl w:val="AD6ED5A4"/>
    <w:lvl w:ilvl="0" w:tplc="EAA8D1A2">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10AB33B9"/>
    <w:multiLevelType w:val="hybridMultilevel"/>
    <w:tmpl w:val="CBA04C34"/>
    <w:lvl w:ilvl="0" w:tplc="FCB0B304">
      <w:start w:val="1"/>
      <w:numFmt w:val="decimal"/>
      <w:lvlText w:val="%1."/>
      <w:lvlJc w:val="left"/>
      <w:pPr>
        <w:ind w:left="720" w:hanging="360"/>
      </w:pPr>
      <w:rPr>
        <w:rFonts w:ascii="Calibri" w:eastAsia="Times New Roman" w:hAnsi="Calibri" w:cs="Calibri" w:hint="default"/>
        <w:b/>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42C0AA3"/>
    <w:multiLevelType w:val="multilevel"/>
    <w:tmpl w:val="74E4A8A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8B5A25"/>
    <w:multiLevelType w:val="hybridMultilevel"/>
    <w:tmpl w:val="46C2D52A"/>
    <w:lvl w:ilvl="0" w:tplc="BE7AD0D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EA25BBF"/>
    <w:multiLevelType w:val="hybridMultilevel"/>
    <w:tmpl w:val="F0A472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700BFA"/>
    <w:multiLevelType w:val="hybridMultilevel"/>
    <w:tmpl w:val="02A4CEA6"/>
    <w:lvl w:ilvl="0" w:tplc="CF7AFDB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2" w15:restartNumberingAfterBreak="0">
    <w:nsid w:val="28075438"/>
    <w:multiLevelType w:val="hybridMultilevel"/>
    <w:tmpl w:val="E5F200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F41E88"/>
    <w:multiLevelType w:val="hybridMultilevel"/>
    <w:tmpl w:val="1D7EC5A8"/>
    <w:lvl w:ilvl="0" w:tplc="802A525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2CDD4C63"/>
    <w:multiLevelType w:val="hybridMultilevel"/>
    <w:tmpl w:val="DDA48F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4C4B4D"/>
    <w:multiLevelType w:val="hybridMultilevel"/>
    <w:tmpl w:val="292A9F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BF7507"/>
    <w:multiLevelType w:val="hybridMultilevel"/>
    <w:tmpl w:val="C2C473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89469A"/>
    <w:multiLevelType w:val="hybridMultilevel"/>
    <w:tmpl w:val="67EAE4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E807C9"/>
    <w:multiLevelType w:val="hybridMultilevel"/>
    <w:tmpl w:val="AF7EF71E"/>
    <w:lvl w:ilvl="0" w:tplc="30D6FC7A">
      <w:start w:val="19"/>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4739CB"/>
    <w:multiLevelType w:val="hybridMultilevel"/>
    <w:tmpl w:val="A308FA34"/>
    <w:lvl w:ilvl="0" w:tplc="7B7CC8E2">
      <w:start w:val="1"/>
      <w:numFmt w:val="lowerLetter"/>
      <w:lvlText w:val="%1)"/>
      <w:lvlJc w:val="left"/>
      <w:pPr>
        <w:ind w:left="690" w:hanging="360"/>
      </w:pPr>
      <w:rPr>
        <w:rFonts w:cs="Times New Roman" w:hint="default"/>
        <w:b w:val="0"/>
      </w:rPr>
    </w:lvl>
    <w:lvl w:ilvl="1" w:tplc="04150017">
      <w:start w:val="1"/>
      <w:numFmt w:val="lowerLetter"/>
      <w:lvlText w:val="%2)"/>
      <w:lvlJc w:val="left"/>
      <w:pPr>
        <w:ind w:left="1410" w:hanging="360"/>
      </w:pPr>
    </w:lvl>
    <w:lvl w:ilvl="2" w:tplc="0415001B" w:tentative="1">
      <w:start w:val="1"/>
      <w:numFmt w:val="lowerRoman"/>
      <w:lvlText w:val="%3."/>
      <w:lvlJc w:val="right"/>
      <w:pPr>
        <w:ind w:left="2130" w:hanging="180"/>
      </w:pPr>
      <w:rPr>
        <w:rFonts w:cs="Times New Roman"/>
      </w:rPr>
    </w:lvl>
    <w:lvl w:ilvl="3" w:tplc="0415000F" w:tentative="1">
      <w:start w:val="1"/>
      <w:numFmt w:val="decimal"/>
      <w:lvlText w:val="%4."/>
      <w:lvlJc w:val="left"/>
      <w:pPr>
        <w:ind w:left="2850" w:hanging="360"/>
      </w:pPr>
      <w:rPr>
        <w:rFonts w:cs="Times New Roman"/>
      </w:rPr>
    </w:lvl>
    <w:lvl w:ilvl="4" w:tplc="04150019" w:tentative="1">
      <w:start w:val="1"/>
      <w:numFmt w:val="lowerLetter"/>
      <w:lvlText w:val="%5."/>
      <w:lvlJc w:val="left"/>
      <w:pPr>
        <w:ind w:left="3570" w:hanging="360"/>
      </w:pPr>
      <w:rPr>
        <w:rFonts w:cs="Times New Roman"/>
      </w:rPr>
    </w:lvl>
    <w:lvl w:ilvl="5" w:tplc="0415001B" w:tentative="1">
      <w:start w:val="1"/>
      <w:numFmt w:val="lowerRoman"/>
      <w:lvlText w:val="%6."/>
      <w:lvlJc w:val="right"/>
      <w:pPr>
        <w:ind w:left="4290" w:hanging="180"/>
      </w:pPr>
      <w:rPr>
        <w:rFonts w:cs="Times New Roman"/>
      </w:rPr>
    </w:lvl>
    <w:lvl w:ilvl="6" w:tplc="0415000F" w:tentative="1">
      <w:start w:val="1"/>
      <w:numFmt w:val="decimal"/>
      <w:lvlText w:val="%7."/>
      <w:lvlJc w:val="left"/>
      <w:pPr>
        <w:ind w:left="5010" w:hanging="360"/>
      </w:pPr>
      <w:rPr>
        <w:rFonts w:cs="Times New Roman"/>
      </w:rPr>
    </w:lvl>
    <w:lvl w:ilvl="7" w:tplc="04150019" w:tentative="1">
      <w:start w:val="1"/>
      <w:numFmt w:val="lowerLetter"/>
      <w:lvlText w:val="%8."/>
      <w:lvlJc w:val="left"/>
      <w:pPr>
        <w:ind w:left="5730" w:hanging="360"/>
      </w:pPr>
      <w:rPr>
        <w:rFonts w:cs="Times New Roman"/>
      </w:rPr>
    </w:lvl>
    <w:lvl w:ilvl="8" w:tplc="0415001B" w:tentative="1">
      <w:start w:val="1"/>
      <w:numFmt w:val="lowerRoman"/>
      <w:lvlText w:val="%9."/>
      <w:lvlJc w:val="right"/>
      <w:pPr>
        <w:ind w:left="6450" w:hanging="180"/>
      </w:pPr>
      <w:rPr>
        <w:rFonts w:cs="Times New Roman"/>
      </w:rPr>
    </w:lvl>
  </w:abstractNum>
  <w:abstractNum w:abstractNumId="20" w15:restartNumberingAfterBreak="0">
    <w:nsid w:val="45627AA0"/>
    <w:multiLevelType w:val="hybridMultilevel"/>
    <w:tmpl w:val="32F09C4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C897461"/>
    <w:multiLevelType w:val="hybridMultilevel"/>
    <w:tmpl w:val="F37A1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E7512F4"/>
    <w:multiLevelType w:val="hybridMultilevel"/>
    <w:tmpl w:val="19F8B9B0"/>
    <w:lvl w:ilvl="0" w:tplc="1C6CCB92">
      <w:start w:val="1"/>
      <w:numFmt w:val="decimal"/>
      <w:lvlText w:val="%1)"/>
      <w:lvlJc w:val="left"/>
      <w:pPr>
        <w:ind w:left="1080" w:hanging="360"/>
      </w:pPr>
      <w:rPr>
        <w:rFonts w:cs="Times New Roman" w:hint="default"/>
        <w:b/>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3" w15:restartNumberingAfterBreak="0">
    <w:nsid w:val="55282E51"/>
    <w:multiLevelType w:val="multilevel"/>
    <w:tmpl w:val="3B78DE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78F585D"/>
    <w:multiLevelType w:val="hybridMultilevel"/>
    <w:tmpl w:val="18782A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6755E4"/>
    <w:multiLevelType w:val="hybridMultilevel"/>
    <w:tmpl w:val="396A08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B600D2"/>
    <w:multiLevelType w:val="hybridMultilevel"/>
    <w:tmpl w:val="05E0BC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4C680A"/>
    <w:multiLevelType w:val="hybridMultilevel"/>
    <w:tmpl w:val="1D7EC5A8"/>
    <w:lvl w:ilvl="0" w:tplc="802A525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616771EE"/>
    <w:multiLevelType w:val="multilevel"/>
    <w:tmpl w:val="F7F28F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5C63A7"/>
    <w:multiLevelType w:val="hybridMultilevel"/>
    <w:tmpl w:val="9B9C3772"/>
    <w:lvl w:ilvl="0" w:tplc="3508EE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AD70EE1"/>
    <w:multiLevelType w:val="hybridMultilevel"/>
    <w:tmpl w:val="D180B3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FC106A"/>
    <w:multiLevelType w:val="hybridMultilevel"/>
    <w:tmpl w:val="2DF6B9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43C7145"/>
    <w:multiLevelType w:val="hybridMultilevel"/>
    <w:tmpl w:val="B6DE14C6"/>
    <w:lvl w:ilvl="0" w:tplc="667AEB58">
      <w:start w:val="1"/>
      <w:numFmt w:val="decimal"/>
      <w:lvlText w:val="%1."/>
      <w:lvlJc w:val="left"/>
      <w:pPr>
        <w:ind w:left="720" w:hanging="360"/>
      </w:pPr>
      <w:rPr>
        <w:rFonts w:ascii="Calibri" w:eastAsia="Times New Roman" w:hAnsi="Calibri" w:cs="Calibri"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75B4005"/>
    <w:multiLevelType w:val="hybridMultilevel"/>
    <w:tmpl w:val="BE1845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7B81162"/>
    <w:multiLevelType w:val="hybridMultilevel"/>
    <w:tmpl w:val="31029838"/>
    <w:lvl w:ilvl="0" w:tplc="8ECA60B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5" w15:restartNumberingAfterBreak="0">
    <w:nsid w:val="78B75351"/>
    <w:multiLevelType w:val="hybridMultilevel"/>
    <w:tmpl w:val="675C9DC0"/>
    <w:lvl w:ilvl="0" w:tplc="04150001">
      <w:start w:val="1"/>
      <w:numFmt w:val="bullet"/>
      <w:lvlText w:val=""/>
      <w:lvlJc w:val="left"/>
      <w:pPr>
        <w:ind w:left="766" w:hanging="360"/>
      </w:pPr>
      <w:rPr>
        <w:rFonts w:ascii="Symbol" w:hAnsi="Symbol" w:hint="default"/>
      </w:rPr>
    </w:lvl>
    <w:lvl w:ilvl="1" w:tplc="04150003" w:tentative="1">
      <w:start w:val="1"/>
      <w:numFmt w:val="bullet"/>
      <w:lvlText w:val="o"/>
      <w:lvlJc w:val="left"/>
      <w:pPr>
        <w:ind w:left="1486" w:hanging="360"/>
      </w:pPr>
      <w:rPr>
        <w:rFonts w:ascii="Courier New" w:hAnsi="Courier New" w:cs="Courier New" w:hint="default"/>
      </w:rPr>
    </w:lvl>
    <w:lvl w:ilvl="2" w:tplc="04150005" w:tentative="1">
      <w:start w:val="1"/>
      <w:numFmt w:val="bullet"/>
      <w:lvlText w:val=""/>
      <w:lvlJc w:val="left"/>
      <w:pPr>
        <w:ind w:left="2206" w:hanging="360"/>
      </w:pPr>
      <w:rPr>
        <w:rFonts w:ascii="Wingdings" w:hAnsi="Wingdings" w:hint="default"/>
      </w:rPr>
    </w:lvl>
    <w:lvl w:ilvl="3" w:tplc="04150001" w:tentative="1">
      <w:start w:val="1"/>
      <w:numFmt w:val="bullet"/>
      <w:lvlText w:val=""/>
      <w:lvlJc w:val="left"/>
      <w:pPr>
        <w:ind w:left="2926" w:hanging="360"/>
      </w:pPr>
      <w:rPr>
        <w:rFonts w:ascii="Symbol" w:hAnsi="Symbol" w:hint="default"/>
      </w:rPr>
    </w:lvl>
    <w:lvl w:ilvl="4" w:tplc="04150003" w:tentative="1">
      <w:start w:val="1"/>
      <w:numFmt w:val="bullet"/>
      <w:lvlText w:val="o"/>
      <w:lvlJc w:val="left"/>
      <w:pPr>
        <w:ind w:left="3646" w:hanging="360"/>
      </w:pPr>
      <w:rPr>
        <w:rFonts w:ascii="Courier New" w:hAnsi="Courier New" w:cs="Courier New" w:hint="default"/>
      </w:rPr>
    </w:lvl>
    <w:lvl w:ilvl="5" w:tplc="04150005" w:tentative="1">
      <w:start w:val="1"/>
      <w:numFmt w:val="bullet"/>
      <w:lvlText w:val=""/>
      <w:lvlJc w:val="left"/>
      <w:pPr>
        <w:ind w:left="4366" w:hanging="360"/>
      </w:pPr>
      <w:rPr>
        <w:rFonts w:ascii="Wingdings" w:hAnsi="Wingdings" w:hint="default"/>
      </w:rPr>
    </w:lvl>
    <w:lvl w:ilvl="6" w:tplc="04150001" w:tentative="1">
      <w:start w:val="1"/>
      <w:numFmt w:val="bullet"/>
      <w:lvlText w:val=""/>
      <w:lvlJc w:val="left"/>
      <w:pPr>
        <w:ind w:left="5086" w:hanging="360"/>
      </w:pPr>
      <w:rPr>
        <w:rFonts w:ascii="Symbol" w:hAnsi="Symbol" w:hint="default"/>
      </w:rPr>
    </w:lvl>
    <w:lvl w:ilvl="7" w:tplc="04150003" w:tentative="1">
      <w:start w:val="1"/>
      <w:numFmt w:val="bullet"/>
      <w:lvlText w:val="o"/>
      <w:lvlJc w:val="left"/>
      <w:pPr>
        <w:ind w:left="5806" w:hanging="360"/>
      </w:pPr>
      <w:rPr>
        <w:rFonts w:ascii="Courier New" w:hAnsi="Courier New" w:cs="Courier New" w:hint="default"/>
      </w:rPr>
    </w:lvl>
    <w:lvl w:ilvl="8" w:tplc="04150005" w:tentative="1">
      <w:start w:val="1"/>
      <w:numFmt w:val="bullet"/>
      <w:lvlText w:val=""/>
      <w:lvlJc w:val="left"/>
      <w:pPr>
        <w:ind w:left="6526" w:hanging="360"/>
      </w:pPr>
      <w:rPr>
        <w:rFonts w:ascii="Wingdings" w:hAnsi="Wingdings" w:hint="default"/>
      </w:rPr>
    </w:lvl>
  </w:abstractNum>
  <w:abstractNum w:abstractNumId="36" w15:restartNumberingAfterBreak="0">
    <w:nsid w:val="7E526353"/>
    <w:multiLevelType w:val="hybridMultilevel"/>
    <w:tmpl w:val="AD6ED5A4"/>
    <w:lvl w:ilvl="0" w:tplc="EAA8D1A2">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7F953D64"/>
    <w:multiLevelType w:val="hybridMultilevel"/>
    <w:tmpl w:val="0A8A9F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29"/>
  </w:num>
  <w:num w:numId="5">
    <w:abstractNumId w:val="7"/>
  </w:num>
  <w:num w:numId="6">
    <w:abstractNumId w:val="22"/>
  </w:num>
  <w:num w:numId="7">
    <w:abstractNumId w:val="9"/>
  </w:num>
  <w:num w:numId="8">
    <w:abstractNumId w:val="3"/>
  </w:num>
  <w:num w:numId="9">
    <w:abstractNumId w:val="19"/>
  </w:num>
  <w:num w:numId="10">
    <w:abstractNumId w:val="32"/>
  </w:num>
  <w:num w:numId="11">
    <w:abstractNumId w:val="36"/>
  </w:num>
  <w:num w:numId="12">
    <w:abstractNumId w:val="2"/>
  </w:num>
  <w:num w:numId="13">
    <w:abstractNumId w:val="27"/>
  </w:num>
  <w:num w:numId="14">
    <w:abstractNumId w:val="13"/>
  </w:num>
  <w:num w:numId="15">
    <w:abstractNumId w:val="8"/>
  </w:num>
  <w:num w:numId="16">
    <w:abstractNumId w:val="23"/>
  </w:num>
  <w:num w:numId="17">
    <w:abstractNumId w:val="0"/>
  </w:num>
  <w:num w:numId="18">
    <w:abstractNumId w:val="28"/>
  </w:num>
  <w:num w:numId="19">
    <w:abstractNumId w:val="18"/>
  </w:num>
  <w:num w:numId="20">
    <w:abstractNumId w:val="10"/>
  </w:num>
  <w:num w:numId="21">
    <w:abstractNumId w:val="37"/>
  </w:num>
  <w:num w:numId="22">
    <w:abstractNumId w:val="26"/>
  </w:num>
  <w:num w:numId="23">
    <w:abstractNumId w:val="24"/>
  </w:num>
  <w:num w:numId="24">
    <w:abstractNumId w:val="30"/>
  </w:num>
  <w:num w:numId="25">
    <w:abstractNumId w:val="31"/>
  </w:num>
  <w:num w:numId="26">
    <w:abstractNumId w:val="17"/>
  </w:num>
  <w:num w:numId="27">
    <w:abstractNumId w:val="12"/>
  </w:num>
  <w:num w:numId="28">
    <w:abstractNumId w:val="25"/>
  </w:num>
  <w:num w:numId="29">
    <w:abstractNumId w:val="14"/>
  </w:num>
  <w:num w:numId="30">
    <w:abstractNumId w:val="35"/>
  </w:num>
  <w:num w:numId="31">
    <w:abstractNumId w:val="21"/>
  </w:num>
  <w:num w:numId="32">
    <w:abstractNumId w:val="34"/>
  </w:num>
  <w:num w:numId="33">
    <w:abstractNumId w:val="5"/>
  </w:num>
  <w:num w:numId="34">
    <w:abstractNumId w:val="20"/>
  </w:num>
  <w:num w:numId="35">
    <w:abstractNumId w:val="33"/>
  </w:num>
  <w:num w:numId="36">
    <w:abstractNumId w:val="16"/>
  </w:num>
  <w:num w:numId="37">
    <w:abstractNumId w:val="15"/>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27F"/>
    <w:rsid w:val="00001CF8"/>
    <w:rsid w:val="00002EA1"/>
    <w:rsid w:val="00010D35"/>
    <w:rsid w:val="0001428F"/>
    <w:rsid w:val="00014FF1"/>
    <w:rsid w:val="000169C1"/>
    <w:rsid w:val="00021708"/>
    <w:rsid w:val="00023A43"/>
    <w:rsid w:val="00024172"/>
    <w:rsid w:val="000268B0"/>
    <w:rsid w:val="00027335"/>
    <w:rsid w:val="000320F7"/>
    <w:rsid w:val="00036FBB"/>
    <w:rsid w:val="00040E61"/>
    <w:rsid w:val="00044333"/>
    <w:rsid w:val="000454BA"/>
    <w:rsid w:val="00053CB9"/>
    <w:rsid w:val="00055C0E"/>
    <w:rsid w:val="00062BE1"/>
    <w:rsid w:val="000639BB"/>
    <w:rsid w:val="000703CF"/>
    <w:rsid w:val="0007267C"/>
    <w:rsid w:val="00073105"/>
    <w:rsid w:val="00074E13"/>
    <w:rsid w:val="00075258"/>
    <w:rsid w:val="00076873"/>
    <w:rsid w:val="00077272"/>
    <w:rsid w:val="000772C6"/>
    <w:rsid w:val="00080A2E"/>
    <w:rsid w:val="000870AA"/>
    <w:rsid w:val="00087CF1"/>
    <w:rsid w:val="0009131C"/>
    <w:rsid w:val="000939B5"/>
    <w:rsid w:val="00093F46"/>
    <w:rsid w:val="00094B44"/>
    <w:rsid w:val="00097C37"/>
    <w:rsid w:val="000A3B68"/>
    <w:rsid w:val="000B0D8F"/>
    <w:rsid w:val="000B3322"/>
    <w:rsid w:val="000B3EE1"/>
    <w:rsid w:val="000B5CAD"/>
    <w:rsid w:val="000B5E34"/>
    <w:rsid w:val="000B7BE8"/>
    <w:rsid w:val="000C3163"/>
    <w:rsid w:val="000C3948"/>
    <w:rsid w:val="000C4AEF"/>
    <w:rsid w:val="000C5752"/>
    <w:rsid w:val="000D03CF"/>
    <w:rsid w:val="000D06DA"/>
    <w:rsid w:val="000D2100"/>
    <w:rsid w:val="000D4A12"/>
    <w:rsid w:val="000D65AC"/>
    <w:rsid w:val="000D6C0C"/>
    <w:rsid w:val="000D6DAC"/>
    <w:rsid w:val="000D6ECE"/>
    <w:rsid w:val="000E156B"/>
    <w:rsid w:val="000E7F4C"/>
    <w:rsid w:val="000F0203"/>
    <w:rsid w:val="000F0B53"/>
    <w:rsid w:val="000F1613"/>
    <w:rsid w:val="000F1F4E"/>
    <w:rsid w:val="000F3DFD"/>
    <w:rsid w:val="000F570D"/>
    <w:rsid w:val="000F5D7F"/>
    <w:rsid w:val="0010180C"/>
    <w:rsid w:val="00102DCC"/>
    <w:rsid w:val="00103749"/>
    <w:rsid w:val="00111D73"/>
    <w:rsid w:val="00120130"/>
    <w:rsid w:val="00120B24"/>
    <w:rsid w:val="00120E77"/>
    <w:rsid w:val="001253B8"/>
    <w:rsid w:val="00125481"/>
    <w:rsid w:val="00127A48"/>
    <w:rsid w:val="001325F2"/>
    <w:rsid w:val="00132D19"/>
    <w:rsid w:val="00133E0E"/>
    <w:rsid w:val="00135FA5"/>
    <w:rsid w:val="001400FA"/>
    <w:rsid w:val="0014054D"/>
    <w:rsid w:val="00142F5F"/>
    <w:rsid w:val="00145AA6"/>
    <w:rsid w:val="00146020"/>
    <w:rsid w:val="00147B22"/>
    <w:rsid w:val="00154FCD"/>
    <w:rsid w:val="001551E7"/>
    <w:rsid w:val="0015589A"/>
    <w:rsid w:val="00162410"/>
    <w:rsid w:val="001729CE"/>
    <w:rsid w:val="00174DBF"/>
    <w:rsid w:val="00175436"/>
    <w:rsid w:val="00175849"/>
    <w:rsid w:val="001759BD"/>
    <w:rsid w:val="00177E4A"/>
    <w:rsid w:val="00180209"/>
    <w:rsid w:val="00181A96"/>
    <w:rsid w:val="00185327"/>
    <w:rsid w:val="001906E6"/>
    <w:rsid w:val="0019109C"/>
    <w:rsid w:val="0019154A"/>
    <w:rsid w:val="00196157"/>
    <w:rsid w:val="0019785C"/>
    <w:rsid w:val="001A1CF1"/>
    <w:rsid w:val="001A2910"/>
    <w:rsid w:val="001A5D41"/>
    <w:rsid w:val="001B1703"/>
    <w:rsid w:val="001B2246"/>
    <w:rsid w:val="001B2C40"/>
    <w:rsid w:val="001B3A62"/>
    <w:rsid w:val="001B4871"/>
    <w:rsid w:val="001B6584"/>
    <w:rsid w:val="001B758B"/>
    <w:rsid w:val="001B7FAB"/>
    <w:rsid w:val="001C0264"/>
    <w:rsid w:val="001C2715"/>
    <w:rsid w:val="001C768F"/>
    <w:rsid w:val="001D0E14"/>
    <w:rsid w:val="001D38E2"/>
    <w:rsid w:val="001D62A1"/>
    <w:rsid w:val="001D6392"/>
    <w:rsid w:val="001E194F"/>
    <w:rsid w:val="001E46DE"/>
    <w:rsid w:val="001E5169"/>
    <w:rsid w:val="001E6333"/>
    <w:rsid w:val="001F0D81"/>
    <w:rsid w:val="001F30CE"/>
    <w:rsid w:val="001F34AB"/>
    <w:rsid w:val="001F5C26"/>
    <w:rsid w:val="001F7228"/>
    <w:rsid w:val="001F792E"/>
    <w:rsid w:val="0020053B"/>
    <w:rsid w:val="0020600B"/>
    <w:rsid w:val="0021072E"/>
    <w:rsid w:val="002139AF"/>
    <w:rsid w:val="00213BB3"/>
    <w:rsid w:val="00214A6F"/>
    <w:rsid w:val="002158C0"/>
    <w:rsid w:val="00222B33"/>
    <w:rsid w:val="002238D0"/>
    <w:rsid w:val="00224C33"/>
    <w:rsid w:val="002267F4"/>
    <w:rsid w:val="002268A2"/>
    <w:rsid w:val="0023275F"/>
    <w:rsid w:val="002340B6"/>
    <w:rsid w:val="002459AC"/>
    <w:rsid w:val="002466A2"/>
    <w:rsid w:val="00247BD0"/>
    <w:rsid w:val="00251D43"/>
    <w:rsid w:val="00256A6B"/>
    <w:rsid w:val="002609E9"/>
    <w:rsid w:val="00273ED3"/>
    <w:rsid w:val="002770B5"/>
    <w:rsid w:val="00277889"/>
    <w:rsid w:val="00286EB2"/>
    <w:rsid w:val="00287063"/>
    <w:rsid w:val="00291D4C"/>
    <w:rsid w:val="00294A1E"/>
    <w:rsid w:val="00294ED0"/>
    <w:rsid w:val="00295F87"/>
    <w:rsid w:val="002A01A5"/>
    <w:rsid w:val="002A3A99"/>
    <w:rsid w:val="002A512B"/>
    <w:rsid w:val="002A69AF"/>
    <w:rsid w:val="002B1B07"/>
    <w:rsid w:val="002B3289"/>
    <w:rsid w:val="002B4750"/>
    <w:rsid w:val="002B55D8"/>
    <w:rsid w:val="002B69FA"/>
    <w:rsid w:val="002C23C6"/>
    <w:rsid w:val="002C3E13"/>
    <w:rsid w:val="002C4DB9"/>
    <w:rsid w:val="002C5322"/>
    <w:rsid w:val="002D22B7"/>
    <w:rsid w:val="002D596A"/>
    <w:rsid w:val="002D76B1"/>
    <w:rsid w:val="002D7881"/>
    <w:rsid w:val="002D7C24"/>
    <w:rsid w:val="002E702C"/>
    <w:rsid w:val="002F1A80"/>
    <w:rsid w:val="002F2EC4"/>
    <w:rsid w:val="002F5F39"/>
    <w:rsid w:val="002F76E5"/>
    <w:rsid w:val="00300D6D"/>
    <w:rsid w:val="003018C2"/>
    <w:rsid w:val="003029BC"/>
    <w:rsid w:val="00303976"/>
    <w:rsid w:val="00303A6B"/>
    <w:rsid w:val="003046BA"/>
    <w:rsid w:val="00304953"/>
    <w:rsid w:val="00305E2A"/>
    <w:rsid w:val="00314BBF"/>
    <w:rsid w:val="00316A76"/>
    <w:rsid w:val="003205E0"/>
    <w:rsid w:val="003221AB"/>
    <w:rsid w:val="003265FD"/>
    <w:rsid w:val="0032692A"/>
    <w:rsid w:val="00333EAC"/>
    <w:rsid w:val="003370FB"/>
    <w:rsid w:val="00341847"/>
    <w:rsid w:val="00342A1B"/>
    <w:rsid w:val="00344647"/>
    <w:rsid w:val="00344C7D"/>
    <w:rsid w:val="00345F2B"/>
    <w:rsid w:val="003463E1"/>
    <w:rsid w:val="00351B6A"/>
    <w:rsid w:val="0035294C"/>
    <w:rsid w:val="00356EC0"/>
    <w:rsid w:val="00363626"/>
    <w:rsid w:val="00364240"/>
    <w:rsid w:val="0036427F"/>
    <w:rsid w:val="00366A6F"/>
    <w:rsid w:val="00370EA6"/>
    <w:rsid w:val="00373385"/>
    <w:rsid w:val="00376482"/>
    <w:rsid w:val="00384C18"/>
    <w:rsid w:val="00386882"/>
    <w:rsid w:val="00387EBD"/>
    <w:rsid w:val="00393524"/>
    <w:rsid w:val="003970F4"/>
    <w:rsid w:val="00397F92"/>
    <w:rsid w:val="003A25FD"/>
    <w:rsid w:val="003A3812"/>
    <w:rsid w:val="003A4B18"/>
    <w:rsid w:val="003A77D3"/>
    <w:rsid w:val="003B0257"/>
    <w:rsid w:val="003B051D"/>
    <w:rsid w:val="003B0F15"/>
    <w:rsid w:val="003B17B9"/>
    <w:rsid w:val="003C58C6"/>
    <w:rsid w:val="003C622A"/>
    <w:rsid w:val="003D1B70"/>
    <w:rsid w:val="003D2B5B"/>
    <w:rsid w:val="003D5C4E"/>
    <w:rsid w:val="003D6755"/>
    <w:rsid w:val="003D6A1A"/>
    <w:rsid w:val="003E0A60"/>
    <w:rsid w:val="003E0FE8"/>
    <w:rsid w:val="003E773F"/>
    <w:rsid w:val="003F20E7"/>
    <w:rsid w:val="003F2B84"/>
    <w:rsid w:val="003F4C6C"/>
    <w:rsid w:val="003F6BBC"/>
    <w:rsid w:val="00403FF3"/>
    <w:rsid w:val="004045CA"/>
    <w:rsid w:val="00406998"/>
    <w:rsid w:val="00406A59"/>
    <w:rsid w:val="004101C0"/>
    <w:rsid w:val="004109FA"/>
    <w:rsid w:val="00411B21"/>
    <w:rsid w:val="00416C34"/>
    <w:rsid w:val="004201B3"/>
    <w:rsid w:val="00421D23"/>
    <w:rsid w:val="00424221"/>
    <w:rsid w:val="00424E30"/>
    <w:rsid w:val="00424EB1"/>
    <w:rsid w:val="00425580"/>
    <w:rsid w:val="004312A7"/>
    <w:rsid w:val="004317CF"/>
    <w:rsid w:val="00431F27"/>
    <w:rsid w:val="00434978"/>
    <w:rsid w:val="004356D4"/>
    <w:rsid w:val="00435911"/>
    <w:rsid w:val="004375EC"/>
    <w:rsid w:val="00437949"/>
    <w:rsid w:val="00440611"/>
    <w:rsid w:val="00443AB5"/>
    <w:rsid w:val="00453C38"/>
    <w:rsid w:val="00453F62"/>
    <w:rsid w:val="004551A6"/>
    <w:rsid w:val="00457A01"/>
    <w:rsid w:val="00461104"/>
    <w:rsid w:val="00461670"/>
    <w:rsid w:val="00462773"/>
    <w:rsid w:val="00463D3B"/>
    <w:rsid w:val="00467BE0"/>
    <w:rsid w:val="00470476"/>
    <w:rsid w:val="0047251F"/>
    <w:rsid w:val="00472FE7"/>
    <w:rsid w:val="00473EB3"/>
    <w:rsid w:val="004763A2"/>
    <w:rsid w:val="00477088"/>
    <w:rsid w:val="00482220"/>
    <w:rsid w:val="00482F24"/>
    <w:rsid w:val="0048339F"/>
    <w:rsid w:val="0048385F"/>
    <w:rsid w:val="00483CE4"/>
    <w:rsid w:val="00490176"/>
    <w:rsid w:val="004929DA"/>
    <w:rsid w:val="00497CBB"/>
    <w:rsid w:val="00497F47"/>
    <w:rsid w:val="004A3233"/>
    <w:rsid w:val="004A36AD"/>
    <w:rsid w:val="004B0DFB"/>
    <w:rsid w:val="004B1F84"/>
    <w:rsid w:val="004B345B"/>
    <w:rsid w:val="004B36A2"/>
    <w:rsid w:val="004B48E8"/>
    <w:rsid w:val="004B767F"/>
    <w:rsid w:val="004C22D0"/>
    <w:rsid w:val="004C5556"/>
    <w:rsid w:val="004C706C"/>
    <w:rsid w:val="004D012F"/>
    <w:rsid w:val="004D1B25"/>
    <w:rsid w:val="004D49D3"/>
    <w:rsid w:val="004D57AC"/>
    <w:rsid w:val="004E3902"/>
    <w:rsid w:val="004E3D12"/>
    <w:rsid w:val="004E495B"/>
    <w:rsid w:val="004F296D"/>
    <w:rsid w:val="004F2F87"/>
    <w:rsid w:val="00512296"/>
    <w:rsid w:val="005139D4"/>
    <w:rsid w:val="00515BAF"/>
    <w:rsid w:val="005161C8"/>
    <w:rsid w:val="00516DED"/>
    <w:rsid w:val="005214A4"/>
    <w:rsid w:val="00522703"/>
    <w:rsid w:val="005247C0"/>
    <w:rsid w:val="005279F9"/>
    <w:rsid w:val="0053005B"/>
    <w:rsid w:val="005317E7"/>
    <w:rsid w:val="005333B8"/>
    <w:rsid w:val="00533498"/>
    <w:rsid w:val="00534612"/>
    <w:rsid w:val="00534B32"/>
    <w:rsid w:val="005359EE"/>
    <w:rsid w:val="0054174C"/>
    <w:rsid w:val="00543DCF"/>
    <w:rsid w:val="0054431D"/>
    <w:rsid w:val="00544A5D"/>
    <w:rsid w:val="00545B23"/>
    <w:rsid w:val="00546A06"/>
    <w:rsid w:val="00547BDE"/>
    <w:rsid w:val="00547F29"/>
    <w:rsid w:val="00552AFF"/>
    <w:rsid w:val="0055311F"/>
    <w:rsid w:val="005536D6"/>
    <w:rsid w:val="0055463F"/>
    <w:rsid w:val="00554A50"/>
    <w:rsid w:val="005553DC"/>
    <w:rsid w:val="00556BDB"/>
    <w:rsid w:val="00557884"/>
    <w:rsid w:val="00561033"/>
    <w:rsid w:val="00562FE5"/>
    <w:rsid w:val="005630C8"/>
    <w:rsid w:val="00563B83"/>
    <w:rsid w:val="00565BF7"/>
    <w:rsid w:val="00566491"/>
    <w:rsid w:val="00572BBE"/>
    <w:rsid w:val="005805B4"/>
    <w:rsid w:val="00580B6E"/>
    <w:rsid w:val="00580F49"/>
    <w:rsid w:val="00585F3E"/>
    <w:rsid w:val="00586889"/>
    <w:rsid w:val="005937E0"/>
    <w:rsid w:val="005A42CB"/>
    <w:rsid w:val="005A6794"/>
    <w:rsid w:val="005A6820"/>
    <w:rsid w:val="005A7A57"/>
    <w:rsid w:val="005A7CE4"/>
    <w:rsid w:val="005B1792"/>
    <w:rsid w:val="005B2AB7"/>
    <w:rsid w:val="005B5ABE"/>
    <w:rsid w:val="005B79B3"/>
    <w:rsid w:val="005C2AB6"/>
    <w:rsid w:val="005C31F4"/>
    <w:rsid w:val="005C71A6"/>
    <w:rsid w:val="005D14EC"/>
    <w:rsid w:val="005D55E2"/>
    <w:rsid w:val="005D73D7"/>
    <w:rsid w:val="005E2652"/>
    <w:rsid w:val="005E5692"/>
    <w:rsid w:val="005E5C4F"/>
    <w:rsid w:val="005E6880"/>
    <w:rsid w:val="005F013F"/>
    <w:rsid w:val="005F1399"/>
    <w:rsid w:val="005F2CC4"/>
    <w:rsid w:val="00600EEC"/>
    <w:rsid w:val="00603F44"/>
    <w:rsid w:val="00605B87"/>
    <w:rsid w:val="00610B9A"/>
    <w:rsid w:val="00612628"/>
    <w:rsid w:val="00617602"/>
    <w:rsid w:val="006200E3"/>
    <w:rsid w:val="00622289"/>
    <w:rsid w:val="006222AD"/>
    <w:rsid w:val="00623A97"/>
    <w:rsid w:val="00625B00"/>
    <w:rsid w:val="0062637C"/>
    <w:rsid w:val="006264CC"/>
    <w:rsid w:val="00627438"/>
    <w:rsid w:val="00636F43"/>
    <w:rsid w:val="00636FD5"/>
    <w:rsid w:val="006376D8"/>
    <w:rsid w:val="00640972"/>
    <w:rsid w:val="00641AB8"/>
    <w:rsid w:val="00642385"/>
    <w:rsid w:val="00642E70"/>
    <w:rsid w:val="00645097"/>
    <w:rsid w:val="00645164"/>
    <w:rsid w:val="00645ABF"/>
    <w:rsid w:val="00650F98"/>
    <w:rsid w:val="00655A76"/>
    <w:rsid w:val="00662917"/>
    <w:rsid w:val="006665F7"/>
    <w:rsid w:val="00670BA4"/>
    <w:rsid w:val="0067319B"/>
    <w:rsid w:val="006733FD"/>
    <w:rsid w:val="0067508F"/>
    <w:rsid w:val="0067725F"/>
    <w:rsid w:val="006858F0"/>
    <w:rsid w:val="006866E9"/>
    <w:rsid w:val="00691708"/>
    <w:rsid w:val="00694397"/>
    <w:rsid w:val="00696B8A"/>
    <w:rsid w:val="006979F4"/>
    <w:rsid w:val="006A208D"/>
    <w:rsid w:val="006A5597"/>
    <w:rsid w:val="006A7DA0"/>
    <w:rsid w:val="006B068C"/>
    <w:rsid w:val="006B2CF5"/>
    <w:rsid w:val="006B3523"/>
    <w:rsid w:val="006B368C"/>
    <w:rsid w:val="006B36D4"/>
    <w:rsid w:val="006B6C9F"/>
    <w:rsid w:val="006C09B7"/>
    <w:rsid w:val="006C1191"/>
    <w:rsid w:val="006C3844"/>
    <w:rsid w:val="006C463B"/>
    <w:rsid w:val="006C5296"/>
    <w:rsid w:val="006C7205"/>
    <w:rsid w:val="006C7940"/>
    <w:rsid w:val="006C7DC9"/>
    <w:rsid w:val="006D54B1"/>
    <w:rsid w:val="006D5DE4"/>
    <w:rsid w:val="006D5F53"/>
    <w:rsid w:val="006D70D9"/>
    <w:rsid w:val="006E2C2F"/>
    <w:rsid w:val="006E3DC1"/>
    <w:rsid w:val="006F011E"/>
    <w:rsid w:val="006F1EB5"/>
    <w:rsid w:val="006F3C1B"/>
    <w:rsid w:val="006F40CF"/>
    <w:rsid w:val="006F5389"/>
    <w:rsid w:val="006F6E60"/>
    <w:rsid w:val="006F75EF"/>
    <w:rsid w:val="00701D22"/>
    <w:rsid w:val="00703E4A"/>
    <w:rsid w:val="007045C3"/>
    <w:rsid w:val="00704FEF"/>
    <w:rsid w:val="00705441"/>
    <w:rsid w:val="00706479"/>
    <w:rsid w:val="007127FC"/>
    <w:rsid w:val="00712CCB"/>
    <w:rsid w:val="00713F64"/>
    <w:rsid w:val="00715F2A"/>
    <w:rsid w:val="00716298"/>
    <w:rsid w:val="00733728"/>
    <w:rsid w:val="007355BC"/>
    <w:rsid w:val="0073597D"/>
    <w:rsid w:val="00735B60"/>
    <w:rsid w:val="00737C88"/>
    <w:rsid w:val="00742556"/>
    <w:rsid w:val="0074349E"/>
    <w:rsid w:val="00745BD0"/>
    <w:rsid w:val="00751904"/>
    <w:rsid w:val="007523A5"/>
    <w:rsid w:val="00752FE5"/>
    <w:rsid w:val="007577D2"/>
    <w:rsid w:val="007619B8"/>
    <w:rsid w:val="007703EB"/>
    <w:rsid w:val="00773AED"/>
    <w:rsid w:val="00773BCC"/>
    <w:rsid w:val="00773CC3"/>
    <w:rsid w:val="00774E88"/>
    <w:rsid w:val="00776789"/>
    <w:rsid w:val="007812D5"/>
    <w:rsid w:val="007814FB"/>
    <w:rsid w:val="007825A1"/>
    <w:rsid w:val="00786292"/>
    <w:rsid w:val="00790064"/>
    <w:rsid w:val="00791162"/>
    <w:rsid w:val="00791E88"/>
    <w:rsid w:val="00793240"/>
    <w:rsid w:val="00797E80"/>
    <w:rsid w:val="007A1A4A"/>
    <w:rsid w:val="007A240F"/>
    <w:rsid w:val="007A386B"/>
    <w:rsid w:val="007A6358"/>
    <w:rsid w:val="007A68BE"/>
    <w:rsid w:val="007B4DA8"/>
    <w:rsid w:val="007C1AF1"/>
    <w:rsid w:val="007C22FF"/>
    <w:rsid w:val="007C6876"/>
    <w:rsid w:val="007C74CF"/>
    <w:rsid w:val="007D43DF"/>
    <w:rsid w:val="007D70BC"/>
    <w:rsid w:val="007D78F0"/>
    <w:rsid w:val="007E43F1"/>
    <w:rsid w:val="007E4776"/>
    <w:rsid w:val="007E51E9"/>
    <w:rsid w:val="007E7F9B"/>
    <w:rsid w:val="007F1C6C"/>
    <w:rsid w:val="007F54D9"/>
    <w:rsid w:val="007F74D4"/>
    <w:rsid w:val="00800A06"/>
    <w:rsid w:val="00800B61"/>
    <w:rsid w:val="00801A21"/>
    <w:rsid w:val="00802A57"/>
    <w:rsid w:val="0080470D"/>
    <w:rsid w:val="00804F4D"/>
    <w:rsid w:val="00805D22"/>
    <w:rsid w:val="008060CB"/>
    <w:rsid w:val="00810811"/>
    <w:rsid w:val="00815856"/>
    <w:rsid w:val="00815BEF"/>
    <w:rsid w:val="0081617D"/>
    <w:rsid w:val="008175E3"/>
    <w:rsid w:val="00821DED"/>
    <w:rsid w:val="00830068"/>
    <w:rsid w:val="00833E81"/>
    <w:rsid w:val="008355A8"/>
    <w:rsid w:val="008402F0"/>
    <w:rsid w:val="0084300B"/>
    <w:rsid w:val="008431BD"/>
    <w:rsid w:val="00847827"/>
    <w:rsid w:val="00851B93"/>
    <w:rsid w:val="00851C70"/>
    <w:rsid w:val="00855771"/>
    <w:rsid w:val="00856523"/>
    <w:rsid w:val="00860534"/>
    <w:rsid w:val="00862FDA"/>
    <w:rsid w:val="00863C49"/>
    <w:rsid w:val="00864060"/>
    <w:rsid w:val="00865925"/>
    <w:rsid w:val="00867D1C"/>
    <w:rsid w:val="00871878"/>
    <w:rsid w:val="008729C9"/>
    <w:rsid w:val="008755AB"/>
    <w:rsid w:val="00876EA9"/>
    <w:rsid w:val="00876F46"/>
    <w:rsid w:val="0088043A"/>
    <w:rsid w:val="008824DA"/>
    <w:rsid w:val="00884F3F"/>
    <w:rsid w:val="008902E3"/>
    <w:rsid w:val="00894D51"/>
    <w:rsid w:val="00895AFC"/>
    <w:rsid w:val="0089723B"/>
    <w:rsid w:val="008A0BFB"/>
    <w:rsid w:val="008A2E18"/>
    <w:rsid w:val="008A66B4"/>
    <w:rsid w:val="008A6DF8"/>
    <w:rsid w:val="008A75C6"/>
    <w:rsid w:val="008B02CF"/>
    <w:rsid w:val="008B07E5"/>
    <w:rsid w:val="008B1F40"/>
    <w:rsid w:val="008B2F15"/>
    <w:rsid w:val="008B49E2"/>
    <w:rsid w:val="008B52A9"/>
    <w:rsid w:val="008B5BED"/>
    <w:rsid w:val="008C1CBB"/>
    <w:rsid w:val="008C6930"/>
    <w:rsid w:val="008C766B"/>
    <w:rsid w:val="008D098B"/>
    <w:rsid w:val="008D2063"/>
    <w:rsid w:val="008D3732"/>
    <w:rsid w:val="008D48C8"/>
    <w:rsid w:val="008D58A6"/>
    <w:rsid w:val="008D66F5"/>
    <w:rsid w:val="008D683A"/>
    <w:rsid w:val="008E22CA"/>
    <w:rsid w:val="008E6060"/>
    <w:rsid w:val="00900BB1"/>
    <w:rsid w:val="00901332"/>
    <w:rsid w:val="00902604"/>
    <w:rsid w:val="0090296A"/>
    <w:rsid w:val="00903AA3"/>
    <w:rsid w:val="00904B99"/>
    <w:rsid w:val="00904D13"/>
    <w:rsid w:val="009122E7"/>
    <w:rsid w:val="00912DD4"/>
    <w:rsid w:val="009131C0"/>
    <w:rsid w:val="00920923"/>
    <w:rsid w:val="00921A95"/>
    <w:rsid w:val="00923BFE"/>
    <w:rsid w:val="00924916"/>
    <w:rsid w:val="0092581B"/>
    <w:rsid w:val="00925EAA"/>
    <w:rsid w:val="0092740D"/>
    <w:rsid w:val="009274FB"/>
    <w:rsid w:val="009314FC"/>
    <w:rsid w:val="00931B2C"/>
    <w:rsid w:val="00932C5D"/>
    <w:rsid w:val="00934465"/>
    <w:rsid w:val="00935435"/>
    <w:rsid w:val="009377CE"/>
    <w:rsid w:val="00943C92"/>
    <w:rsid w:val="00945404"/>
    <w:rsid w:val="00950341"/>
    <w:rsid w:val="00951FB6"/>
    <w:rsid w:val="009562E8"/>
    <w:rsid w:val="00962DA0"/>
    <w:rsid w:val="00963E30"/>
    <w:rsid w:val="00964CA4"/>
    <w:rsid w:val="009672C0"/>
    <w:rsid w:val="00971904"/>
    <w:rsid w:val="00971D75"/>
    <w:rsid w:val="0097339B"/>
    <w:rsid w:val="0097351C"/>
    <w:rsid w:val="00973799"/>
    <w:rsid w:val="00973BBA"/>
    <w:rsid w:val="00981377"/>
    <w:rsid w:val="00984238"/>
    <w:rsid w:val="00984D81"/>
    <w:rsid w:val="00986D46"/>
    <w:rsid w:val="00990681"/>
    <w:rsid w:val="00993DEE"/>
    <w:rsid w:val="00996B87"/>
    <w:rsid w:val="0099769E"/>
    <w:rsid w:val="009A0CFF"/>
    <w:rsid w:val="009A0E2C"/>
    <w:rsid w:val="009A1B47"/>
    <w:rsid w:val="009A4DC2"/>
    <w:rsid w:val="009A7D67"/>
    <w:rsid w:val="009A7D95"/>
    <w:rsid w:val="009C331C"/>
    <w:rsid w:val="009C37E3"/>
    <w:rsid w:val="009C4D3C"/>
    <w:rsid w:val="009C5502"/>
    <w:rsid w:val="009C5948"/>
    <w:rsid w:val="009C7E52"/>
    <w:rsid w:val="009D207E"/>
    <w:rsid w:val="009D419D"/>
    <w:rsid w:val="009D5FC4"/>
    <w:rsid w:val="009D6530"/>
    <w:rsid w:val="009E33E3"/>
    <w:rsid w:val="009E5262"/>
    <w:rsid w:val="009F02FB"/>
    <w:rsid w:val="009F18E2"/>
    <w:rsid w:val="009F3027"/>
    <w:rsid w:val="009F4531"/>
    <w:rsid w:val="009F62B3"/>
    <w:rsid w:val="00A04D8A"/>
    <w:rsid w:val="00A0546E"/>
    <w:rsid w:val="00A1709C"/>
    <w:rsid w:val="00A217BD"/>
    <w:rsid w:val="00A22D7B"/>
    <w:rsid w:val="00A24B97"/>
    <w:rsid w:val="00A25125"/>
    <w:rsid w:val="00A25F89"/>
    <w:rsid w:val="00A2763D"/>
    <w:rsid w:val="00A27CD5"/>
    <w:rsid w:val="00A361EA"/>
    <w:rsid w:val="00A37123"/>
    <w:rsid w:val="00A37ED4"/>
    <w:rsid w:val="00A43333"/>
    <w:rsid w:val="00A44321"/>
    <w:rsid w:val="00A44971"/>
    <w:rsid w:val="00A46BFF"/>
    <w:rsid w:val="00A47DD6"/>
    <w:rsid w:val="00A51287"/>
    <w:rsid w:val="00A51536"/>
    <w:rsid w:val="00A555F9"/>
    <w:rsid w:val="00A568A6"/>
    <w:rsid w:val="00A62E70"/>
    <w:rsid w:val="00A63A3D"/>
    <w:rsid w:val="00A72D23"/>
    <w:rsid w:val="00A743B2"/>
    <w:rsid w:val="00A8212D"/>
    <w:rsid w:val="00A82743"/>
    <w:rsid w:val="00A87B62"/>
    <w:rsid w:val="00A92322"/>
    <w:rsid w:val="00A924A6"/>
    <w:rsid w:val="00A92F56"/>
    <w:rsid w:val="00A9429D"/>
    <w:rsid w:val="00A942FC"/>
    <w:rsid w:val="00A96533"/>
    <w:rsid w:val="00A977B1"/>
    <w:rsid w:val="00A97C3F"/>
    <w:rsid w:val="00A97E46"/>
    <w:rsid w:val="00AA0C70"/>
    <w:rsid w:val="00AA38CD"/>
    <w:rsid w:val="00AB0561"/>
    <w:rsid w:val="00AB3CA4"/>
    <w:rsid w:val="00AB3D47"/>
    <w:rsid w:val="00AB4947"/>
    <w:rsid w:val="00AB57CF"/>
    <w:rsid w:val="00AB79C1"/>
    <w:rsid w:val="00AC0A49"/>
    <w:rsid w:val="00AC1A26"/>
    <w:rsid w:val="00AC32D1"/>
    <w:rsid w:val="00AC44EC"/>
    <w:rsid w:val="00AD0874"/>
    <w:rsid w:val="00AD2097"/>
    <w:rsid w:val="00AD2AB8"/>
    <w:rsid w:val="00AD48F9"/>
    <w:rsid w:val="00AD4F1C"/>
    <w:rsid w:val="00AD6149"/>
    <w:rsid w:val="00AD6569"/>
    <w:rsid w:val="00AE0C85"/>
    <w:rsid w:val="00AE0D47"/>
    <w:rsid w:val="00AE1BDC"/>
    <w:rsid w:val="00AF29D9"/>
    <w:rsid w:val="00AF39AF"/>
    <w:rsid w:val="00AF5867"/>
    <w:rsid w:val="00AF7C3A"/>
    <w:rsid w:val="00B02539"/>
    <w:rsid w:val="00B05F1A"/>
    <w:rsid w:val="00B07EAA"/>
    <w:rsid w:val="00B10671"/>
    <w:rsid w:val="00B13CD2"/>
    <w:rsid w:val="00B22C9A"/>
    <w:rsid w:val="00B24081"/>
    <w:rsid w:val="00B26E9A"/>
    <w:rsid w:val="00B27D0B"/>
    <w:rsid w:val="00B32679"/>
    <w:rsid w:val="00B33CCD"/>
    <w:rsid w:val="00B34C0C"/>
    <w:rsid w:val="00B362DB"/>
    <w:rsid w:val="00B406B0"/>
    <w:rsid w:val="00B431E9"/>
    <w:rsid w:val="00B449F4"/>
    <w:rsid w:val="00B4537E"/>
    <w:rsid w:val="00B4546A"/>
    <w:rsid w:val="00B45BDA"/>
    <w:rsid w:val="00B46E8D"/>
    <w:rsid w:val="00B47D93"/>
    <w:rsid w:val="00B519E9"/>
    <w:rsid w:val="00B546F6"/>
    <w:rsid w:val="00B54C35"/>
    <w:rsid w:val="00B57393"/>
    <w:rsid w:val="00B627B9"/>
    <w:rsid w:val="00B638B5"/>
    <w:rsid w:val="00B717C3"/>
    <w:rsid w:val="00B7445F"/>
    <w:rsid w:val="00B75DCA"/>
    <w:rsid w:val="00B80017"/>
    <w:rsid w:val="00B81F51"/>
    <w:rsid w:val="00B91829"/>
    <w:rsid w:val="00B92DF5"/>
    <w:rsid w:val="00B95004"/>
    <w:rsid w:val="00B96007"/>
    <w:rsid w:val="00B9691D"/>
    <w:rsid w:val="00B977DC"/>
    <w:rsid w:val="00BA1440"/>
    <w:rsid w:val="00BA3B32"/>
    <w:rsid w:val="00BA3F2C"/>
    <w:rsid w:val="00BB39AF"/>
    <w:rsid w:val="00BB3C6F"/>
    <w:rsid w:val="00BB41F7"/>
    <w:rsid w:val="00BB4B46"/>
    <w:rsid w:val="00BB4CF7"/>
    <w:rsid w:val="00BB5052"/>
    <w:rsid w:val="00BC021C"/>
    <w:rsid w:val="00BC4D1A"/>
    <w:rsid w:val="00BC66DD"/>
    <w:rsid w:val="00BC70DE"/>
    <w:rsid w:val="00BC7940"/>
    <w:rsid w:val="00BD02FC"/>
    <w:rsid w:val="00BD215D"/>
    <w:rsid w:val="00BD3FEC"/>
    <w:rsid w:val="00BD4855"/>
    <w:rsid w:val="00BD4E6A"/>
    <w:rsid w:val="00BD656D"/>
    <w:rsid w:val="00BD67F3"/>
    <w:rsid w:val="00BD7AD6"/>
    <w:rsid w:val="00BE52B9"/>
    <w:rsid w:val="00BE5BC1"/>
    <w:rsid w:val="00BE6D25"/>
    <w:rsid w:val="00BF3090"/>
    <w:rsid w:val="00BF429A"/>
    <w:rsid w:val="00BF7D51"/>
    <w:rsid w:val="00BF7F67"/>
    <w:rsid w:val="00C019E3"/>
    <w:rsid w:val="00C0444B"/>
    <w:rsid w:val="00C05D13"/>
    <w:rsid w:val="00C1212F"/>
    <w:rsid w:val="00C1320D"/>
    <w:rsid w:val="00C139B7"/>
    <w:rsid w:val="00C13BA5"/>
    <w:rsid w:val="00C208B7"/>
    <w:rsid w:val="00C2454A"/>
    <w:rsid w:val="00C251B9"/>
    <w:rsid w:val="00C25754"/>
    <w:rsid w:val="00C27C34"/>
    <w:rsid w:val="00C30D65"/>
    <w:rsid w:val="00C3205C"/>
    <w:rsid w:val="00C328A8"/>
    <w:rsid w:val="00C360E7"/>
    <w:rsid w:val="00C365A8"/>
    <w:rsid w:val="00C3719B"/>
    <w:rsid w:val="00C40E7A"/>
    <w:rsid w:val="00C42BE4"/>
    <w:rsid w:val="00C44EF8"/>
    <w:rsid w:val="00C45CDD"/>
    <w:rsid w:val="00C4771D"/>
    <w:rsid w:val="00C52FD3"/>
    <w:rsid w:val="00C531FF"/>
    <w:rsid w:val="00C551D9"/>
    <w:rsid w:val="00C6175F"/>
    <w:rsid w:val="00C632EB"/>
    <w:rsid w:val="00C67CDA"/>
    <w:rsid w:val="00C70398"/>
    <w:rsid w:val="00C707FD"/>
    <w:rsid w:val="00C73797"/>
    <w:rsid w:val="00C7389C"/>
    <w:rsid w:val="00C7438D"/>
    <w:rsid w:val="00C80FD7"/>
    <w:rsid w:val="00C82659"/>
    <w:rsid w:val="00C91387"/>
    <w:rsid w:val="00C9186C"/>
    <w:rsid w:val="00C96151"/>
    <w:rsid w:val="00CA1DAA"/>
    <w:rsid w:val="00CA28C2"/>
    <w:rsid w:val="00CA5F2B"/>
    <w:rsid w:val="00CA61F3"/>
    <w:rsid w:val="00CB05D3"/>
    <w:rsid w:val="00CB118A"/>
    <w:rsid w:val="00CB1FEF"/>
    <w:rsid w:val="00CB2F52"/>
    <w:rsid w:val="00CB4605"/>
    <w:rsid w:val="00CB7C98"/>
    <w:rsid w:val="00CC369E"/>
    <w:rsid w:val="00CC6BC0"/>
    <w:rsid w:val="00CC7158"/>
    <w:rsid w:val="00CD45E2"/>
    <w:rsid w:val="00CD6C16"/>
    <w:rsid w:val="00CD74B1"/>
    <w:rsid w:val="00CE0E0F"/>
    <w:rsid w:val="00CE7254"/>
    <w:rsid w:val="00CE7E0E"/>
    <w:rsid w:val="00D00608"/>
    <w:rsid w:val="00D008ED"/>
    <w:rsid w:val="00D04E32"/>
    <w:rsid w:val="00D056F2"/>
    <w:rsid w:val="00D077EE"/>
    <w:rsid w:val="00D11233"/>
    <w:rsid w:val="00D11B80"/>
    <w:rsid w:val="00D12104"/>
    <w:rsid w:val="00D13AFA"/>
    <w:rsid w:val="00D1498F"/>
    <w:rsid w:val="00D211C7"/>
    <w:rsid w:val="00D213B3"/>
    <w:rsid w:val="00D214CC"/>
    <w:rsid w:val="00D23EE4"/>
    <w:rsid w:val="00D275BD"/>
    <w:rsid w:val="00D312A3"/>
    <w:rsid w:val="00D31B45"/>
    <w:rsid w:val="00D31CFA"/>
    <w:rsid w:val="00D31F59"/>
    <w:rsid w:val="00D322BB"/>
    <w:rsid w:val="00D33FEA"/>
    <w:rsid w:val="00D36681"/>
    <w:rsid w:val="00D4038B"/>
    <w:rsid w:val="00D4062B"/>
    <w:rsid w:val="00D43C5A"/>
    <w:rsid w:val="00D47FA5"/>
    <w:rsid w:val="00D5018C"/>
    <w:rsid w:val="00D514B2"/>
    <w:rsid w:val="00D514D8"/>
    <w:rsid w:val="00D51BDB"/>
    <w:rsid w:val="00D52C55"/>
    <w:rsid w:val="00D54531"/>
    <w:rsid w:val="00D60BDA"/>
    <w:rsid w:val="00D7015C"/>
    <w:rsid w:val="00D758A4"/>
    <w:rsid w:val="00D77092"/>
    <w:rsid w:val="00D773E6"/>
    <w:rsid w:val="00D778F8"/>
    <w:rsid w:val="00D8469F"/>
    <w:rsid w:val="00D85BA8"/>
    <w:rsid w:val="00D8711C"/>
    <w:rsid w:val="00D877A8"/>
    <w:rsid w:val="00D87939"/>
    <w:rsid w:val="00D91105"/>
    <w:rsid w:val="00D91AC8"/>
    <w:rsid w:val="00D9220A"/>
    <w:rsid w:val="00D9718E"/>
    <w:rsid w:val="00DA497D"/>
    <w:rsid w:val="00DA7829"/>
    <w:rsid w:val="00DB0998"/>
    <w:rsid w:val="00DB0EBD"/>
    <w:rsid w:val="00DB3B76"/>
    <w:rsid w:val="00DB3C0A"/>
    <w:rsid w:val="00DB5365"/>
    <w:rsid w:val="00DC7D9E"/>
    <w:rsid w:val="00DD1C6E"/>
    <w:rsid w:val="00DD494B"/>
    <w:rsid w:val="00DD613A"/>
    <w:rsid w:val="00DD67FC"/>
    <w:rsid w:val="00DD7C3E"/>
    <w:rsid w:val="00DE05FA"/>
    <w:rsid w:val="00DE2028"/>
    <w:rsid w:val="00DE4C2A"/>
    <w:rsid w:val="00DE54D9"/>
    <w:rsid w:val="00DF1CA5"/>
    <w:rsid w:val="00DF2149"/>
    <w:rsid w:val="00DF34B5"/>
    <w:rsid w:val="00DF3688"/>
    <w:rsid w:val="00DF77C8"/>
    <w:rsid w:val="00E024AA"/>
    <w:rsid w:val="00E03E77"/>
    <w:rsid w:val="00E06118"/>
    <w:rsid w:val="00E12031"/>
    <w:rsid w:val="00E15830"/>
    <w:rsid w:val="00E15DF5"/>
    <w:rsid w:val="00E176EF"/>
    <w:rsid w:val="00E17DE7"/>
    <w:rsid w:val="00E249CE"/>
    <w:rsid w:val="00E24B29"/>
    <w:rsid w:val="00E24BB9"/>
    <w:rsid w:val="00E31D54"/>
    <w:rsid w:val="00E3467E"/>
    <w:rsid w:val="00E353D6"/>
    <w:rsid w:val="00E365F7"/>
    <w:rsid w:val="00E41C09"/>
    <w:rsid w:val="00E43CE1"/>
    <w:rsid w:val="00E4556F"/>
    <w:rsid w:val="00E51F12"/>
    <w:rsid w:val="00E52987"/>
    <w:rsid w:val="00E52FAB"/>
    <w:rsid w:val="00E5354D"/>
    <w:rsid w:val="00E55777"/>
    <w:rsid w:val="00E60952"/>
    <w:rsid w:val="00E635C2"/>
    <w:rsid w:val="00E63623"/>
    <w:rsid w:val="00E643D5"/>
    <w:rsid w:val="00E64D2F"/>
    <w:rsid w:val="00E6784F"/>
    <w:rsid w:val="00E71FCB"/>
    <w:rsid w:val="00E75926"/>
    <w:rsid w:val="00E77131"/>
    <w:rsid w:val="00E80AE3"/>
    <w:rsid w:val="00E815B6"/>
    <w:rsid w:val="00E841AC"/>
    <w:rsid w:val="00E86B50"/>
    <w:rsid w:val="00E8710C"/>
    <w:rsid w:val="00E87613"/>
    <w:rsid w:val="00E927EF"/>
    <w:rsid w:val="00E97A78"/>
    <w:rsid w:val="00EA0238"/>
    <w:rsid w:val="00EA23FB"/>
    <w:rsid w:val="00EA2EED"/>
    <w:rsid w:val="00EA4ADC"/>
    <w:rsid w:val="00EA5167"/>
    <w:rsid w:val="00EB1B03"/>
    <w:rsid w:val="00EB27CC"/>
    <w:rsid w:val="00EB2FF9"/>
    <w:rsid w:val="00EB4AFE"/>
    <w:rsid w:val="00EB6CBC"/>
    <w:rsid w:val="00EB704C"/>
    <w:rsid w:val="00EC4678"/>
    <w:rsid w:val="00ED55F1"/>
    <w:rsid w:val="00ED6450"/>
    <w:rsid w:val="00ED7DE3"/>
    <w:rsid w:val="00EE236F"/>
    <w:rsid w:val="00EE26EE"/>
    <w:rsid w:val="00EE3224"/>
    <w:rsid w:val="00EE5221"/>
    <w:rsid w:val="00EE6545"/>
    <w:rsid w:val="00EF11BF"/>
    <w:rsid w:val="00F00FE9"/>
    <w:rsid w:val="00F03A45"/>
    <w:rsid w:val="00F05109"/>
    <w:rsid w:val="00F0643E"/>
    <w:rsid w:val="00F070F7"/>
    <w:rsid w:val="00F0727C"/>
    <w:rsid w:val="00F11C7B"/>
    <w:rsid w:val="00F13DB9"/>
    <w:rsid w:val="00F14202"/>
    <w:rsid w:val="00F15F57"/>
    <w:rsid w:val="00F20ECF"/>
    <w:rsid w:val="00F22398"/>
    <w:rsid w:val="00F23508"/>
    <w:rsid w:val="00F23D2E"/>
    <w:rsid w:val="00F24AAA"/>
    <w:rsid w:val="00F24C97"/>
    <w:rsid w:val="00F24FE8"/>
    <w:rsid w:val="00F25F4A"/>
    <w:rsid w:val="00F264B1"/>
    <w:rsid w:val="00F27A05"/>
    <w:rsid w:val="00F30246"/>
    <w:rsid w:val="00F303D4"/>
    <w:rsid w:val="00F30ECC"/>
    <w:rsid w:val="00F3292B"/>
    <w:rsid w:val="00F35329"/>
    <w:rsid w:val="00F36F33"/>
    <w:rsid w:val="00F41BD4"/>
    <w:rsid w:val="00F45CD7"/>
    <w:rsid w:val="00F46A30"/>
    <w:rsid w:val="00F505E9"/>
    <w:rsid w:val="00F535F6"/>
    <w:rsid w:val="00F53DA1"/>
    <w:rsid w:val="00F54148"/>
    <w:rsid w:val="00F56BEA"/>
    <w:rsid w:val="00F6432A"/>
    <w:rsid w:val="00F64364"/>
    <w:rsid w:val="00F649D5"/>
    <w:rsid w:val="00F6734A"/>
    <w:rsid w:val="00F67E6F"/>
    <w:rsid w:val="00F708E4"/>
    <w:rsid w:val="00F7579D"/>
    <w:rsid w:val="00F75ABC"/>
    <w:rsid w:val="00F77CEB"/>
    <w:rsid w:val="00F77DA4"/>
    <w:rsid w:val="00F80BA7"/>
    <w:rsid w:val="00F82A5A"/>
    <w:rsid w:val="00F82A5F"/>
    <w:rsid w:val="00F830DE"/>
    <w:rsid w:val="00F868F4"/>
    <w:rsid w:val="00F91B36"/>
    <w:rsid w:val="00F95364"/>
    <w:rsid w:val="00FA0109"/>
    <w:rsid w:val="00FA1416"/>
    <w:rsid w:val="00FA26AA"/>
    <w:rsid w:val="00FA36FE"/>
    <w:rsid w:val="00FA417A"/>
    <w:rsid w:val="00FB1845"/>
    <w:rsid w:val="00FB1B72"/>
    <w:rsid w:val="00FB2574"/>
    <w:rsid w:val="00FB35C4"/>
    <w:rsid w:val="00FB3A67"/>
    <w:rsid w:val="00FB5B5C"/>
    <w:rsid w:val="00FB6634"/>
    <w:rsid w:val="00FB7994"/>
    <w:rsid w:val="00FC1A13"/>
    <w:rsid w:val="00FC2A96"/>
    <w:rsid w:val="00FC332B"/>
    <w:rsid w:val="00FC3B39"/>
    <w:rsid w:val="00FC5158"/>
    <w:rsid w:val="00FC6342"/>
    <w:rsid w:val="00FD0CFF"/>
    <w:rsid w:val="00FD1318"/>
    <w:rsid w:val="00FD4929"/>
    <w:rsid w:val="00FD5449"/>
    <w:rsid w:val="00FD6BD4"/>
    <w:rsid w:val="00FE10FA"/>
    <w:rsid w:val="00FE3903"/>
    <w:rsid w:val="00FE6BBE"/>
    <w:rsid w:val="00FF136F"/>
    <w:rsid w:val="00FF18C7"/>
    <w:rsid w:val="00FF1B54"/>
    <w:rsid w:val="00FF3E9D"/>
    <w:rsid w:val="00FF3F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FC40D"/>
  <w15:chartTrackingRefBased/>
  <w15:docId w15:val="{E80D52DA-CA79-49CF-8C7A-1AECDE2F8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419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C019E3"/>
  </w:style>
  <w:style w:type="paragraph" w:customStyle="1" w:styleId="Default">
    <w:name w:val="Default"/>
    <w:rsid w:val="00C019E3"/>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 w:type="character" w:styleId="Odwoaniedokomentarza">
    <w:name w:val="annotation reference"/>
    <w:uiPriority w:val="99"/>
    <w:unhideWhenUsed/>
    <w:qFormat/>
    <w:rsid w:val="00C019E3"/>
    <w:rPr>
      <w:rFonts w:cs="Times New Roman"/>
      <w:sz w:val="16"/>
      <w:szCs w:val="16"/>
    </w:rPr>
  </w:style>
  <w:style w:type="paragraph" w:styleId="Tekstkomentarza">
    <w:name w:val="annotation text"/>
    <w:basedOn w:val="Normalny"/>
    <w:link w:val="TekstkomentarzaZnak"/>
    <w:uiPriority w:val="99"/>
    <w:unhideWhenUsed/>
    <w:qFormat/>
    <w:rsid w:val="00C019E3"/>
    <w:pPr>
      <w:widowControl w:val="0"/>
      <w:autoSpaceDE w:val="0"/>
      <w:autoSpaceDN w:val="0"/>
      <w:adjustRightInd w:val="0"/>
      <w:spacing w:after="0" w:line="40" w:lineRule="atLeast"/>
      <w:jc w:val="both"/>
    </w:pPr>
    <w:rPr>
      <w:rFonts w:ascii="Helvetica" w:eastAsia="Times New Roman" w:hAnsi="Helvetica" w:cs="Helvetica"/>
      <w:color w:val="000000"/>
      <w:sz w:val="20"/>
      <w:szCs w:val="20"/>
      <w:lang w:eastAsia="pl-PL"/>
    </w:rPr>
  </w:style>
  <w:style w:type="character" w:customStyle="1" w:styleId="TekstkomentarzaZnak">
    <w:name w:val="Tekst komentarza Znak"/>
    <w:basedOn w:val="Domylnaczcionkaakapitu"/>
    <w:link w:val="Tekstkomentarza"/>
    <w:uiPriority w:val="99"/>
    <w:qFormat/>
    <w:rsid w:val="00C019E3"/>
    <w:rPr>
      <w:rFonts w:ascii="Helvetica" w:eastAsia="Times New Roman" w:hAnsi="Helvetica" w:cs="Helvetica"/>
      <w:color w:val="000000"/>
      <w:sz w:val="20"/>
      <w:szCs w:val="20"/>
      <w:lang w:eastAsia="pl-PL"/>
    </w:rPr>
  </w:style>
  <w:style w:type="paragraph" w:customStyle="1" w:styleId="TYTUAKTUprzedmiotregulacjiustawylubrozporzdzenia">
    <w:name w:val="TYTUŁ_AKTU – przedmiot regulacji ustawy lub rozporządzenia"/>
    <w:next w:val="Normalny"/>
    <w:uiPriority w:val="99"/>
    <w:rsid w:val="00C019E3"/>
    <w:pPr>
      <w:keepNext/>
      <w:suppressAutoHyphens/>
      <w:spacing w:before="120" w:after="360" w:line="360" w:lineRule="auto"/>
      <w:jc w:val="center"/>
    </w:pPr>
    <w:rPr>
      <w:rFonts w:ascii="Times" w:eastAsia="Times New Roman" w:hAnsi="Times" w:cs="Arial"/>
      <w:b/>
      <w:bCs/>
      <w:sz w:val="24"/>
      <w:szCs w:val="24"/>
      <w:lang w:eastAsia="pl-PL"/>
    </w:rPr>
  </w:style>
  <w:style w:type="paragraph" w:styleId="Akapitzlist">
    <w:name w:val="List Paragraph"/>
    <w:basedOn w:val="Normalny"/>
    <w:uiPriority w:val="34"/>
    <w:qFormat/>
    <w:rsid w:val="00C019E3"/>
    <w:pPr>
      <w:spacing w:after="0" w:line="240" w:lineRule="auto"/>
      <w:ind w:left="720"/>
      <w:contextualSpacing/>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019E3"/>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C019E3"/>
    <w:rPr>
      <w:rFonts w:ascii="Segoe UI" w:eastAsia="Times New Roman" w:hAnsi="Segoe UI" w:cs="Segoe UI"/>
      <w:sz w:val="18"/>
      <w:szCs w:val="18"/>
      <w:lang w:eastAsia="pl-PL"/>
    </w:rPr>
  </w:style>
  <w:style w:type="paragraph" w:customStyle="1" w:styleId="divpoint">
    <w:name w:val="div.point"/>
    <w:uiPriority w:val="99"/>
    <w:rsid w:val="00C019E3"/>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character" w:customStyle="1" w:styleId="Bodytext2Bold">
    <w:name w:val="Body text (2) + Bold"/>
    <w:basedOn w:val="Domylnaczcionkaakapitu"/>
    <w:rsid w:val="00C019E3"/>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character" w:customStyle="1" w:styleId="Bodytext2Italic">
    <w:name w:val="Body text (2) + Italic"/>
    <w:basedOn w:val="Domylnaczcionkaakapitu"/>
    <w:rsid w:val="00C019E3"/>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style>
  <w:style w:type="character" w:customStyle="1" w:styleId="Bodytext2">
    <w:name w:val="Body text (2)_"/>
    <w:basedOn w:val="Domylnaczcionkaakapitu"/>
    <w:link w:val="Bodytext20"/>
    <w:rsid w:val="00C019E3"/>
    <w:rPr>
      <w:shd w:val="clear" w:color="auto" w:fill="FFFFFF"/>
    </w:rPr>
  </w:style>
  <w:style w:type="character" w:customStyle="1" w:styleId="Bodytext2BoldSpacing2pt">
    <w:name w:val="Body text (2) + Bold;Spacing 2 pt"/>
    <w:basedOn w:val="Bodytext2"/>
    <w:rsid w:val="00C019E3"/>
    <w:rPr>
      <w:rFonts w:ascii="Times New Roman" w:eastAsia="Times New Roman" w:hAnsi="Times New Roman" w:cs="Times New Roman"/>
      <w:b/>
      <w:bCs/>
      <w:color w:val="000000"/>
      <w:spacing w:val="40"/>
      <w:w w:val="100"/>
      <w:position w:val="0"/>
      <w:shd w:val="clear" w:color="auto" w:fill="FFFFFF"/>
      <w:lang w:val="pl-PL" w:eastAsia="pl-PL" w:bidi="pl-PL"/>
    </w:rPr>
  </w:style>
  <w:style w:type="paragraph" w:customStyle="1" w:styleId="Bodytext20">
    <w:name w:val="Body text (2)"/>
    <w:basedOn w:val="Normalny"/>
    <w:link w:val="Bodytext2"/>
    <w:rsid w:val="00C019E3"/>
    <w:pPr>
      <w:widowControl w:val="0"/>
      <w:shd w:val="clear" w:color="auto" w:fill="FFFFFF"/>
      <w:spacing w:before="420" w:after="280" w:line="244" w:lineRule="exact"/>
      <w:ind w:hanging="340"/>
      <w:jc w:val="right"/>
    </w:pPr>
  </w:style>
  <w:style w:type="character" w:customStyle="1" w:styleId="Bodytext2Arial95ptBold">
    <w:name w:val="Body text (2) + Arial;9.5 pt;Bold"/>
    <w:basedOn w:val="Bodytext2"/>
    <w:rsid w:val="00C019E3"/>
    <w:rPr>
      <w:rFonts w:ascii="Arial" w:eastAsia="Arial" w:hAnsi="Arial" w:cs="Arial"/>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Heading2">
    <w:name w:val="Heading #2_"/>
    <w:basedOn w:val="Domylnaczcionkaakapitu"/>
    <w:link w:val="Heading20"/>
    <w:rsid w:val="00C019E3"/>
    <w:rPr>
      <w:b/>
      <w:bCs/>
      <w:shd w:val="clear" w:color="auto" w:fill="FFFFFF"/>
    </w:rPr>
  </w:style>
  <w:style w:type="paragraph" w:customStyle="1" w:styleId="Heading20">
    <w:name w:val="Heading #2"/>
    <w:basedOn w:val="Normalny"/>
    <w:link w:val="Heading2"/>
    <w:rsid w:val="00C019E3"/>
    <w:pPr>
      <w:widowControl w:val="0"/>
      <w:shd w:val="clear" w:color="auto" w:fill="FFFFFF"/>
      <w:spacing w:after="0" w:line="298" w:lineRule="exact"/>
      <w:ind w:hanging="340"/>
      <w:outlineLvl w:val="1"/>
    </w:pPr>
    <w:rPr>
      <w:b/>
      <w:bCs/>
    </w:rPr>
  </w:style>
  <w:style w:type="character" w:styleId="Pogrubienie">
    <w:name w:val="Strong"/>
    <w:uiPriority w:val="22"/>
    <w:qFormat/>
    <w:rsid w:val="00C019E3"/>
    <w:rPr>
      <w:b/>
      <w:bCs/>
    </w:rPr>
  </w:style>
  <w:style w:type="paragraph" w:styleId="Tematkomentarza">
    <w:name w:val="annotation subject"/>
    <w:basedOn w:val="Tekstkomentarza"/>
    <w:next w:val="Tekstkomentarza"/>
    <w:link w:val="TematkomentarzaZnak"/>
    <w:uiPriority w:val="99"/>
    <w:semiHidden/>
    <w:unhideWhenUsed/>
    <w:rsid w:val="00C019E3"/>
    <w:pPr>
      <w:widowControl/>
      <w:autoSpaceDE/>
      <w:autoSpaceDN/>
      <w:adjustRightInd/>
      <w:spacing w:line="240" w:lineRule="auto"/>
      <w:jc w:val="left"/>
    </w:pPr>
    <w:rPr>
      <w:rFonts w:ascii="Times New Roman" w:hAnsi="Times New Roman" w:cs="Times New Roman"/>
      <w:b/>
      <w:bCs/>
      <w:color w:val="auto"/>
    </w:rPr>
  </w:style>
  <w:style w:type="character" w:customStyle="1" w:styleId="TematkomentarzaZnak">
    <w:name w:val="Temat komentarza Znak"/>
    <w:basedOn w:val="TekstkomentarzaZnak"/>
    <w:link w:val="Tematkomentarza"/>
    <w:uiPriority w:val="99"/>
    <w:semiHidden/>
    <w:rsid w:val="00C019E3"/>
    <w:rPr>
      <w:rFonts w:ascii="Times New Roman" w:eastAsia="Times New Roman" w:hAnsi="Times New Roman" w:cs="Times New Roman"/>
      <w:b/>
      <w:bCs/>
      <w:color w:val="000000"/>
      <w:sz w:val="20"/>
      <w:szCs w:val="20"/>
      <w:lang w:eastAsia="pl-PL"/>
    </w:rPr>
  </w:style>
  <w:style w:type="paragraph" w:styleId="Poprawka">
    <w:name w:val="Revision"/>
    <w:hidden/>
    <w:uiPriority w:val="99"/>
    <w:semiHidden/>
    <w:rsid w:val="00C019E3"/>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C019E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C019E3"/>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019E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C019E3"/>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9C550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5502"/>
    <w:rPr>
      <w:sz w:val="20"/>
      <w:szCs w:val="20"/>
    </w:rPr>
  </w:style>
  <w:style w:type="character" w:styleId="Odwoanieprzypisudolnego">
    <w:name w:val="footnote reference"/>
    <w:basedOn w:val="Domylnaczcionkaakapitu"/>
    <w:uiPriority w:val="99"/>
    <w:semiHidden/>
    <w:unhideWhenUsed/>
    <w:rsid w:val="009C5502"/>
    <w:rPr>
      <w:vertAlign w:val="superscript"/>
    </w:rPr>
  </w:style>
  <w:style w:type="character" w:customStyle="1" w:styleId="Stopka0">
    <w:name w:val="Stopka_"/>
    <w:basedOn w:val="Domylnaczcionkaakapitu"/>
    <w:link w:val="Stopka1"/>
    <w:rsid w:val="00D31CFA"/>
    <w:rPr>
      <w:rFonts w:ascii="Times New Roman" w:eastAsia="Times New Roman" w:hAnsi="Times New Roman" w:cs="Times New Roman"/>
      <w:sz w:val="20"/>
      <w:szCs w:val="20"/>
      <w:shd w:val="clear" w:color="auto" w:fill="FFFFFF"/>
    </w:rPr>
  </w:style>
  <w:style w:type="paragraph" w:customStyle="1" w:styleId="Stopka1">
    <w:name w:val="Stopka1"/>
    <w:basedOn w:val="Normalny"/>
    <w:link w:val="Stopka0"/>
    <w:rsid w:val="00D31CFA"/>
    <w:pPr>
      <w:widowControl w:val="0"/>
      <w:shd w:val="clear" w:color="auto" w:fill="FFFFFF"/>
      <w:spacing w:after="240" w:line="240" w:lineRule="auto"/>
      <w:ind w:right="100"/>
      <w:jc w:val="both"/>
    </w:pPr>
    <w:rPr>
      <w:rFonts w:ascii="Times New Roman" w:eastAsia="Times New Roman" w:hAnsi="Times New Roman" w:cs="Times New Roman"/>
      <w:sz w:val="20"/>
      <w:szCs w:val="20"/>
    </w:rPr>
  </w:style>
  <w:style w:type="paragraph" w:customStyle="1" w:styleId="ZPKTzmpktartykuempunktem">
    <w:name w:val="Z/PKT – zm. pkt artykułem (punktem)"/>
    <w:basedOn w:val="Normalny"/>
    <w:uiPriority w:val="31"/>
    <w:qFormat/>
    <w:rsid w:val="00300D6D"/>
    <w:pPr>
      <w:spacing w:after="0" w:line="360" w:lineRule="auto"/>
      <w:ind w:left="1020" w:hanging="510"/>
      <w:jc w:val="both"/>
    </w:pPr>
    <w:rPr>
      <w:rFonts w:ascii="Times" w:eastAsiaTheme="minorEastAsia" w:hAnsi="Times" w:cs="Arial"/>
      <w:bCs/>
      <w:sz w:val="24"/>
      <w:szCs w:val="20"/>
      <w:lang w:eastAsia="pl-PL"/>
    </w:rPr>
  </w:style>
  <w:style w:type="table" w:styleId="Tabela-Siatka">
    <w:name w:val="Table Grid"/>
    <w:basedOn w:val="Standardowy"/>
    <w:uiPriority w:val="39"/>
    <w:rsid w:val="002F1A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Normalny"/>
    <w:link w:val="footnotedescriptionChar"/>
    <w:hidden/>
    <w:rsid w:val="00E80AE3"/>
    <w:pPr>
      <w:spacing w:after="0" w:line="244" w:lineRule="auto"/>
      <w:ind w:left="142"/>
    </w:pPr>
    <w:rPr>
      <w:rFonts w:ascii="Calibri" w:eastAsia="Calibri" w:hAnsi="Calibri" w:cs="Calibri"/>
      <w:color w:val="000000"/>
      <w:kern w:val="2"/>
      <w:sz w:val="20"/>
      <w:szCs w:val="24"/>
      <w:lang w:eastAsia="pl-PL"/>
      <w14:ligatures w14:val="standardContextual"/>
    </w:rPr>
  </w:style>
  <w:style w:type="character" w:customStyle="1" w:styleId="footnotedescriptionChar">
    <w:name w:val="footnote description Char"/>
    <w:link w:val="footnotedescription"/>
    <w:rsid w:val="00E80AE3"/>
    <w:rPr>
      <w:rFonts w:ascii="Calibri" w:eastAsia="Calibri" w:hAnsi="Calibri" w:cs="Calibri"/>
      <w:color w:val="000000"/>
      <w:kern w:val="2"/>
      <w:sz w:val="20"/>
      <w:szCs w:val="24"/>
      <w:lang w:eastAsia="pl-PL"/>
      <w14:ligatures w14:val="standardContextual"/>
    </w:rPr>
  </w:style>
  <w:style w:type="character" w:customStyle="1" w:styleId="footnotemark">
    <w:name w:val="footnote mark"/>
    <w:hidden/>
    <w:rsid w:val="00E80AE3"/>
    <w:rPr>
      <w:rFonts w:ascii="Calibri" w:eastAsia="Calibri" w:hAnsi="Calibri" w:cs="Calibri"/>
      <w:color w:val="000000"/>
      <w:sz w:val="20"/>
      <w:vertAlign w:val="superscript"/>
    </w:rPr>
  </w:style>
  <w:style w:type="paragraph" w:styleId="NormalnyWeb">
    <w:name w:val="Normal (Web)"/>
    <w:basedOn w:val="Normalny"/>
    <w:uiPriority w:val="99"/>
    <w:semiHidden/>
    <w:unhideWhenUsed/>
    <w:rsid w:val="006C7940"/>
    <w:pPr>
      <w:spacing w:before="100" w:beforeAutospacing="1" w:after="100" w:afterAutospacing="1" w:line="240" w:lineRule="auto"/>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12564">
      <w:bodyDiv w:val="1"/>
      <w:marLeft w:val="0"/>
      <w:marRight w:val="0"/>
      <w:marTop w:val="0"/>
      <w:marBottom w:val="0"/>
      <w:divBdr>
        <w:top w:val="none" w:sz="0" w:space="0" w:color="auto"/>
        <w:left w:val="none" w:sz="0" w:space="0" w:color="auto"/>
        <w:bottom w:val="none" w:sz="0" w:space="0" w:color="auto"/>
        <w:right w:val="none" w:sz="0" w:space="0" w:color="auto"/>
      </w:divBdr>
    </w:div>
    <w:div w:id="252008976">
      <w:bodyDiv w:val="1"/>
      <w:marLeft w:val="0"/>
      <w:marRight w:val="0"/>
      <w:marTop w:val="0"/>
      <w:marBottom w:val="0"/>
      <w:divBdr>
        <w:top w:val="none" w:sz="0" w:space="0" w:color="auto"/>
        <w:left w:val="none" w:sz="0" w:space="0" w:color="auto"/>
        <w:bottom w:val="none" w:sz="0" w:space="0" w:color="auto"/>
        <w:right w:val="none" w:sz="0" w:space="0" w:color="auto"/>
      </w:divBdr>
    </w:div>
    <w:div w:id="385765575">
      <w:bodyDiv w:val="1"/>
      <w:marLeft w:val="0"/>
      <w:marRight w:val="0"/>
      <w:marTop w:val="0"/>
      <w:marBottom w:val="0"/>
      <w:divBdr>
        <w:top w:val="none" w:sz="0" w:space="0" w:color="auto"/>
        <w:left w:val="none" w:sz="0" w:space="0" w:color="auto"/>
        <w:bottom w:val="none" w:sz="0" w:space="0" w:color="auto"/>
        <w:right w:val="none" w:sz="0" w:space="0" w:color="auto"/>
      </w:divBdr>
    </w:div>
    <w:div w:id="596135586">
      <w:bodyDiv w:val="1"/>
      <w:marLeft w:val="0"/>
      <w:marRight w:val="0"/>
      <w:marTop w:val="0"/>
      <w:marBottom w:val="0"/>
      <w:divBdr>
        <w:top w:val="none" w:sz="0" w:space="0" w:color="auto"/>
        <w:left w:val="none" w:sz="0" w:space="0" w:color="auto"/>
        <w:bottom w:val="none" w:sz="0" w:space="0" w:color="auto"/>
        <w:right w:val="none" w:sz="0" w:space="0" w:color="auto"/>
      </w:divBdr>
    </w:div>
    <w:div w:id="696857290">
      <w:bodyDiv w:val="1"/>
      <w:marLeft w:val="0"/>
      <w:marRight w:val="0"/>
      <w:marTop w:val="0"/>
      <w:marBottom w:val="0"/>
      <w:divBdr>
        <w:top w:val="none" w:sz="0" w:space="0" w:color="auto"/>
        <w:left w:val="none" w:sz="0" w:space="0" w:color="auto"/>
        <w:bottom w:val="none" w:sz="0" w:space="0" w:color="auto"/>
        <w:right w:val="none" w:sz="0" w:space="0" w:color="auto"/>
      </w:divBdr>
    </w:div>
    <w:div w:id="740372225">
      <w:bodyDiv w:val="1"/>
      <w:marLeft w:val="0"/>
      <w:marRight w:val="0"/>
      <w:marTop w:val="0"/>
      <w:marBottom w:val="0"/>
      <w:divBdr>
        <w:top w:val="none" w:sz="0" w:space="0" w:color="auto"/>
        <w:left w:val="none" w:sz="0" w:space="0" w:color="auto"/>
        <w:bottom w:val="none" w:sz="0" w:space="0" w:color="auto"/>
        <w:right w:val="none" w:sz="0" w:space="0" w:color="auto"/>
      </w:divBdr>
    </w:div>
    <w:div w:id="921647184">
      <w:bodyDiv w:val="1"/>
      <w:marLeft w:val="0"/>
      <w:marRight w:val="0"/>
      <w:marTop w:val="0"/>
      <w:marBottom w:val="0"/>
      <w:divBdr>
        <w:top w:val="none" w:sz="0" w:space="0" w:color="auto"/>
        <w:left w:val="none" w:sz="0" w:space="0" w:color="auto"/>
        <w:bottom w:val="none" w:sz="0" w:space="0" w:color="auto"/>
        <w:right w:val="none" w:sz="0" w:space="0" w:color="auto"/>
      </w:divBdr>
      <w:divsChild>
        <w:div w:id="307589776">
          <w:marLeft w:val="0"/>
          <w:marRight w:val="0"/>
          <w:marTop w:val="72"/>
          <w:marBottom w:val="0"/>
          <w:divBdr>
            <w:top w:val="none" w:sz="0" w:space="0" w:color="auto"/>
            <w:left w:val="none" w:sz="0" w:space="0" w:color="auto"/>
            <w:bottom w:val="none" w:sz="0" w:space="0" w:color="auto"/>
            <w:right w:val="none" w:sz="0" w:space="0" w:color="auto"/>
          </w:divBdr>
        </w:div>
        <w:div w:id="1743261552">
          <w:marLeft w:val="0"/>
          <w:marRight w:val="0"/>
          <w:marTop w:val="72"/>
          <w:marBottom w:val="0"/>
          <w:divBdr>
            <w:top w:val="none" w:sz="0" w:space="0" w:color="auto"/>
            <w:left w:val="none" w:sz="0" w:space="0" w:color="auto"/>
            <w:bottom w:val="none" w:sz="0" w:space="0" w:color="auto"/>
            <w:right w:val="none" w:sz="0" w:space="0" w:color="auto"/>
          </w:divBdr>
          <w:divsChild>
            <w:div w:id="59173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425052">
      <w:bodyDiv w:val="1"/>
      <w:marLeft w:val="0"/>
      <w:marRight w:val="0"/>
      <w:marTop w:val="0"/>
      <w:marBottom w:val="0"/>
      <w:divBdr>
        <w:top w:val="none" w:sz="0" w:space="0" w:color="auto"/>
        <w:left w:val="none" w:sz="0" w:space="0" w:color="auto"/>
        <w:bottom w:val="none" w:sz="0" w:space="0" w:color="auto"/>
        <w:right w:val="none" w:sz="0" w:space="0" w:color="auto"/>
      </w:divBdr>
    </w:div>
    <w:div w:id="1067801327">
      <w:bodyDiv w:val="1"/>
      <w:marLeft w:val="0"/>
      <w:marRight w:val="0"/>
      <w:marTop w:val="0"/>
      <w:marBottom w:val="0"/>
      <w:divBdr>
        <w:top w:val="none" w:sz="0" w:space="0" w:color="auto"/>
        <w:left w:val="none" w:sz="0" w:space="0" w:color="auto"/>
        <w:bottom w:val="none" w:sz="0" w:space="0" w:color="auto"/>
        <w:right w:val="none" w:sz="0" w:space="0" w:color="auto"/>
      </w:divBdr>
    </w:div>
    <w:div w:id="1154293148">
      <w:bodyDiv w:val="1"/>
      <w:marLeft w:val="0"/>
      <w:marRight w:val="0"/>
      <w:marTop w:val="0"/>
      <w:marBottom w:val="0"/>
      <w:divBdr>
        <w:top w:val="none" w:sz="0" w:space="0" w:color="auto"/>
        <w:left w:val="none" w:sz="0" w:space="0" w:color="auto"/>
        <w:bottom w:val="none" w:sz="0" w:space="0" w:color="auto"/>
        <w:right w:val="none" w:sz="0" w:space="0" w:color="auto"/>
      </w:divBdr>
    </w:div>
    <w:div w:id="1457678698">
      <w:bodyDiv w:val="1"/>
      <w:marLeft w:val="0"/>
      <w:marRight w:val="0"/>
      <w:marTop w:val="0"/>
      <w:marBottom w:val="0"/>
      <w:divBdr>
        <w:top w:val="none" w:sz="0" w:space="0" w:color="auto"/>
        <w:left w:val="none" w:sz="0" w:space="0" w:color="auto"/>
        <w:bottom w:val="none" w:sz="0" w:space="0" w:color="auto"/>
        <w:right w:val="none" w:sz="0" w:space="0" w:color="auto"/>
      </w:divBdr>
    </w:div>
    <w:div w:id="1551721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1509</Words>
  <Characters>9057</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10545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Arciszewska Katarzyna</dc:creator>
  <cp:keywords/>
  <dc:description/>
  <cp:lastModifiedBy>DP</cp:lastModifiedBy>
  <cp:revision>9</cp:revision>
  <cp:lastPrinted>2024-07-31T11:56:00Z</cp:lastPrinted>
  <dcterms:created xsi:type="dcterms:W3CDTF">2026-02-26T11:49:00Z</dcterms:created>
  <dcterms:modified xsi:type="dcterms:W3CDTF">2026-02-27T11:32:00Z</dcterms:modified>
</cp:coreProperties>
</file>