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4E8" w:rsidRPr="00770C89" w:rsidRDefault="001674E8" w:rsidP="00B32379">
      <w:pPr>
        <w:autoSpaceDE w:val="0"/>
        <w:autoSpaceDN w:val="0"/>
        <w:adjustRightInd w:val="0"/>
        <w:spacing w:before="120" w:after="120" w:line="276" w:lineRule="auto"/>
        <w:jc w:val="center"/>
        <w:rPr>
          <w:rFonts w:cstheme="minorHAnsi"/>
          <w:b/>
          <w:bCs/>
          <w:sz w:val="26"/>
          <w:szCs w:val="26"/>
        </w:rPr>
      </w:pPr>
      <w:r w:rsidRPr="00770C89">
        <w:rPr>
          <w:rFonts w:cstheme="minorHAnsi"/>
          <w:b/>
          <w:bCs/>
          <w:sz w:val="26"/>
          <w:szCs w:val="26"/>
        </w:rPr>
        <w:t>R</w:t>
      </w:r>
      <w:r w:rsidR="00710916" w:rsidRPr="00770C89">
        <w:rPr>
          <w:rFonts w:cstheme="minorHAnsi"/>
          <w:b/>
          <w:bCs/>
          <w:sz w:val="26"/>
          <w:szCs w:val="26"/>
        </w:rPr>
        <w:t xml:space="preserve">aport z konsultacji publicznych i opiniowania </w:t>
      </w:r>
    </w:p>
    <w:p w:rsidR="001674E8" w:rsidRPr="00770C89" w:rsidRDefault="00B0029E" w:rsidP="00B32379">
      <w:pPr>
        <w:autoSpaceDE w:val="0"/>
        <w:autoSpaceDN w:val="0"/>
        <w:adjustRightInd w:val="0"/>
        <w:spacing w:before="120" w:after="120" w:line="276" w:lineRule="auto"/>
        <w:jc w:val="center"/>
        <w:rPr>
          <w:rFonts w:cstheme="minorHAnsi"/>
          <w:b/>
          <w:bCs/>
          <w:sz w:val="26"/>
          <w:szCs w:val="26"/>
        </w:rPr>
      </w:pPr>
      <w:r w:rsidRPr="00770C89">
        <w:rPr>
          <w:rFonts w:cstheme="minorHAnsi"/>
          <w:b/>
          <w:bCs/>
          <w:sz w:val="26"/>
          <w:szCs w:val="26"/>
        </w:rPr>
        <w:t xml:space="preserve">projektu ustawy </w:t>
      </w:r>
      <w:r w:rsidR="00A8551A" w:rsidRPr="00770C89">
        <w:rPr>
          <w:rFonts w:cstheme="minorHAnsi"/>
          <w:b/>
          <w:bCs/>
          <w:sz w:val="26"/>
          <w:szCs w:val="26"/>
        </w:rPr>
        <w:t xml:space="preserve">o udziale Rzeczypospolitej Polskiej w </w:t>
      </w:r>
      <w:r w:rsidR="009067EB">
        <w:rPr>
          <w:rFonts w:cstheme="minorHAnsi"/>
          <w:b/>
          <w:bCs/>
          <w:sz w:val="26"/>
          <w:szCs w:val="26"/>
        </w:rPr>
        <w:t xml:space="preserve">systemie </w:t>
      </w:r>
      <w:proofErr w:type="spellStart"/>
      <w:r w:rsidR="009067EB">
        <w:rPr>
          <w:rFonts w:cstheme="minorHAnsi"/>
          <w:b/>
          <w:bCs/>
          <w:sz w:val="26"/>
          <w:szCs w:val="26"/>
        </w:rPr>
        <w:t>Eurodac</w:t>
      </w:r>
      <w:proofErr w:type="spellEnd"/>
      <w:r w:rsidR="009067EB">
        <w:rPr>
          <w:rFonts w:cstheme="minorHAnsi"/>
          <w:b/>
          <w:bCs/>
          <w:sz w:val="26"/>
          <w:szCs w:val="26"/>
        </w:rPr>
        <w:t xml:space="preserve"> </w:t>
      </w:r>
      <w:r w:rsidR="00A8551A" w:rsidRPr="00770C89">
        <w:rPr>
          <w:rFonts w:cstheme="minorHAnsi"/>
          <w:b/>
          <w:bCs/>
          <w:sz w:val="26"/>
          <w:szCs w:val="26"/>
        </w:rPr>
        <w:t>(UC</w:t>
      </w:r>
      <w:r w:rsidR="009067EB">
        <w:rPr>
          <w:rFonts w:cstheme="minorHAnsi"/>
          <w:b/>
          <w:bCs/>
          <w:sz w:val="26"/>
          <w:szCs w:val="26"/>
        </w:rPr>
        <w:t>139</w:t>
      </w:r>
      <w:r w:rsidR="00A8551A" w:rsidRPr="00770C89">
        <w:rPr>
          <w:rFonts w:cstheme="minorHAnsi"/>
          <w:b/>
          <w:bCs/>
          <w:sz w:val="26"/>
          <w:szCs w:val="26"/>
        </w:rPr>
        <w:t>)</w:t>
      </w:r>
    </w:p>
    <w:p w:rsidR="001674E8" w:rsidRPr="004271BC" w:rsidRDefault="001674E8" w:rsidP="00B32379">
      <w:pPr>
        <w:pStyle w:val="Akapitzlist"/>
        <w:numPr>
          <w:ilvl w:val="0"/>
          <w:numId w:val="1"/>
        </w:numPr>
        <w:autoSpaceDE w:val="0"/>
        <w:autoSpaceDN w:val="0"/>
        <w:adjustRightInd w:val="0"/>
        <w:spacing w:before="120" w:after="120" w:line="276" w:lineRule="auto"/>
        <w:ind w:left="284" w:hanging="284"/>
        <w:contextualSpacing w:val="0"/>
        <w:jc w:val="both"/>
        <w:rPr>
          <w:rFonts w:cstheme="minorHAnsi"/>
          <w:b/>
          <w:bCs/>
        </w:rPr>
      </w:pPr>
      <w:r w:rsidRPr="004271BC">
        <w:rPr>
          <w:rFonts w:cstheme="minorHAnsi"/>
          <w:b/>
          <w:bCs/>
        </w:rPr>
        <w:t>Informacje ogólne</w:t>
      </w:r>
    </w:p>
    <w:p w:rsidR="00B32379" w:rsidRPr="0051698C" w:rsidRDefault="001674E8" w:rsidP="00B32379">
      <w:pPr>
        <w:autoSpaceDE w:val="0"/>
        <w:autoSpaceDN w:val="0"/>
        <w:adjustRightInd w:val="0"/>
        <w:spacing w:before="120" w:after="120" w:line="276" w:lineRule="auto"/>
        <w:jc w:val="both"/>
        <w:rPr>
          <w:rFonts w:cstheme="minorHAnsi"/>
        </w:rPr>
      </w:pPr>
      <w:r w:rsidRPr="004271BC">
        <w:rPr>
          <w:rFonts w:cstheme="minorHAnsi"/>
        </w:rPr>
        <w:t>Z</w:t>
      </w:r>
      <w:r w:rsidRPr="0051698C">
        <w:rPr>
          <w:rFonts w:cstheme="minorHAnsi"/>
        </w:rPr>
        <w:t>godnie z § 36 uchwały nr 190 Rady Ministrów z dnia 29 października 2013 r. – Regulamin pracy Rady Ministrów (M.P. z</w:t>
      </w:r>
      <w:r w:rsidR="00A8551A" w:rsidRPr="0051698C">
        <w:rPr>
          <w:rFonts w:cstheme="minorHAnsi"/>
        </w:rPr>
        <w:t xml:space="preserve"> </w:t>
      </w:r>
      <w:r w:rsidR="00A8551A" w:rsidRPr="0051698C">
        <w:rPr>
          <w:rFonts w:cstheme="minorHAnsi"/>
          <w:spacing w:val="-2"/>
        </w:rPr>
        <w:t>202</w:t>
      </w:r>
      <w:r w:rsidR="006A481D">
        <w:rPr>
          <w:rFonts w:cstheme="minorHAnsi"/>
          <w:spacing w:val="-2"/>
        </w:rPr>
        <w:t>4</w:t>
      </w:r>
      <w:r w:rsidR="00A8551A" w:rsidRPr="0051698C">
        <w:rPr>
          <w:rFonts w:cstheme="minorHAnsi"/>
          <w:spacing w:val="-2"/>
        </w:rPr>
        <w:t xml:space="preserve"> r. poz. </w:t>
      </w:r>
      <w:r w:rsidR="006A481D">
        <w:rPr>
          <w:rFonts w:cstheme="minorHAnsi"/>
          <w:spacing w:val="-2"/>
        </w:rPr>
        <w:t xml:space="preserve">806, z </w:t>
      </w:r>
      <w:proofErr w:type="spellStart"/>
      <w:r w:rsidR="006A481D">
        <w:rPr>
          <w:rFonts w:cstheme="minorHAnsi"/>
          <w:spacing w:val="-2"/>
        </w:rPr>
        <w:t>późn</w:t>
      </w:r>
      <w:proofErr w:type="spellEnd"/>
      <w:r w:rsidR="006A481D">
        <w:rPr>
          <w:rFonts w:cstheme="minorHAnsi"/>
          <w:spacing w:val="-2"/>
        </w:rPr>
        <w:t>. zm.</w:t>
      </w:r>
      <w:r w:rsidRPr="0051698C">
        <w:rPr>
          <w:rFonts w:cstheme="minorHAnsi"/>
        </w:rPr>
        <w:t xml:space="preserve">) projekty ustaw lub projekty rozporządzeń przedstawia się do konsultacji publicznych, w tym konsultacji z organizacjami społecznymi lub innymi zainteresowanymi podmiotami albo instytucjami w celu przedstawienia ich stanowiska. </w:t>
      </w:r>
    </w:p>
    <w:p w:rsidR="001674E8" w:rsidRPr="0051698C" w:rsidRDefault="001674E8" w:rsidP="00B32379">
      <w:pPr>
        <w:autoSpaceDE w:val="0"/>
        <w:autoSpaceDN w:val="0"/>
        <w:adjustRightInd w:val="0"/>
        <w:spacing w:before="120" w:after="120" w:line="276" w:lineRule="auto"/>
        <w:jc w:val="both"/>
        <w:rPr>
          <w:rFonts w:cstheme="minorHAnsi"/>
        </w:rPr>
      </w:pPr>
      <w:r w:rsidRPr="0051698C">
        <w:rPr>
          <w:rFonts w:cstheme="minorHAnsi"/>
        </w:rPr>
        <w:t>Niniejszy dokument stanowi wypełnienie obowiązku, o którym mowa w § 51 ust. 1 Regulaminu</w:t>
      </w:r>
      <w:r w:rsidR="00B32379" w:rsidRPr="0051698C">
        <w:rPr>
          <w:rFonts w:cstheme="minorHAnsi"/>
        </w:rPr>
        <w:t xml:space="preserve"> pracy Rady Ministrów</w:t>
      </w:r>
      <w:r w:rsidRPr="0051698C">
        <w:rPr>
          <w:rFonts w:cstheme="minorHAnsi"/>
        </w:rPr>
        <w:t xml:space="preserve">, zgodnie z którym organ wnioskujący sporządza raport z konsultacji obejmujący omówienie wyników przeprowadzonych konsultacji publicznych i opiniowania. Stosownie </w:t>
      </w:r>
      <w:r w:rsidR="006A481D">
        <w:rPr>
          <w:rFonts w:cstheme="minorHAnsi"/>
        </w:rPr>
        <w:t>do </w:t>
      </w:r>
      <w:r w:rsidRPr="0051698C">
        <w:rPr>
          <w:rFonts w:cstheme="minorHAnsi"/>
        </w:rPr>
        <w:t>wymogów art. 5 ustawy z dnia 7 lipca 2005 r. o działalności lobbingowej w procesie stanowienia pr</w:t>
      </w:r>
      <w:r w:rsidR="00710916" w:rsidRPr="0051698C">
        <w:rPr>
          <w:rFonts w:cstheme="minorHAnsi"/>
        </w:rPr>
        <w:t>awa (Dz. U. z 20</w:t>
      </w:r>
      <w:r w:rsidR="000E6AAB">
        <w:rPr>
          <w:rFonts w:cstheme="minorHAnsi"/>
        </w:rPr>
        <w:t>25</w:t>
      </w:r>
      <w:r w:rsidR="00710916" w:rsidRPr="0051698C">
        <w:rPr>
          <w:rFonts w:cstheme="minorHAnsi"/>
        </w:rPr>
        <w:t xml:space="preserve"> r. poz. </w:t>
      </w:r>
      <w:r w:rsidR="000E6AAB">
        <w:rPr>
          <w:rFonts w:cstheme="minorHAnsi"/>
        </w:rPr>
        <w:t xml:space="preserve">677, z </w:t>
      </w:r>
      <w:proofErr w:type="spellStart"/>
      <w:r w:rsidR="000E6AAB">
        <w:rPr>
          <w:rFonts w:cstheme="minorHAnsi"/>
        </w:rPr>
        <w:t>późn</w:t>
      </w:r>
      <w:proofErr w:type="spellEnd"/>
      <w:r w:rsidR="000E6AAB">
        <w:rPr>
          <w:rFonts w:cstheme="minorHAnsi"/>
        </w:rPr>
        <w:t>. zm.</w:t>
      </w:r>
      <w:r w:rsidR="00710916" w:rsidRPr="0051698C">
        <w:rPr>
          <w:rFonts w:cstheme="minorHAnsi"/>
        </w:rPr>
        <w:t>) oraz zgodnie z § 52 ust. 1 Regulaminu pracy Rady Ministrów</w:t>
      </w:r>
      <w:r w:rsidR="00E87E63">
        <w:rPr>
          <w:rFonts w:cstheme="minorHAnsi"/>
        </w:rPr>
        <w:t>,</w:t>
      </w:r>
      <w:r w:rsidR="00710916" w:rsidRPr="0051698C">
        <w:rPr>
          <w:rFonts w:cstheme="minorHAnsi"/>
        </w:rPr>
        <w:t xml:space="preserve"> </w:t>
      </w:r>
      <w:r w:rsidRPr="0051698C">
        <w:rPr>
          <w:rFonts w:cstheme="minorHAnsi"/>
        </w:rPr>
        <w:t>projekt ustawy zo</w:t>
      </w:r>
      <w:r w:rsidR="00E04A59" w:rsidRPr="0051698C">
        <w:rPr>
          <w:rFonts w:cstheme="minorHAnsi"/>
        </w:rPr>
        <w:t>stał udostępniony w Biuletynie I</w:t>
      </w:r>
      <w:r w:rsidRPr="0051698C">
        <w:rPr>
          <w:rFonts w:cstheme="minorHAnsi"/>
        </w:rPr>
        <w:t>nformacji Publiczn</w:t>
      </w:r>
      <w:r w:rsidR="00710916" w:rsidRPr="0051698C">
        <w:rPr>
          <w:rFonts w:cstheme="minorHAnsi"/>
        </w:rPr>
        <w:t xml:space="preserve">ej Rządowego Centrum Legislacji, </w:t>
      </w:r>
      <w:r w:rsidR="006A481D">
        <w:rPr>
          <w:rFonts w:cstheme="minorHAnsi"/>
        </w:rPr>
        <w:t>a </w:t>
      </w:r>
      <w:r w:rsidR="00710916" w:rsidRPr="0051698C">
        <w:rPr>
          <w:rFonts w:cstheme="minorHAnsi"/>
        </w:rPr>
        <w:t xml:space="preserve">odnośnik do projektu został zamieszczony w Biuletynie Informacji Publicznej Ministerstwa Spraw Wewnętrznych i Administracji. </w:t>
      </w:r>
    </w:p>
    <w:p w:rsidR="001674E8" w:rsidRPr="0051698C" w:rsidRDefault="001674E8" w:rsidP="00B32379">
      <w:pPr>
        <w:pStyle w:val="Akapitzlist"/>
        <w:numPr>
          <w:ilvl w:val="0"/>
          <w:numId w:val="1"/>
        </w:numPr>
        <w:autoSpaceDE w:val="0"/>
        <w:autoSpaceDN w:val="0"/>
        <w:adjustRightInd w:val="0"/>
        <w:spacing w:before="120" w:after="120" w:line="276" w:lineRule="auto"/>
        <w:ind w:left="284" w:hanging="284"/>
        <w:contextualSpacing w:val="0"/>
        <w:jc w:val="both"/>
        <w:rPr>
          <w:rFonts w:cstheme="minorHAnsi"/>
          <w:b/>
          <w:bCs/>
        </w:rPr>
      </w:pPr>
      <w:r w:rsidRPr="0051698C">
        <w:rPr>
          <w:rFonts w:cstheme="minorHAnsi"/>
          <w:b/>
          <w:bCs/>
        </w:rPr>
        <w:t>Przebieg konsultacji i opiniowania</w:t>
      </w:r>
    </w:p>
    <w:p w:rsidR="001674E8" w:rsidRDefault="001674E8" w:rsidP="00B32379">
      <w:pPr>
        <w:autoSpaceDE w:val="0"/>
        <w:autoSpaceDN w:val="0"/>
        <w:adjustRightInd w:val="0"/>
        <w:spacing w:before="120" w:after="120" w:line="276" w:lineRule="auto"/>
        <w:jc w:val="both"/>
        <w:rPr>
          <w:rFonts w:cstheme="minorHAnsi"/>
        </w:rPr>
      </w:pPr>
      <w:r w:rsidRPr="0051698C">
        <w:rPr>
          <w:rFonts w:cstheme="minorHAnsi"/>
        </w:rPr>
        <w:t xml:space="preserve">Projekt ustawy </w:t>
      </w:r>
      <w:r w:rsidR="0083602D" w:rsidRPr="0083602D">
        <w:rPr>
          <w:rFonts w:cstheme="minorHAnsi"/>
        </w:rPr>
        <w:t>w dniu</w:t>
      </w:r>
      <w:r w:rsidR="006A481D">
        <w:rPr>
          <w:rFonts w:cstheme="minorHAnsi"/>
        </w:rPr>
        <w:t xml:space="preserve"> 20 stycznia 2026 r.</w:t>
      </w:r>
      <w:r w:rsidR="0083602D" w:rsidRPr="0083602D">
        <w:rPr>
          <w:rFonts w:cstheme="minorHAnsi"/>
        </w:rPr>
        <w:t xml:space="preserve"> </w:t>
      </w:r>
      <w:r w:rsidRPr="0083602D">
        <w:rPr>
          <w:rFonts w:cstheme="minorHAnsi"/>
        </w:rPr>
        <w:t xml:space="preserve">został skierowany do </w:t>
      </w:r>
      <w:r w:rsidRPr="0051698C">
        <w:rPr>
          <w:rFonts w:cstheme="minorHAnsi"/>
          <w:u w:val="single"/>
        </w:rPr>
        <w:t>konsultacji publicznych</w:t>
      </w:r>
      <w:r w:rsidRPr="0051698C">
        <w:rPr>
          <w:rFonts w:cstheme="minorHAnsi"/>
        </w:rPr>
        <w:t xml:space="preserve"> </w:t>
      </w:r>
      <w:r w:rsidR="0083602D" w:rsidRPr="0083602D">
        <w:rPr>
          <w:rFonts w:cstheme="minorHAnsi"/>
        </w:rPr>
        <w:t xml:space="preserve">z terminem zgłaszania uwag do dnia </w:t>
      </w:r>
      <w:r w:rsidR="006A481D">
        <w:rPr>
          <w:rFonts w:cstheme="minorHAnsi"/>
        </w:rPr>
        <w:t>30 stycznia</w:t>
      </w:r>
      <w:r w:rsidR="0083602D" w:rsidRPr="0083602D">
        <w:rPr>
          <w:rFonts w:cstheme="minorHAnsi"/>
        </w:rPr>
        <w:t xml:space="preserve"> 202</w:t>
      </w:r>
      <w:r w:rsidR="006A481D">
        <w:rPr>
          <w:rFonts w:cstheme="minorHAnsi"/>
        </w:rPr>
        <w:t>6</w:t>
      </w:r>
      <w:r w:rsidR="0083602D" w:rsidRPr="0083602D">
        <w:rPr>
          <w:rFonts w:cstheme="minorHAnsi"/>
        </w:rPr>
        <w:t xml:space="preserve"> r. </w:t>
      </w:r>
      <w:r w:rsidR="006E6053" w:rsidRPr="0051698C">
        <w:rPr>
          <w:rFonts w:cstheme="minorHAnsi"/>
        </w:rPr>
        <w:t xml:space="preserve">do następujących  </w:t>
      </w:r>
      <w:r w:rsidRPr="0051698C">
        <w:rPr>
          <w:rFonts w:cstheme="minorHAnsi"/>
        </w:rPr>
        <w:t>podmiotów:</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Centrum Cyfrowe Projekt: Polska;</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Fundacja Bezpieczeństwa Informacji Polska;</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Fundacja Bezpieczna Cyberprzestrzeń;</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Fundacja Panoptykon;</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SABI - Stowarzyszenie Inspektorów Ochrony Danych;</w:t>
      </w:r>
    </w:p>
    <w:p w:rsidR="006A481D" w:rsidRPr="006A481D" w:rsidRDefault="006A481D" w:rsidP="006A481D">
      <w:pPr>
        <w:numPr>
          <w:ilvl w:val="0"/>
          <w:numId w:val="12"/>
        </w:numPr>
        <w:spacing w:after="0" w:line="240" w:lineRule="auto"/>
        <w:contextualSpacing/>
        <w:jc w:val="both"/>
        <w:rPr>
          <w:rFonts w:cstheme="minorHAnsi"/>
        </w:rPr>
      </w:pPr>
      <w:r w:rsidRPr="006A481D">
        <w:rPr>
          <w:rFonts w:cstheme="minorHAnsi"/>
        </w:rPr>
        <w:t>Stowarzyszenie Inspektorów Ochrony Danych Osobowych;</w:t>
      </w:r>
    </w:p>
    <w:p w:rsidR="006A481D" w:rsidRDefault="006A481D" w:rsidP="006A481D">
      <w:pPr>
        <w:numPr>
          <w:ilvl w:val="0"/>
          <w:numId w:val="12"/>
        </w:numPr>
        <w:spacing w:after="0" w:line="240" w:lineRule="auto"/>
        <w:contextualSpacing/>
        <w:jc w:val="both"/>
        <w:rPr>
          <w:rFonts w:cstheme="minorHAnsi"/>
        </w:rPr>
      </w:pPr>
      <w:r w:rsidRPr="006A481D">
        <w:rPr>
          <w:rFonts w:cstheme="minorHAnsi"/>
        </w:rPr>
        <w:t>Stowarzyszenie Sie</w:t>
      </w:r>
      <w:r w:rsidR="00723AE3">
        <w:rPr>
          <w:rFonts w:cstheme="minorHAnsi"/>
        </w:rPr>
        <w:t xml:space="preserve">ć Obywatelska – </w:t>
      </w:r>
      <w:proofErr w:type="spellStart"/>
      <w:r w:rsidR="00723AE3">
        <w:rPr>
          <w:rFonts w:cstheme="minorHAnsi"/>
        </w:rPr>
        <w:t>Watchdog</w:t>
      </w:r>
      <w:proofErr w:type="spellEnd"/>
      <w:r w:rsidR="00723AE3">
        <w:rPr>
          <w:rFonts w:cstheme="minorHAnsi"/>
        </w:rPr>
        <w:t xml:space="preserve"> Polska.</w:t>
      </w:r>
    </w:p>
    <w:p w:rsidR="006A481D" w:rsidRPr="006A481D" w:rsidRDefault="006A481D" w:rsidP="006A481D">
      <w:pPr>
        <w:spacing w:after="0" w:line="240" w:lineRule="auto"/>
        <w:ind w:left="720"/>
        <w:contextualSpacing/>
        <w:jc w:val="both"/>
        <w:rPr>
          <w:rFonts w:cstheme="minorHAnsi"/>
        </w:rPr>
      </w:pPr>
    </w:p>
    <w:p w:rsidR="006E4D1E" w:rsidRDefault="001674E8" w:rsidP="00B32379">
      <w:pPr>
        <w:autoSpaceDE w:val="0"/>
        <w:autoSpaceDN w:val="0"/>
        <w:adjustRightInd w:val="0"/>
        <w:spacing w:before="120" w:after="120" w:line="276" w:lineRule="auto"/>
        <w:jc w:val="both"/>
        <w:rPr>
          <w:rFonts w:cstheme="minorHAnsi"/>
        </w:rPr>
      </w:pPr>
      <w:r w:rsidRPr="0051698C">
        <w:rPr>
          <w:rFonts w:cstheme="minorHAnsi"/>
        </w:rPr>
        <w:t xml:space="preserve">Projekt ustawy </w:t>
      </w:r>
      <w:r w:rsidR="0083602D" w:rsidRPr="0083602D">
        <w:rPr>
          <w:rFonts w:cstheme="minorHAnsi"/>
        </w:rPr>
        <w:t xml:space="preserve">w dniu </w:t>
      </w:r>
      <w:r w:rsidR="006A481D">
        <w:rPr>
          <w:rFonts w:cstheme="minorHAnsi"/>
        </w:rPr>
        <w:t>20 stycznia 2026 r</w:t>
      </w:r>
      <w:r w:rsidR="0083602D" w:rsidRPr="0083602D">
        <w:rPr>
          <w:rFonts w:cstheme="minorHAnsi"/>
        </w:rPr>
        <w:t xml:space="preserve">. </w:t>
      </w:r>
      <w:r w:rsidRPr="0083602D">
        <w:rPr>
          <w:rFonts w:cstheme="minorHAnsi"/>
        </w:rPr>
        <w:t>został skier</w:t>
      </w:r>
      <w:r w:rsidR="006E4D1E" w:rsidRPr="0051698C">
        <w:rPr>
          <w:rFonts w:cstheme="minorHAnsi"/>
        </w:rPr>
        <w:t xml:space="preserve">owany do </w:t>
      </w:r>
      <w:r w:rsidR="006E4D1E" w:rsidRPr="0051698C">
        <w:rPr>
          <w:rFonts w:cstheme="minorHAnsi"/>
          <w:u w:val="single"/>
        </w:rPr>
        <w:t>opiniowania</w:t>
      </w:r>
      <w:r w:rsidR="006E4D1E" w:rsidRPr="0051698C">
        <w:rPr>
          <w:rFonts w:cstheme="minorHAnsi"/>
        </w:rPr>
        <w:t xml:space="preserve"> </w:t>
      </w:r>
      <w:r w:rsidR="0083602D" w:rsidRPr="0083602D">
        <w:rPr>
          <w:rFonts w:cstheme="minorHAnsi"/>
        </w:rPr>
        <w:t xml:space="preserve">z terminem zgłaszania uwag do dnia </w:t>
      </w:r>
      <w:r w:rsidR="006A481D">
        <w:rPr>
          <w:rFonts w:cstheme="minorHAnsi"/>
        </w:rPr>
        <w:t>30 stycznia 2026</w:t>
      </w:r>
      <w:r w:rsidR="0083602D" w:rsidRPr="0083602D">
        <w:rPr>
          <w:rFonts w:cstheme="minorHAnsi"/>
        </w:rPr>
        <w:t xml:space="preserve"> r.</w:t>
      </w:r>
      <w:r w:rsidR="0083602D">
        <w:rPr>
          <w:rFonts w:cstheme="minorHAnsi"/>
        </w:rPr>
        <w:t xml:space="preserve"> do </w:t>
      </w:r>
      <w:r w:rsidRPr="0051698C">
        <w:rPr>
          <w:rFonts w:cstheme="minorHAnsi"/>
        </w:rPr>
        <w:t>następujący</w:t>
      </w:r>
      <w:r w:rsidR="006E4D1E" w:rsidRPr="0051698C">
        <w:rPr>
          <w:rFonts w:cstheme="minorHAnsi"/>
        </w:rPr>
        <w:t>ch podmiotów:</w:t>
      </w:r>
    </w:p>
    <w:p w:rsidR="006A481D" w:rsidRPr="006A481D" w:rsidRDefault="006A481D" w:rsidP="006A481D">
      <w:pPr>
        <w:numPr>
          <w:ilvl w:val="0"/>
          <w:numId w:val="13"/>
        </w:numPr>
        <w:spacing w:after="0" w:line="240" w:lineRule="auto"/>
        <w:contextualSpacing/>
        <w:jc w:val="both"/>
        <w:rPr>
          <w:rFonts w:eastAsia="Calibri" w:cstheme="minorHAnsi"/>
        </w:rPr>
      </w:pPr>
      <w:r w:rsidRPr="006A481D">
        <w:rPr>
          <w:rFonts w:cstheme="minorHAnsi"/>
        </w:rPr>
        <w:t>Rzecznik Praw Obywatelskich</w:t>
      </w:r>
      <w:r w:rsidR="00723AE3">
        <w:rPr>
          <w:rFonts w:cstheme="minorHAnsi"/>
        </w:rPr>
        <w:t>;</w:t>
      </w:r>
      <w:r w:rsidRPr="006A481D">
        <w:rPr>
          <w:rFonts w:cstheme="minorHAnsi"/>
        </w:rPr>
        <w:t xml:space="preserve"> </w:t>
      </w:r>
    </w:p>
    <w:p w:rsidR="006A481D" w:rsidRPr="006A481D" w:rsidRDefault="006A481D" w:rsidP="006A481D">
      <w:pPr>
        <w:numPr>
          <w:ilvl w:val="0"/>
          <w:numId w:val="13"/>
        </w:numPr>
        <w:spacing w:after="0" w:line="240" w:lineRule="auto"/>
        <w:contextualSpacing/>
        <w:jc w:val="both"/>
        <w:rPr>
          <w:rFonts w:eastAsia="Calibri" w:cstheme="minorHAnsi"/>
        </w:rPr>
      </w:pPr>
      <w:r w:rsidRPr="006A481D">
        <w:rPr>
          <w:rFonts w:cstheme="minorHAnsi"/>
        </w:rPr>
        <w:t>Rzecznik Praw Dziecka</w:t>
      </w:r>
      <w:r w:rsidR="00723AE3">
        <w:rPr>
          <w:rFonts w:cstheme="minorHAnsi"/>
        </w:rPr>
        <w:t>;</w:t>
      </w:r>
    </w:p>
    <w:p w:rsidR="006A481D" w:rsidRPr="006A481D" w:rsidRDefault="006A481D" w:rsidP="006A481D">
      <w:pPr>
        <w:numPr>
          <w:ilvl w:val="0"/>
          <w:numId w:val="13"/>
        </w:numPr>
        <w:spacing w:after="0" w:line="240" w:lineRule="auto"/>
        <w:contextualSpacing/>
        <w:jc w:val="both"/>
        <w:rPr>
          <w:rFonts w:eastAsia="Calibri" w:cstheme="minorHAnsi"/>
        </w:rPr>
      </w:pPr>
      <w:r w:rsidRPr="006A481D">
        <w:rPr>
          <w:rFonts w:cstheme="minorHAnsi"/>
        </w:rPr>
        <w:t>Prezes Urzędu Ochrony Danych Osobowych</w:t>
      </w:r>
      <w:r w:rsidR="00723AE3">
        <w:rPr>
          <w:rFonts w:cstheme="minorHAnsi"/>
        </w:rPr>
        <w:t>.</w:t>
      </w:r>
    </w:p>
    <w:p w:rsidR="006A481D" w:rsidRPr="006A481D" w:rsidRDefault="006A481D" w:rsidP="006A481D">
      <w:pPr>
        <w:spacing w:before="120" w:after="120" w:line="276" w:lineRule="auto"/>
        <w:jc w:val="both"/>
        <w:rPr>
          <w:rFonts w:cstheme="minorHAnsi"/>
        </w:rPr>
      </w:pPr>
      <w:r w:rsidRPr="006A481D">
        <w:rPr>
          <w:rFonts w:cstheme="minorHAnsi"/>
        </w:rPr>
        <w:t>Skrócony termin konsultacji i opiniowania wynikał z konieczności pilnego procedowania projektowanej ustawy, która służy stosowaniu prawa Unii Europejskiej, a jej planowana data wejścia w życie to 12 czerwca 2026 r.</w:t>
      </w:r>
    </w:p>
    <w:p w:rsidR="00251B58" w:rsidRPr="006A481D" w:rsidRDefault="00251B58" w:rsidP="00251B58">
      <w:pPr>
        <w:spacing w:before="120" w:after="120" w:line="276" w:lineRule="auto"/>
        <w:jc w:val="both"/>
        <w:rPr>
          <w:rFonts w:cstheme="minorHAnsi"/>
        </w:rPr>
      </w:pPr>
      <w:r w:rsidRPr="006A481D">
        <w:rPr>
          <w:rFonts w:cstheme="minorHAnsi"/>
        </w:rPr>
        <w:t>Ponieważ projektowane rozwiązania nie dotyczą jednostek samorządu terytorialnego, projekt nie wymagał konsultacji z Komisją Wspólną Rządu i Samorządu Terytorialnego.</w:t>
      </w:r>
    </w:p>
    <w:p w:rsidR="00251B58" w:rsidRPr="0003230B" w:rsidRDefault="00251B58" w:rsidP="0003230B">
      <w:pPr>
        <w:spacing w:before="120" w:after="120" w:line="276" w:lineRule="auto"/>
        <w:jc w:val="both"/>
        <w:rPr>
          <w:rFonts w:cstheme="minorHAnsi"/>
          <w:bCs/>
        </w:rPr>
      </w:pPr>
    </w:p>
    <w:p w:rsidR="006E6053" w:rsidRPr="0051698C" w:rsidRDefault="001674E8" w:rsidP="00770C89">
      <w:pPr>
        <w:pStyle w:val="Akapitzlist"/>
        <w:numPr>
          <w:ilvl w:val="0"/>
          <w:numId w:val="1"/>
        </w:numPr>
        <w:autoSpaceDE w:val="0"/>
        <w:autoSpaceDN w:val="0"/>
        <w:adjustRightInd w:val="0"/>
        <w:spacing w:before="120" w:after="120" w:line="276" w:lineRule="auto"/>
        <w:ind w:left="0" w:firstLine="0"/>
        <w:jc w:val="both"/>
        <w:rPr>
          <w:rFonts w:cstheme="minorHAnsi"/>
          <w:b/>
          <w:bCs/>
        </w:rPr>
      </w:pPr>
      <w:r w:rsidRPr="0051698C">
        <w:rPr>
          <w:rFonts w:cstheme="minorHAnsi"/>
          <w:b/>
          <w:bCs/>
        </w:rPr>
        <w:t>Omówienie wyników przeprowadzonych konsultacji publicznych i opiniowania</w:t>
      </w:r>
    </w:p>
    <w:p w:rsidR="00770C89" w:rsidRDefault="00770C89" w:rsidP="00770C89">
      <w:pPr>
        <w:pStyle w:val="Akapitzlist"/>
        <w:autoSpaceDE w:val="0"/>
        <w:autoSpaceDN w:val="0"/>
        <w:adjustRightInd w:val="0"/>
        <w:spacing w:before="240" w:after="120" w:line="276" w:lineRule="auto"/>
        <w:ind w:left="0"/>
        <w:jc w:val="both"/>
        <w:rPr>
          <w:rFonts w:cstheme="minorHAnsi"/>
          <w:bCs/>
        </w:rPr>
      </w:pPr>
    </w:p>
    <w:p w:rsidR="00CF7027" w:rsidRPr="0051698C" w:rsidRDefault="00EC73FB" w:rsidP="00770C89">
      <w:pPr>
        <w:pStyle w:val="Akapitzlist"/>
        <w:autoSpaceDE w:val="0"/>
        <w:autoSpaceDN w:val="0"/>
        <w:adjustRightInd w:val="0"/>
        <w:spacing w:before="240" w:after="120" w:line="276" w:lineRule="auto"/>
        <w:ind w:left="0"/>
        <w:jc w:val="both"/>
        <w:rPr>
          <w:rFonts w:cstheme="minorHAnsi"/>
          <w:bCs/>
        </w:rPr>
      </w:pPr>
      <w:r w:rsidRPr="0051698C">
        <w:rPr>
          <w:rFonts w:cstheme="minorHAnsi"/>
          <w:bCs/>
        </w:rPr>
        <w:t>W ramach</w:t>
      </w:r>
      <w:r w:rsidR="00CF7027" w:rsidRPr="0051698C">
        <w:rPr>
          <w:rFonts w:cstheme="minorHAnsi"/>
          <w:bCs/>
        </w:rPr>
        <w:t xml:space="preserve"> konsultacji publicznych</w:t>
      </w:r>
      <w:r w:rsidRPr="0051698C">
        <w:rPr>
          <w:rFonts w:cstheme="minorHAnsi"/>
          <w:bCs/>
        </w:rPr>
        <w:t xml:space="preserve"> nie wpłynęły żadne uwagi do projektu</w:t>
      </w:r>
      <w:r w:rsidR="00CF7027" w:rsidRPr="0051698C">
        <w:rPr>
          <w:rFonts w:cstheme="minorHAnsi"/>
          <w:bCs/>
        </w:rPr>
        <w:t>.</w:t>
      </w:r>
    </w:p>
    <w:p w:rsidR="00CF7027" w:rsidRDefault="003444F2" w:rsidP="006A481D">
      <w:pPr>
        <w:autoSpaceDE w:val="0"/>
        <w:autoSpaceDN w:val="0"/>
        <w:adjustRightInd w:val="0"/>
        <w:spacing w:before="120" w:after="120" w:line="276" w:lineRule="auto"/>
        <w:jc w:val="both"/>
        <w:rPr>
          <w:rFonts w:cstheme="minorHAnsi"/>
          <w:bCs/>
        </w:rPr>
      </w:pPr>
      <w:r w:rsidRPr="0051698C">
        <w:rPr>
          <w:rFonts w:cstheme="minorHAnsi"/>
          <w:bCs/>
        </w:rPr>
        <w:lastRenderedPageBreak/>
        <w:t xml:space="preserve">W </w:t>
      </w:r>
      <w:r w:rsidR="00723AE3">
        <w:rPr>
          <w:rFonts w:cstheme="minorHAnsi"/>
          <w:bCs/>
        </w:rPr>
        <w:t>ramach opiniowania uwagi zgłosili</w:t>
      </w:r>
      <w:r w:rsidRPr="0051698C">
        <w:rPr>
          <w:rFonts w:cstheme="minorHAnsi"/>
          <w:bCs/>
        </w:rPr>
        <w:t xml:space="preserve"> </w:t>
      </w:r>
      <w:r w:rsidR="002B4BAB" w:rsidRPr="0051698C">
        <w:rPr>
          <w:rFonts w:cstheme="minorHAnsi"/>
          <w:bCs/>
        </w:rPr>
        <w:t xml:space="preserve">Prezes </w:t>
      </w:r>
      <w:r w:rsidR="00CF7027" w:rsidRPr="0051698C">
        <w:rPr>
          <w:rFonts w:cstheme="minorHAnsi"/>
          <w:bCs/>
        </w:rPr>
        <w:t xml:space="preserve">Urzędu </w:t>
      </w:r>
      <w:r w:rsidR="002B4BAB" w:rsidRPr="0051698C">
        <w:rPr>
          <w:rFonts w:cstheme="minorHAnsi"/>
          <w:bCs/>
        </w:rPr>
        <w:t>O</w:t>
      </w:r>
      <w:r w:rsidR="00CF7027" w:rsidRPr="0051698C">
        <w:rPr>
          <w:rFonts w:cstheme="minorHAnsi"/>
          <w:bCs/>
        </w:rPr>
        <w:t>chrony Danych Osobowych</w:t>
      </w:r>
      <w:r w:rsidR="006A481D">
        <w:rPr>
          <w:rFonts w:cstheme="minorHAnsi"/>
          <w:bCs/>
        </w:rPr>
        <w:t xml:space="preserve"> oraz Rzecznik Praw Dziecka</w:t>
      </w:r>
      <w:r w:rsidR="0000280D">
        <w:rPr>
          <w:rFonts w:cstheme="minorHAnsi"/>
          <w:bCs/>
        </w:rPr>
        <w:t xml:space="preserve">. </w:t>
      </w:r>
      <w:r w:rsidR="006A481D">
        <w:rPr>
          <w:rFonts w:cstheme="minorHAnsi"/>
          <w:bCs/>
        </w:rPr>
        <w:t xml:space="preserve">Zostali oni zaproszeni na konferencję uzgodnieniową, która odbyła się w dniu 20 lutego 2026 r. Stanowisko projektodawcy do uwag </w:t>
      </w:r>
      <w:r w:rsidR="00E87E63">
        <w:rPr>
          <w:rFonts w:cstheme="minorHAnsi"/>
          <w:bCs/>
        </w:rPr>
        <w:t xml:space="preserve">ww. podmiotów </w:t>
      </w:r>
      <w:r w:rsidR="006A481D">
        <w:rPr>
          <w:rFonts w:cstheme="minorHAnsi"/>
          <w:bCs/>
        </w:rPr>
        <w:t>został</w:t>
      </w:r>
      <w:r w:rsidR="00E87E63">
        <w:rPr>
          <w:rFonts w:cstheme="minorHAnsi"/>
          <w:bCs/>
        </w:rPr>
        <w:t>o przedstawione w</w:t>
      </w:r>
      <w:r w:rsidR="00A800FB">
        <w:rPr>
          <w:rFonts w:cstheme="minorHAnsi"/>
          <w:bCs/>
        </w:rPr>
        <w:t xml:space="preserve"> poniższej</w:t>
      </w:r>
      <w:r w:rsidR="00E87E63">
        <w:rPr>
          <w:rFonts w:cstheme="minorHAnsi"/>
          <w:bCs/>
        </w:rPr>
        <w:t xml:space="preserve"> tabeli</w:t>
      </w:r>
      <w:r w:rsidR="00A800FB">
        <w:rPr>
          <w:rFonts w:cstheme="minorHAnsi"/>
          <w:bCs/>
        </w:rPr>
        <w:t>:</w:t>
      </w:r>
    </w:p>
    <w:tbl>
      <w:tblPr>
        <w:tblW w:w="10915"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
        <w:gridCol w:w="7087"/>
        <w:gridCol w:w="3402"/>
      </w:tblGrid>
      <w:tr w:rsidR="00EB2FDC" w:rsidTr="00EB2FDC">
        <w:trPr>
          <w:trHeight w:val="210"/>
        </w:trPr>
        <w:tc>
          <w:tcPr>
            <w:tcW w:w="1091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651DD4">
            <w:pPr>
              <w:spacing w:after="0" w:line="360" w:lineRule="auto"/>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1</w:t>
            </w:r>
            <w:r w:rsidR="00EB2FDC">
              <w:rPr>
                <w:rFonts w:ascii="Times New Roman" w:eastAsia="Times New Roman" w:hAnsi="Times New Roman" w:cs="Times New Roman"/>
                <w:b/>
                <w:bCs/>
                <w:color w:val="000000"/>
                <w:sz w:val="20"/>
                <w:szCs w:val="20"/>
                <w:lang w:eastAsia="pl-PL"/>
              </w:rPr>
              <w:t>. RZECZNIK PRAW DZIECKA</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360" w:lineRule="auto"/>
              <w:ind w:left="174"/>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Lp.</w:t>
            </w:r>
          </w:p>
        </w:tc>
        <w:tc>
          <w:tcPr>
            <w:tcW w:w="70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276" w:lineRule="auto"/>
              <w:ind w:left="174"/>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Uwagi</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276" w:lineRule="auto"/>
              <w:ind w:left="174"/>
              <w:contextualSpacing/>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projektodawcy</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1.</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Rzecznik Praw Dziecka wskazuje, że zgodnie z artykułem 3 ustęp 1 Konwencji o prawach dziecka przyjętej przez Zgromadzenie Ogólne Narodów Zjednoczonych dnia 20 listopada 1989 roku (Dz. U. z 1991 r. Nr 120, poz. 526 z </w:t>
            </w:r>
            <w:proofErr w:type="spellStart"/>
            <w:r>
              <w:rPr>
                <w:rFonts w:ascii="Times New Roman" w:eastAsia="Times New Roman" w:hAnsi="Times New Roman" w:cs="Times New Roman"/>
                <w:bCs/>
                <w:sz w:val="20"/>
                <w:szCs w:val="24"/>
                <w:lang w:eastAsia="pl-PL"/>
              </w:rPr>
              <w:t>późn</w:t>
            </w:r>
            <w:proofErr w:type="spellEnd"/>
            <w:r>
              <w:rPr>
                <w:rFonts w:ascii="Times New Roman" w:eastAsia="Times New Roman" w:hAnsi="Times New Roman" w:cs="Times New Roman"/>
                <w:bCs/>
                <w:sz w:val="20"/>
                <w:szCs w:val="24"/>
                <w:lang w:eastAsia="pl-PL"/>
              </w:rPr>
              <w:t xml:space="preserve">. zm.), we wszystkich działaniach organów władzy publicznej dotyczących dzieci nadrzędną zasadą powinien być najlepszy interes dziecka. W najlepszym interesie małoletnich leży podniesienie następujących zastrzeżeń dotyczących pobierania danych biometrycznych od dzieci, które ukończyły 6 rok życia, o których mowa w artykule 14 ustęp 1 rozporządzenia Parlamentu Europejskiego i Rady (UE) 2024/1358 z dnia 14 maja 2024 roku (dalej: Rozporządzenie 2024/1358) , a których nie zawarto w opiniowanym projekcie.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Rzecznik Praw Dziecka stwierdza, że projekt ustawy w obecnym kształcie nie zapewnia wystarczających gwarancji ochrony praw i dobra dziecka w odniesieniu do procedur pobierania danych biometrycznych od dzieci, które ukończyły 6 rok życia.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Źródłem wątpliwości jest przepis artykułu 18 ustęp 8 projektu ustawy, którego treść powinna w sposób jednoznaczny odzwierciedlać standard oraz zakres obowiązków wynikających z artykułu 14 ustęp 1 Rozporządzenia 2024/1358, szczegółowo określającego pobieranie danych biometrycznych od osób małoletnich. Zachowanie tożsamości normatywnej oznacza nie tylko formalną zgodność przepisów, lecz również pełne przeniesienie standardu ochronnego wynikającego z regulacji unijnej, bez jego zawężania, modyfikowania lub osłabiania. W ocenie Rzecznika wszelkie rozbieżności redakcyjne lub konstrukcyjne pomiędzy przepisem krajowym a przepisem unijnym mogą prowadzić do powstania wątpliwości interpretacyjnych oraz niejednolitej praktyki stosowania prawa, co w przypadku dzieci może skutkować naruszeniem ich praw i interesów. Ponadto, należy podkreślić, że mimo bezpośredniego stosowania Rozporządzenia 2024/1358, zamieszczenie w ustawie krajowej regulacji odpowiadającej wprost brzmieniu artykułu 14 ustęp 1 tego rozporządzenia ułatwi stosowanie prawa zarówno obywatelom jak i pracownikom organów administracji publicznej, eliminując konieczność każdorazowego sięgania do aktu unijnego.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Artykuł 14 ustęp 1 Rozporządzenia 2024/1358 w sposób szczegółowy określa zasady pobierania danych biometrycznych od małoletnich, w tym od dzieci, które ukończyły 6 rok życia. Przepis ten wprowadza obowiązek realizowania tych czynności z poszanowaniem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ich godności, integralności oraz prawa do prywatności. Standard ten obejmuje w szczególności obowiązek pobierania danych biometrycznych od małoletnich przez funkcjonariuszy specjalnie do tego wyszkolonych, w sposób przyjazny dla dziecka, z wyczuciem jego potrzeb – co pozwoli na dostosowanie sposobu przeprowadzenia czynności do wieku i stopnia dojrzałości dziecka, minimalizowanie stresu oraz eliminowanie zbędnych elementów przymusu.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Wskazać należy, że standard wynikający z artykułu 14 ustęp 1 Rozporządzenia 2024/1358 powinien znaleźć jednoznaczne odzwierciedlenie nie tylko w praktyce stosowania prawa, lecz również w treści regulacji krajowych oraz aktów wykonawczych, w tym poprzez odpowiednie przeszkolenie funkcjonariuszy i </w:t>
            </w:r>
            <w:r>
              <w:rPr>
                <w:rFonts w:ascii="Times New Roman" w:eastAsia="Times New Roman" w:hAnsi="Times New Roman" w:cs="Times New Roman"/>
                <w:bCs/>
                <w:sz w:val="20"/>
                <w:szCs w:val="24"/>
                <w:lang w:eastAsia="pl-PL"/>
              </w:rPr>
              <w:lastRenderedPageBreak/>
              <w:t xml:space="preserve">stworzenie procedur zapewniających realną ochronę praw dziecka. Co istotne, nawet pozornie niewielkie rozbieżności redakcyjne mogą prowadzić do odmiennej interpretacji zakresu obowiązków organów krajowych, a w konsekwencji do niejednolitej praktyki stosowania prawa oraz ryzyka naruszenia standardów ochrony praw dziecka.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Wobec powyższego konieczne jest, aby ustawą krajową wdrożyć procedury pobierania danych od dzieci w pełni zgodne z artykułem 14 ustęp 1 Rozporządzenia 2024/1358 z zachowaniem wszystkich gwarancji ochrony praw dziecka. Regulacje tego rodzaju powinny być konstruowane w sposób maksymalnie precyzyjny, przejrzysty oraz jednoznaczny, tak aby nie pozostawiały wątpliwości interpretacyjnych ani po stronie organów stosujących prawo, ani po stronie obywateli. Biorąc powyższe pod uwagę, Rzecznik Praw Dziecka zwraca się o uwzględnienie powyższych uwag w dalszych pracach resortu.</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ind w:left="3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wyjaśniona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 ocenie MSWiA projektowana ustawa nie tworzy autonomicznych norm dotyczących gwarancji praw i ochrony dobra dziecka w odniesieniu do procedur pobierania danych biometrycznych od dzieci, które ukończyły 6 rok życia. Celem projektu jest bowiem wyłącznie zapewnienie stosowania przepisów rozporządzenia 2024/1358. Co za tym idzie, projektowana ustawa nie wprowadza rozwiązań w tym zakresie wykraczających poza ramy określone w przepisach tego rozporządzenia.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 kontekście uwagi RPD szczególnie istotny wydaje się być art. 14 ust. 1 rozporządzenia 2024/1358, zgodnie z którym dane biometryczne małoletnich, którzy ukończyli sześć lat, są pobierane przez funkcjonariuszy specjalnie wyszkolonych w zakresie pobierania danych biometrycznych od małoletnich w sposób przyjazny dla dziecka i z wyczuciem jego potrzeb, przy pełnym poszanowaniu najlepszego interesu dziecka i zabezpieczeń ustanowionych w Konwencji Narodów Zjednoczonych o prawach dziecka.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Przy stosowaniu tego rozporządzenia uwzględnia się w pierwszej kolejności najlepszy interes dziecka. Jeżeli nie ma pewności, czy dane dziecko ukończyło sześć lat, oraz nie ma dowodów potwierdzających jego wiek, na potrzeby rozporządzenia 2024/1358 właściwe organy państw członkowskich uznają to dziecko za dziecko, które nie ukończyło sześciu lat.</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Małoletniemu podczas pobierania jego danych biometrycznych towarzyszy, jeżeli jest obecny, pełnoletni członek rodziny. Małoletniemu bez opieki podczas pobierania jego danych biometrycznych towarzyszy przedstawiciel lub, jeżeli nie wyznaczono przedstawiciela, osoba wyszkolona w zakresie ochrony najlepszego interesu dziecka i jego ogólnego dobrostanu. Taka wyszkolona osoba nie może być funkcjonariuszem odpowiedzialnym za pobieranie danych biometrycznych, działa niezależnie i nie otrzymuje poleceń ani od funkcjonariusza, ani od służby odpowiedzialnej za pobieranie danych biometrycznych. Taka wyszkolona osoba zostaje wyznaczona jako osoba do tymczasowego występowania jako przedstawiciel na mocy dyrektywy (UE) 2024/1346, jeżeli wyznacza się taką osobę.</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Wobec małoletnich nie stosuje się żadnej formy siły w celu zapewnienia wykonania przez nich obowiązku udostępnienia danych biometrycznych. Jeżeli jednak zezwalają na to odpowiednie przepisy prawa Unii lub prawa krajowego, wobec małoletnich można zastosować, w ostateczności, proporcjonalny stopień przymusu, aby zapewnić wykonanie przez nich tego obowiązku. Stosując taki proporcjonalny stopień przymusu, państwa członkowskie zapewniają poszanowanie godności i integralności fizycznej małoletniego.</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Jeżeli małoletni, w szczególności małoletni bez opieki lub małoletni odłączony od rodziny, odmawia udostępnienia swoich danych biometrycznych, i jeżeli okazuje się – po przeprowadzeniu oceny przez funkcjonariusza specjalnie wyszkolonego w zakresie pobierania danych biometrycznych od małoletnich – że istnieją uzasadnione podstawy, by podejrzewać, że bezpieczeństwo lub ochrona dziecka są zagrożone, </w:t>
            </w:r>
            <w:r>
              <w:rPr>
                <w:rFonts w:ascii="Times New Roman" w:eastAsia="Times New Roman" w:hAnsi="Times New Roman" w:cs="Times New Roman"/>
                <w:color w:val="000000"/>
                <w:sz w:val="20"/>
                <w:szCs w:val="20"/>
                <w:lang w:eastAsia="pl-PL"/>
              </w:rPr>
              <w:lastRenderedPageBreak/>
              <w:t>małoletni jest kierowany do właściwych organów krajowych ds. ochrony dzieci, do krajowych mechanizmów ukierunkowanej pomocy lub do obydwu tych podmiotów.</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Podkreślenia wymaga przy tym, że w ocenie MSWiA brak jest możliwości realizacji postulatu RPD dotyczącego zamieszczenia w projektowanej ustawie regulacji odpowiadającej wprost brzmieniu artykułu 14 ust. 1 rozporządzenia 2024/1358. Należy bowiem wskazać, że zgodnie z art. 288 </w:t>
            </w:r>
            <w:proofErr w:type="spellStart"/>
            <w:r>
              <w:rPr>
                <w:rFonts w:ascii="Times New Roman" w:eastAsia="Times New Roman" w:hAnsi="Times New Roman" w:cs="Times New Roman"/>
                <w:color w:val="000000"/>
                <w:sz w:val="20"/>
                <w:szCs w:val="20"/>
                <w:lang w:eastAsia="pl-PL"/>
              </w:rPr>
              <w:t>TfUE</w:t>
            </w:r>
            <w:proofErr w:type="spellEnd"/>
            <w:r>
              <w:rPr>
                <w:rFonts w:ascii="Times New Roman" w:eastAsia="Times New Roman" w:hAnsi="Times New Roman" w:cs="Times New Roman"/>
                <w:color w:val="000000"/>
                <w:sz w:val="20"/>
                <w:szCs w:val="20"/>
                <w:lang w:eastAsia="pl-PL"/>
              </w:rPr>
              <w:t xml:space="preserve"> rozporządzenie ma zasięg ogólny. Wiąże w całości i jest bezpośrednio stosowane we wszystkich Państwach Członkowskich. Z uwagi na bezpośrednie stosowanie rozporządzenia w systemach prawnych państw członkowskich niedopuszczalne jest powtarzanie ich treści w przepisach aktów prawnych poszczególnych państw członkowskich.</w:t>
            </w:r>
          </w:p>
        </w:tc>
      </w:tr>
      <w:tr w:rsidR="00EB2FDC" w:rsidTr="00EB2FDC">
        <w:trPr>
          <w:trHeight w:val="210"/>
        </w:trPr>
        <w:tc>
          <w:tcPr>
            <w:tcW w:w="1091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651DD4">
            <w:pPr>
              <w:spacing w:after="0" w:line="360" w:lineRule="auto"/>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lastRenderedPageBreak/>
              <w:t>2</w:t>
            </w:r>
            <w:bookmarkStart w:id="0" w:name="_GoBack"/>
            <w:bookmarkEnd w:id="0"/>
            <w:r w:rsidR="00EB2FDC">
              <w:rPr>
                <w:rFonts w:ascii="Times New Roman" w:eastAsia="Times New Roman" w:hAnsi="Times New Roman" w:cs="Times New Roman"/>
                <w:b/>
                <w:bCs/>
                <w:color w:val="000000"/>
                <w:sz w:val="20"/>
                <w:szCs w:val="20"/>
                <w:lang w:eastAsia="pl-PL"/>
              </w:rPr>
              <w:t>. PREZES URZĘDU OCHRONY DANYCH OSOBOWYCH</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360" w:lineRule="auto"/>
              <w:ind w:left="174"/>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Lp.</w:t>
            </w:r>
          </w:p>
        </w:tc>
        <w:tc>
          <w:tcPr>
            <w:tcW w:w="70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276" w:lineRule="auto"/>
              <w:ind w:left="174"/>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Uwagi</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EB2FDC" w:rsidRDefault="00EB2FDC">
            <w:pPr>
              <w:spacing w:after="0" w:line="276" w:lineRule="auto"/>
              <w:ind w:left="174"/>
              <w:contextualSpacing/>
              <w:jc w:val="center"/>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projektodawcy</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1.</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art. 5 ust. 8 pkt 5 projektu w odniesieniu do zadań organu weryfikującego użyte zostało niejasne sformułowanie: „[…] pozwalających na ustalenie danych osobowych związanych z numerem referencyjnym, o którym mowa w art. 37 ust. 3 rozporządzenia 2024/1358, na zasadach określonych w przepisach ustawy z dnia 16 września 2011 r. o wymianie informacji z organami ścigania państw członkowskich Unii Europejskiej, państw trzecich, agencjami Unii Europejskiej oraz organizacjami międzynarodowymi […]”. „Organ weryfikujący” został zdefiniowany w art. 6 ust. 1 rozporządzenia Parlamentu Europejskiego i Rady (UE) 2024/1358 , powoływanego dalej z zastosowaniem skrótu „rozporządzenie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a w art. 6 ust. 2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wskazane zostały zadania tego organu . Przyjęte w opiniowanym projekcie brzmienie art. 5 ust. 8 pkt 5 jest niezrozumiałe i prawnie nieprecyzyjne. Ponadto, takie brzmienie wywołuje pytanie o to, jakie konkretnie działania ma podjąć organ weryfikujący w oparciu o ten przepis. Dlatego zasadnym jest doprecyzowanie opiniowanego przepisu projektu, aby jego dyspozycja odzwierciedlała faktyczny cel czynności, które na jego podstawie podjąć ma organ weryfikujący.</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ind w:left="3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Zgodnie z art. 5 ust. 8 pkt 5 projektu do zadań organu weryfikującego należy wymiana informacji pozwalających na ustalenie danych osobowych związanych z numerem referencyjnym, o którym mowa w art. 37 ust. 3 rozporządzenia 2024/1358, na zasadach określonych w przepisach ustawy z dnia 16 września 2011 r. o wymianie informacji z organami ścigania państw członkowskich Unii Europejskiej, państw trzecich, agencjami Unii Europejskiej oraz organizacjami międzynarodowymi (Dz. U. z 2023 r. poz. 783, z </w:t>
            </w:r>
            <w:proofErr w:type="spellStart"/>
            <w:r>
              <w:rPr>
                <w:rFonts w:ascii="Times New Roman" w:eastAsia="Times New Roman" w:hAnsi="Times New Roman" w:cs="Times New Roman"/>
                <w:color w:val="000000"/>
                <w:sz w:val="20"/>
                <w:szCs w:val="20"/>
                <w:lang w:eastAsia="pl-PL"/>
              </w:rPr>
              <w:t>późn</w:t>
            </w:r>
            <w:proofErr w:type="spellEnd"/>
            <w:r>
              <w:rPr>
                <w:rFonts w:ascii="Times New Roman" w:eastAsia="Times New Roman" w:hAnsi="Times New Roman" w:cs="Times New Roman"/>
                <w:color w:val="000000"/>
                <w:sz w:val="20"/>
                <w:szCs w:val="20"/>
                <w:lang w:eastAsia="pl-PL"/>
              </w:rPr>
              <w:t xml:space="preserve">. zm.), w przypadku uzyskania pozytywnego wyniku porównania z danymi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za pośrednictwem punktu kontaktowego, o którym mowa w art. 4 ust. 1 tej ustawy.</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lastRenderedPageBreak/>
              <w:t xml:space="preserve">Przepis ten określa zadanie organu weryfikującego polegające na prowadzeniu wymiany informacji dodatkowych, które mają na celu ustalenie danych osobowych związanych z numerem referencyjnym, o którym mowa w art. 37 ust. 3 rozporządzenia 2024/1358. Przepis ten stanowi, że państwa członkowskie zapewniają, by numer referencyjny, o którym mowa w art. 17 ust. 1 lit. k), art. 19 ust. 1 lit. k), art. 21 ust. 1 lit. k), art. 22 ust. 2 lit. k), art. 23 ust. 2 lit. k), art. 24 ust. 2 lit. k), art. 26 ust. 2 lit. k) i art. 32 ust. 1, umożliwiał jednoznaczne przyporządkowanie danych do określonej osoby </w:t>
            </w:r>
            <w:r>
              <w:rPr>
                <w:rFonts w:ascii="Times New Roman" w:eastAsia="Times New Roman" w:hAnsi="Times New Roman" w:cs="Times New Roman"/>
                <w:color w:val="000000"/>
                <w:sz w:val="20"/>
                <w:szCs w:val="20"/>
                <w:lang w:eastAsia="pl-PL"/>
              </w:rPr>
              <w:br/>
              <w:t>i do państwa członkowskiego, które przesyła dane, oraz umożliwiał wskazanie, czy takie dane dotyczą osoby, o której mowa w art. 15 ust. 1, art. 18 ust. 2, art. 20 ust. 1, art. 22 ust. 1, art. 23 ust. 1, art. 24 ust. 1 lub art. 26 ust. 1.</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Projektowany przepis zakłada, że wymiana informacji w tym zakresie będzie prowadzona przez organ weryfikujący na zasadach określonych w przepisach ustawy z dnia 16 września 2011 r. o wymianie informacji z organami ścigania państw członkowskich Unii Europejskiej, państw trzecich, agencjami Unii Europejskiej oraz organizacjami międzynarodowymi. Ustawa ta zawiera kompleksowe regulacje dotyczące zasad i warunków wymiany informacji z organami ścigania państw członkowskich Unii Europejskiej, organami ścigania państw trzecich, agencjami Unii Europejskiej, organizacjami międzynarodowymi w celu rozpoznawania, wykrywania lub zwalczania przestępstw lub przestępstw skarbowych, w tym zagrożeń dla bezpieczeństwa i porządku publicznego oraz zapobiegania takim przestępstwom i zagrożeniom, a także ścigania sprawców przestępstw lub przestępstw skarbowych, w związku z czym wydaje się, że nie ma potrzeby odrębnego </w:t>
            </w:r>
            <w:r>
              <w:rPr>
                <w:rFonts w:ascii="Times New Roman" w:eastAsia="Times New Roman" w:hAnsi="Times New Roman" w:cs="Times New Roman"/>
                <w:color w:val="000000"/>
                <w:sz w:val="20"/>
                <w:szCs w:val="20"/>
                <w:lang w:eastAsia="pl-PL"/>
              </w:rPr>
              <w:lastRenderedPageBreak/>
              <w:t>ustalania tych zasad w projektowanej ustawie.</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Warto również zauważyć, że rozwiązanie zaproponowane w art. 5 ust. 8 pkt 5 projektu służy realizacji celu powołania organu weryfikującego, wskazanego w art. 6 ust. 2 rozporządzenia 2024/1358, a więc zapewnieniu, aby spełnione zostały warunki niezbędne do wystąpienia z wnioskiem o porównanie danych biometrycznych lub alfanumerycznych z danymi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lastRenderedPageBreak/>
              <w:t>2.</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art. 20 ust. 1 projektu - odzwierciedlającym obowiązek nałożony na państwa członkowskie przez art. 30 ust. 1 akapit pierwszy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 przewiduje się zobowiązanie Szefa Urzędu do Spraw Cudzoziemców do usunięcia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danych osoby, która nabyła obywatelstwo polskie zgodnie z przepisami ustawy o obywatelstwie polskim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Statuowany w art. 30 ust. 1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obowiązek wcześniejszego (to jest przed upływem okresów retencji danych przewidzianych w przepisach tego aktu prawa unijnego) usunięcia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danych osoby, która uzyskała obywatelstwo jednego z państw członkowskich Unii Europejskiej, jest analogiczny do obowiązku wprowadzonego w art. 25 ust. 1 rozporządzenia Parlamentu Europejskiego i Rady (WE) nr 767/2008 , powoływanego dalej z zastosowaniem skrótu „rozporządzenie w sprawie VIS”. Dlatego też celowym jest odwołanie się do doświadczeń organu właściwego w sprawie ochrony danych osobowych dotyczących stosowania ww. przepisu rozporządzenia w sprawie VIS. Doświadczenia te wskazują, że obowiązek wcześniejszego usunięcia z Wizowego Systemu Informacyjnego (VIS) danych osoby, która nabyła obywatelstwo polskie, nie jest w praktyce realizowany.</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Zgodnie z przepisami ustawy o obywatelstwie polskim nadawanie obywatelstwa polskiego jest kompetencją Prezydenta Rzeczypospolitej Polskiej. Decyzję w sprawie uznania cudzoziemca za obywatela polskiego wydaje zaś wojewoda właściwy ze względu na miejsce zamieszkania osoby, której postępowanie dotyczy . Organy te nie mają jednak prawnego obowiązku ani narzędzi ustalonych mocą przepisów prawa do informowania organu uprawnionego do dokonywania wpisów danych VIS  o nabyciu przez osobę, której dane znajdują się w VIS, obywatelstwa polskiego. Taki stan prawny i faktyczny skutecznie uniemożliwia realizację obowiązku usunięcia danych tej osoby. Dodatkowo wojewodowie nie dysponują informacjami o tym, czy cudzoziemiec wnioskujący o uznanie za obywatela polskiego posiadał wcześniej wizę </w:t>
            </w:r>
            <w:proofErr w:type="spellStart"/>
            <w:r>
              <w:rPr>
                <w:rFonts w:ascii="Times New Roman" w:eastAsia="Times New Roman" w:hAnsi="Times New Roman" w:cs="Times New Roman"/>
                <w:bCs/>
                <w:sz w:val="20"/>
                <w:szCs w:val="24"/>
                <w:lang w:eastAsia="pl-PL"/>
              </w:rPr>
              <w:t>Schengen</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W efekcie dane osób, które na podstawie art. 25 ust. 1 rozporządzenia w sprawie VIS powinny zostać usunięte z VIS, mogą pozostawać w tym systemie.</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Wnioski te zostały przedstawione w piśmie Prezesa Urzędu Ochrony Danych Osobowych z 18 stycznia 2023 r. o sygn. DKN.5112.31.2022 skierowanym do Ministra Spraw Wewnętrznych i Administracji, a problem ten jest aktualny.</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świetle powyższych doświadczeń organu nadzorczego stwierdzić należy, że przewidziany w art. 20 ust. 1 projektu obowiązek wcześniejszego usunięcia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danych osoby, która nabyła obywatelstwo polskie, może być trudny do wykonania w praktyce. Konieczne jest zatem zapewnienie w regulacji odpowiednich procedur współpracy między organem nadającym obywatelstwo polskie i organami </w:t>
            </w:r>
            <w:r>
              <w:rPr>
                <w:rFonts w:ascii="Times New Roman" w:eastAsia="Times New Roman" w:hAnsi="Times New Roman" w:cs="Times New Roman"/>
                <w:bCs/>
                <w:sz w:val="20"/>
                <w:szCs w:val="24"/>
                <w:lang w:eastAsia="pl-PL"/>
              </w:rPr>
              <w:lastRenderedPageBreak/>
              <w:t>wydającymi decyzje w sprawie uznania cudzoziemca za obywatela polskiego a Szefem Urzędu do Spraw Cudzoziemców.</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Dlatego Prezes Urzędu Ochrony Danych Osobowych wnioskuje, by w przepisach jednoznacznie określić, który organ jest odpowiedzialny za powiadomienie Szefa Urzędu do Spraw Cudzoziemców o nabyciu obywatelstwa polskiego przez osobę, której dane znajdują się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a także umożliwić organom właściwym w sprawie obywatelstwa polskiego pozyskiwanie odpowiednich informacji w tej materii, np. poprzez rozszerzenie formularza wniosku o nadanie obywatelstwa polskiego.</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lastRenderedPageBreak/>
              <w:t>Uwaga nieuwzględniona</w:t>
            </w:r>
          </w:p>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Uwaga wydaje się niezasadna. Zgodnie z art. 449 ust. 2 pkt 15 w związku z art. 449 ust. 1 ustawy z dnia 12 grudnia 2013 r. o cudzoziemcach – Szef Urzędu do Spraw Cudzoziemców jest organem prowadzącym krajowy zbiór rejestrów, ewidencji i wykazu w sprawach cudzoziemców, w tym centralny rejestr danych o nabyciu i utracie obywatelstwa polskiego.</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Należy wskazać, że w przeciwieństwie do innych systemów wielkoskalowych (VIS, EES) – organy, które prowadzą ww. rejestr w krajowym zbiorze rejestrów, ewidencji i wykazu w sprawach cudzoziemców nie posiadają samoistnych uprawnień dostępowych do systemu </w:t>
            </w:r>
            <w:proofErr w:type="spellStart"/>
            <w:r>
              <w:rPr>
                <w:rFonts w:ascii="Times New Roman" w:eastAsia="Times New Roman" w:hAnsi="Times New Roman" w:cs="Times New Roman"/>
                <w:sz w:val="20"/>
                <w:szCs w:val="20"/>
                <w:lang w:eastAsia="pl-PL"/>
              </w:rPr>
              <w:t>Eurodac</w:t>
            </w:r>
            <w:proofErr w:type="spellEnd"/>
            <w:r>
              <w:rPr>
                <w:rFonts w:ascii="Times New Roman" w:eastAsia="Times New Roman" w:hAnsi="Times New Roman" w:cs="Times New Roman"/>
                <w:sz w:val="20"/>
                <w:szCs w:val="20"/>
                <w:lang w:eastAsia="pl-PL"/>
              </w:rPr>
              <w:t>.</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sz w:val="20"/>
                <w:szCs w:val="20"/>
                <w:lang w:eastAsia="pl-PL"/>
              </w:rPr>
              <w:t xml:space="preserve">W związku z powyższym, Szef Urzędu będzie dokonywał powyższych usunięć z systemu </w:t>
            </w:r>
            <w:proofErr w:type="spellStart"/>
            <w:r>
              <w:rPr>
                <w:rFonts w:ascii="Times New Roman" w:eastAsia="Times New Roman" w:hAnsi="Times New Roman" w:cs="Times New Roman"/>
                <w:sz w:val="20"/>
                <w:szCs w:val="20"/>
                <w:lang w:eastAsia="pl-PL"/>
              </w:rPr>
              <w:t>Eurodac</w:t>
            </w:r>
            <w:proofErr w:type="spellEnd"/>
            <w:r>
              <w:rPr>
                <w:rFonts w:ascii="Times New Roman" w:eastAsia="Times New Roman" w:hAnsi="Times New Roman" w:cs="Times New Roman"/>
                <w:sz w:val="20"/>
                <w:szCs w:val="20"/>
                <w:lang w:eastAsia="pl-PL"/>
              </w:rPr>
              <w:t xml:space="preserve"> na podstawie zapisów w centralnym rejestrze danych o nabyciu i utracie obywatelstwa polskiego.</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3.</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Art. 20 ust. 2 projektu formalnie stanowi odzwierciedlenie obowiązku nałożonego na państwa członkowskie przez art. 30 ust. 1 akapit drugi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Obarczony jest jednak brakiem w przedmiocie źródła, z którego Szef Urzędu do Spraw Cudzoziemców ma pozyskać informację, że osoba, której dane zostały przesłane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przez organy polskie stosownie do dyspozycji art. 9–15 projektu, nabyła obywatelstwo innego państwa członkowskiego Unii Europejskiej.</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Uwaga nieuwzględniona</w:t>
            </w:r>
          </w:p>
          <w:p w:rsidR="00EB2FDC" w:rsidRDefault="00EB2FDC">
            <w:pPr>
              <w:spacing w:after="0" w:line="276" w:lineRule="auto"/>
              <w:contextualSpacing/>
              <w:jc w:val="both"/>
              <w:rPr>
                <w:rFonts w:ascii="Times New Roman" w:eastAsia="Times New Roman" w:hAnsi="Times New Roman" w:cs="Times New Roman"/>
                <w:b/>
                <w:bCs/>
                <w:color w:val="7030A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Należy zauważyć, że zgodnie z przepisem art. 22 ust. 1 pkt 10a lit. a ustawy z dnia 12 grudnia 2013 r. o cudzoziemcach, Szef Urzędu do Spraw Cudzoziemców pełni funkcję punktu kontaktowego do udzielania innym państwom członkowskim Unii Europejskiej informacji w sprawach udzielania ochrony międzynarodowej oraz pozbawiania statusu uchodźcy lub ochrony uzupełniającej i w przeważającej mierze będzie uzyskiwał informację o uzyskaniu obywatelstwa innego państwa członkowskiego na tej drodze.</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sz w:val="20"/>
                <w:szCs w:val="20"/>
                <w:lang w:eastAsia="pl-PL"/>
              </w:rPr>
              <w:t>Natomiast, co do zasady, istnieje również szereg innych dróg pozyskania informacji przez Szefa Urzędu – wnioski złożone przez cudzoziemca (w trybie wniosku o usunięcie danych osobowych lub na podstawie wniosków o zarejestrowanie pobytu obywatela UE, informacje od innych organów RP).</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4.</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odniesieniu do – przewidzianej w art. 26 projektu – procedury rozpatrywania wniosku osoby, której dane dotyczą, o przyznanie prawa dostępu do jej danych osobowych zapisanych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oraz wniosku tej osoby o ich sprostowanie, uzupełnienie lub usunięcie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lub ograniczenie ich przetwarzania, Prezes UODO wskazuje na kolejny istotny brak. W art. 26 ust. 3 pkt 4 in fine projektu przewiduje się obowiązek organu uprawnionego do pobrania danych zgodnie z art. 9–15 projektu rozpatrującego – na podstawie art. 26 ust. 1 projektu – ww. wniosek osoby, której dane dotyczą, poinformowania tej osoby o jej uprawnieniach wynikających z art. 43 ust. 5 akapit drugi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to jest prawie wniesienia odwołania lub skargi do właściwego organu, lub skargi do sądu (jeśli osoba ta nie akceptuje udzielonych jej wyjaśnień, o których mowa w art. 26 ust. 3 pkt 4 in </w:t>
            </w:r>
            <w:proofErr w:type="spellStart"/>
            <w:r>
              <w:rPr>
                <w:rFonts w:ascii="Times New Roman" w:eastAsia="Times New Roman" w:hAnsi="Times New Roman" w:cs="Times New Roman"/>
                <w:bCs/>
                <w:sz w:val="20"/>
                <w:szCs w:val="24"/>
                <w:lang w:eastAsia="pl-PL"/>
              </w:rPr>
              <w:t>principio</w:t>
            </w:r>
            <w:proofErr w:type="spellEnd"/>
            <w:r>
              <w:rPr>
                <w:rFonts w:ascii="Times New Roman" w:eastAsia="Times New Roman" w:hAnsi="Times New Roman" w:cs="Times New Roman"/>
                <w:bCs/>
                <w:sz w:val="20"/>
                <w:szCs w:val="24"/>
                <w:lang w:eastAsia="pl-PL"/>
              </w:rPr>
              <w:t xml:space="preserve"> projektu). W przepisach projektu brak jest jakichkolwiek przepisów prawa materialnego lub procesowego statuujących takie odwołanie, skargę do właściwego organu lub skargę do sądu. Z treści projektu nie można wywnioskować, by dokument pisemny potwierdzający fakt złożenia wniosku o dostęp do danych i informujący o sposobie rozpatrzenia tego wniosku, o którym </w:t>
            </w:r>
            <w:r>
              <w:rPr>
                <w:rFonts w:ascii="Times New Roman" w:eastAsia="Times New Roman" w:hAnsi="Times New Roman" w:cs="Times New Roman"/>
                <w:bCs/>
                <w:sz w:val="20"/>
                <w:szCs w:val="24"/>
                <w:lang w:eastAsia="pl-PL"/>
              </w:rPr>
              <w:lastRenderedPageBreak/>
              <w:t>mowa w art. 26 ust. 3 pkt 6 projektu, stanowił decyzję administracyjną organu rozpatrującego wniosek osoby, której dane dotyczą. Nie wydaje się zatem, by dokument taki mógł być skutecznie zaskarżony do sądu administracyjnego.</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Wątpliwym jest także, by art. 27 ust. 1 projektu jako przepis ogólny mógł być uznany za samoistną podstawę skargi do Prezesa Urzędu Ochrony Danych Osobowych osoby, której dane dotyczą, na odmowę uwzględnienia przez organ z art. 26 ust. 1 projektu jej wniosku o dostęp do danych osobowych zapisanych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ich sprostowanie, uzupełnienie lub usunięcie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lub ograniczenie ich przetwarzania.</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Z uwagi na powyższe Prezes UODO wnosi o: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1. jednoznaczne uregulowanie w projekcie procedury odwoławczej od rozstrzygnięcia organu rozpatrującego w oparciu o art. 26 ust. 1 projektu wniosek osoby, której dane dotyczą, o przyznanie jej prawa dostępu do dotyczących jej danych osobowych zapisanych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wniosek o ich sprostowanie, uzupełnienie lub usunięcie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lub ograniczenie ich przetwarzania;</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2. wprowadzenie unormowania przyznającego osobie, której dane dotyczą, prawa wniesienia skargi w ww. sprawie także bezpośrednio do sądu, a nie tylko do Prezesa Urzędu Ochrony Danych Osobowych, stosownie do uprawnienia przewidzianego w art. 79 rozporządzenia 2016/679.</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ind w:left="3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uwzględniona</w:t>
            </w:r>
          </w:p>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Wydaje się, że dokument pisemny potwierdzający fakt złożenia wniosku o dostęp do danych i informujący o sposobie rozpatrzenia tego wniosku, o którym mowa w art. 26 ust. 3 pkt 6 projektu, można uznać jako inny akt lub inną czynność z zakresu administracji publicznej dotyczące uprawnień lub obowiązków wynikających z przepisów prawa, w rozumieniu art. 3 § 2 pkt 3 ustawy z dnia  30 sierpnia 2002 r. – Prawo o postępowaniu przed sądami administracyjnymi, które podlegają kontroli sądów administracyjnych. </w:t>
            </w:r>
            <w:r>
              <w:rPr>
                <w:rFonts w:ascii="Times New Roman" w:eastAsia="Times New Roman" w:hAnsi="Times New Roman" w:cs="Times New Roman"/>
                <w:sz w:val="20"/>
                <w:szCs w:val="20"/>
                <w:lang w:eastAsia="pl-PL"/>
              </w:rPr>
              <w:lastRenderedPageBreak/>
              <w:t>W konsekwencji osobie, której dane dotyczą, przysługiwałaby skarga do wojewódzkiego sądu administracyjnego, na którego obszarze właściwości ma siedzibę organ uprawniony do pobrania danych załatwiający dany wniosek.</w:t>
            </w:r>
          </w:p>
          <w:p w:rsidR="00EB2FDC" w:rsidRDefault="00EB2FDC">
            <w:pPr>
              <w:spacing w:after="0" w:line="276" w:lineRule="auto"/>
              <w:contextualSpacing/>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Rozważeniu można poddać wprowadzenie regulacji przyznającej osobie, której dane dotyczą, prawo do wniesienia skargi do Prezesa Urzędu Ochrony Danych Osobowych osoby, której dane dotyczą, na odmowę uwzględnienia przez organ z art. 26 ust. 1 projektu jej wniosku o dostęp do danych osobowych zapisanych w systemie </w:t>
            </w:r>
            <w:proofErr w:type="spellStart"/>
            <w:r>
              <w:rPr>
                <w:rFonts w:ascii="Times New Roman" w:eastAsia="Times New Roman" w:hAnsi="Times New Roman" w:cs="Times New Roman"/>
                <w:sz w:val="20"/>
                <w:szCs w:val="20"/>
                <w:lang w:eastAsia="pl-PL"/>
              </w:rPr>
              <w:t>Eurodac</w:t>
            </w:r>
            <w:proofErr w:type="spellEnd"/>
            <w:r>
              <w:rPr>
                <w:rFonts w:ascii="Times New Roman" w:eastAsia="Times New Roman" w:hAnsi="Times New Roman" w:cs="Times New Roman"/>
                <w:sz w:val="20"/>
                <w:szCs w:val="20"/>
                <w:lang w:eastAsia="pl-PL"/>
              </w:rPr>
              <w:t xml:space="preserve">, ich sprostowanie, uzupełnienie lub usunięcie z systemu </w:t>
            </w:r>
            <w:proofErr w:type="spellStart"/>
            <w:r>
              <w:rPr>
                <w:rFonts w:ascii="Times New Roman" w:eastAsia="Times New Roman" w:hAnsi="Times New Roman" w:cs="Times New Roman"/>
                <w:sz w:val="20"/>
                <w:szCs w:val="20"/>
                <w:lang w:eastAsia="pl-PL"/>
              </w:rPr>
              <w:t>Eurodac</w:t>
            </w:r>
            <w:proofErr w:type="spellEnd"/>
            <w:r>
              <w:rPr>
                <w:rFonts w:ascii="Times New Roman" w:eastAsia="Times New Roman" w:hAnsi="Times New Roman" w:cs="Times New Roman"/>
                <w:sz w:val="20"/>
                <w:szCs w:val="20"/>
                <w:lang w:eastAsia="pl-PL"/>
              </w:rPr>
              <w:t>, lub ograniczenie ich przetwarzania. Podobna regulacja znajduje się w art. 5 ust. 3 ustawy z dnia 18 października 2024 r. o udziale Rzeczypospolitej Polskiej w Systemie Wjazdu/Wyjazdu.</w:t>
            </w:r>
          </w:p>
          <w:p w:rsidR="00EB2FDC" w:rsidRDefault="00EB2FDC">
            <w:pPr>
              <w:spacing w:after="0" w:line="276" w:lineRule="auto"/>
              <w:contextualSpacing/>
              <w:jc w:val="both"/>
              <w:rPr>
                <w:rFonts w:ascii="Times New Roman" w:eastAsia="Times New Roman" w:hAnsi="Times New Roman" w:cs="Times New Roman"/>
                <w:color w:val="7030A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 celu uwzględnienia uwagi Prezesa UODO proponuje się nadanie art. 26 ust. 3 pkt 3 (wcześniej pkt 4) brzmienia: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„3) wyjaśnia pisemnie osobie, której dane dotyczą, dlaczego nie zamierza sprostować ani usunąć jej danych zapisanych w systemie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a także przekazuje tej osobie informacje, o których mowa w art. 43 ust. 5 akapit drugi rozporządzenia 2024/1358, na piśmie utrwalonym w postaci papierowej lub elektronicznej, w tym poucza na temat sposobu wniesienia skargi do Prezesa Urzędu Ochrony Danych Osobowych lub sądów, przy czym może ograniczyć zakres udzielanych wyjaśnień w przypadkach wskazanych w art. 23 ust. 1 rozporządzenia 2016/679 oraz w art. 26 ust. 1 ustawy z dnia 14 grudnia </w:t>
            </w:r>
            <w:r>
              <w:rPr>
                <w:rFonts w:ascii="Times New Roman" w:eastAsia="Times New Roman" w:hAnsi="Times New Roman" w:cs="Times New Roman"/>
                <w:color w:val="000000"/>
                <w:sz w:val="20"/>
                <w:szCs w:val="20"/>
                <w:lang w:eastAsia="pl-PL"/>
              </w:rPr>
              <w:br/>
              <w:t xml:space="preserve">2018 r. o ochronie danych osobowych przetwarzanych w związku </w:t>
            </w:r>
            <w:r>
              <w:rPr>
                <w:rFonts w:ascii="Times New Roman" w:eastAsia="Times New Roman" w:hAnsi="Times New Roman" w:cs="Times New Roman"/>
                <w:color w:val="000000"/>
                <w:sz w:val="20"/>
                <w:szCs w:val="20"/>
                <w:lang w:eastAsia="pl-PL"/>
              </w:rPr>
              <w:br/>
              <w:t>z zapobieganiem i zwalczaniem przestępczości;”.</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Proponuje się również dodanie w art. 26 nowego ust. 6 w brzmieniu:</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lastRenderedPageBreak/>
              <w:t>„6. Do rozpatrywania wniosków obywateli państw trzecich dotyczących praw, o których mowa w art. 15–18 rozporządzenia 2016/679, nie stosuje się przepisów ustawy z dnia 14 czerwca 1960 r. – Kodeks postępowania administracyjnego (Dz. U. z 2025 r. poz. 1691). Osobie fizycznej, której dane są przetwarzane, przysługuje prawo wniesienia skargi do Prezesa Urzędu Ochrony Danych Osobowych, zgodnie z art. 77 rozporządzenia 2016/679 oraz bezpośrednio do sądu, zgodnie z art. 79 rozporządzenia 2016/679.”</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Proponowane przepisy są wzorowane odpowiednio na art. 5 ust. 2 pkt 12 lit. c i art. 5 ust. 3 ustawy o udziale RP w EES. W celu uwzględnienia uwagi Prezesa UODO w nowym art. 26 ust. 6 projektu wskazano także na możliwość złożenia przez osobę, której dane dotyczą, skargi bezpośrednio do sądu, z pominięciem Prezesa UODO.</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lastRenderedPageBreak/>
              <w:t>5.</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Organ właściwy w sprawie ochrony danych osobowych postuluje też doprecyzowanie w projekcie zasad realizacji praw osób, których dane dotyczą, w sposób zapewniający przejrzystość procedury w tym zakresie. Ponadto, poddaje pod rozwagę projektodawcy ujednolicenie krajowych procedur realizacji praw osób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Systemie Informacyjnym </w:t>
            </w:r>
            <w:proofErr w:type="spellStart"/>
            <w:r>
              <w:rPr>
                <w:rFonts w:ascii="Times New Roman" w:eastAsia="Times New Roman" w:hAnsi="Times New Roman" w:cs="Times New Roman"/>
                <w:bCs/>
                <w:sz w:val="20"/>
                <w:szCs w:val="24"/>
                <w:lang w:eastAsia="pl-PL"/>
              </w:rPr>
              <w:t>Schengen</w:t>
            </w:r>
            <w:proofErr w:type="spellEnd"/>
            <w:r>
              <w:rPr>
                <w:rFonts w:ascii="Times New Roman" w:eastAsia="Times New Roman" w:hAnsi="Times New Roman" w:cs="Times New Roman"/>
                <w:bCs/>
                <w:sz w:val="20"/>
                <w:szCs w:val="24"/>
                <w:lang w:eastAsia="pl-PL"/>
              </w:rPr>
              <w:t xml:space="preserve"> (SIS) , VIS oraz Systemie Wjazdu/Wyjazdu (EES) .</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Uwaga nieuwzględniona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Celem projektowanej ustawy jest zapewnienie stosowania przepisów rozporządzenia 2024/1358. W związku z tym propozycja UODO wykracza poza zakres przedmiotowy projektu.</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Niezależnie od powyższego należy wskazać, że przepisy dotyczące realizacji praw osoby, której dane dotyczą, odnoszące się do danych osobowych przetwarzanych w poszczególnych wielkoskalowych systemach informacyjnych UE, są uzależnione od przepisów prawa UE dotyczących tych systemów.</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color w:val="000000"/>
                <w:sz w:val="20"/>
                <w:szCs w:val="20"/>
                <w:lang w:eastAsia="pl-PL"/>
              </w:rPr>
              <w:t xml:space="preserve">Prezes UODO nie wskazał przy tym pożądanego kierunku rozwiązań w tym zakresie, w związku z czym na obecnym etapie prac nie ma możliwości bardziej szczegółowego odniesienia się do tej uwagi. </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6.</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myśl art. 27 ust. 1 pkt 2 projektu Prezes Urzędu Ochrony Danych Osobowych ma monitorować zgodność z prawem przetwarzania danych osobowych na podstawie </w:t>
            </w:r>
            <w:r>
              <w:rPr>
                <w:rFonts w:ascii="Times New Roman" w:eastAsia="Times New Roman" w:hAnsi="Times New Roman" w:cs="Times New Roman"/>
                <w:bCs/>
                <w:sz w:val="20"/>
                <w:szCs w:val="24"/>
                <w:lang w:eastAsia="pl-PL"/>
              </w:rPr>
              <w:lastRenderedPageBreak/>
              <w:t xml:space="preserve">rozporządzenie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 potrzeby ochrony porządku publicznego, w tym na potrzeby przesyłania tych danych do i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Zgodnie zaś z art. 5 ust. 1 projektu uprawnienie do występowania z wnioskiem o porównanie danych z danymi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 potrzeby ochrony porządku publicznego przysługuje: Policji, Straży Granicznej, Centralnemu Biuru Antykorupcyjnemu, Agencji Bezpieczeństwa Wewnętrznego, Żandarmerii Wojskowej, Służbie Ochrony Państwa i Krajowej Administracji Skarbowej.</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Nie można zatem pominąć, iż w odniesieniu do niektórych z ww. podmiotów zastosowanie znajdują wyłączenia przewidziane w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Stosownie do dyspozycji art. 3 pkt 2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 przepisów tej ustawy nie stosuje się do ochrony danych osobowych przetwarzanych w związku z zapewnieniem bezpieczeństwa narodowego, w tym w ramach realizacji zadań ustawowych m.in. Agencji Bezpieczeństwa Wewnętrznego i Centralnego Biura Antykorupcyjnego.</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Ponadto – jak stanowi art. 3 pkt 1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 – wyłączone spod jej reżimu prawnego pozostają dane osobowe przetwarzane w ramach postępowań prowadzonych na podstawie przepisów: prawa karnego procesowego, prawa karnego wykonawczego i prawa wykroczeń procesowego, jak również dane osobowe przetwarzane w oparciu o przepisy innych ustaw regulujących czynności organów ścigania i wymiaru sprawiedliwości.</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konsekwencji powstaje więc wątpliwość co do kształtu przepisów krajowych i zakresu faktycznej kompetencji Prezesa Urzędu Ochrony Danych Osobowych w ramach sprawowanego nadzoru nad przetwarzaniem danych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 potrzeby ochrony porządku publicznego, w szczególności, w sytuacji gdy dane te będą przetwarzane przez służby objęte wyłączeniem z art. 3 pkt 2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Zasadne jest choćby pytanie, czy w przypadku powołania się przez Prezesa Urzędu Ochrony Danych Osobowych na jego uprawnienie z art. 47 ust. 1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 wystąpienia do Agencji Bezpieczeństwa Wewnętrznego lub Centralnego Biura Antykorupcyjnego (czyli organów uprawnionych do występowania z wnioskiem o porównanie danych z danymi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 potrzeby ochrony porządku publicznego – art. 5 ust. 1 pkt 3 i 4 projektu) z żądaniem udostępnienia zapisu </w:t>
            </w:r>
            <w:proofErr w:type="spellStart"/>
            <w:r>
              <w:rPr>
                <w:rFonts w:ascii="Times New Roman" w:eastAsia="Times New Roman" w:hAnsi="Times New Roman" w:cs="Times New Roman"/>
                <w:bCs/>
                <w:sz w:val="20"/>
                <w:szCs w:val="24"/>
                <w:lang w:eastAsia="pl-PL"/>
              </w:rPr>
              <w:t>wyszukiwań</w:t>
            </w:r>
            <w:proofErr w:type="spellEnd"/>
            <w:r>
              <w:rPr>
                <w:rFonts w:ascii="Times New Roman" w:eastAsia="Times New Roman" w:hAnsi="Times New Roman" w:cs="Times New Roman"/>
                <w:bCs/>
                <w:sz w:val="20"/>
                <w:szCs w:val="24"/>
                <w:lang w:eastAsia="pl-PL"/>
              </w:rPr>
              <w:t xml:space="preserve"> (który każdy z tych organów – jako organ wyznaczony w rozumieniu art. 5 ust. 1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 jest zobowiązany prowadzić w myśl art. 47 ust. 4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organy te nie odmówią zrealizowania tego żądania wskazując na wyłączenie z art. 3 pkt 2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To samo dotyczyć może pozostałych organów, o których mowa w art. 5 ust. 1 projektu, które swoją odmowę spełnienia żądania organu nadzorczego mogą próbować opierać na przesłance przetwarzania danych osobowych w związku z zapewnieniem bezpieczeństwa narodowego albo też na przesłance z art. 3 pkt 1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sposób szczególnie rażący sygnalizowany problem uwidacznia się w związku z informowaniem </w:t>
            </w:r>
            <w:proofErr w:type="spellStart"/>
            <w:r>
              <w:rPr>
                <w:rFonts w:ascii="Times New Roman" w:eastAsia="Times New Roman" w:hAnsi="Times New Roman" w:cs="Times New Roman"/>
                <w:bCs/>
                <w:sz w:val="20"/>
                <w:szCs w:val="24"/>
                <w:lang w:eastAsia="pl-PL"/>
              </w:rPr>
              <w:t>eu</w:t>
            </w:r>
            <w:proofErr w:type="spellEnd"/>
            <w:r>
              <w:rPr>
                <w:rFonts w:ascii="Times New Roman" w:eastAsia="Times New Roman" w:hAnsi="Times New Roman" w:cs="Times New Roman"/>
                <w:bCs/>
                <w:sz w:val="20"/>
                <w:szCs w:val="24"/>
                <w:lang w:eastAsia="pl-PL"/>
              </w:rPr>
              <w:t xml:space="preserve">-LISA   o incydentach związanych z bezpieczeństwem odnoszących się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Art. 48 ust. 3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stanowi, że informowanie przez państwa członkowskie i Europol o incydentach związanych z bezpieczeństwem odnoszących się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które wykryły w swoich systemach, pozostaje bez uszczerbku dla zgłaszania naruszenia ochrony danych osobowych na podstawie, odpowiednio, art. 33 i 34 rozporządzenia 2016/679 oraz art. 30 i 31 dyrektywy Parlamentu Europejskiego i Rady (UE) 2016/680 , powoływanej dalej z zastosowaniem skrótu „dyrektywa 2016/680”. Takie brzmienie przytoczonego wyżej przepisu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oznacza, że komplementarne są obowiązki informowania </w:t>
            </w:r>
            <w:proofErr w:type="spellStart"/>
            <w:r>
              <w:rPr>
                <w:rFonts w:ascii="Times New Roman" w:eastAsia="Times New Roman" w:hAnsi="Times New Roman" w:cs="Times New Roman"/>
                <w:bCs/>
                <w:sz w:val="20"/>
                <w:szCs w:val="24"/>
                <w:lang w:eastAsia="pl-PL"/>
              </w:rPr>
              <w:t>eu</w:t>
            </w:r>
            <w:proofErr w:type="spellEnd"/>
            <w:r>
              <w:rPr>
                <w:rFonts w:ascii="Times New Roman" w:eastAsia="Times New Roman" w:hAnsi="Times New Roman" w:cs="Times New Roman"/>
                <w:bCs/>
                <w:sz w:val="20"/>
                <w:szCs w:val="24"/>
                <w:lang w:eastAsia="pl-PL"/>
              </w:rPr>
              <w:t xml:space="preserve">-LISA o incydentach związanych z bezpieczeństwem odnoszących się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 zgłaszania naruszenia </w:t>
            </w:r>
            <w:r>
              <w:rPr>
                <w:rFonts w:ascii="Times New Roman" w:eastAsia="Times New Roman" w:hAnsi="Times New Roman" w:cs="Times New Roman"/>
                <w:bCs/>
                <w:sz w:val="20"/>
                <w:szCs w:val="24"/>
                <w:lang w:eastAsia="pl-PL"/>
              </w:rPr>
              <w:lastRenderedPageBreak/>
              <w:t xml:space="preserve">ochrony danych osobowych krajowemu organowi nadzorczemu, czyli w Rzeczypospolitej Polskiej Prezesowi Urzędu Ochrony Danych Osobowych.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Tymczasem wobec przewidzianego w art. 3 pkt 2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 xml:space="preserve">. wyłączenia stosowania przepisów tej ustawy w odniesieniu do Agencji Bezpieczeństwa Wewnętrznego i Centralnego Biura Antykorupcyjnego brak jest krajowych unormowań nakładających na te organy obowiązek zgłaszania naruszenia ochrony danych osobowych Prezesowi Urzędu Ochrony Danych Osobowych. Obejmuje to także ewentualne naruszenie ochrony danych osobowych dotyczące danych osobowych pozyskanych przez ww. organy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co pozostaje w oczywistej sprzeczności z – ustanowionymi w rozporządzeniu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 uprawnieniami nadzorczymi Prezesa Urzędu Ochrony Danych Osobowych jako krajowego organu nadzorczego.</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Brak jednoznacznego rozstrzygnięcia relacji między projektowanym art. 27 ust. 1 pkt 2 a przepisami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 xml:space="preserve">. prowadzi do ryzyka powstania kolizji kompetencyjnych oraz niepewności prawnej zarówno po stronie organów przetwarzających dane, jak i organu nadzorczego. Skutkować też może sytuacją, w której dane osobowe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będą przetwarzane przez organy poza przewidzianym w prawie Unii Europejskiej spójnym, kompleksowym reżimem ochrony danych osobowych dla celów egzekwowania prawa. Taki stan jest niezgodny z wymogiem zapewnienia skutecznego i niezależnego nadzoru nad przetwarzaniem danych osobowych wynikającym z art. 51 rozporządzenia 2016/679 oraz art. 41 dyrektywy 2016/680, jak również zasadą spójności stosowania prawa Unii Europejskiej. Ma to negatywny wpływ na system prawa, jak i prawa i obowiązki, które powinny być realizowane na gruncie prawa UE.</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ocenie Prezesa Urzędu Ochrony Danych Osobowych niezbędne jest więc usunięcie kolizji między regulacjami zamieszczonymi w projekcie a przepisami </w:t>
            </w:r>
            <w:proofErr w:type="spellStart"/>
            <w:r>
              <w:rPr>
                <w:rFonts w:ascii="Times New Roman" w:eastAsia="Times New Roman" w:hAnsi="Times New Roman" w:cs="Times New Roman"/>
                <w:bCs/>
                <w:sz w:val="20"/>
                <w:szCs w:val="24"/>
                <w:lang w:eastAsia="pl-PL"/>
              </w:rPr>
              <w:t>u.o.d.o.p.z.z.z.p</w:t>
            </w:r>
            <w:proofErr w:type="spellEnd"/>
            <w:r>
              <w:rPr>
                <w:rFonts w:ascii="Times New Roman" w:eastAsia="Times New Roman" w:hAnsi="Times New Roman" w:cs="Times New Roman"/>
                <w:bCs/>
                <w:sz w:val="20"/>
                <w:szCs w:val="24"/>
                <w:lang w:eastAsia="pl-PL"/>
              </w:rPr>
              <w:t>. celem zapewnienia zgodności krajowych rozwiązań z unijnym standardem skutecznego nadzoru nad przetwarzaniem danych osobowych sprawowanego przez niezależne organy nadzorcze.</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ind w:left="3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nieuwzględniona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Zgodnie z art. 47 ust. 1 rozporządzenia 2024/1358 organ nadzorczy lub organy nadzorcze każdego państwa członkowskiego, o których mowa w art. 41 ust. 1 dyrektywy (UE) 2016/680, monitorują zgodność z prawem przetwarzania danych osobowych na mocy niniejszego rozporządzenia przez państwa członkowskie na potrzeby ochrony porządku publicznego, w tym na potrzeby przesyłania tych danych do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i z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w:t>
            </w:r>
            <w:r>
              <w:rPr>
                <w:rFonts w:ascii="Times New Roman" w:eastAsia="Times New Roman" w:hAnsi="Times New Roman" w:cs="Times New Roman"/>
                <w:b/>
                <w:bCs/>
                <w:color w:val="000000"/>
                <w:sz w:val="20"/>
                <w:szCs w:val="20"/>
                <w:lang w:eastAsia="pl-PL"/>
              </w:rPr>
              <w:t xml:space="preserve"> </w:t>
            </w:r>
            <w:r>
              <w:rPr>
                <w:rFonts w:ascii="Times New Roman" w:eastAsia="Times New Roman" w:hAnsi="Times New Roman" w:cs="Times New Roman"/>
                <w:color w:val="000000"/>
                <w:sz w:val="20"/>
                <w:szCs w:val="20"/>
                <w:lang w:eastAsia="pl-PL"/>
              </w:rPr>
              <w:t xml:space="preserve">polskim systemie ustrojowym organem nadzorczym, o którym mowa w art. 41 ust. 1 dyrektywy 2016/680, jest Prezes UODO. W związku z tym, z uwagi na wskazane przez Prezesa UODO wątpliwości związane z możliwością realizacji przez niego zadania wynikającego z art. 47 ust. 1 rozporządzenia 2024/1358, celowe wydaje się zaproponowanie przez Prezesa UODO rozwiązania w tym zakresie. </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color w:val="000000"/>
                <w:sz w:val="20"/>
                <w:szCs w:val="20"/>
                <w:lang w:eastAsia="pl-PL"/>
              </w:rPr>
              <w:t xml:space="preserve">Podkreślenia wymaga bowiem, że projektowana ustawa nie ustala obowiązku w zakresie monitorowania zgodności z prawem przetwarzania danych osobowych na podstawie rozporządzenia 2024/1358 na potrzeby ochrony porządku publicznego, w tym na potrzeby przesyłania tych danych do i z systemu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lecz jedynie wskazuje organ właściwy do realizacji tego zadania. Mając na względzie fakt, że Prezes UODO nie kwestionuje swojej właściwości do jego realizacji celowe wydaje się zaproponowanie przez niego oczekiwanych rozwiązań umożliwiających mu realizację zadania wskazanego w art 27 ust. 1 pkt 2 projektu.</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lastRenderedPageBreak/>
              <w:t>7.</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Wbrew dyspozycji art. 48 ust. 3 zdanie pierwsze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nakładającego na państwa członkowskie obowiązek informowania </w:t>
            </w:r>
            <w:proofErr w:type="spellStart"/>
            <w:r>
              <w:rPr>
                <w:rFonts w:ascii="Times New Roman" w:eastAsia="Times New Roman" w:hAnsi="Times New Roman" w:cs="Times New Roman"/>
                <w:bCs/>
                <w:sz w:val="20"/>
                <w:szCs w:val="24"/>
                <w:lang w:eastAsia="pl-PL"/>
              </w:rPr>
              <w:t>eu</w:t>
            </w:r>
            <w:proofErr w:type="spellEnd"/>
            <w:r>
              <w:rPr>
                <w:rFonts w:ascii="Times New Roman" w:eastAsia="Times New Roman" w:hAnsi="Times New Roman" w:cs="Times New Roman"/>
                <w:bCs/>
                <w:sz w:val="20"/>
                <w:szCs w:val="24"/>
                <w:lang w:eastAsia="pl-PL"/>
              </w:rPr>
              <w:t xml:space="preserve">-LISA o incydentach związanych z bezpieczeństwem odnoszących się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które wykryły w swoich systemach, art. 28 ust. 5 zdanie drugie projektu uprawnia COT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do dokonania samodzielnej analizy potrzeby poinformowania </w:t>
            </w:r>
            <w:proofErr w:type="spellStart"/>
            <w:r>
              <w:rPr>
                <w:rFonts w:ascii="Times New Roman" w:eastAsia="Times New Roman" w:hAnsi="Times New Roman" w:cs="Times New Roman"/>
                <w:bCs/>
                <w:sz w:val="20"/>
                <w:szCs w:val="24"/>
                <w:lang w:eastAsia="pl-PL"/>
              </w:rPr>
              <w:t>eu</w:t>
            </w:r>
            <w:proofErr w:type="spellEnd"/>
            <w:r>
              <w:rPr>
                <w:rFonts w:ascii="Times New Roman" w:eastAsia="Times New Roman" w:hAnsi="Times New Roman" w:cs="Times New Roman"/>
                <w:bCs/>
                <w:sz w:val="20"/>
                <w:szCs w:val="24"/>
                <w:lang w:eastAsia="pl-PL"/>
              </w:rPr>
              <w:t xml:space="preserve">-LISA o incydencie związanym z bezpieczeństwem odnoszącym się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który został zgłoszony COT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 podstawie art. 28 ust. 5 zdanie pierwsze projektu. Dopuszczalność wprowadzenia w akcie prawa krajowego takiego odstępstwa od wymagania wyraźnie określonego w rozporządzeniu UE budzi istotne wątpliwości organu nadzorczego.</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Uwaga uwzględniona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W celu uwzględnienia uwagi Prezesa UODO proponuje się nadanie art. 28 ust. 5 projektu brzmienia: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„5. Organy mające dostęp do danych zapisanych w systemie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informują COT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o zdarzeniach, które mogłyby wskazywać na wystąpienie incydentu związanego z bezpieczeństwem odnoszących się do systemu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które wykryły w swoich systemach. COT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analizuje zgłoszone incydenty i w razie potrzeby informuje o nich agencję </w:t>
            </w:r>
            <w:proofErr w:type="spellStart"/>
            <w:r>
              <w:rPr>
                <w:rFonts w:ascii="Times New Roman" w:eastAsia="Times New Roman" w:hAnsi="Times New Roman" w:cs="Times New Roman"/>
                <w:color w:val="000000"/>
                <w:sz w:val="20"/>
                <w:szCs w:val="20"/>
                <w:lang w:eastAsia="pl-PL"/>
              </w:rPr>
              <w:t>eu</w:t>
            </w:r>
            <w:proofErr w:type="spellEnd"/>
            <w:r>
              <w:rPr>
                <w:rFonts w:ascii="Times New Roman" w:eastAsia="Times New Roman" w:hAnsi="Times New Roman" w:cs="Times New Roman"/>
                <w:color w:val="000000"/>
                <w:sz w:val="20"/>
                <w:szCs w:val="20"/>
                <w:lang w:eastAsia="pl-PL"/>
              </w:rPr>
              <w:t>-LISA.”.</w:t>
            </w:r>
          </w:p>
          <w:p w:rsidR="00EB2FDC" w:rsidRDefault="00EB2FDC">
            <w:pPr>
              <w:spacing w:after="0" w:line="276" w:lineRule="auto"/>
              <w:ind w:firstLine="708"/>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Zgodnie z art. 48 ust. 3 rozporządzenia 2024/1358 państwa członkowskie i Europol informują </w:t>
            </w:r>
            <w:proofErr w:type="spellStart"/>
            <w:r>
              <w:rPr>
                <w:rFonts w:ascii="Times New Roman" w:eastAsia="Times New Roman" w:hAnsi="Times New Roman" w:cs="Times New Roman"/>
                <w:color w:val="000000"/>
                <w:sz w:val="20"/>
                <w:szCs w:val="20"/>
                <w:lang w:eastAsia="pl-PL"/>
              </w:rPr>
              <w:t>eu</w:t>
            </w:r>
            <w:proofErr w:type="spellEnd"/>
            <w:r>
              <w:rPr>
                <w:rFonts w:ascii="Times New Roman" w:eastAsia="Times New Roman" w:hAnsi="Times New Roman" w:cs="Times New Roman"/>
                <w:color w:val="000000"/>
                <w:sz w:val="20"/>
                <w:szCs w:val="20"/>
                <w:lang w:eastAsia="pl-PL"/>
              </w:rPr>
              <w:t xml:space="preserve">-LISA o incydentach związanych z bezpieczeństwem odnoszących się do </w:t>
            </w:r>
            <w:proofErr w:type="spellStart"/>
            <w:r>
              <w:rPr>
                <w:rFonts w:ascii="Times New Roman" w:eastAsia="Times New Roman" w:hAnsi="Times New Roman" w:cs="Times New Roman"/>
                <w:color w:val="000000"/>
                <w:sz w:val="20"/>
                <w:szCs w:val="20"/>
                <w:lang w:eastAsia="pl-PL"/>
              </w:rPr>
              <w:lastRenderedPageBreak/>
              <w:t>Eurodac</w:t>
            </w:r>
            <w:proofErr w:type="spellEnd"/>
            <w:r>
              <w:rPr>
                <w:rFonts w:ascii="Times New Roman" w:eastAsia="Times New Roman" w:hAnsi="Times New Roman" w:cs="Times New Roman"/>
                <w:color w:val="000000"/>
                <w:sz w:val="20"/>
                <w:szCs w:val="20"/>
                <w:lang w:eastAsia="pl-PL"/>
              </w:rPr>
              <w:t xml:space="preserve">, które wykryły w swoich systemach, bez uszczerbku dla zgłoszenia naruszenia danych osobowych i dla zawiadomienia o naruszeniu ochrony danych osobowych na podstawie, odpowiednio, art. 33 i 34 rozporządzenia (UE) 2016/679 i art. 30 i 31 dyrektywy (UE) 2016/680, jak również art. 34 i 35 rozporządzenia (UE) 2016/794. </w:t>
            </w:r>
            <w:proofErr w:type="spellStart"/>
            <w:r>
              <w:rPr>
                <w:rFonts w:ascii="Times New Roman" w:eastAsia="Times New Roman" w:hAnsi="Times New Roman" w:cs="Times New Roman"/>
                <w:color w:val="000000"/>
                <w:sz w:val="20"/>
                <w:szCs w:val="20"/>
                <w:lang w:eastAsia="pl-PL"/>
              </w:rPr>
              <w:t>eu</w:t>
            </w:r>
            <w:proofErr w:type="spellEnd"/>
            <w:r>
              <w:rPr>
                <w:rFonts w:ascii="Times New Roman" w:eastAsia="Times New Roman" w:hAnsi="Times New Roman" w:cs="Times New Roman"/>
                <w:color w:val="000000"/>
                <w:sz w:val="20"/>
                <w:szCs w:val="20"/>
                <w:lang w:eastAsia="pl-PL"/>
              </w:rPr>
              <w:t xml:space="preserve">-LISA niezwłocznie informuje państwa członkowskie, Europol i Europejskiego Inspektora Ochrony Danych o incydentach związanych z bezpieczeństwem odnoszących się do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które zostały wykryte w ich systemach, bez uszczerbku dla art. 34 i 35 rozporządzenia (UE) 2018/1725. W trakcie incydentu związanego z bezpieczeństwem państwa członkowskie, których on dotyczy, </w:t>
            </w:r>
            <w:proofErr w:type="spellStart"/>
            <w:r>
              <w:rPr>
                <w:rFonts w:ascii="Times New Roman" w:eastAsia="Times New Roman" w:hAnsi="Times New Roman" w:cs="Times New Roman"/>
                <w:color w:val="000000"/>
                <w:sz w:val="20"/>
                <w:szCs w:val="20"/>
                <w:lang w:eastAsia="pl-PL"/>
              </w:rPr>
              <w:t>eu</w:t>
            </w:r>
            <w:proofErr w:type="spellEnd"/>
            <w:r>
              <w:rPr>
                <w:rFonts w:ascii="Times New Roman" w:eastAsia="Times New Roman" w:hAnsi="Times New Roman" w:cs="Times New Roman"/>
                <w:color w:val="000000"/>
                <w:sz w:val="20"/>
                <w:szCs w:val="20"/>
                <w:lang w:eastAsia="pl-PL"/>
              </w:rPr>
              <w:t>-LISA i Europol współpracują ze sobą.</w:t>
            </w:r>
          </w:p>
          <w:p w:rsidR="00EB2FDC" w:rsidRDefault="00EB2FDC">
            <w:pPr>
              <w:spacing w:after="0" w:line="276" w:lineRule="auto"/>
              <w:ind w:firstLine="708"/>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color w:val="000000"/>
                <w:sz w:val="20"/>
                <w:szCs w:val="20"/>
                <w:lang w:eastAsia="pl-PL"/>
              </w:rPr>
              <w:t xml:space="preserve">Natomiast celem projektowanego przepisu jest wskazanie, że organy mające dostęp do danych zapisanych w systemie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informują COT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o zdarzeniach, które w ich ocenie mogą stanowić incydent związany z bezpieczeństwem. Natomiast to COT </w:t>
            </w:r>
            <w:proofErr w:type="spellStart"/>
            <w:r>
              <w:rPr>
                <w:rFonts w:ascii="Times New Roman" w:eastAsia="Times New Roman" w:hAnsi="Times New Roman" w:cs="Times New Roman"/>
                <w:color w:val="000000"/>
                <w:sz w:val="20"/>
                <w:szCs w:val="20"/>
                <w:lang w:eastAsia="pl-PL"/>
              </w:rPr>
              <w:t>Eurodac</w:t>
            </w:r>
            <w:proofErr w:type="spellEnd"/>
            <w:r>
              <w:rPr>
                <w:rFonts w:ascii="Times New Roman" w:eastAsia="Times New Roman" w:hAnsi="Times New Roman" w:cs="Times New Roman"/>
                <w:color w:val="000000"/>
                <w:sz w:val="20"/>
                <w:szCs w:val="20"/>
                <w:lang w:eastAsia="pl-PL"/>
              </w:rPr>
              <w:t xml:space="preserve"> będzie dokonywał ostatecznej oceny czy zdarzenia te rzeczywiście stanowiły incydenty związane z bezpieczeństwem i w razie stwierdzenia, że stanowią one takie incydenty informował o nich agencję </w:t>
            </w:r>
            <w:proofErr w:type="spellStart"/>
            <w:r>
              <w:rPr>
                <w:rFonts w:ascii="Times New Roman" w:eastAsia="Times New Roman" w:hAnsi="Times New Roman" w:cs="Times New Roman"/>
                <w:color w:val="000000"/>
                <w:sz w:val="20"/>
                <w:szCs w:val="20"/>
                <w:lang w:eastAsia="pl-PL"/>
              </w:rPr>
              <w:t>eu</w:t>
            </w:r>
            <w:proofErr w:type="spellEnd"/>
            <w:r>
              <w:rPr>
                <w:rFonts w:ascii="Times New Roman" w:eastAsia="Times New Roman" w:hAnsi="Times New Roman" w:cs="Times New Roman"/>
                <w:color w:val="000000"/>
                <w:sz w:val="20"/>
                <w:szCs w:val="20"/>
                <w:lang w:eastAsia="pl-PL"/>
              </w:rPr>
              <w:t>-LISA.</w:t>
            </w:r>
          </w:p>
        </w:tc>
      </w:tr>
      <w:tr w:rsidR="00EB2FDC" w:rsidTr="00651DD4">
        <w:trPr>
          <w:trHeight w:val="210"/>
        </w:trPr>
        <w:tc>
          <w:tcPr>
            <w:tcW w:w="426"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360" w:lineRule="auto"/>
              <w:rPr>
                <w:rFonts w:ascii="Times New Roman" w:eastAsia="Times New Roman" w:hAnsi="Times New Roman" w:cs="Times New Roman"/>
                <w:b/>
                <w:bCs/>
                <w:color w:val="000000"/>
                <w:sz w:val="20"/>
                <w:szCs w:val="20"/>
                <w:lang w:eastAsia="pl-PL"/>
              </w:rPr>
            </w:pPr>
            <w:r>
              <w:rPr>
                <w:rFonts w:ascii="Times New Roman" w:eastAsia="Times New Roman" w:hAnsi="Times New Roman" w:cs="Times New Roman"/>
                <w:b/>
                <w:bCs/>
                <w:color w:val="000000"/>
                <w:sz w:val="20"/>
                <w:szCs w:val="20"/>
                <w:lang w:eastAsia="pl-PL"/>
              </w:rPr>
              <w:lastRenderedPageBreak/>
              <w:t>8.</w:t>
            </w:r>
          </w:p>
        </w:tc>
        <w:tc>
          <w:tcPr>
            <w:tcW w:w="7087" w:type="dxa"/>
            <w:tcBorders>
              <w:top w:val="single" w:sz="4" w:space="0" w:color="000000"/>
              <w:left w:val="single" w:sz="4" w:space="0" w:color="000000"/>
              <w:bottom w:val="single" w:sz="4" w:space="0" w:color="000000"/>
              <w:right w:val="single" w:sz="4" w:space="0" w:color="000000"/>
            </w:tcBorders>
            <w:hideMark/>
          </w:tcPr>
          <w:p w:rsidR="00EB2FDC" w:rsidRDefault="00EB2FDC">
            <w:pPr>
              <w:spacing w:after="0" w:line="276" w:lineRule="auto"/>
              <w:ind w:left="38"/>
              <w:jc w:val="both"/>
              <w:rPr>
                <w:rFonts w:ascii="Times New Roman" w:eastAsia="Times New Roman" w:hAnsi="Times New Roman" w:cs="Times New Roman"/>
                <w:b/>
                <w:sz w:val="20"/>
                <w:szCs w:val="24"/>
                <w:lang w:eastAsia="pl-PL"/>
              </w:rPr>
            </w:pPr>
            <w:r>
              <w:rPr>
                <w:rFonts w:ascii="Times New Roman" w:eastAsia="Times New Roman" w:hAnsi="Times New Roman" w:cs="Times New Roman"/>
                <w:b/>
                <w:sz w:val="20"/>
                <w:szCs w:val="24"/>
                <w:lang w:eastAsia="pl-PL"/>
              </w:rPr>
              <w:t>Zapewnienie środków finansowych.</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Prezes Urzędu Ochrony Danych Osobowych wnosi o uwzględnienie w przepisach projektu unormowań dotyczących zapewnienia środków finansowych niezbędnych do wykonywania jego zadań wynikających z realizacji przepisów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oraz przepisów krajowych.</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obecnym kształcie projekt w art. 39 przewiduje zapewnienie finansowania wyłącznie dla ministra właściwego do spraw wewnętrznych, mimo że Prezes Urzędu Ochrony Danych Osobowych jako krajowy organ nadzorczy będzie również odpowiedzialny za wykonywanie zadań ustawowych i unijnych w ramach funkcjonowania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Zgodnie z decyzją wykonawczą Komisji Europejskiej z dnia 17 grudnia 2024 r. ustanawiającą sprawozdanie z oceny stosowania dorobku </w:t>
            </w:r>
            <w:proofErr w:type="spellStart"/>
            <w:r>
              <w:rPr>
                <w:rFonts w:ascii="Times New Roman" w:eastAsia="Times New Roman" w:hAnsi="Times New Roman" w:cs="Times New Roman"/>
                <w:bCs/>
                <w:sz w:val="20"/>
                <w:szCs w:val="24"/>
                <w:lang w:eastAsia="pl-PL"/>
              </w:rPr>
              <w:t>Schengen</w:t>
            </w:r>
            <w:proofErr w:type="spellEnd"/>
            <w:r>
              <w:rPr>
                <w:rFonts w:ascii="Times New Roman" w:eastAsia="Times New Roman" w:hAnsi="Times New Roman" w:cs="Times New Roman"/>
                <w:bCs/>
                <w:sz w:val="20"/>
                <w:szCs w:val="24"/>
                <w:lang w:eastAsia="pl-PL"/>
              </w:rPr>
              <w:t xml:space="preserve"> przez Polskę w 2024 r. Rzeczpospolita Polska została zobowiązana do zapewnienia Urzędowi Ochrony Danych Osobowych odpowiednich zasobów do wykonywania jego zadań w ramach dorobku </w:t>
            </w:r>
            <w:proofErr w:type="spellStart"/>
            <w:r>
              <w:rPr>
                <w:rFonts w:ascii="Times New Roman" w:eastAsia="Times New Roman" w:hAnsi="Times New Roman" w:cs="Times New Roman"/>
                <w:bCs/>
                <w:sz w:val="20"/>
                <w:szCs w:val="24"/>
                <w:lang w:eastAsia="pl-PL"/>
              </w:rPr>
              <w:t>Schengen</w:t>
            </w:r>
            <w:proofErr w:type="spellEnd"/>
            <w:r>
              <w:rPr>
                <w:rFonts w:ascii="Times New Roman" w:eastAsia="Times New Roman" w:hAnsi="Times New Roman" w:cs="Times New Roman"/>
                <w:bCs/>
                <w:sz w:val="20"/>
                <w:szCs w:val="24"/>
                <w:lang w:eastAsia="pl-PL"/>
              </w:rPr>
              <w:t xml:space="preserve">, w szczególności w kontekście rosnącego obciążenia związanego </w:t>
            </w:r>
            <w:r>
              <w:rPr>
                <w:rFonts w:ascii="Times New Roman" w:eastAsia="Times New Roman" w:hAnsi="Times New Roman" w:cs="Times New Roman"/>
                <w:bCs/>
                <w:sz w:val="20"/>
                <w:szCs w:val="24"/>
                <w:lang w:eastAsia="pl-PL"/>
              </w:rPr>
              <w:br/>
            </w:r>
            <w:r>
              <w:rPr>
                <w:rFonts w:ascii="Times New Roman" w:eastAsia="Times New Roman" w:hAnsi="Times New Roman" w:cs="Times New Roman"/>
                <w:bCs/>
                <w:sz w:val="20"/>
                <w:szCs w:val="24"/>
                <w:lang w:eastAsia="pl-PL"/>
              </w:rPr>
              <w:lastRenderedPageBreak/>
              <w:t>z wdrażaniem kolejnych wielkoskalowych systemów informacyjnych Unii Europejskiej.</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Nie można pominąć, iż system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jako jeden z wielkoskalowych systemów informacyjnych Unii Europejskiej podlega mechanizmowi skoordynowanego nadzoru, o którym mowa w art. 46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 art. 62 rozporządzenia Parlamentu Europejskiego i Rady (UE) 2018/1725 , co oznacza, że Prezes Urzędu Ochrony Danych Osobowych zobowiązany jest do aktywnego wykonywania zadań nadzorczych nie tylko na poziomie krajowym, lecz także w ramach współpracy międzynarodowej z organami nadzorczymi pozostałych państw członkowskich Unii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Europejskiej, Europejską Radą Ochrony Danych i Europejskim Inspektorem Ochrony Danych. Zakres tych zadań wymaga zabezpieczenia odpowiednich zasobów kadrowych – zarówno ilościowych, jak i jakościowych.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Przy stale rosnącej liczbie zgłoszeń w obszarze IT i </w:t>
            </w:r>
            <w:proofErr w:type="spellStart"/>
            <w:r>
              <w:rPr>
                <w:rFonts w:ascii="Times New Roman" w:eastAsia="Times New Roman" w:hAnsi="Times New Roman" w:cs="Times New Roman"/>
                <w:bCs/>
                <w:sz w:val="20"/>
                <w:szCs w:val="24"/>
                <w:lang w:eastAsia="pl-PL"/>
              </w:rPr>
              <w:t>cyberbezpieczeństwa</w:t>
            </w:r>
            <w:proofErr w:type="spellEnd"/>
            <w:r>
              <w:rPr>
                <w:rFonts w:ascii="Times New Roman" w:eastAsia="Times New Roman" w:hAnsi="Times New Roman" w:cs="Times New Roman"/>
                <w:bCs/>
                <w:sz w:val="20"/>
                <w:szCs w:val="24"/>
                <w:lang w:eastAsia="pl-PL"/>
              </w:rPr>
              <w:t xml:space="preserve"> w skali kraju oraz ograniczonych zasobach kadrowych i finansowych realizacja wszystkich zadań nałożonych na organ właściwy w sprawie ochrony danych osobowych w sposób terminowy i merytorycznie adekwatny do </w:t>
            </w:r>
            <w:proofErr w:type="spellStart"/>
            <w:r>
              <w:rPr>
                <w:rFonts w:ascii="Times New Roman" w:eastAsia="Times New Roman" w:hAnsi="Times New Roman" w:cs="Times New Roman"/>
                <w:bCs/>
                <w:sz w:val="20"/>
                <w:szCs w:val="24"/>
                <w:lang w:eastAsia="pl-PL"/>
              </w:rPr>
              <w:t>ryzyk</w:t>
            </w:r>
            <w:proofErr w:type="spellEnd"/>
            <w:r>
              <w:rPr>
                <w:rFonts w:ascii="Times New Roman" w:eastAsia="Times New Roman" w:hAnsi="Times New Roman" w:cs="Times New Roman"/>
                <w:bCs/>
                <w:sz w:val="20"/>
                <w:szCs w:val="24"/>
                <w:lang w:eastAsia="pl-PL"/>
              </w:rPr>
              <w:t xml:space="preserve"> wielkoskalowych systemów informacyjnych Unii Europejskiej staje się coraz trudniejsza.</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Wskazać jednocześnie wypada, że w motywie 89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prawodawca unijny zobligował państwa członkowskie Unii Europejskiej, a więc również Rzeczpospolitą Polską, do zapewnienia krajowym organom nadzorczym możliwości sprawowania odpowiedniego nadzoru nad wykorzystywaniem danych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 dostępem do nich.</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związku z tym przyznanie dodatkowych środków finansowych jest uzasadnione zarówno z punktu widzenia obowiązującego prawa unijnego, jak i potrzeby zapewnienia sprawnego i skutecznego nadzoru nad systemem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Proponowane finansowanie ma na celu zagwarantowanie wysokiej jakości realizacji zadań przez Prezesa Urzędu Ochrony Danych Osobowych, przy jednoczesnym zachowaniu niezależności operacyjnej organu nadzorczego oraz zdolności do współpracy na poziomie europejskim.</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Zgodnie z art. 44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każde państwo członkowskie zobowiązane jest wprowadzić przepisy stanowiące, że jego organ nadzorczy, o którym mowa w art. 51 ust. 1 rozporządzenia 2016/679, ma monitorować zgodność z prawem przetwarzania przez to państwo członkowskie danych osobowych w celach określonych w art. 1 ust. 1 lit. a), b), c) oraz j) tego rozporządzenia, w tym przesyłanie tych danych do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 art. 47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stanowi się zaś, że organ nadzorczy każdego państwa członkowskiego, o którym mowa w art. 41 ust. 1 dyrektywy 2016/680, ma monitorować zgodność z prawem przetwarzania danych osobowych na mocy tego rozporządzenia przez państwa członkowskie na potrzeby ochrony porządku publicznego, w tym na potrzeby przesyłania tych danych do i z systemu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Kontrole te, stosownie do dyspozycji art. 46 ust. 2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mają odbywać się co roku.</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Wobec powyższego Prezes Urzędu Ochrony Danych Osobowych wnioskuje </w:t>
            </w:r>
            <w:r>
              <w:rPr>
                <w:rFonts w:ascii="Times New Roman" w:eastAsia="Times New Roman" w:hAnsi="Times New Roman" w:cs="Times New Roman"/>
                <w:bCs/>
                <w:sz w:val="20"/>
                <w:szCs w:val="24"/>
                <w:lang w:eastAsia="pl-PL"/>
              </w:rPr>
              <w:br/>
              <w:t xml:space="preserve">o przyznanie środków na utworzenie 2 nowych etatów, które zostaną przeznaczone na obsadzenie stanowisk merytorycznych odpowiedzialnych za realizację zadań nadzorczych wynikających bezpośrednio z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oraz projektowanej ustawy o udziale Rzeczypospolitej Polskiej w systemie </w:t>
            </w:r>
            <w:proofErr w:type="spellStart"/>
            <w:r>
              <w:rPr>
                <w:rFonts w:ascii="Times New Roman" w:eastAsia="Times New Roman" w:hAnsi="Times New Roman" w:cs="Times New Roman"/>
                <w:bCs/>
                <w:sz w:val="20"/>
                <w:szCs w:val="24"/>
                <w:lang w:eastAsia="pl-PL"/>
              </w:rPr>
              <w:t>Eurodac</w:t>
            </w:r>
            <w:proofErr w:type="spellEnd"/>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Do obowiązków osób zatrudnionych na tych etatach należeć będzie w szczególności prowadzenie kontroli operacji przetwarzania danych w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zgodnie z zakresem określonym w rozdziale 9 ustawy o ochronie danych osobowych.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lastRenderedPageBreak/>
              <w:t xml:space="preserve">Pracownicy ci będą również prowadzić postępowania w sprawach naruszenia ochrony danych osobowych, oceniając ryzyko dla praw osób fizycznych i współpracując </w:t>
            </w:r>
            <w:r>
              <w:rPr>
                <w:rFonts w:ascii="Times New Roman" w:eastAsia="Times New Roman" w:hAnsi="Times New Roman" w:cs="Times New Roman"/>
                <w:bCs/>
                <w:sz w:val="20"/>
                <w:szCs w:val="24"/>
                <w:lang w:eastAsia="pl-PL"/>
              </w:rPr>
              <w:br/>
              <w:t xml:space="preserve">z organami innych państw członkowskich przy naruszeniach o charakterze transgranicznym (art. 48 ust. 3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Kolejnym elementem ich pracy będzie rozpatrywanie skarg obywateli państw trzecich, którzy – zgodnie z art. 42 ust. 1 lit. h) oraz art. 43 ust. 5 rozporządzenia w sprawie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mogą kierować do Prezesa Urzędu Ochrony Danych Osobowych skargi na bezprawne przetwarzanie ich danych w systemie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Pracownicy ci będą też zobowiązani zapewniać obywatelom państw trzecich rzetelne informacje odnośnie przysługujących im praw i środków ochrony prawnej (art. 43 ust. 9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Nowo zatrudnieni pracownicy odpowiedzialni będą również za realizację zadań prawnych i eksperckich, w tym analizę i interpretację aktów prawa unijnego oraz krajowych regulacji wdrażających system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opiniowanie projektów ustaw </w:t>
            </w:r>
            <w:r>
              <w:rPr>
                <w:rFonts w:ascii="Times New Roman" w:eastAsia="Times New Roman" w:hAnsi="Times New Roman" w:cs="Times New Roman"/>
                <w:bCs/>
                <w:sz w:val="20"/>
                <w:szCs w:val="24"/>
                <w:lang w:eastAsia="pl-PL"/>
              </w:rPr>
              <w:br/>
              <w:t xml:space="preserve">i przygotowywanie stanowisk Prezesa Urzędu Ochrony Danych Osobowych </w:t>
            </w:r>
            <w:r>
              <w:rPr>
                <w:rFonts w:ascii="Times New Roman" w:eastAsia="Times New Roman" w:hAnsi="Times New Roman" w:cs="Times New Roman"/>
                <w:bCs/>
                <w:sz w:val="20"/>
                <w:szCs w:val="24"/>
                <w:lang w:eastAsia="pl-PL"/>
              </w:rPr>
              <w:br/>
              <w:t xml:space="preserve">w procesach legislacyjnych (art. 51 ustawy o ochronie danych osobowych).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Do ich obowiązków należeć będzie także udział w mechanizmie skoordynowanego nadzoru, o którym mowa była już wyżej, co wiązać się będzie z uczestnictwem </w:t>
            </w:r>
            <w:r>
              <w:rPr>
                <w:rFonts w:ascii="Times New Roman" w:eastAsia="Times New Roman" w:hAnsi="Times New Roman" w:cs="Times New Roman"/>
                <w:bCs/>
                <w:sz w:val="20"/>
                <w:szCs w:val="24"/>
                <w:lang w:eastAsia="pl-PL"/>
              </w:rPr>
              <w:br/>
              <w:t>w posiedzeniach Europejskiej Rady Ochrony Danych odbywających się w Brukseli co najmniej dwa razy w roku.</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Wszystkie wymienione zadania mają charakter interdyscyplinarny wymagający połączenia wiedzy prawnej, merytorycznej i technicznej. </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Ich prawidłowe wykonywanie jest warunkiem skutecznego i zgodnego </w:t>
            </w:r>
            <w:r>
              <w:rPr>
                <w:rFonts w:ascii="Times New Roman" w:eastAsia="Times New Roman" w:hAnsi="Times New Roman" w:cs="Times New Roman"/>
                <w:bCs/>
                <w:sz w:val="20"/>
                <w:szCs w:val="24"/>
                <w:lang w:eastAsia="pl-PL"/>
              </w:rPr>
              <w:br/>
              <w:t xml:space="preserve">z rozporządzeniem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nadzoru nad tym systemem, co wprost uzasadnia konieczność zapewnienia odpowiednich zasobów kadrowych w Urzędzie Ochrony Danych Osobowych.</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Postulat dotyczący finansowania ma na celu zagwarantowanie wysokiej jakości realizacji zadań Prezesa Urzędu Ochrony Danych Osobowych, przy jednoczesnym zachowaniu niezależności organu nadzorczego oraz jego zdolności do współpracy na poziomie europejskim, zgodnie z wymogami mechanizmu współpracy w ramach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i pozostałych instrumentów dorobku </w:t>
            </w:r>
            <w:proofErr w:type="spellStart"/>
            <w:r>
              <w:rPr>
                <w:rFonts w:ascii="Times New Roman" w:eastAsia="Times New Roman" w:hAnsi="Times New Roman" w:cs="Times New Roman"/>
                <w:bCs/>
                <w:sz w:val="20"/>
                <w:szCs w:val="24"/>
                <w:lang w:eastAsia="pl-PL"/>
              </w:rPr>
              <w:t>Schengen</w:t>
            </w:r>
            <w:proofErr w:type="spellEnd"/>
            <w:r>
              <w:rPr>
                <w:rFonts w:ascii="Times New Roman" w:eastAsia="Times New Roman" w:hAnsi="Times New Roman" w:cs="Times New Roman"/>
                <w:bCs/>
                <w:sz w:val="20"/>
                <w:szCs w:val="24"/>
                <w:lang w:eastAsia="pl-PL"/>
              </w:rPr>
              <w:t>.</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Przedstawione wyżej informacje wzbogacone dokonanymi wyliczeniami znalazły się </w:t>
            </w:r>
            <w:r>
              <w:rPr>
                <w:rFonts w:ascii="Times New Roman" w:eastAsia="Times New Roman" w:hAnsi="Times New Roman" w:cs="Times New Roman"/>
                <w:bCs/>
                <w:sz w:val="20"/>
                <w:szCs w:val="24"/>
                <w:lang w:eastAsia="pl-PL"/>
              </w:rPr>
              <w:br/>
              <w:t>w tabeli stanowiącej załącznik do niniejszego pisma.</w:t>
            </w:r>
          </w:p>
          <w:p w:rsidR="00EB2FDC" w:rsidRDefault="00EB2FDC">
            <w:pPr>
              <w:spacing w:after="0" w:line="276" w:lineRule="auto"/>
              <w:ind w:left="38"/>
              <w:jc w:val="both"/>
              <w:rPr>
                <w:rFonts w:ascii="Times New Roman" w:eastAsia="Times New Roman" w:hAnsi="Times New Roman" w:cs="Times New Roman"/>
                <w:bCs/>
                <w:sz w:val="20"/>
                <w:szCs w:val="24"/>
                <w:lang w:eastAsia="pl-PL"/>
              </w:rPr>
            </w:pPr>
            <w:r>
              <w:rPr>
                <w:rFonts w:ascii="Times New Roman" w:eastAsia="Times New Roman" w:hAnsi="Times New Roman" w:cs="Times New Roman"/>
                <w:bCs/>
                <w:sz w:val="20"/>
                <w:szCs w:val="24"/>
                <w:lang w:eastAsia="pl-PL"/>
              </w:rPr>
              <w:t xml:space="preserve">Wyrażam głęboką nadzieję, że przedłożone propozycje co finansowania zadań organu właściwego w sprawie ochrony danych osobowych wynikających z realizacji przepisów rozporządzenia w sprawie </w:t>
            </w:r>
            <w:proofErr w:type="spellStart"/>
            <w:r>
              <w:rPr>
                <w:rFonts w:ascii="Times New Roman" w:eastAsia="Times New Roman" w:hAnsi="Times New Roman" w:cs="Times New Roman"/>
                <w:bCs/>
                <w:sz w:val="20"/>
                <w:szCs w:val="24"/>
                <w:lang w:eastAsia="pl-PL"/>
              </w:rPr>
              <w:t>Eurodac</w:t>
            </w:r>
            <w:proofErr w:type="spellEnd"/>
            <w:r>
              <w:rPr>
                <w:rFonts w:ascii="Times New Roman" w:eastAsia="Times New Roman" w:hAnsi="Times New Roman" w:cs="Times New Roman"/>
                <w:bCs/>
                <w:sz w:val="20"/>
                <w:szCs w:val="24"/>
                <w:lang w:eastAsia="pl-PL"/>
              </w:rPr>
              <w:t xml:space="preserve"> oraz przepisów prawa polskiego zapewniających stosowanie unormowań tego aktu prawa unijnego w polskim porządku prawnym spotkają się ze zrozumieniem i akceptacją ze strony Pana Ministra. Prezes Urzędu Ochrony Danych Osobowych wnioskuje zatem, by do projektu został dołączony dodatkowy przepis przewidujący środki finansowe dla Prezesa UODO na wzór unormowania znajdującego się już w art. 39 projektu.</w:t>
            </w:r>
          </w:p>
        </w:tc>
        <w:tc>
          <w:tcPr>
            <w:tcW w:w="3402" w:type="dxa"/>
            <w:tcBorders>
              <w:top w:val="single" w:sz="4" w:space="0" w:color="000000"/>
              <w:left w:val="single" w:sz="4" w:space="0" w:color="000000"/>
              <w:bottom w:val="single" w:sz="4" w:space="0" w:color="000000"/>
              <w:right w:val="single" w:sz="4" w:space="0" w:color="000000"/>
            </w:tcBorders>
          </w:tcPr>
          <w:p w:rsidR="00EB2FDC" w:rsidRDefault="00EB2FDC">
            <w:pPr>
              <w:spacing w:after="0" w:line="240" w:lineRule="auto"/>
              <w:ind w:left="3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lastRenderedPageBreak/>
              <w:t>Uwaga nieuwzględniona</w:t>
            </w:r>
          </w:p>
          <w:p w:rsidR="00EB2FDC" w:rsidRDefault="00EB2FDC">
            <w:pPr>
              <w:spacing w:after="0" w:line="276" w:lineRule="auto"/>
              <w:contextualSpacing/>
              <w:jc w:val="both"/>
              <w:rPr>
                <w:rFonts w:ascii="Times New Roman" w:eastAsia="Times New Roman" w:hAnsi="Times New Roman" w:cs="Times New Roman"/>
                <w:b/>
                <w:bCs/>
                <w:color w:val="000000"/>
                <w:sz w:val="20"/>
                <w:szCs w:val="20"/>
                <w:lang w:eastAsia="pl-PL"/>
              </w:rPr>
            </w:pPr>
          </w:p>
          <w:p w:rsidR="00EB2FDC" w:rsidRDefault="00EB2FDC">
            <w:pPr>
              <w:spacing w:after="0" w:line="276" w:lineRule="auto"/>
              <w:contextualSpacing/>
              <w:jc w:val="both"/>
              <w:rPr>
                <w:rFonts w:ascii="Times New Roman" w:eastAsia="Times New Roman" w:hAnsi="Times New Roman" w:cs="Times New Roman"/>
                <w:b/>
                <w:color w:val="000000"/>
                <w:sz w:val="20"/>
                <w:szCs w:val="20"/>
                <w:lang w:eastAsia="pl-PL"/>
              </w:rPr>
            </w:pPr>
            <w:r>
              <w:rPr>
                <w:rFonts w:ascii="Times New Roman" w:eastAsia="Times New Roman" w:hAnsi="Times New Roman" w:cs="Times New Roman"/>
                <w:b/>
                <w:color w:val="000000"/>
                <w:sz w:val="20"/>
                <w:szCs w:val="20"/>
                <w:lang w:eastAsia="pl-PL"/>
              </w:rPr>
              <w:t>Stanowisko MSWiA</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t xml:space="preserve">Kwestia do omówienia podczas konferencji uzgodnieniowej w kontekście ogólnie prezentowanego stanowiska </w:t>
            </w:r>
            <w:proofErr w:type="spellStart"/>
            <w:r>
              <w:rPr>
                <w:rFonts w:ascii="Times New Roman" w:eastAsia="Times New Roman" w:hAnsi="Times New Roman" w:cs="Times New Roman"/>
                <w:color w:val="000000"/>
                <w:sz w:val="20"/>
                <w:szCs w:val="20"/>
                <w:lang w:eastAsia="pl-PL"/>
              </w:rPr>
              <w:t>MFiG</w:t>
            </w:r>
            <w:proofErr w:type="spellEnd"/>
            <w:r>
              <w:rPr>
                <w:rFonts w:ascii="Times New Roman" w:eastAsia="Times New Roman" w:hAnsi="Times New Roman" w:cs="Times New Roman"/>
                <w:color w:val="000000"/>
                <w:sz w:val="20"/>
                <w:szCs w:val="20"/>
                <w:lang w:eastAsia="pl-PL"/>
              </w:rPr>
              <w:t xml:space="preserve">. </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p w:rsidR="00EB2FDC" w:rsidRDefault="00EB2FDC">
            <w:pPr>
              <w:spacing w:after="0" w:line="276" w:lineRule="auto"/>
              <w:contextualSpacing/>
              <w:jc w:val="both"/>
              <w:rPr>
                <w:rFonts w:ascii="Times New Roman" w:hAnsi="Times New Roman" w:cs="Times New Roman"/>
                <w:kern w:val="2"/>
                <w:sz w:val="20"/>
                <w:szCs w:val="20"/>
                <w14:ligatures w14:val="standardContextual"/>
              </w:rPr>
            </w:pPr>
            <w:r>
              <w:rPr>
                <w:rFonts w:ascii="Times New Roman" w:eastAsia="Times New Roman" w:hAnsi="Times New Roman" w:cs="Times New Roman"/>
                <w:color w:val="000000"/>
                <w:sz w:val="20"/>
                <w:szCs w:val="20"/>
                <w:lang w:eastAsia="pl-PL"/>
              </w:rPr>
              <w:t xml:space="preserve">Zgodnie w ww. oceną, </w:t>
            </w:r>
            <w:r>
              <w:rPr>
                <w:rFonts w:ascii="Times New Roman" w:hAnsi="Times New Roman" w:cs="Times New Roman"/>
                <w:sz w:val="20"/>
                <w:szCs w:val="20"/>
              </w:rPr>
              <w:t xml:space="preserve">każda nowa propozycja normatywna powinna być rozpatrywana przez pryzmat skutków społeczno-gospodarczych proponowanych rozwiązań, w szczególności skutków finansowych dla sektora finansów publicznych. Z tego </w:t>
            </w:r>
            <w:r>
              <w:rPr>
                <w:rFonts w:ascii="Times New Roman" w:hAnsi="Times New Roman" w:cs="Times New Roman"/>
                <w:sz w:val="20"/>
                <w:szCs w:val="20"/>
              </w:rPr>
              <w:lastRenderedPageBreak/>
              <w:t>powodu niezbędne jest wygospodarowanie zasobów służących realizacji celów ustawy w ramach dostępnej przestrzeni fiskalnej.</w:t>
            </w:r>
          </w:p>
          <w:p w:rsidR="00EB2FDC" w:rsidRDefault="00EB2FDC">
            <w:pPr>
              <w:spacing w:after="0" w:line="276" w:lineRule="auto"/>
              <w:contextualSpacing/>
              <w:jc w:val="both"/>
              <w:rPr>
                <w:rFonts w:ascii="Times New Roman" w:hAnsi="Times New Roman" w:cs="Times New Roman"/>
                <w:sz w:val="20"/>
                <w:szCs w:val="20"/>
              </w:rPr>
            </w:pPr>
          </w:p>
          <w:p w:rsidR="00EB2FDC" w:rsidRDefault="00EB2FDC">
            <w:pPr>
              <w:spacing w:after="0" w:line="276"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Budżet części 10 UODO po poprawkach parlamentarnych w zakresie wynagrodzeń rośnie o ponad 13%. W związku z powyższym prośba o wyjaśnienie co do możliwości sfinansowania postulowanych etatów </w:t>
            </w:r>
            <w:r>
              <w:rPr>
                <w:rFonts w:ascii="Times New Roman" w:hAnsi="Times New Roman" w:cs="Times New Roman"/>
                <w:sz w:val="20"/>
                <w:szCs w:val="20"/>
              </w:rPr>
              <w:br/>
              <w:t>w ramach części 10.</w:t>
            </w:r>
          </w:p>
          <w:p w:rsidR="00EB2FDC" w:rsidRDefault="00EB2FDC">
            <w:pPr>
              <w:spacing w:after="0" w:line="276" w:lineRule="auto"/>
              <w:contextualSpacing/>
              <w:jc w:val="both"/>
              <w:rPr>
                <w:rFonts w:ascii="Times New Roman" w:eastAsia="Times New Roman" w:hAnsi="Times New Roman" w:cs="Times New Roman"/>
                <w:color w:val="000000"/>
                <w:sz w:val="20"/>
                <w:szCs w:val="20"/>
                <w:lang w:eastAsia="pl-PL"/>
              </w:rPr>
            </w:pPr>
          </w:p>
        </w:tc>
      </w:tr>
    </w:tbl>
    <w:p w:rsidR="00821154" w:rsidRDefault="00821154" w:rsidP="00B2727F">
      <w:pPr>
        <w:autoSpaceDE w:val="0"/>
        <w:autoSpaceDN w:val="0"/>
        <w:adjustRightInd w:val="0"/>
        <w:spacing w:before="120" w:after="120" w:line="276" w:lineRule="auto"/>
        <w:jc w:val="both"/>
        <w:rPr>
          <w:rFonts w:cstheme="minorHAnsi"/>
          <w:b/>
          <w:bCs/>
        </w:rPr>
      </w:pPr>
    </w:p>
    <w:p w:rsidR="005418D0" w:rsidRPr="0051698C" w:rsidRDefault="001674E8" w:rsidP="00B2727F">
      <w:pPr>
        <w:autoSpaceDE w:val="0"/>
        <w:autoSpaceDN w:val="0"/>
        <w:adjustRightInd w:val="0"/>
        <w:spacing w:before="120" w:after="120" w:line="276" w:lineRule="auto"/>
        <w:jc w:val="both"/>
        <w:rPr>
          <w:rFonts w:cstheme="minorHAnsi"/>
          <w:b/>
          <w:bCs/>
        </w:rPr>
      </w:pPr>
      <w:r w:rsidRPr="0051698C">
        <w:rPr>
          <w:rFonts w:cstheme="minorHAnsi"/>
          <w:b/>
          <w:bCs/>
        </w:rPr>
        <w:t>4. Przedstawienie wyników zasięgnięcia opinii, dokonania konsultacji albo uzgodnienia</w:t>
      </w:r>
      <w:r w:rsidR="005418D0" w:rsidRPr="0051698C">
        <w:rPr>
          <w:rFonts w:cstheme="minorHAnsi"/>
          <w:b/>
          <w:bCs/>
        </w:rPr>
        <w:t xml:space="preserve"> </w:t>
      </w:r>
      <w:r w:rsidRPr="0051698C">
        <w:rPr>
          <w:rFonts w:cstheme="minorHAnsi"/>
          <w:b/>
          <w:bCs/>
        </w:rPr>
        <w:t xml:space="preserve">projektu </w:t>
      </w:r>
      <w:r w:rsidR="00B2727F" w:rsidRPr="0051698C">
        <w:rPr>
          <w:rFonts w:cstheme="minorHAnsi"/>
          <w:b/>
          <w:bCs/>
        </w:rPr>
        <w:br/>
      </w:r>
      <w:r w:rsidRPr="0051698C">
        <w:rPr>
          <w:rFonts w:cstheme="minorHAnsi"/>
          <w:b/>
          <w:bCs/>
        </w:rPr>
        <w:t xml:space="preserve">z właściwymi organami i instytucjami Unii </w:t>
      </w:r>
      <w:r w:rsidR="005418D0" w:rsidRPr="0051698C">
        <w:rPr>
          <w:rFonts w:cstheme="minorHAnsi"/>
          <w:b/>
          <w:bCs/>
        </w:rPr>
        <w:t xml:space="preserve">Europejskiej, w tym Europejskim </w:t>
      </w:r>
      <w:r w:rsidRPr="0051698C">
        <w:rPr>
          <w:rFonts w:cstheme="minorHAnsi"/>
          <w:b/>
          <w:bCs/>
        </w:rPr>
        <w:t>Bankiem Centralnym</w:t>
      </w:r>
      <w:r w:rsidR="005418D0" w:rsidRPr="0051698C">
        <w:rPr>
          <w:rFonts w:cstheme="minorHAnsi"/>
          <w:b/>
          <w:bCs/>
        </w:rPr>
        <w:t>.</w:t>
      </w:r>
    </w:p>
    <w:p w:rsidR="001C49D8" w:rsidRPr="0051698C" w:rsidRDefault="001C49D8" w:rsidP="00533E13">
      <w:pPr>
        <w:suppressAutoHyphens/>
        <w:autoSpaceDE w:val="0"/>
        <w:autoSpaceDN w:val="0"/>
        <w:adjustRightInd w:val="0"/>
        <w:spacing w:before="120" w:after="240" w:line="276" w:lineRule="auto"/>
        <w:jc w:val="both"/>
        <w:rPr>
          <w:rFonts w:eastAsia="Times New Roman" w:cstheme="minorHAnsi"/>
          <w:lang w:eastAsia="pl-PL"/>
        </w:rPr>
      </w:pPr>
      <w:r w:rsidRPr="0051698C">
        <w:rPr>
          <w:rFonts w:eastAsia="Times New Roman" w:cstheme="minorHAnsi"/>
          <w:lang w:eastAsia="pl-PL"/>
        </w:rPr>
        <w:t>Projekt ustawy nie wymaga przedłożenia właściwym organom i instytucjom Unii Europejskiej, w tym Europejskiemu Bankowi Centralnemu, w celu uzyskania opinii, dokonania powiadomienia, konsultacji albo uzgodnienia.</w:t>
      </w:r>
    </w:p>
    <w:p w:rsidR="00FC749B" w:rsidRPr="0051698C" w:rsidRDefault="001674E8" w:rsidP="00B2727F">
      <w:pPr>
        <w:autoSpaceDE w:val="0"/>
        <w:autoSpaceDN w:val="0"/>
        <w:adjustRightInd w:val="0"/>
        <w:spacing w:before="120" w:after="120" w:line="276" w:lineRule="auto"/>
        <w:jc w:val="both"/>
        <w:rPr>
          <w:rFonts w:cstheme="minorHAnsi"/>
          <w:b/>
          <w:bCs/>
        </w:rPr>
      </w:pPr>
      <w:r w:rsidRPr="0051698C">
        <w:rPr>
          <w:rFonts w:cstheme="minorHAnsi"/>
          <w:b/>
          <w:bCs/>
        </w:rPr>
        <w:lastRenderedPageBreak/>
        <w:t>5. Wskazanie podmiotów, które zgłosiły zainteresowanie</w:t>
      </w:r>
      <w:r w:rsidR="005418D0" w:rsidRPr="0051698C">
        <w:rPr>
          <w:rFonts w:cstheme="minorHAnsi"/>
          <w:b/>
          <w:bCs/>
        </w:rPr>
        <w:t xml:space="preserve"> pracami nad projektem w trybie </w:t>
      </w:r>
      <w:r w:rsidRPr="0051698C">
        <w:rPr>
          <w:rFonts w:cstheme="minorHAnsi"/>
          <w:b/>
          <w:bCs/>
        </w:rPr>
        <w:t>przepisów o działalności lobbingowej w procesie stanowienia prawa, wraz ze wskazaniem</w:t>
      </w:r>
      <w:r w:rsidR="005418D0" w:rsidRPr="0051698C">
        <w:rPr>
          <w:rFonts w:cstheme="minorHAnsi"/>
          <w:b/>
          <w:bCs/>
        </w:rPr>
        <w:t xml:space="preserve"> </w:t>
      </w:r>
      <w:r w:rsidRPr="0051698C">
        <w:rPr>
          <w:rFonts w:cstheme="minorHAnsi"/>
          <w:b/>
          <w:bCs/>
        </w:rPr>
        <w:t>kolejności dokonania zgłoszeń albo informację o ich braku</w:t>
      </w:r>
      <w:r w:rsidR="00EC73FB" w:rsidRPr="0051698C">
        <w:rPr>
          <w:rFonts w:cstheme="minorHAnsi"/>
          <w:b/>
          <w:bCs/>
        </w:rPr>
        <w:t>.</w:t>
      </w:r>
    </w:p>
    <w:p w:rsidR="005418D0" w:rsidRPr="0051698C" w:rsidRDefault="001674E8" w:rsidP="006879BD">
      <w:pPr>
        <w:autoSpaceDE w:val="0"/>
        <w:autoSpaceDN w:val="0"/>
        <w:adjustRightInd w:val="0"/>
        <w:spacing w:before="120" w:after="120" w:line="276" w:lineRule="auto"/>
        <w:jc w:val="both"/>
        <w:rPr>
          <w:rFonts w:cstheme="minorHAnsi"/>
        </w:rPr>
      </w:pPr>
      <w:r w:rsidRPr="0051698C">
        <w:rPr>
          <w:rFonts w:cstheme="minorHAnsi"/>
        </w:rPr>
        <w:t xml:space="preserve">Nie odnotowano zgłoszeń zainteresowanych podmiotów w </w:t>
      </w:r>
      <w:r w:rsidR="005418D0" w:rsidRPr="0051698C">
        <w:rPr>
          <w:rFonts w:cstheme="minorHAnsi"/>
        </w:rPr>
        <w:t xml:space="preserve">trybie przepisów o działalności </w:t>
      </w:r>
      <w:r w:rsidRPr="0051698C">
        <w:rPr>
          <w:rFonts w:cstheme="minorHAnsi"/>
        </w:rPr>
        <w:t>lobbingowej w procesie stanowienia prawa.</w:t>
      </w:r>
    </w:p>
    <w:sectPr w:rsidR="005418D0" w:rsidRPr="0051698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4F7" w:rsidRDefault="004F54F7" w:rsidP="004D6D29">
      <w:pPr>
        <w:spacing w:after="0" w:line="240" w:lineRule="auto"/>
      </w:pPr>
      <w:r>
        <w:separator/>
      </w:r>
    </w:p>
  </w:endnote>
  <w:endnote w:type="continuationSeparator" w:id="0">
    <w:p w:rsidR="004F54F7" w:rsidRDefault="004F54F7" w:rsidP="004D6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515104"/>
      <w:docPartObj>
        <w:docPartGallery w:val="Page Numbers (Bottom of Page)"/>
        <w:docPartUnique/>
      </w:docPartObj>
    </w:sdtPr>
    <w:sdtEndPr/>
    <w:sdtContent>
      <w:p w:rsidR="00FF66F4" w:rsidRDefault="00FF66F4">
        <w:pPr>
          <w:pStyle w:val="Stopka"/>
          <w:jc w:val="right"/>
        </w:pPr>
        <w:r>
          <w:fldChar w:fldCharType="begin"/>
        </w:r>
        <w:r>
          <w:instrText>PAGE   \* MERGEFORMAT</w:instrText>
        </w:r>
        <w:r>
          <w:fldChar w:fldCharType="separate"/>
        </w:r>
        <w:r w:rsidR="00651DD4">
          <w:rPr>
            <w:noProof/>
          </w:rPr>
          <w:t>15</w:t>
        </w:r>
        <w:r>
          <w:fldChar w:fldCharType="end"/>
        </w:r>
      </w:p>
    </w:sdtContent>
  </w:sdt>
  <w:p w:rsidR="00FF66F4" w:rsidRDefault="00FF66F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4F7" w:rsidRDefault="004F54F7" w:rsidP="004D6D29">
      <w:pPr>
        <w:spacing w:after="0" w:line="240" w:lineRule="auto"/>
      </w:pPr>
      <w:r>
        <w:separator/>
      </w:r>
    </w:p>
  </w:footnote>
  <w:footnote w:type="continuationSeparator" w:id="0">
    <w:p w:rsidR="004F54F7" w:rsidRDefault="004F54F7" w:rsidP="004D6D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7CF3"/>
    <w:multiLevelType w:val="hybridMultilevel"/>
    <w:tmpl w:val="5D5C1DE0"/>
    <w:lvl w:ilvl="0" w:tplc="CEE6E824">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E23B5C"/>
    <w:multiLevelType w:val="hybridMultilevel"/>
    <w:tmpl w:val="ADD40C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EE074A"/>
    <w:multiLevelType w:val="hybridMultilevel"/>
    <w:tmpl w:val="4C46A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2374BD"/>
    <w:multiLevelType w:val="hybridMultilevel"/>
    <w:tmpl w:val="1C7645EE"/>
    <w:lvl w:ilvl="0" w:tplc="398067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636C6F"/>
    <w:multiLevelType w:val="hybridMultilevel"/>
    <w:tmpl w:val="4C46A4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3F44B4"/>
    <w:multiLevelType w:val="hybridMultilevel"/>
    <w:tmpl w:val="019E46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CD52C25"/>
    <w:multiLevelType w:val="hybridMultilevel"/>
    <w:tmpl w:val="0F3843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F0505C"/>
    <w:multiLevelType w:val="hybridMultilevel"/>
    <w:tmpl w:val="8B3AC06E"/>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B467FEB"/>
    <w:multiLevelType w:val="hybridMultilevel"/>
    <w:tmpl w:val="747E9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5873D9"/>
    <w:multiLevelType w:val="hybridMultilevel"/>
    <w:tmpl w:val="B532EDFA"/>
    <w:lvl w:ilvl="0" w:tplc="04150011">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1E462D"/>
    <w:multiLevelType w:val="hybridMultilevel"/>
    <w:tmpl w:val="88104584"/>
    <w:lvl w:ilvl="0" w:tplc="3A72B04A">
      <w:start w:val="1"/>
      <w:numFmt w:val="lowerLetter"/>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B82229E"/>
    <w:multiLevelType w:val="hybridMultilevel"/>
    <w:tmpl w:val="7682DB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FC6CC4"/>
    <w:multiLevelType w:val="hybridMultilevel"/>
    <w:tmpl w:val="7682DB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7"/>
  </w:num>
  <w:num w:numId="3">
    <w:abstractNumId w:val="10"/>
  </w:num>
  <w:num w:numId="4">
    <w:abstractNumId w:val="8"/>
  </w:num>
  <w:num w:numId="5">
    <w:abstractNumId w:val="3"/>
  </w:num>
  <w:num w:numId="6">
    <w:abstractNumId w:val="11"/>
  </w:num>
  <w:num w:numId="7">
    <w:abstractNumId w:val="0"/>
  </w:num>
  <w:num w:numId="8">
    <w:abstractNumId w:val="1"/>
  </w:num>
  <w:num w:numId="9">
    <w:abstractNumId w:val="12"/>
  </w:num>
  <w:num w:numId="10">
    <w:abstractNumId w:val="5"/>
  </w:num>
  <w:num w:numId="11">
    <w:abstractNumId w:val="9"/>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4E8"/>
    <w:rsid w:val="0000083F"/>
    <w:rsid w:val="00001DA7"/>
    <w:rsid w:val="0000280D"/>
    <w:rsid w:val="00003265"/>
    <w:rsid w:val="00004732"/>
    <w:rsid w:val="00012E4B"/>
    <w:rsid w:val="00016E94"/>
    <w:rsid w:val="00024505"/>
    <w:rsid w:val="000262DB"/>
    <w:rsid w:val="0003230B"/>
    <w:rsid w:val="00061AE8"/>
    <w:rsid w:val="0006598B"/>
    <w:rsid w:val="00065C9F"/>
    <w:rsid w:val="000A32F2"/>
    <w:rsid w:val="000D1B96"/>
    <w:rsid w:val="000E1787"/>
    <w:rsid w:val="000E6AAB"/>
    <w:rsid w:val="00103C92"/>
    <w:rsid w:val="00133E41"/>
    <w:rsid w:val="001674E8"/>
    <w:rsid w:val="00186EC5"/>
    <w:rsid w:val="001B3590"/>
    <w:rsid w:val="001B6125"/>
    <w:rsid w:val="001C49D8"/>
    <w:rsid w:val="001C5EDE"/>
    <w:rsid w:val="001E78BB"/>
    <w:rsid w:val="002068AE"/>
    <w:rsid w:val="0023469C"/>
    <w:rsid w:val="0023686D"/>
    <w:rsid w:val="00251B58"/>
    <w:rsid w:val="00277F37"/>
    <w:rsid w:val="002A30D3"/>
    <w:rsid w:val="002B18DB"/>
    <w:rsid w:val="002B4BAB"/>
    <w:rsid w:val="00301792"/>
    <w:rsid w:val="00301C94"/>
    <w:rsid w:val="00307893"/>
    <w:rsid w:val="00326F71"/>
    <w:rsid w:val="003444F2"/>
    <w:rsid w:val="00376A5A"/>
    <w:rsid w:val="003848A8"/>
    <w:rsid w:val="00385CEB"/>
    <w:rsid w:val="00397FC4"/>
    <w:rsid w:val="003E046A"/>
    <w:rsid w:val="003E109C"/>
    <w:rsid w:val="004271BC"/>
    <w:rsid w:val="00436AA2"/>
    <w:rsid w:val="0044691D"/>
    <w:rsid w:val="00464454"/>
    <w:rsid w:val="004802FF"/>
    <w:rsid w:val="004B7576"/>
    <w:rsid w:val="004C3209"/>
    <w:rsid w:val="004D407C"/>
    <w:rsid w:val="004D62A3"/>
    <w:rsid w:val="004D6D29"/>
    <w:rsid w:val="004E3B6A"/>
    <w:rsid w:val="004F54F7"/>
    <w:rsid w:val="00503032"/>
    <w:rsid w:val="005074AF"/>
    <w:rsid w:val="0051698C"/>
    <w:rsid w:val="00533E13"/>
    <w:rsid w:val="005360AC"/>
    <w:rsid w:val="005418D0"/>
    <w:rsid w:val="00546029"/>
    <w:rsid w:val="00561530"/>
    <w:rsid w:val="005709BE"/>
    <w:rsid w:val="00577E10"/>
    <w:rsid w:val="005A035F"/>
    <w:rsid w:val="005A4DB7"/>
    <w:rsid w:val="005C08C7"/>
    <w:rsid w:val="005E14F6"/>
    <w:rsid w:val="00611126"/>
    <w:rsid w:val="00622FE4"/>
    <w:rsid w:val="0063005C"/>
    <w:rsid w:val="00640602"/>
    <w:rsid w:val="00651DD4"/>
    <w:rsid w:val="006710A0"/>
    <w:rsid w:val="006879BD"/>
    <w:rsid w:val="006A481D"/>
    <w:rsid w:val="006A60B7"/>
    <w:rsid w:val="006B6424"/>
    <w:rsid w:val="006C3FFC"/>
    <w:rsid w:val="006C611B"/>
    <w:rsid w:val="006C6938"/>
    <w:rsid w:val="006E4D1E"/>
    <w:rsid w:val="006E6053"/>
    <w:rsid w:val="006F59AA"/>
    <w:rsid w:val="006F7CC9"/>
    <w:rsid w:val="00705BE6"/>
    <w:rsid w:val="007062A6"/>
    <w:rsid w:val="00710916"/>
    <w:rsid w:val="0071733D"/>
    <w:rsid w:val="00723AE3"/>
    <w:rsid w:val="00723DE4"/>
    <w:rsid w:val="0072699B"/>
    <w:rsid w:val="00770C89"/>
    <w:rsid w:val="00773ABC"/>
    <w:rsid w:val="00777FC9"/>
    <w:rsid w:val="00787D08"/>
    <w:rsid w:val="00797026"/>
    <w:rsid w:val="007C3657"/>
    <w:rsid w:val="007E79BF"/>
    <w:rsid w:val="008162D8"/>
    <w:rsid w:val="00821154"/>
    <w:rsid w:val="008306F6"/>
    <w:rsid w:val="00835C78"/>
    <w:rsid w:val="0083602D"/>
    <w:rsid w:val="008364CB"/>
    <w:rsid w:val="008437E1"/>
    <w:rsid w:val="008633B6"/>
    <w:rsid w:val="0087277F"/>
    <w:rsid w:val="008A1915"/>
    <w:rsid w:val="008B385F"/>
    <w:rsid w:val="008C0EFF"/>
    <w:rsid w:val="008D5450"/>
    <w:rsid w:val="00900C2E"/>
    <w:rsid w:val="00902678"/>
    <w:rsid w:val="009067EB"/>
    <w:rsid w:val="009119BB"/>
    <w:rsid w:val="00913768"/>
    <w:rsid w:val="009220D0"/>
    <w:rsid w:val="00931A4E"/>
    <w:rsid w:val="009807BB"/>
    <w:rsid w:val="0098516A"/>
    <w:rsid w:val="00985AE1"/>
    <w:rsid w:val="009A3673"/>
    <w:rsid w:val="009A5607"/>
    <w:rsid w:val="009A6585"/>
    <w:rsid w:val="009A6DE6"/>
    <w:rsid w:val="009B59E2"/>
    <w:rsid w:val="009C53EF"/>
    <w:rsid w:val="009D11C8"/>
    <w:rsid w:val="009F2DEA"/>
    <w:rsid w:val="00A1472C"/>
    <w:rsid w:val="00A32DFA"/>
    <w:rsid w:val="00A32F98"/>
    <w:rsid w:val="00A62770"/>
    <w:rsid w:val="00A650EF"/>
    <w:rsid w:val="00A800FB"/>
    <w:rsid w:val="00A8551A"/>
    <w:rsid w:val="00A87344"/>
    <w:rsid w:val="00A97938"/>
    <w:rsid w:val="00AC1BE5"/>
    <w:rsid w:val="00AD3AF3"/>
    <w:rsid w:val="00AE2EA0"/>
    <w:rsid w:val="00B0029E"/>
    <w:rsid w:val="00B13A94"/>
    <w:rsid w:val="00B26384"/>
    <w:rsid w:val="00B2727F"/>
    <w:rsid w:val="00B32379"/>
    <w:rsid w:val="00B3338A"/>
    <w:rsid w:val="00B35D7E"/>
    <w:rsid w:val="00B84257"/>
    <w:rsid w:val="00B95749"/>
    <w:rsid w:val="00BB0181"/>
    <w:rsid w:val="00BD0CFE"/>
    <w:rsid w:val="00BD6065"/>
    <w:rsid w:val="00BE54EF"/>
    <w:rsid w:val="00C1402A"/>
    <w:rsid w:val="00C300F8"/>
    <w:rsid w:val="00C51A1D"/>
    <w:rsid w:val="00C96DF7"/>
    <w:rsid w:val="00CA5C3F"/>
    <w:rsid w:val="00CB5402"/>
    <w:rsid w:val="00CB6C8F"/>
    <w:rsid w:val="00CC4353"/>
    <w:rsid w:val="00CD0FD5"/>
    <w:rsid w:val="00CD7ADF"/>
    <w:rsid w:val="00CF7027"/>
    <w:rsid w:val="00D43990"/>
    <w:rsid w:val="00D7753F"/>
    <w:rsid w:val="00D91028"/>
    <w:rsid w:val="00DC0C9C"/>
    <w:rsid w:val="00DC2D5C"/>
    <w:rsid w:val="00DC59B0"/>
    <w:rsid w:val="00DF1D10"/>
    <w:rsid w:val="00E04A59"/>
    <w:rsid w:val="00E3022C"/>
    <w:rsid w:val="00E554D5"/>
    <w:rsid w:val="00E558A3"/>
    <w:rsid w:val="00E64EC2"/>
    <w:rsid w:val="00E66845"/>
    <w:rsid w:val="00E87E63"/>
    <w:rsid w:val="00E947D7"/>
    <w:rsid w:val="00E96B91"/>
    <w:rsid w:val="00EB2625"/>
    <w:rsid w:val="00EB2FDC"/>
    <w:rsid w:val="00EB742A"/>
    <w:rsid w:val="00EC33EE"/>
    <w:rsid w:val="00EC73FB"/>
    <w:rsid w:val="00F2010A"/>
    <w:rsid w:val="00F46F2D"/>
    <w:rsid w:val="00F82BFD"/>
    <w:rsid w:val="00F84FBB"/>
    <w:rsid w:val="00F91495"/>
    <w:rsid w:val="00F9251D"/>
    <w:rsid w:val="00FA5671"/>
    <w:rsid w:val="00FC749B"/>
    <w:rsid w:val="00FD5C80"/>
    <w:rsid w:val="00FF6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5D57CA-8078-4D1E-A09F-7E4731B6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674E8"/>
    <w:pPr>
      <w:ind w:left="720"/>
      <w:contextualSpacing/>
    </w:pPr>
  </w:style>
  <w:style w:type="paragraph" w:styleId="Nagwek">
    <w:name w:val="header"/>
    <w:basedOn w:val="Normalny"/>
    <w:link w:val="NagwekZnak"/>
    <w:uiPriority w:val="99"/>
    <w:unhideWhenUsed/>
    <w:rsid w:val="004D6D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D6D29"/>
  </w:style>
  <w:style w:type="paragraph" w:styleId="Stopka">
    <w:name w:val="footer"/>
    <w:basedOn w:val="Normalny"/>
    <w:link w:val="StopkaZnak"/>
    <w:uiPriority w:val="99"/>
    <w:unhideWhenUsed/>
    <w:rsid w:val="004D6D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6D29"/>
  </w:style>
  <w:style w:type="paragraph" w:styleId="Tekstdymka">
    <w:name w:val="Balloon Text"/>
    <w:basedOn w:val="Normalny"/>
    <w:link w:val="TekstdymkaZnak"/>
    <w:uiPriority w:val="99"/>
    <w:semiHidden/>
    <w:unhideWhenUsed/>
    <w:rsid w:val="0030789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7893"/>
    <w:rPr>
      <w:rFonts w:ascii="Segoe UI" w:hAnsi="Segoe UI" w:cs="Segoe UI"/>
      <w:sz w:val="18"/>
      <w:szCs w:val="18"/>
    </w:rPr>
  </w:style>
  <w:style w:type="character" w:styleId="Odwoaniedokomentarza">
    <w:name w:val="annotation reference"/>
    <w:basedOn w:val="Domylnaczcionkaakapitu"/>
    <w:uiPriority w:val="99"/>
    <w:semiHidden/>
    <w:unhideWhenUsed/>
    <w:rsid w:val="00301C94"/>
    <w:rPr>
      <w:sz w:val="16"/>
      <w:szCs w:val="16"/>
    </w:rPr>
  </w:style>
  <w:style w:type="paragraph" w:styleId="Tekstkomentarza">
    <w:name w:val="annotation text"/>
    <w:basedOn w:val="Normalny"/>
    <w:link w:val="TekstkomentarzaZnak"/>
    <w:uiPriority w:val="99"/>
    <w:semiHidden/>
    <w:unhideWhenUsed/>
    <w:rsid w:val="00301C9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01C94"/>
    <w:rPr>
      <w:sz w:val="20"/>
      <w:szCs w:val="20"/>
    </w:rPr>
  </w:style>
  <w:style w:type="paragraph" w:styleId="Tematkomentarza">
    <w:name w:val="annotation subject"/>
    <w:basedOn w:val="Tekstkomentarza"/>
    <w:next w:val="Tekstkomentarza"/>
    <w:link w:val="TematkomentarzaZnak"/>
    <w:uiPriority w:val="99"/>
    <w:semiHidden/>
    <w:unhideWhenUsed/>
    <w:rsid w:val="00301C94"/>
    <w:rPr>
      <w:b/>
      <w:bCs/>
    </w:rPr>
  </w:style>
  <w:style w:type="character" w:customStyle="1" w:styleId="TematkomentarzaZnak">
    <w:name w:val="Temat komentarza Znak"/>
    <w:basedOn w:val="TekstkomentarzaZnak"/>
    <w:link w:val="Tematkomentarza"/>
    <w:uiPriority w:val="99"/>
    <w:semiHidden/>
    <w:rsid w:val="00301C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6713">
      <w:bodyDiv w:val="1"/>
      <w:marLeft w:val="0"/>
      <w:marRight w:val="0"/>
      <w:marTop w:val="0"/>
      <w:marBottom w:val="0"/>
      <w:divBdr>
        <w:top w:val="none" w:sz="0" w:space="0" w:color="auto"/>
        <w:left w:val="none" w:sz="0" w:space="0" w:color="auto"/>
        <w:bottom w:val="none" w:sz="0" w:space="0" w:color="auto"/>
        <w:right w:val="none" w:sz="0" w:space="0" w:color="auto"/>
      </w:divBdr>
    </w:div>
    <w:div w:id="200292987">
      <w:bodyDiv w:val="1"/>
      <w:marLeft w:val="0"/>
      <w:marRight w:val="0"/>
      <w:marTop w:val="0"/>
      <w:marBottom w:val="0"/>
      <w:divBdr>
        <w:top w:val="none" w:sz="0" w:space="0" w:color="auto"/>
        <w:left w:val="none" w:sz="0" w:space="0" w:color="auto"/>
        <w:bottom w:val="none" w:sz="0" w:space="0" w:color="auto"/>
        <w:right w:val="none" w:sz="0" w:space="0" w:color="auto"/>
      </w:divBdr>
    </w:div>
    <w:div w:id="621226482">
      <w:bodyDiv w:val="1"/>
      <w:marLeft w:val="0"/>
      <w:marRight w:val="0"/>
      <w:marTop w:val="0"/>
      <w:marBottom w:val="0"/>
      <w:divBdr>
        <w:top w:val="none" w:sz="0" w:space="0" w:color="auto"/>
        <w:left w:val="none" w:sz="0" w:space="0" w:color="auto"/>
        <w:bottom w:val="none" w:sz="0" w:space="0" w:color="auto"/>
        <w:right w:val="none" w:sz="0" w:space="0" w:color="auto"/>
      </w:divBdr>
    </w:div>
    <w:div w:id="1223902532">
      <w:bodyDiv w:val="1"/>
      <w:marLeft w:val="0"/>
      <w:marRight w:val="0"/>
      <w:marTop w:val="0"/>
      <w:marBottom w:val="0"/>
      <w:divBdr>
        <w:top w:val="none" w:sz="0" w:space="0" w:color="auto"/>
        <w:left w:val="none" w:sz="0" w:space="0" w:color="auto"/>
        <w:bottom w:val="none" w:sz="0" w:space="0" w:color="auto"/>
        <w:right w:val="none" w:sz="0" w:space="0" w:color="auto"/>
      </w:divBdr>
    </w:div>
    <w:div w:id="2026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6548</Words>
  <Characters>39288</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45745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Bobko Mariusz</dc:creator>
  <cp:keywords/>
  <dc:description/>
  <cp:lastModifiedBy>DP</cp:lastModifiedBy>
  <cp:revision>12</cp:revision>
  <dcterms:created xsi:type="dcterms:W3CDTF">2026-02-26T12:29:00Z</dcterms:created>
  <dcterms:modified xsi:type="dcterms:W3CDTF">2026-02-27T12:17:00Z</dcterms:modified>
</cp:coreProperties>
</file>