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D4139" w14:textId="7F7365E1" w:rsidR="00F569C8" w:rsidRPr="002333DE" w:rsidRDefault="00E40660" w:rsidP="009871E4">
      <w:pPr>
        <w:pStyle w:val="Tytu"/>
        <w:tabs>
          <w:tab w:val="left" w:pos="420"/>
        </w:tabs>
        <w:spacing w:after="240" w:line="276" w:lineRule="auto"/>
        <w:rPr>
          <w:rFonts w:ascii="Lato" w:hAnsi="Lato" w:cs="Calibri"/>
          <w:u w:val="single"/>
        </w:rPr>
      </w:pPr>
      <w:r w:rsidRPr="002333DE">
        <w:rPr>
          <w:rFonts w:ascii="Lato" w:hAnsi="Lato" w:cs="Calibri"/>
          <w:u w:val="single"/>
        </w:rPr>
        <w:t>Regulamin</w:t>
      </w:r>
      <w:r w:rsidR="00F569C8" w:rsidRPr="002333DE">
        <w:rPr>
          <w:rFonts w:ascii="Lato" w:hAnsi="Lato" w:cs="Calibri"/>
          <w:u w:val="single"/>
        </w:rPr>
        <w:t xml:space="preserve"> naboru</w:t>
      </w:r>
      <w:r w:rsidR="00DB2853" w:rsidRPr="002333DE">
        <w:rPr>
          <w:rFonts w:ascii="Lato" w:hAnsi="Lato" w:cs="Calibri"/>
          <w:u w:val="single"/>
        </w:rPr>
        <w:t xml:space="preserve"> nr</w:t>
      </w:r>
      <w:r w:rsidR="002333DE" w:rsidRPr="002333DE">
        <w:rPr>
          <w:u w:val="single"/>
        </w:rPr>
        <w:t xml:space="preserve"> </w:t>
      </w:r>
      <w:r w:rsidR="00D42D67">
        <w:rPr>
          <w:rFonts w:ascii="Lato" w:hAnsi="Lato" w:cs="Calibri"/>
          <w:u w:val="single"/>
        </w:rPr>
        <w:t>FBWP.03.01-IZ.00-00</w:t>
      </w:r>
      <w:r w:rsidR="00187C9B" w:rsidRPr="00342D16">
        <w:rPr>
          <w:rFonts w:ascii="Lato" w:hAnsi="Lato" w:cs="Calibri"/>
          <w:color w:val="000000" w:themeColor="text1"/>
          <w:u w:val="single"/>
        </w:rPr>
        <w:t>2</w:t>
      </w:r>
      <w:r w:rsidR="00D42D67">
        <w:rPr>
          <w:rFonts w:ascii="Lato" w:hAnsi="Lato" w:cs="Calibri"/>
          <w:u w:val="single"/>
        </w:rPr>
        <w:t>/26</w:t>
      </w:r>
    </w:p>
    <w:p w14:paraId="556BE6DF" w14:textId="78CC6463" w:rsidR="009451DD" w:rsidRPr="006D31FF" w:rsidRDefault="00975191" w:rsidP="006D31FF">
      <w:pPr>
        <w:pStyle w:val="Tytu"/>
        <w:spacing w:after="240" w:line="276" w:lineRule="auto"/>
        <w:rPr>
          <w:rFonts w:ascii="Lato" w:hAnsi="Lato" w:cs="Calibri"/>
          <w:sz w:val="22"/>
          <w:szCs w:val="22"/>
        </w:rPr>
      </w:pPr>
      <w:r w:rsidRPr="00592BBD">
        <w:rPr>
          <w:rFonts w:ascii="Lato" w:hAnsi="Lato" w:cs="Calibri"/>
          <w:b w:val="0"/>
          <w:sz w:val="22"/>
          <w:szCs w:val="22"/>
        </w:rPr>
        <w:t xml:space="preserve">Nabór wniosków dotyczy </w:t>
      </w:r>
      <w:r w:rsidR="00B97046" w:rsidRPr="00B97046">
        <w:rPr>
          <w:rFonts w:ascii="Lato" w:hAnsi="Lato" w:cs="Calibri"/>
          <w:sz w:val="22"/>
          <w:szCs w:val="22"/>
        </w:rPr>
        <w:t xml:space="preserve">Celu szczegółowego </w:t>
      </w:r>
      <w:r w:rsidR="00D42D67">
        <w:rPr>
          <w:rFonts w:ascii="Lato" w:hAnsi="Lato" w:cs="Calibri"/>
          <w:sz w:val="22"/>
          <w:szCs w:val="22"/>
        </w:rPr>
        <w:t>3</w:t>
      </w:r>
      <w:r w:rsidR="00B97046" w:rsidRPr="00B97046">
        <w:rPr>
          <w:rFonts w:ascii="Lato" w:hAnsi="Lato" w:cs="Calibri"/>
          <w:sz w:val="22"/>
          <w:szCs w:val="22"/>
        </w:rPr>
        <w:t xml:space="preserve"> </w:t>
      </w:r>
      <w:r w:rsidR="0028469F">
        <w:rPr>
          <w:rFonts w:ascii="Lato" w:hAnsi="Lato" w:cs="Calibri"/>
          <w:sz w:val="22"/>
          <w:szCs w:val="22"/>
        </w:rPr>
        <w:t>–</w:t>
      </w:r>
      <w:r w:rsidR="00D42D67">
        <w:rPr>
          <w:rFonts w:ascii="Lato" w:hAnsi="Lato" w:cs="Calibri"/>
          <w:sz w:val="22"/>
          <w:szCs w:val="22"/>
        </w:rPr>
        <w:t xml:space="preserve">Zapobieganie i </w:t>
      </w:r>
      <w:r w:rsidR="00D42D67" w:rsidRPr="00D42D67">
        <w:rPr>
          <w:rFonts w:ascii="Lato" w:hAnsi="Lato" w:cs="Calibri"/>
          <w:sz w:val="22"/>
          <w:szCs w:val="22"/>
        </w:rPr>
        <w:t xml:space="preserve">Zwalczanie </w:t>
      </w:r>
      <w:r w:rsidR="006D31FF">
        <w:rPr>
          <w:rFonts w:ascii="Lato" w:hAnsi="Lato" w:cs="Calibri"/>
          <w:sz w:val="22"/>
          <w:szCs w:val="22"/>
        </w:rPr>
        <w:br/>
      </w:r>
      <w:r w:rsidR="00D42D67" w:rsidRPr="00D42D67">
        <w:rPr>
          <w:rFonts w:ascii="Lato" w:hAnsi="Lato" w:cs="Calibri"/>
          <w:sz w:val="22"/>
          <w:szCs w:val="22"/>
        </w:rPr>
        <w:t xml:space="preserve">i </w:t>
      </w:r>
      <w:r w:rsidR="00D42D67">
        <w:rPr>
          <w:rFonts w:ascii="Lato" w:hAnsi="Lato" w:cs="Calibri"/>
          <w:sz w:val="22"/>
          <w:szCs w:val="22"/>
        </w:rPr>
        <w:t>przestępczości</w:t>
      </w:r>
      <w:r w:rsidR="00C20616">
        <w:rPr>
          <w:rFonts w:ascii="Lato" w:hAnsi="Lato" w:cs="Calibri"/>
          <w:i/>
          <w:sz w:val="22"/>
          <w:szCs w:val="22"/>
        </w:rPr>
        <w:t>, ś</w:t>
      </w:r>
      <w:r w:rsidR="00226CD2">
        <w:rPr>
          <w:rFonts w:ascii="Lato" w:hAnsi="Lato" w:cs="Calibri"/>
          <w:i/>
          <w:sz w:val="22"/>
          <w:szCs w:val="22"/>
        </w:rPr>
        <w:t>rodka wykonawczego</w:t>
      </w:r>
      <w:r w:rsidR="00BA5322">
        <w:rPr>
          <w:rFonts w:ascii="Lato" w:hAnsi="Lato" w:cs="Calibri"/>
          <w:i/>
          <w:sz w:val="22"/>
          <w:szCs w:val="22"/>
        </w:rPr>
        <w:t xml:space="preserve"> c</w:t>
      </w:r>
      <w:r w:rsidR="00C20616">
        <w:rPr>
          <w:rFonts w:ascii="Lato" w:hAnsi="Lato" w:cs="Calibri"/>
          <w:i/>
          <w:sz w:val="22"/>
          <w:szCs w:val="22"/>
        </w:rPr>
        <w:t>)</w:t>
      </w:r>
      <w:r w:rsidR="00226CD2">
        <w:rPr>
          <w:rStyle w:val="Odwoanieprzypisudolnego"/>
          <w:rFonts w:ascii="Lato" w:hAnsi="Lato" w:cs="Calibri"/>
          <w:i/>
          <w:sz w:val="22"/>
          <w:szCs w:val="22"/>
        </w:rPr>
        <w:footnoteReference w:id="2"/>
      </w:r>
      <w:r w:rsidR="00C20616">
        <w:rPr>
          <w:rFonts w:ascii="Lato" w:hAnsi="Lato" w:cs="Calibri"/>
          <w:i/>
          <w:sz w:val="22"/>
          <w:szCs w:val="22"/>
        </w:rPr>
        <w:t>.</w:t>
      </w:r>
      <w:bookmarkStart w:id="0" w:name="_GoBack"/>
      <w:bookmarkEnd w:id="0"/>
    </w:p>
    <w:p w14:paraId="2014AFA5" w14:textId="77777777" w:rsidR="005B724F" w:rsidRDefault="00D26487" w:rsidP="005B724F">
      <w:pPr>
        <w:pStyle w:val="Nagwek1"/>
        <w:rPr>
          <w:rFonts w:eastAsia="Times New Roman"/>
        </w:rPr>
      </w:pPr>
      <w:r w:rsidRPr="00C50D43">
        <w:rPr>
          <w:rFonts w:eastAsia="Times New Roman"/>
        </w:rPr>
        <w:t>Kto może składać wnioski</w:t>
      </w:r>
    </w:p>
    <w:p w14:paraId="7DBFCB60" w14:textId="16122D1D" w:rsidR="006D31FF" w:rsidRPr="005B724F" w:rsidRDefault="00D26487" w:rsidP="005B724F">
      <w:pPr>
        <w:ind w:left="284"/>
        <w:rPr>
          <w:rFonts w:ascii="Lato" w:hAnsi="Lato"/>
        </w:rPr>
      </w:pPr>
      <w:r w:rsidRPr="005B724F">
        <w:rPr>
          <w:rFonts w:ascii="Lato" w:hAnsi="Lato"/>
        </w:rPr>
        <w:t xml:space="preserve">Nabór projektów odbywa się w procedurze naboru otwartego, do którego mogą przystąpić </w:t>
      </w:r>
      <w:r w:rsidR="000A514F">
        <w:rPr>
          <w:rFonts w:ascii="Lato" w:hAnsi="Lato"/>
        </w:rPr>
        <w:t>p</w:t>
      </w:r>
      <w:r w:rsidR="00903993" w:rsidRPr="005B724F">
        <w:rPr>
          <w:rFonts w:ascii="Lato" w:hAnsi="Lato"/>
        </w:rPr>
        <w:t>odmioty uprawnione do ubiegania się o dofinansowanie: podmioty publiczne lub prywatne (z wyłączeniem osób fizycznych oraz osób fizycznych prowadzących działalność gospodarczą) prowadzące działalność zarejestrowaną w jednym z państw członkowskich Unii Europejskiej, organizacje międzynarodowe lub Międzynarodowy Komitet Czerwonego Krzyża („MKCK”) lub Międzynarodowa Federacja Krajowych Stowarzyszeń Czerwonego Krzyża i Czerwonego Półksiężyca.</w:t>
      </w:r>
    </w:p>
    <w:p w14:paraId="78ADFB63" w14:textId="349EE956" w:rsidR="00D26487" w:rsidRPr="006D31FF" w:rsidDel="00A23400" w:rsidRDefault="00D26487" w:rsidP="00CD20ED">
      <w:pPr>
        <w:pStyle w:val="Nagwek1"/>
        <w:rPr>
          <w:rFonts w:eastAsiaTheme="minorHAnsi"/>
        </w:rPr>
      </w:pPr>
      <w:r w:rsidRPr="009871E4" w:rsidDel="00A23400">
        <w:rPr>
          <w:rFonts w:eastAsia="Times New Roman"/>
        </w:rPr>
        <w:t>Ramy czasowe</w:t>
      </w:r>
    </w:p>
    <w:p w14:paraId="4591FF66" w14:textId="571CEEE1" w:rsidR="00D26487" w:rsidRPr="00747965" w:rsidDel="00A23400" w:rsidRDefault="00D26487" w:rsidP="009871E4">
      <w:pPr>
        <w:ind w:left="284"/>
        <w:rPr>
          <w:rFonts w:ascii="Lato" w:hAnsi="Lato"/>
        </w:rPr>
      </w:pPr>
      <w:r w:rsidRPr="00747965" w:rsidDel="00A23400">
        <w:rPr>
          <w:rFonts w:ascii="Lato" w:hAnsi="Lato"/>
          <w:b/>
        </w:rPr>
        <w:t>Okres realizacji projektu</w:t>
      </w:r>
      <w:r w:rsidRPr="00747965" w:rsidDel="00A23400">
        <w:rPr>
          <w:rFonts w:ascii="Lato" w:hAnsi="Lato"/>
        </w:rPr>
        <w:t xml:space="preserve"> nie może rozpocząć się przed dniem złożenia wniosku i </w:t>
      </w:r>
      <w:r w:rsidR="000A514F">
        <w:rPr>
          <w:rFonts w:ascii="Lato" w:hAnsi="Lato"/>
        </w:rPr>
        <w:t xml:space="preserve">wykraczać poza dzień </w:t>
      </w:r>
      <w:r w:rsidRPr="00747965" w:rsidDel="00A23400">
        <w:rPr>
          <w:rFonts w:ascii="Lato" w:hAnsi="Lato"/>
          <w:b/>
        </w:rPr>
        <w:t>30 czerwca 2029 r.</w:t>
      </w:r>
      <w:r w:rsidRPr="00747965" w:rsidDel="00A23400">
        <w:rPr>
          <w:rFonts w:ascii="Lato" w:hAnsi="Lato"/>
        </w:rPr>
        <w:t xml:space="preserve"> </w:t>
      </w:r>
    </w:p>
    <w:p w14:paraId="4A3840CC" w14:textId="49923850" w:rsidR="00D26487" w:rsidRPr="00747965" w:rsidDel="00A23400" w:rsidRDefault="00D26487" w:rsidP="009871E4">
      <w:pPr>
        <w:ind w:left="284"/>
        <w:rPr>
          <w:rFonts w:ascii="Lato" w:hAnsi="Lato"/>
        </w:rPr>
      </w:pPr>
      <w:r w:rsidRPr="00747965" w:rsidDel="00A23400">
        <w:rPr>
          <w:rFonts w:ascii="Lato" w:hAnsi="Lato"/>
        </w:rPr>
        <w:t xml:space="preserve">Działania są kwalifikowalne od dnia złożenia wniosku, </w:t>
      </w:r>
      <w:r w:rsidR="009871E4" w:rsidRPr="00747965" w:rsidDel="00A23400">
        <w:rPr>
          <w:rFonts w:ascii="Lato" w:hAnsi="Lato"/>
        </w:rPr>
        <w:t xml:space="preserve">jednak dopiero podpisanie umowy </w:t>
      </w:r>
      <w:r w:rsidRPr="00747965" w:rsidDel="00A23400">
        <w:rPr>
          <w:rFonts w:ascii="Lato" w:hAnsi="Lato"/>
        </w:rPr>
        <w:t xml:space="preserve">finansowej gwarantuje przyznanie dofinansowania. </w:t>
      </w:r>
    </w:p>
    <w:p w14:paraId="6B1AA19B" w14:textId="77777777" w:rsidR="00D26487" w:rsidRPr="00897425" w:rsidRDefault="00D26487" w:rsidP="00CD20ED">
      <w:pPr>
        <w:pStyle w:val="Nagwek1"/>
        <w:rPr>
          <w:rFonts w:eastAsia="Times New Roman"/>
        </w:rPr>
      </w:pPr>
      <w:r w:rsidRPr="00897425">
        <w:rPr>
          <w:rFonts w:eastAsia="Times New Roman"/>
        </w:rPr>
        <w:t>Finanse</w:t>
      </w:r>
    </w:p>
    <w:p w14:paraId="77B6ACCB" w14:textId="00370839" w:rsidR="00D26487" w:rsidRPr="00747965" w:rsidRDefault="00D26487" w:rsidP="00D26487">
      <w:pPr>
        <w:ind w:left="567" w:hanging="283"/>
        <w:rPr>
          <w:rFonts w:ascii="Lato" w:eastAsia="Calibri" w:hAnsi="Lato" w:cs="Times New Roman"/>
        </w:rPr>
      </w:pPr>
      <w:r w:rsidRPr="00747965">
        <w:rPr>
          <w:rFonts w:ascii="Lato" w:eastAsia="Calibri" w:hAnsi="Lato" w:cs="Times New Roman"/>
        </w:rPr>
        <w:t>Budżet naboru</w:t>
      </w:r>
      <w:r w:rsidR="00897425" w:rsidRPr="00747965">
        <w:rPr>
          <w:rFonts w:ascii="Lato" w:eastAsia="Calibri" w:hAnsi="Lato" w:cs="Times New Roman"/>
        </w:rPr>
        <w:t xml:space="preserve"> (dofinansowanie z FBW)</w:t>
      </w:r>
      <w:r w:rsidRPr="00747965">
        <w:rPr>
          <w:rFonts w:ascii="Lato" w:eastAsia="Calibri" w:hAnsi="Lato" w:cs="Times New Roman"/>
        </w:rPr>
        <w:t xml:space="preserve"> wynosi: </w:t>
      </w:r>
      <w:r w:rsidR="00897425" w:rsidRPr="00747965">
        <w:rPr>
          <w:rFonts w:ascii="Lato" w:eastAsia="Calibri" w:hAnsi="Lato" w:cs="Times New Roman"/>
          <w:b/>
        </w:rPr>
        <w:t xml:space="preserve">11 088 </w:t>
      </w:r>
      <w:r w:rsidR="00A23400" w:rsidRPr="00747965">
        <w:rPr>
          <w:rFonts w:ascii="Lato" w:eastAsia="Calibri" w:hAnsi="Lato" w:cs="Times New Roman"/>
          <w:b/>
        </w:rPr>
        <w:t>24</w:t>
      </w:r>
      <w:r w:rsidR="00A23400">
        <w:rPr>
          <w:rFonts w:ascii="Lato" w:eastAsia="Calibri" w:hAnsi="Lato" w:cs="Times New Roman"/>
          <w:b/>
        </w:rPr>
        <w:t>0</w:t>
      </w:r>
      <w:r w:rsidR="00A23400" w:rsidRPr="00747965">
        <w:rPr>
          <w:rFonts w:ascii="Lato" w:eastAsia="Calibri" w:hAnsi="Lato" w:cs="Times New Roman"/>
          <w:b/>
        </w:rPr>
        <w:t xml:space="preserve"> </w:t>
      </w:r>
      <w:r w:rsidR="00897425" w:rsidRPr="00747965">
        <w:rPr>
          <w:rFonts w:ascii="Lato" w:eastAsia="Calibri" w:hAnsi="Lato" w:cs="Times New Roman"/>
          <w:b/>
        </w:rPr>
        <w:t>PLN</w:t>
      </w:r>
      <w:r w:rsidRPr="00747965">
        <w:rPr>
          <w:rFonts w:ascii="Lato" w:eastAsia="Calibri" w:hAnsi="Lato" w:cs="Times New Roman"/>
        </w:rPr>
        <w:t>.</w:t>
      </w:r>
    </w:p>
    <w:p w14:paraId="360FE0C2" w14:textId="05E9D82E" w:rsidR="00D26487" w:rsidRPr="00747965" w:rsidRDefault="00D26487" w:rsidP="00D26487">
      <w:pPr>
        <w:ind w:left="567" w:hanging="283"/>
        <w:rPr>
          <w:rFonts w:ascii="Lato" w:eastAsia="Calibri" w:hAnsi="Lato" w:cs="Times New Roman"/>
        </w:rPr>
      </w:pPr>
      <w:r w:rsidRPr="00747965">
        <w:rPr>
          <w:rFonts w:ascii="Lato" w:eastAsia="Calibri" w:hAnsi="Lato" w:cs="Times New Roman"/>
        </w:rPr>
        <w:t xml:space="preserve">Minimalna wartość projektu wynosi </w:t>
      </w:r>
      <w:r w:rsidRPr="00747965">
        <w:rPr>
          <w:rFonts w:ascii="Lato" w:eastAsia="Calibri" w:hAnsi="Lato" w:cs="Times New Roman"/>
          <w:b/>
        </w:rPr>
        <w:t>1</w:t>
      </w:r>
      <w:r w:rsidR="004521C2" w:rsidRPr="00747965">
        <w:rPr>
          <w:rFonts w:ascii="Lato" w:eastAsia="Calibri" w:hAnsi="Lato" w:cs="Times New Roman"/>
          <w:b/>
        </w:rPr>
        <w:t> 500 000</w:t>
      </w:r>
      <w:r w:rsidRPr="00747965">
        <w:rPr>
          <w:rFonts w:ascii="Lato" w:eastAsia="Calibri" w:hAnsi="Lato" w:cs="Times New Roman"/>
          <w:b/>
        </w:rPr>
        <w:t xml:space="preserve"> </w:t>
      </w:r>
      <w:r w:rsidR="004521C2" w:rsidRPr="00747965">
        <w:rPr>
          <w:rFonts w:ascii="Lato" w:eastAsia="Calibri" w:hAnsi="Lato" w:cs="Times New Roman"/>
          <w:b/>
        </w:rPr>
        <w:t>PLN</w:t>
      </w:r>
      <w:r w:rsidRPr="00747965">
        <w:rPr>
          <w:rFonts w:ascii="Lato" w:eastAsia="Calibri" w:hAnsi="Lato" w:cs="Times New Roman"/>
          <w:b/>
        </w:rPr>
        <w:t>.</w:t>
      </w:r>
    </w:p>
    <w:p w14:paraId="1AAA442B" w14:textId="3AFD88E4" w:rsidR="00D26487" w:rsidRDefault="00D26487" w:rsidP="00BC3189">
      <w:pPr>
        <w:ind w:left="284"/>
        <w:rPr>
          <w:rFonts w:ascii="Lato" w:hAnsi="Lato"/>
        </w:rPr>
      </w:pPr>
      <w:r w:rsidRPr="00BC3189">
        <w:rPr>
          <w:rFonts w:ascii="Lato" w:hAnsi="Lato"/>
        </w:rPr>
        <w:t xml:space="preserve">Poziom dofinansowania wynosi </w:t>
      </w:r>
      <w:r w:rsidRPr="00BC3189">
        <w:rPr>
          <w:rFonts w:ascii="Lato" w:hAnsi="Lato"/>
          <w:b/>
        </w:rPr>
        <w:t>75%</w:t>
      </w:r>
      <w:r w:rsidR="005E72E9">
        <w:rPr>
          <w:rFonts w:ascii="Lato" w:hAnsi="Lato"/>
          <w:b/>
        </w:rPr>
        <w:t xml:space="preserve"> zgodnie z poziomem dofinansowania dla działań regularnych FBW</w:t>
      </w:r>
      <w:r w:rsidR="00300873" w:rsidRPr="00BC3189">
        <w:rPr>
          <w:rFonts w:ascii="Lato" w:hAnsi="Lato"/>
        </w:rPr>
        <w:t xml:space="preserve">. </w:t>
      </w:r>
      <w:r w:rsidR="00BC3189" w:rsidRPr="00BC3189">
        <w:rPr>
          <w:rFonts w:ascii="Lato" w:hAnsi="Lato"/>
        </w:rPr>
        <w:t>Pozostałe</w:t>
      </w:r>
      <w:r w:rsidR="00300873" w:rsidRPr="00BC3189">
        <w:rPr>
          <w:rFonts w:ascii="Lato" w:hAnsi="Lato"/>
        </w:rPr>
        <w:t xml:space="preserve"> 25% całkowitych kosztów kwalifikowanych projektu to wkład własny wnioskodawcy</w:t>
      </w:r>
      <w:r w:rsidR="00BC3189" w:rsidRPr="00BC3189">
        <w:rPr>
          <w:rFonts w:ascii="Lato" w:hAnsi="Lato"/>
        </w:rPr>
        <w:t xml:space="preserve">. </w:t>
      </w:r>
    </w:p>
    <w:p w14:paraId="5262EFB8" w14:textId="6FA79149" w:rsidR="00BC3189" w:rsidRPr="00BC3189" w:rsidRDefault="00903993" w:rsidP="00BC3189">
      <w:pPr>
        <w:ind w:left="284"/>
        <w:rPr>
          <w:rFonts w:ascii="Lato" w:hAnsi="Lato"/>
        </w:rPr>
      </w:pPr>
      <w:r>
        <w:rPr>
          <w:rFonts w:ascii="Lato" w:hAnsi="Lato"/>
        </w:rPr>
        <w:t xml:space="preserve">W ramach naboru nr </w:t>
      </w:r>
      <w:r>
        <w:rPr>
          <w:rFonts w:ascii="Lato" w:hAnsi="Lato" w:cs="Calibri"/>
          <w:u w:val="single"/>
        </w:rPr>
        <w:t>FBWP.03.01-IZ.00-00</w:t>
      </w:r>
      <w:r w:rsidR="00187C9B" w:rsidRPr="00342D16">
        <w:rPr>
          <w:rFonts w:ascii="Lato" w:hAnsi="Lato" w:cs="Calibri"/>
          <w:color w:val="000000" w:themeColor="text1"/>
          <w:u w:val="single"/>
        </w:rPr>
        <w:t>2</w:t>
      </w:r>
      <w:r>
        <w:rPr>
          <w:rFonts w:ascii="Lato" w:hAnsi="Lato" w:cs="Calibri"/>
          <w:u w:val="single"/>
        </w:rPr>
        <w:t>/26 w</w:t>
      </w:r>
      <w:r w:rsidR="00BC3189" w:rsidRPr="00BC3189">
        <w:rPr>
          <w:rFonts w:ascii="Lato" w:hAnsi="Lato"/>
        </w:rPr>
        <w:t xml:space="preserve">nioskodawca może złożyć maksymalnie </w:t>
      </w:r>
      <w:r w:rsidR="00BC3189" w:rsidRPr="00BC3189">
        <w:rPr>
          <w:rFonts w:ascii="Lato" w:hAnsi="Lato"/>
          <w:b/>
        </w:rPr>
        <w:t>jeden wniosek o dofinansowanie</w:t>
      </w:r>
      <w:r w:rsidR="00BC3189" w:rsidRPr="00BC3189">
        <w:rPr>
          <w:rFonts w:ascii="Lato" w:hAnsi="Lato"/>
        </w:rPr>
        <w:t xml:space="preserve"> w naborze.</w:t>
      </w:r>
      <w:r w:rsidR="00BC3189">
        <w:rPr>
          <w:rFonts w:ascii="Lato" w:hAnsi="Lato"/>
        </w:rPr>
        <w:t xml:space="preserve"> </w:t>
      </w:r>
      <w:r w:rsidRPr="00342D16">
        <w:rPr>
          <w:rFonts w:ascii="Lato" w:hAnsi="Lato"/>
        </w:rPr>
        <w:t>Jednocześnie beneficjent może figurować jako partner tylko w 2 projektach innych organizacji/instytucji.</w:t>
      </w:r>
    </w:p>
    <w:p w14:paraId="1B559501" w14:textId="6C1E8F4D" w:rsidR="000672CB" w:rsidRDefault="006D31FF" w:rsidP="000672CB">
      <w:pPr>
        <w:ind w:left="284"/>
        <w:rPr>
          <w:rFonts w:ascii="Lato" w:hAnsi="Lato"/>
        </w:rPr>
      </w:pPr>
      <w:r w:rsidRPr="00527DD4">
        <w:rPr>
          <w:rFonts w:ascii="Lato" w:hAnsi="Lato"/>
        </w:rPr>
        <w:t xml:space="preserve">W </w:t>
      </w:r>
      <w:r w:rsidR="00CD69C6">
        <w:rPr>
          <w:rFonts w:ascii="Lato" w:hAnsi="Lato"/>
        </w:rPr>
        <w:t>przypadku</w:t>
      </w:r>
      <w:r w:rsidR="000672CB">
        <w:rPr>
          <w:rFonts w:ascii="Lato" w:hAnsi="Lato"/>
        </w:rPr>
        <w:t xml:space="preserve"> </w:t>
      </w:r>
      <w:r w:rsidR="000672CB" w:rsidRPr="000672CB">
        <w:rPr>
          <w:rFonts w:ascii="Lato" w:hAnsi="Lato"/>
        </w:rPr>
        <w:t>otrzymania dużej li</w:t>
      </w:r>
      <w:r w:rsidR="000672CB">
        <w:rPr>
          <w:rFonts w:ascii="Lato" w:hAnsi="Lato"/>
        </w:rPr>
        <w:t>czby wysokiej jakości wniosków, pod warunkiem</w:t>
      </w:r>
      <w:r w:rsidR="00CD69C6">
        <w:rPr>
          <w:rFonts w:ascii="Lato" w:hAnsi="Lato"/>
        </w:rPr>
        <w:t xml:space="preserve"> zidentyfikowania oszczędności w Programie FBW</w:t>
      </w:r>
      <w:r w:rsidR="00300873">
        <w:rPr>
          <w:rFonts w:ascii="Lato" w:hAnsi="Lato"/>
        </w:rPr>
        <w:t>,</w:t>
      </w:r>
      <w:r w:rsidRPr="00527DD4">
        <w:rPr>
          <w:rFonts w:ascii="Lato" w:hAnsi="Lato"/>
        </w:rPr>
        <w:t xml:space="preserve"> </w:t>
      </w:r>
      <w:r w:rsidR="008E11C3" w:rsidRPr="00527DD4">
        <w:rPr>
          <w:rFonts w:ascii="Lato" w:hAnsi="Lato"/>
        </w:rPr>
        <w:t xml:space="preserve">IZ zastrzega sobie prawo do zwiększenia </w:t>
      </w:r>
      <w:r w:rsidR="00527DD4">
        <w:rPr>
          <w:rFonts w:ascii="Lato" w:hAnsi="Lato"/>
        </w:rPr>
        <w:t>alokacji naboru</w:t>
      </w:r>
      <w:r w:rsidR="000672CB">
        <w:rPr>
          <w:rFonts w:ascii="Lato" w:hAnsi="Lato"/>
        </w:rPr>
        <w:t>.</w:t>
      </w:r>
      <w:r w:rsidR="008E11C3" w:rsidRPr="00527DD4">
        <w:rPr>
          <w:rFonts w:ascii="Lato" w:hAnsi="Lato"/>
        </w:rPr>
        <w:t xml:space="preserve"> </w:t>
      </w:r>
    </w:p>
    <w:p w14:paraId="6B6C6772" w14:textId="77777777" w:rsidR="00A23400" w:rsidRDefault="00A23400" w:rsidP="000672CB">
      <w:pPr>
        <w:ind w:left="284"/>
        <w:rPr>
          <w:rFonts w:ascii="Lato" w:hAnsi="Lato"/>
        </w:rPr>
      </w:pPr>
    </w:p>
    <w:p w14:paraId="3D29505C" w14:textId="5651CDEB" w:rsidR="0050273B" w:rsidRPr="00747965" w:rsidRDefault="0050273B" w:rsidP="000672CB">
      <w:pPr>
        <w:pStyle w:val="Nagwek1"/>
        <w:rPr>
          <w:rFonts w:eastAsia="Calibri"/>
        </w:rPr>
      </w:pPr>
      <w:r w:rsidRPr="000672CB">
        <w:rPr>
          <w:rFonts w:eastAsia="Times New Roman"/>
        </w:rPr>
        <w:lastRenderedPageBreak/>
        <w:t>Partnerstwo</w:t>
      </w:r>
    </w:p>
    <w:p w14:paraId="74FCBEF2" w14:textId="77777777" w:rsidR="0050273B" w:rsidRPr="00747965" w:rsidRDefault="0050273B" w:rsidP="000672CB">
      <w:pPr>
        <w:ind w:left="708"/>
        <w:rPr>
          <w:rFonts w:ascii="Lato" w:eastAsia="Calibri" w:hAnsi="Lato" w:cs="Times New Roman"/>
          <w:b/>
        </w:rPr>
      </w:pPr>
      <w:r w:rsidRPr="00527DD4">
        <w:rPr>
          <w:rFonts w:ascii="Lato" w:hAnsi="Lato"/>
        </w:rPr>
        <w:t>Projekty</w:t>
      </w:r>
      <w:r w:rsidRPr="00747965">
        <w:rPr>
          <w:rFonts w:ascii="Lato" w:eastAsia="Calibri" w:hAnsi="Lato" w:cs="Times New Roman"/>
        </w:rPr>
        <w:t xml:space="preserve"> mogą być przygotowane i realizowane </w:t>
      </w:r>
      <w:r w:rsidRPr="00747965">
        <w:rPr>
          <w:rFonts w:ascii="Lato" w:eastAsia="Calibri" w:hAnsi="Lato" w:cs="Times New Roman"/>
          <w:b/>
        </w:rPr>
        <w:t>w partnerstwie z innymi podmiotami</w:t>
      </w:r>
      <w:r w:rsidRPr="00747965">
        <w:rPr>
          <w:rFonts w:ascii="Lato" w:eastAsia="Calibri" w:hAnsi="Lato" w:cs="Times New Roman"/>
        </w:rPr>
        <w:t>. Wyłaniając partnerów do realizacji projektu konieczne jest zastosowanie się do niżej wskazanych wytycznych:</w:t>
      </w:r>
    </w:p>
    <w:p w14:paraId="1F364ED7" w14:textId="77777777" w:rsidR="0050273B" w:rsidRPr="00747965" w:rsidRDefault="0050273B" w:rsidP="000672CB">
      <w:pPr>
        <w:numPr>
          <w:ilvl w:val="0"/>
          <w:numId w:val="26"/>
        </w:numPr>
        <w:ind w:left="708"/>
        <w:rPr>
          <w:rFonts w:ascii="Lato" w:eastAsia="Calibri" w:hAnsi="Lato" w:cs="Times New Roman"/>
        </w:rPr>
      </w:pPr>
      <w:r w:rsidRPr="00747965">
        <w:rPr>
          <w:rFonts w:ascii="Lato" w:eastAsia="Calibri" w:hAnsi="Lato" w:cs="Times New Roman"/>
        </w:rPr>
        <w:t xml:space="preserve">partnerem może zostać dowolny podmiot </w:t>
      </w:r>
      <w:r w:rsidRPr="00747965">
        <w:rPr>
          <w:rFonts w:ascii="Lato" w:eastAsia="Calibri" w:hAnsi="Lato" w:cs="Times New Roman"/>
          <w:bCs/>
        </w:rPr>
        <w:t>publiczny lub prywatny (z wyłączeniem osób fizycznych oraz osób fizycznych prowadzących działalność gospodarczą), zarówno podmiot mający osobowość prawną jak i jej nieposiadający;</w:t>
      </w:r>
    </w:p>
    <w:p w14:paraId="017B4A94" w14:textId="77777777" w:rsidR="0050273B" w:rsidRPr="00747965" w:rsidRDefault="0050273B" w:rsidP="000672CB">
      <w:pPr>
        <w:numPr>
          <w:ilvl w:val="0"/>
          <w:numId w:val="26"/>
        </w:numPr>
        <w:ind w:left="708"/>
        <w:rPr>
          <w:rFonts w:ascii="Lato" w:eastAsia="Calibri" w:hAnsi="Lato" w:cs="Times New Roman"/>
        </w:rPr>
      </w:pPr>
      <w:r w:rsidRPr="00747965">
        <w:rPr>
          <w:rFonts w:ascii="Lato" w:eastAsia="Calibri" w:hAnsi="Lato" w:cs="Times New Roman"/>
          <w:bCs/>
        </w:rPr>
        <w:t>wnioskodawca może zawrzeć partnerstwo z jednym lub wieloma podmiotami;</w:t>
      </w:r>
    </w:p>
    <w:p w14:paraId="71E8B347" w14:textId="0BA3CE37" w:rsidR="0050273B" w:rsidRPr="00747965" w:rsidRDefault="0050273B" w:rsidP="000672CB">
      <w:pPr>
        <w:numPr>
          <w:ilvl w:val="0"/>
          <w:numId w:val="26"/>
        </w:numPr>
        <w:ind w:left="708"/>
        <w:rPr>
          <w:rFonts w:ascii="Lato" w:eastAsia="Calibri" w:hAnsi="Lato" w:cs="Times New Roman"/>
        </w:rPr>
      </w:pPr>
      <w:r w:rsidRPr="00747965">
        <w:rPr>
          <w:rFonts w:ascii="Lato" w:eastAsia="Calibri" w:hAnsi="Lato" w:cs="Times New Roman"/>
          <w:bCs/>
        </w:rPr>
        <w:t>w przypadku składania propozycji projektu w partnerstwie liderem jest wnioskodawca, który składa wniosek, jest odpowiedzialny za koordynację działań w projekcie, prowadzenie rozliczeń finansowych</w:t>
      </w:r>
      <w:r w:rsidR="00CA5708">
        <w:rPr>
          <w:rFonts w:ascii="Lato" w:eastAsia="Calibri" w:hAnsi="Lato" w:cs="Times New Roman"/>
          <w:bCs/>
        </w:rPr>
        <w:t>,</w:t>
      </w:r>
      <w:r w:rsidR="00BB3B9E">
        <w:rPr>
          <w:rFonts w:ascii="Lato" w:eastAsia="Calibri" w:hAnsi="Lato" w:cs="Times New Roman"/>
          <w:bCs/>
        </w:rPr>
        <w:t xml:space="preserve"> </w:t>
      </w:r>
      <w:r w:rsidRPr="00747965">
        <w:rPr>
          <w:rFonts w:ascii="Lato" w:eastAsia="Calibri" w:hAnsi="Lato" w:cs="Times New Roman"/>
          <w:bCs/>
        </w:rPr>
        <w:t>sprawozdawczość</w:t>
      </w:r>
      <w:r w:rsidR="00CA5708">
        <w:rPr>
          <w:rFonts w:ascii="Lato" w:eastAsia="Calibri" w:hAnsi="Lato" w:cs="Times New Roman"/>
          <w:bCs/>
        </w:rPr>
        <w:t xml:space="preserve"> oraz podpisanie porozumienia z partnerem/partnerami projektu</w:t>
      </w:r>
      <w:r w:rsidRPr="00747965">
        <w:rPr>
          <w:rFonts w:ascii="Lato" w:eastAsia="Calibri" w:hAnsi="Lato" w:cs="Times New Roman"/>
          <w:bCs/>
        </w:rPr>
        <w:t>;</w:t>
      </w:r>
    </w:p>
    <w:p w14:paraId="3E668F75" w14:textId="0C18DDA4" w:rsidR="0050273B" w:rsidRPr="00747965" w:rsidRDefault="0050273B" w:rsidP="000672CB">
      <w:pPr>
        <w:numPr>
          <w:ilvl w:val="0"/>
          <w:numId w:val="26"/>
        </w:numPr>
        <w:ind w:left="708"/>
        <w:rPr>
          <w:rFonts w:ascii="Lato" w:eastAsia="Calibri" w:hAnsi="Lato" w:cs="Times New Roman"/>
        </w:rPr>
      </w:pPr>
      <w:r w:rsidRPr="00747965">
        <w:rPr>
          <w:rFonts w:ascii="Lato" w:eastAsia="Calibri" w:hAnsi="Lato" w:cs="Times New Roman"/>
        </w:rPr>
        <w:t>partner powinien posiadać zasoby, którymi nie dysponuje wnioskodawca, bądź też powinny one uzupełniać zasoby wnioskodawcy;</w:t>
      </w:r>
    </w:p>
    <w:p w14:paraId="3647A741" w14:textId="77777777" w:rsidR="000672CB" w:rsidRDefault="0050273B" w:rsidP="000672CB">
      <w:pPr>
        <w:numPr>
          <w:ilvl w:val="0"/>
          <w:numId w:val="26"/>
        </w:numPr>
        <w:ind w:left="708"/>
        <w:rPr>
          <w:rFonts w:ascii="Lato" w:eastAsia="Calibri" w:hAnsi="Lato" w:cs="Times New Roman"/>
          <w:bCs/>
        </w:rPr>
      </w:pPr>
      <w:r w:rsidRPr="00747965">
        <w:rPr>
          <w:rFonts w:ascii="Lato" w:eastAsia="Calibri" w:hAnsi="Lato" w:cs="Times New Roman"/>
        </w:rPr>
        <w:t xml:space="preserve">partner nie musi pokrywać wkładu własnego w projekcie, może wnieść do projektu zasoby inne niż finansowe: ludzkie, organizacyjne, techniczne (nie chodzi tu o wkłady rzeczowe do projektu jako formę finansowania - takie wkłady nie są kwalifikowalne), zależy to jednak od tego, w jaki sposób wnioskodawca i partner porozumieją się co do współpracy; </w:t>
      </w:r>
      <w:r w:rsidRPr="00747965">
        <w:rPr>
          <w:rFonts w:ascii="Lato" w:eastAsia="Calibri" w:hAnsi="Lato" w:cs="Times New Roman"/>
          <w:bCs/>
        </w:rPr>
        <w:t>środki na wkład własny mogą być pozyskiwane z innych źródeł np. finansowania lokalnego, ale nie z europejskich funduszy na takie same cele.</w:t>
      </w:r>
    </w:p>
    <w:p w14:paraId="3F138E96" w14:textId="0CBB736F" w:rsidR="0050273B" w:rsidRPr="000672CB" w:rsidRDefault="0050273B" w:rsidP="000672CB">
      <w:pPr>
        <w:numPr>
          <w:ilvl w:val="0"/>
          <w:numId w:val="26"/>
        </w:numPr>
        <w:ind w:left="708"/>
        <w:rPr>
          <w:rFonts w:ascii="Lato" w:eastAsia="Calibri" w:hAnsi="Lato" w:cs="Times New Roman"/>
          <w:bCs/>
        </w:rPr>
      </w:pPr>
      <w:r w:rsidRPr="000672CB">
        <w:rPr>
          <w:rFonts w:ascii="Lato" w:eastAsia="Calibri" w:hAnsi="Lato" w:cs="Times New Roman"/>
        </w:rPr>
        <w:t xml:space="preserve">W przypadku realizacji projektu w partnerstwie </w:t>
      </w:r>
      <w:r w:rsidR="00747965" w:rsidRPr="000672CB">
        <w:rPr>
          <w:rFonts w:ascii="Lato" w:eastAsia="Calibri" w:hAnsi="Lato" w:cs="Times New Roman"/>
        </w:rPr>
        <w:t xml:space="preserve">należy </w:t>
      </w:r>
      <w:r w:rsidR="00B15874">
        <w:rPr>
          <w:rFonts w:ascii="Lato" w:eastAsia="Calibri" w:hAnsi="Lato" w:cs="Times New Roman"/>
        </w:rPr>
        <w:t>wypełnić</w:t>
      </w:r>
      <w:r w:rsidRPr="000672CB">
        <w:rPr>
          <w:rFonts w:ascii="Lato" w:eastAsia="Calibri" w:hAnsi="Lato" w:cs="Times New Roman"/>
        </w:rPr>
        <w:t xml:space="preserve"> </w:t>
      </w:r>
      <w:r w:rsidR="00747965" w:rsidRPr="000672CB">
        <w:rPr>
          <w:rFonts w:ascii="Lato" w:eastAsia="Calibri" w:hAnsi="Lato" w:cs="Times New Roman"/>
        </w:rPr>
        <w:t>D</w:t>
      </w:r>
      <w:r w:rsidRPr="000672CB">
        <w:rPr>
          <w:rFonts w:ascii="Lato" w:eastAsia="Calibri" w:hAnsi="Lato" w:cs="Times New Roman"/>
        </w:rPr>
        <w:t>eklaracj</w:t>
      </w:r>
      <w:r w:rsidR="00747965" w:rsidRPr="000672CB">
        <w:rPr>
          <w:rFonts w:ascii="Lato" w:eastAsia="Calibri" w:hAnsi="Lato" w:cs="Times New Roman"/>
        </w:rPr>
        <w:t>ę</w:t>
      </w:r>
      <w:r w:rsidRPr="000672CB">
        <w:rPr>
          <w:rFonts w:ascii="Lato" w:eastAsia="Calibri" w:hAnsi="Lato" w:cs="Times New Roman"/>
        </w:rPr>
        <w:t xml:space="preserve"> partnerstwa (wzór dostępny w Instrukcji wypełniania </w:t>
      </w:r>
      <w:proofErr w:type="spellStart"/>
      <w:r w:rsidRPr="000672CB">
        <w:rPr>
          <w:rFonts w:ascii="Lato" w:eastAsia="Calibri" w:hAnsi="Lato" w:cs="Times New Roman"/>
        </w:rPr>
        <w:t>WoD</w:t>
      </w:r>
      <w:proofErr w:type="spellEnd"/>
      <w:r w:rsidRPr="000672CB">
        <w:rPr>
          <w:rFonts w:ascii="Lato" w:eastAsia="Calibri" w:hAnsi="Lato" w:cs="Times New Roman"/>
        </w:rPr>
        <w:t xml:space="preserve">) </w:t>
      </w:r>
      <w:r w:rsidR="00B15874">
        <w:rPr>
          <w:rFonts w:ascii="Lato" w:eastAsia="Calibri" w:hAnsi="Lato" w:cs="Times New Roman"/>
        </w:rPr>
        <w:t xml:space="preserve">oraz zamieścić w systemie CST </w:t>
      </w:r>
      <w:r w:rsidR="00747965" w:rsidRPr="000672CB">
        <w:rPr>
          <w:rFonts w:ascii="Lato" w:eastAsia="Calibri" w:hAnsi="Lato" w:cs="Times New Roman"/>
        </w:rPr>
        <w:t xml:space="preserve">jako załącznik do Wniosku o Dofinansowanie. </w:t>
      </w:r>
    </w:p>
    <w:p w14:paraId="69249FB1" w14:textId="2AA17EF5" w:rsidR="00300873" w:rsidRDefault="00BC3189" w:rsidP="00CD20ED">
      <w:pPr>
        <w:pStyle w:val="Nagwek1"/>
        <w:rPr>
          <w:rFonts w:eastAsia="Calibri"/>
        </w:rPr>
      </w:pPr>
      <w:r>
        <w:rPr>
          <w:rFonts w:eastAsia="Calibri"/>
        </w:rPr>
        <w:t xml:space="preserve"> </w:t>
      </w:r>
      <w:r w:rsidR="00300873" w:rsidRPr="00300873">
        <w:rPr>
          <w:rFonts w:eastAsia="Calibri"/>
        </w:rPr>
        <w:t>Zakres naboru</w:t>
      </w:r>
    </w:p>
    <w:p w14:paraId="55EC482D" w14:textId="6D94E991" w:rsidR="00BC3189" w:rsidRDefault="00300873" w:rsidP="00BC3189">
      <w:pPr>
        <w:ind w:left="360"/>
        <w:rPr>
          <w:rFonts w:ascii="Lato" w:eastAsia="Calibri" w:hAnsi="Lato" w:cs="Times New Roman"/>
          <w:u w:val="single"/>
        </w:rPr>
      </w:pPr>
      <w:r w:rsidRPr="00300873">
        <w:rPr>
          <w:rFonts w:ascii="Lato" w:eastAsia="Calibri" w:hAnsi="Lato" w:cs="Times New Roman"/>
        </w:rPr>
        <w:t>Działania proponowane we wniosku muszą być zgodne</w:t>
      </w:r>
      <w:r w:rsidR="00E117D4">
        <w:rPr>
          <w:rFonts w:ascii="Lato" w:eastAsia="Calibri" w:hAnsi="Lato" w:cs="Times New Roman"/>
        </w:rPr>
        <w:t xml:space="preserve"> z celami Funduszu Bezpieczeństwa Wewnętrznego oraz</w:t>
      </w:r>
      <w:r w:rsidRPr="00300873">
        <w:rPr>
          <w:rFonts w:ascii="Lato" w:eastAsia="Calibri" w:hAnsi="Lato" w:cs="Times New Roman"/>
        </w:rPr>
        <w:t xml:space="preserve"> zakresem niniejszego naboru: nie należy brać pod uwagę wszelkich możliwych działań kwalifikowalnych w ramach całego Funduszu, a wyłącznie te, które określone są zakresem obecnego naboru (patrz niżej). </w:t>
      </w:r>
      <w:r w:rsidRPr="00300873">
        <w:rPr>
          <w:rFonts w:ascii="Lato" w:eastAsia="Calibri" w:hAnsi="Lato" w:cs="Times New Roman"/>
          <w:u w:val="single"/>
        </w:rPr>
        <w:t>Zaproponowanie działań, które nie są objęte aktualnym naborem, spowoduje ich usunięcie z wniosku oraz obniżenie punktacji podczas oceny</w:t>
      </w:r>
      <w:r>
        <w:rPr>
          <w:rFonts w:ascii="Lato" w:eastAsia="Calibri" w:hAnsi="Lato" w:cs="Times New Roman"/>
          <w:u w:val="single"/>
        </w:rPr>
        <w:t>.</w:t>
      </w:r>
    </w:p>
    <w:p w14:paraId="4C7406AA" w14:textId="6D5F35F8" w:rsidR="003E3305" w:rsidRDefault="003E3305" w:rsidP="00BC3189">
      <w:pPr>
        <w:ind w:left="360"/>
        <w:rPr>
          <w:rFonts w:ascii="Lato" w:hAnsi="Lato" w:cs="Arial"/>
          <w:color w:val="000000"/>
        </w:rPr>
      </w:pPr>
      <w:r w:rsidRPr="00BC3189">
        <w:rPr>
          <w:rFonts w:ascii="Lato" w:hAnsi="Lato" w:cs="Arial"/>
          <w:color w:val="000000"/>
        </w:rPr>
        <w:t>Realizowane w ramach przedmiotowego naboru działania muszą być jawne.</w:t>
      </w:r>
    </w:p>
    <w:p w14:paraId="7949571D" w14:textId="73BBDFCB" w:rsidR="00E117D4" w:rsidRPr="008A6230" w:rsidRDefault="00E117D4" w:rsidP="00B716C6">
      <w:pPr>
        <w:ind w:left="360"/>
        <w:rPr>
          <w:rFonts w:ascii="Lato" w:eastAsia="Calibri" w:hAnsi="Lato" w:cs="Times New Roman"/>
          <w:b/>
        </w:rPr>
      </w:pPr>
      <w:r w:rsidRPr="00E117D4">
        <w:rPr>
          <w:rFonts w:ascii="Lato" w:eastAsia="Calibri" w:hAnsi="Lato" w:cs="Times New Roman"/>
          <w:b/>
        </w:rPr>
        <w:t>Preferowane będą projekty systemowe</w:t>
      </w:r>
      <w:r w:rsidR="008A6230">
        <w:rPr>
          <w:rStyle w:val="Odwoanieprzypisudolnego"/>
          <w:rFonts w:ascii="Lato" w:eastAsia="Calibri" w:hAnsi="Lato" w:cs="Times New Roman"/>
          <w:b/>
        </w:rPr>
        <w:footnoteReference w:id="3"/>
      </w:r>
      <w:r w:rsidR="002F2674">
        <w:rPr>
          <w:rFonts w:ascii="Lato" w:eastAsia="Calibri" w:hAnsi="Lato" w:cs="Times New Roman"/>
          <w:b/>
        </w:rPr>
        <w:t xml:space="preserve"> oraz projekty skierowane na bezpośrednią </w:t>
      </w:r>
      <w:r w:rsidRPr="00E117D4">
        <w:rPr>
          <w:rFonts w:ascii="Lato" w:eastAsia="Calibri" w:hAnsi="Lato" w:cs="Times New Roman"/>
          <w:b/>
        </w:rPr>
        <w:t>pomoc ofiarom handlu ludźmi</w:t>
      </w:r>
      <w:r w:rsidR="00D433D9">
        <w:rPr>
          <w:rFonts w:ascii="Lato" w:eastAsia="Calibri" w:hAnsi="Lato" w:cs="Times New Roman"/>
          <w:b/>
        </w:rPr>
        <w:t xml:space="preserve"> i przestępczości zorganizowanej</w:t>
      </w:r>
      <w:r w:rsidRPr="00E117D4">
        <w:rPr>
          <w:rFonts w:ascii="Lato" w:eastAsia="Calibri" w:hAnsi="Lato" w:cs="Times New Roman"/>
        </w:rPr>
        <w:t>, różniące się od rutynowych działań beneficjenta/partnera</w:t>
      </w:r>
      <w:r w:rsidR="00342D16">
        <w:rPr>
          <w:rFonts w:ascii="Lato" w:eastAsia="Calibri" w:hAnsi="Lato" w:cs="Times New Roman"/>
        </w:rPr>
        <w:t>;</w:t>
      </w:r>
      <w:r w:rsidRPr="00E117D4">
        <w:rPr>
          <w:rFonts w:ascii="Lato" w:eastAsia="Calibri" w:hAnsi="Lato" w:cs="Times New Roman"/>
        </w:rPr>
        <w:t xml:space="preserve"> o charakterze międzynarodowym, posiadające szeroki, ponadregionalny zakres oraz ujmujące problem całościowo, a także projekty </w:t>
      </w:r>
      <w:r w:rsidRPr="00E117D4">
        <w:rPr>
          <w:rFonts w:ascii="Lato" w:eastAsia="Calibri" w:hAnsi="Lato" w:cs="Times New Roman"/>
        </w:rPr>
        <w:lastRenderedPageBreak/>
        <w:t xml:space="preserve">realizowane </w:t>
      </w:r>
      <w:r w:rsidRPr="00467FC4">
        <w:rPr>
          <w:rFonts w:ascii="Lato" w:eastAsia="Calibri" w:hAnsi="Lato" w:cs="Times New Roman"/>
          <w:b/>
        </w:rPr>
        <w:t>w partnerstwie pomiędzy jednostkami sektora publicznego a organizacjami pozarządowymi</w:t>
      </w:r>
      <w:r w:rsidRPr="00E117D4">
        <w:rPr>
          <w:rFonts w:ascii="Lato" w:eastAsia="Calibri" w:hAnsi="Lato" w:cs="Times New Roman"/>
        </w:rPr>
        <w:t>, uwzględniające w szczególności:</w:t>
      </w:r>
    </w:p>
    <w:p w14:paraId="656C0199" w14:textId="77777777" w:rsidR="005B724F" w:rsidRPr="00B914EC" w:rsidRDefault="005B724F" w:rsidP="005B724F">
      <w:pPr>
        <w:pStyle w:val="Tytu"/>
        <w:numPr>
          <w:ilvl w:val="0"/>
          <w:numId w:val="28"/>
        </w:numPr>
        <w:spacing w:after="240" w:line="276" w:lineRule="auto"/>
        <w:jc w:val="left"/>
        <w:rPr>
          <w:rFonts w:ascii="Lato" w:hAnsi="Lato" w:cs="Calibri"/>
          <w:b w:val="0"/>
          <w:sz w:val="22"/>
          <w:szCs w:val="22"/>
        </w:rPr>
      </w:pPr>
      <w:r w:rsidRPr="00B914EC">
        <w:rPr>
          <w:rFonts w:ascii="Lato" w:hAnsi="Lato" w:cs="Calibri"/>
          <w:b w:val="0"/>
          <w:sz w:val="22"/>
          <w:szCs w:val="22"/>
        </w:rPr>
        <w:t>przywracanie ofiar handlu ludźmi do życia społecznego i na rynek pracy, reintegracja i skuteczna pomoc prawna;</w:t>
      </w:r>
    </w:p>
    <w:p w14:paraId="7B862551" w14:textId="77777777" w:rsidR="005B724F" w:rsidRPr="00B914EC" w:rsidRDefault="005B724F" w:rsidP="005B724F">
      <w:pPr>
        <w:pStyle w:val="Tytu"/>
        <w:numPr>
          <w:ilvl w:val="0"/>
          <w:numId w:val="28"/>
        </w:numPr>
        <w:spacing w:after="240" w:line="276" w:lineRule="auto"/>
        <w:jc w:val="left"/>
        <w:rPr>
          <w:rFonts w:ascii="Lato" w:hAnsi="Lato" w:cs="Calibri"/>
          <w:b w:val="0"/>
          <w:sz w:val="22"/>
          <w:szCs w:val="22"/>
        </w:rPr>
      </w:pPr>
      <w:r w:rsidRPr="00B914EC">
        <w:rPr>
          <w:rFonts w:ascii="Lato" w:hAnsi="Lato" w:cs="Calibri"/>
          <w:b w:val="0"/>
          <w:sz w:val="22"/>
          <w:szCs w:val="22"/>
        </w:rPr>
        <w:t>podwyższenie wiedzy społeczeństwa na ww. temat, w szczególności osób szczególnie nim zagrożonych, w tym kobi</w:t>
      </w:r>
      <w:r>
        <w:rPr>
          <w:rFonts w:ascii="Lato" w:hAnsi="Lato" w:cs="Calibri"/>
          <w:b w:val="0"/>
          <w:sz w:val="22"/>
          <w:szCs w:val="22"/>
        </w:rPr>
        <w:t>et i dzieci w trudnej sytuacji;</w:t>
      </w:r>
    </w:p>
    <w:p w14:paraId="6452935A" w14:textId="77777777" w:rsidR="005B724F" w:rsidRPr="00B914EC" w:rsidRDefault="005B724F" w:rsidP="005B724F">
      <w:pPr>
        <w:pStyle w:val="Tytu"/>
        <w:numPr>
          <w:ilvl w:val="0"/>
          <w:numId w:val="28"/>
        </w:numPr>
        <w:spacing w:after="240" w:line="276" w:lineRule="auto"/>
        <w:jc w:val="left"/>
        <w:rPr>
          <w:rFonts w:ascii="Lato" w:hAnsi="Lato" w:cs="Calibri"/>
          <w:b w:val="0"/>
          <w:sz w:val="22"/>
          <w:szCs w:val="22"/>
        </w:rPr>
      </w:pPr>
      <w:r>
        <w:rPr>
          <w:rFonts w:ascii="Lato" w:hAnsi="Lato" w:cs="Calibri"/>
          <w:b w:val="0"/>
          <w:sz w:val="22"/>
          <w:szCs w:val="22"/>
        </w:rPr>
        <w:t>p</w:t>
      </w:r>
      <w:r w:rsidRPr="00B914EC">
        <w:rPr>
          <w:rFonts w:ascii="Lato" w:hAnsi="Lato" w:cs="Calibri"/>
          <w:b w:val="0"/>
          <w:sz w:val="22"/>
          <w:szCs w:val="22"/>
        </w:rPr>
        <w:t>odniesienie poziomu wiedzy z zakresu wczesnej identyfikacji ofiar handlu ludźmi w podmiotach administracji publicznej i w biznesie;</w:t>
      </w:r>
    </w:p>
    <w:p w14:paraId="4EEBD882" w14:textId="77777777" w:rsidR="005B724F" w:rsidRPr="00B914EC" w:rsidRDefault="005B724F" w:rsidP="005B724F">
      <w:pPr>
        <w:pStyle w:val="Tytu"/>
        <w:numPr>
          <w:ilvl w:val="0"/>
          <w:numId w:val="28"/>
        </w:numPr>
        <w:spacing w:after="240" w:line="276" w:lineRule="auto"/>
        <w:jc w:val="left"/>
        <w:rPr>
          <w:rFonts w:ascii="Lato" w:hAnsi="Lato" w:cs="Calibri"/>
          <w:b w:val="0"/>
          <w:sz w:val="22"/>
          <w:szCs w:val="22"/>
        </w:rPr>
      </w:pPr>
      <w:r w:rsidRPr="00B914EC">
        <w:rPr>
          <w:rFonts w:ascii="Lato" w:hAnsi="Lato" w:cs="Calibri"/>
          <w:b w:val="0"/>
          <w:sz w:val="22"/>
          <w:szCs w:val="22"/>
        </w:rPr>
        <w:t>promowanie szkoleń opartych na prawach dziecka</w:t>
      </w:r>
      <w:r>
        <w:rPr>
          <w:rFonts w:ascii="Lato" w:hAnsi="Lato" w:cs="Calibri"/>
          <w:b w:val="0"/>
          <w:sz w:val="22"/>
          <w:szCs w:val="22"/>
        </w:rPr>
        <w:t>;</w:t>
      </w:r>
    </w:p>
    <w:p w14:paraId="48DDD3E2" w14:textId="77777777" w:rsidR="005B724F" w:rsidRPr="00B914EC" w:rsidRDefault="005B724F" w:rsidP="005B724F">
      <w:pPr>
        <w:pStyle w:val="Tytu"/>
        <w:numPr>
          <w:ilvl w:val="0"/>
          <w:numId w:val="28"/>
        </w:numPr>
        <w:spacing w:after="240" w:line="276" w:lineRule="auto"/>
        <w:jc w:val="left"/>
        <w:rPr>
          <w:rFonts w:ascii="Lato" w:hAnsi="Lato" w:cs="Calibri"/>
          <w:b w:val="0"/>
          <w:sz w:val="22"/>
          <w:szCs w:val="22"/>
        </w:rPr>
      </w:pPr>
      <w:r w:rsidRPr="00B914EC">
        <w:rPr>
          <w:rFonts w:ascii="Lato" w:hAnsi="Lato" w:cs="Calibri"/>
          <w:b w:val="0"/>
          <w:sz w:val="22"/>
          <w:szCs w:val="22"/>
        </w:rPr>
        <w:t>wymiana doświadczeń i najlepszych praktyk w zakresie skutecznego rozpoznawania i zwalczania przestępczości handlu ludźmi pomiędzy funkcjonar</w:t>
      </w:r>
      <w:r>
        <w:rPr>
          <w:rFonts w:ascii="Lato" w:hAnsi="Lato" w:cs="Calibri"/>
          <w:b w:val="0"/>
          <w:sz w:val="22"/>
          <w:szCs w:val="22"/>
        </w:rPr>
        <w:t xml:space="preserve">iuszami krajów UE, </w:t>
      </w:r>
      <w:proofErr w:type="spellStart"/>
      <w:r>
        <w:rPr>
          <w:rFonts w:ascii="Lato" w:hAnsi="Lato" w:cs="Calibri"/>
          <w:b w:val="0"/>
          <w:sz w:val="22"/>
          <w:szCs w:val="22"/>
        </w:rPr>
        <w:t>IGOs</w:t>
      </w:r>
      <w:proofErr w:type="spellEnd"/>
      <w:r>
        <w:rPr>
          <w:rFonts w:ascii="Lato" w:hAnsi="Lato" w:cs="Calibri"/>
          <w:b w:val="0"/>
          <w:sz w:val="22"/>
          <w:szCs w:val="22"/>
        </w:rPr>
        <w:t xml:space="preserve"> i </w:t>
      </w:r>
      <w:proofErr w:type="spellStart"/>
      <w:r>
        <w:rPr>
          <w:rFonts w:ascii="Lato" w:hAnsi="Lato" w:cs="Calibri"/>
          <w:b w:val="0"/>
          <w:sz w:val="22"/>
          <w:szCs w:val="22"/>
        </w:rPr>
        <w:t>NGOs</w:t>
      </w:r>
      <w:proofErr w:type="spellEnd"/>
      <w:r>
        <w:rPr>
          <w:rFonts w:ascii="Lato" w:hAnsi="Lato" w:cs="Calibri"/>
          <w:b w:val="0"/>
          <w:sz w:val="22"/>
          <w:szCs w:val="22"/>
        </w:rPr>
        <w:t>;</w:t>
      </w:r>
    </w:p>
    <w:p w14:paraId="01166B15" w14:textId="105EF8AA" w:rsidR="005B724F" w:rsidRPr="00B914EC" w:rsidRDefault="00CA5708" w:rsidP="005B724F">
      <w:pPr>
        <w:pStyle w:val="Tytu"/>
        <w:numPr>
          <w:ilvl w:val="0"/>
          <w:numId w:val="28"/>
        </w:numPr>
        <w:spacing w:after="240" w:line="276" w:lineRule="auto"/>
        <w:jc w:val="left"/>
        <w:rPr>
          <w:rFonts w:ascii="Lato" w:hAnsi="Lato" w:cs="Calibri"/>
          <w:b w:val="0"/>
          <w:sz w:val="22"/>
          <w:szCs w:val="22"/>
        </w:rPr>
      </w:pPr>
      <w:r>
        <w:rPr>
          <w:rFonts w:ascii="Lato" w:hAnsi="Lato" w:cs="Calibri"/>
          <w:b w:val="0"/>
          <w:sz w:val="22"/>
          <w:szCs w:val="22"/>
        </w:rPr>
        <w:t>w</w:t>
      </w:r>
      <w:r w:rsidRPr="00B914EC">
        <w:rPr>
          <w:rFonts w:ascii="Lato" w:hAnsi="Lato" w:cs="Calibri"/>
          <w:b w:val="0"/>
          <w:sz w:val="22"/>
          <w:szCs w:val="22"/>
        </w:rPr>
        <w:t>spieranie</w:t>
      </w:r>
      <w:r w:rsidR="005B724F" w:rsidRPr="00B914EC">
        <w:rPr>
          <w:rFonts w:ascii="Lato" w:hAnsi="Lato" w:cs="Calibri"/>
          <w:b w:val="0"/>
          <w:sz w:val="22"/>
          <w:szCs w:val="22"/>
        </w:rPr>
        <w:t xml:space="preserve"> działań na rzecz skuteczniejszej walki z niegodziwym traktowaniem dzieci w celach seksualnych, w tym w ramach prewen</w:t>
      </w:r>
      <w:r w:rsidR="005B724F">
        <w:rPr>
          <w:rFonts w:ascii="Lato" w:hAnsi="Lato" w:cs="Calibri"/>
          <w:b w:val="0"/>
          <w:sz w:val="22"/>
          <w:szCs w:val="22"/>
        </w:rPr>
        <w:t>cji, dochodzeń i pomocy ofiarom;</w:t>
      </w:r>
    </w:p>
    <w:p w14:paraId="3C235ADA" w14:textId="3A8B9E89" w:rsidR="005B724F" w:rsidRPr="005B724F" w:rsidRDefault="00CA5708" w:rsidP="005B724F">
      <w:pPr>
        <w:pStyle w:val="Tytu"/>
        <w:numPr>
          <w:ilvl w:val="0"/>
          <w:numId w:val="28"/>
        </w:numPr>
        <w:spacing w:after="240" w:line="276" w:lineRule="auto"/>
        <w:jc w:val="left"/>
        <w:rPr>
          <w:rFonts w:ascii="Lato" w:hAnsi="Lato" w:cs="Calibri"/>
          <w:b w:val="0"/>
          <w:sz w:val="22"/>
          <w:szCs w:val="22"/>
        </w:rPr>
      </w:pPr>
      <w:r>
        <w:rPr>
          <w:rFonts w:ascii="Lato" w:hAnsi="Lato" w:cs="Calibri"/>
          <w:b w:val="0"/>
          <w:sz w:val="22"/>
          <w:szCs w:val="22"/>
        </w:rPr>
        <w:t>p</w:t>
      </w:r>
      <w:r w:rsidRPr="00B914EC">
        <w:rPr>
          <w:rFonts w:ascii="Lato" w:hAnsi="Lato" w:cs="Calibri"/>
          <w:b w:val="0"/>
          <w:sz w:val="22"/>
          <w:szCs w:val="22"/>
        </w:rPr>
        <w:t xml:space="preserve">rzeciwdziałanie </w:t>
      </w:r>
      <w:r w:rsidR="005B724F" w:rsidRPr="00B914EC">
        <w:rPr>
          <w:rFonts w:ascii="Lato" w:hAnsi="Lato" w:cs="Calibri"/>
          <w:b w:val="0"/>
          <w:sz w:val="22"/>
          <w:szCs w:val="22"/>
        </w:rPr>
        <w:t>przestępstwom poprzez zwiększenie profilaktyki społecznej.</w:t>
      </w:r>
    </w:p>
    <w:p w14:paraId="13701C43" w14:textId="17B594F1" w:rsidR="005D63D6" w:rsidRPr="00CD69C6" w:rsidRDefault="005D63D6" w:rsidP="00CD69C6">
      <w:pPr>
        <w:ind w:left="360"/>
        <w:rPr>
          <w:rFonts w:ascii="Lato" w:hAnsi="Lato" w:cs="Arial"/>
          <w:color w:val="000000"/>
        </w:rPr>
      </w:pPr>
      <w:r>
        <w:rPr>
          <w:rFonts w:ascii="Lato" w:hAnsi="Lato" w:cs="Arial"/>
          <w:color w:val="000000"/>
        </w:rPr>
        <w:t xml:space="preserve">Projekty uwzględniające obowiązkowe wskaźniki produktu i rezultatu właściwe dla Celu Szczegółowego 3, opisane w Polskim Programie Funduszu Bezpieczeństwa Wewnętrznego 2021-2027 </w:t>
      </w:r>
      <w:r w:rsidR="00CD69C6">
        <w:rPr>
          <w:rFonts w:ascii="Lato" w:hAnsi="Lato" w:cs="Arial"/>
          <w:color w:val="000000"/>
        </w:rPr>
        <w:t xml:space="preserve">mogą być szczególnie preferowane na etapie oceny. </w:t>
      </w:r>
    </w:p>
    <w:p w14:paraId="468AE1BE" w14:textId="174A2B69" w:rsidR="00C20C17" w:rsidRPr="00903993" w:rsidRDefault="008237B9" w:rsidP="00903993">
      <w:pPr>
        <w:pStyle w:val="Tytu"/>
        <w:spacing w:after="240" w:line="276" w:lineRule="auto"/>
        <w:ind w:left="360"/>
        <w:jc w:val="left"/>
        <w:rPr>
          <w:rFonts w:ascii="Lato" w:hAnsi="Lato" w:cs="Arial"/>
          <w:b w:val="0"/>
          <w:sz w:val="22"/>
          <w:szCs w:val="22"/>
          <w:u w:val="single"/>
        </w:rPr>
      </w:pPr>
      <w:r w:rsidRPr="00903993">
        <w:rPr>
          <w:rFonts w:ascii="Lato" w:hAnsi="Lato" w:cs="Arial"/>
          <w:sz w:val="22"/>
          <w:szCs w:val="22"/>
        </w:rPr>
        <w:t>Co do zasady n</w:t>
      </w:r>
      <w:r w:rsidR="00B943AA" w:rsidRPr="00903993">
        <w:rPr>
          <w:rFonts w:ascii="Lato" w:hAnsi="Lato" w:cs="Arial"/>
          <w:sz w:val="22"/>
          <w:szCs w:val="22"/>
        </w:rPr>
        <w:t xml:space="preserve">a zakup sprzętu, środków transportu lub budowę obiektów istotnych z punktu widzenia bezpieczeństwa może być przeznaczone maksymalnie </w:t>
      </w:r>
      <w:r w:rsidRPr="00903993">
        <w:rPr>
          <w:rFonts w:ascii="Lato" w:hAnsi="Lato" w:cs="Arial"/>
          <w:sz w:val="22"/>
          <w:szCs w:val="22"/>
        </w:rPr>
        <w:t>35%</w:t>
      </w:r>
      <w:r w:rsidR="0016776E" w:rsidRPr="00903993">
        <w:rPr>
          <w:rFonts w:ascii="Lato" w:hAnsi="Lato" w:cs="Arial"/>
          <w:sz w:val="22"/>
          <w:szCs w:val="22"/>
        </w:rPr>
        <w:t xml:space="preserve"> </w:t>
      </w:r>
      <w:r w:rsidR="000C4FEA" w:rsidRPr="00903993">
        <w:rPr>
          <w:rFonts w:ascii="Lato" w:hAnsi="Lato" w:cs="Arial"/>
          <w:sz w:val="22"/>
          <w:szCs w:val="22"/>
        </w:rPr>
        <w:t>wartości projektu</w:t>
      </w:r>
      <w:r w:rsidR="00B97046" w:rsidRPr="00903993">
        <w:rPr>
          <w:rFonts w:ascii="Lato" w:hAnsi="Lato" w:cs="Arial"/>
          <w:sz w:val="22"/>
          <w:szCs w:val="22"/>
        </w:rPr>
        <w:t>.</w:t>
      </w:r>
      <w:r w:rsidR="00B943AA" w:rsidRPr="00903993">
        <w:rPr>
          <w:rFonts w:ascii="Lato" w:hAnsi="Lato" w:cs="Arial"/>
          <w:b w:val="0"/>
          <w:sz w:val="22"/>
          <w:szCs w:val="22"/>
          <w:u w:val="single"/>
        </w:rPr>
        <w:t xml:space="preserve"> </w:t>
      </w:r>
    </w:p>
    <w:p w14:paraId="5FAF82CF" w14:textId="54E3906A" w:rsidR="002F2674" w:rsidRPr="002F2674" w:rsidRDefault="0008124C" w:rsidP="00B716C6">
      <w:pPr>
        <w:pStyle w:val="Tytu"/>
        <w:spacing w:after="240" w:line="276" w:lineRule="auto"/>
        <w:ind w:left="360"/>
        <w:jc w:val="left"/>
        <w:rPr>
          <w:rFonts w:ascii="Lato" w:hAnsi="Lato" w:cs="Arial"/>
          <w:b w:val="0"/>
          <w:sz w:val="22"/>
          <w:szCs w:val="22"/>
        </w:rPr>
      </w:pPr>
      <w:r w:rsidRPr="00300873">
        <w:rPr>
          <w:rFonts w:ascii="Lato" w:hAnsi="Lato" w:cs="Arial"/>
          <w:b w:val="0"/>
          <w:sz w:val="22"/>
          <w:szCs w:val="22"/>
          <w:u w:val="single"/>
        </w:rPr>
        <w:t>Do powyższego progu procentowego na sprzę</w:t>
      </w:r>
      <w:r w:rsidR="006A2C20">
        <w:rPr>
          <w:rFonts w:ascii="Lato" w:hAnsi="Lato" w:cs="Arial"/>
          <w:b w:val="0"/>
          <w:sz w:val="22"/>
          <w:szCs w:val="22"/>
          <w:u w:val="single"/>
        </w:rPr>
        <w:t xml:space="preserve">t nie wchodzą usługi takie jak: </w:t>
      </w:r>
      <w:r w:rsidR="004B788C" w:rsidRPr="00300873">
        <w:rPr>
          <w:rFonts w:ascii="Lato" w:hAnsi="Lato" w:cs="Arial"/>
          <w:b w:val="0"/>
          <w:sz w:val="22"/>
          <w:szCs w:val="22"/>
          <w:u w:val="single"/>
        </w:rPr>
        <w:t>oprogramowanie, licencje,</w:t>
      </w:r>
      <w:r w:rsidRPr="00300873">
        <w:rPr>
          <w:rFonts w:ascii="Lato" w:hAnsi="Lato" w:cs="Arial"/>
          <w:b w:val="0"/>
          <w:sz w:val="22"/>
          <w:szCs w:val="22"/>
          <w:u w:val="single"/>
        </w:rPr>
        <w:t xml:space="preserve"> koszty konserwacji</w:t>
      </w:r>
      <w:r w:rsidR="00A77235" w:rsidRPr="00300873">
        <w:rPr>
          <w:rFonts w:ascii="Lato" w:hAnsi="Lato" w:cs="Arial"/>
          <w:b w:val="0"/>
          <w:sz w:val="22"/>
          <w:szCs w:val="22"/>
          <w:u w:val="single"/>
        </w:rPr>
        <w:t>/utrzymania i gwarancje</w:t>
      </w:r>
      <w:r w:rsidR="004B788C" w:rsidRPr="00300873">
        <w:rPr>
          <w:rFonts w:ascii="Lato" w:hAnsi="Lato" w:cs="Arial"/>
          <w:b w:val="0"/>
          <w:sz w:val="22"/>
          <w:szCs w:val="22"/>
          <w:u w:val="single"/>
        </w:rPr>
        <w:t>.</w:t>
      </w:r>
    </w:p>
    <w:p w14:paraId="3C9351FB" w14:textId="77777777" w:rsidR="00BC3189" w:rsidRPr="00300873" w:rsidRDefault="00BC3189" w:rsidP="00720373">
      <w:pPr>
        <w:pStyle w:val="Nagwek1"/>
        <w:numPr>
          <w:ilvl w:val="0"/>
          <w:numId w:val="0"/>
        </w:numPr>
      </w:pPr>
      <w:r w:rsidRPr="00BC3189">
        <w:rPr>
          <w:rFonts w:eastAsia="Calibri" w:cstheme="majorBidi"/>
          <w:szCs w:val="32"/>
        </w:rPr>
        <w:t>Przykładowymi</w:t>
      </w:r>
      <w:r w:rsidRPr="00300873">
        <w:t xml:space="preserve"> działaniami kwalifikującymi się do dofinansowania w ramach naboru są: </w:t>
      </w:r>
    </w:p>
    <w:p w14:paraId="0CB542BE" w14:textId="77777777" w:rsidR="005B724F" w:rsidRPr="00E117D4" w:rsidRDefault="005B724F" w:rsidP="005B724F">
      <w:pPr>
        <w:numPr>
          <w:ilvl w:val="0"/>
          <w:numId w:val="28"/>
        </w:numPr>
        <w:rPr>
          <w:rFonts w:ascii="Lato" w:eastAsia="Calibri" w:hAnsi="Lato" w:cs="Times New Roman"/>
        </w:rPr>
      </w:pPr>
      <w:r w:rsidRPr="00E117D4">
        <w:rPr>
          <w:rFonts w:ascii="Lato" w:eastAsia="Calibri" w:hAnsi="Lato" w:cs="Times New Roman"/>
        </w:rPr>
        <w:t>uproszczenie procedur związanych ze zgłaszaniem wszelkiego rodzaju zdarzeń, przestępstw i wykroczeń, ograniczanie do niezbędnego minimum czynności procesowych z udziałem ofiar przestępstw, szczególnie dzieci i młodzieży oraz właściwe funkcjonowanie komunikacji wewnętrznej właściwych służb;</w:t>
      </w:r>
    </w:p>
    <w:p w14:paraId="20CE230E" w14:textId="2F3C57E2" w:rsidR="005B724F" w:rsidRPr="00E117D4" w:rsidRDefault="005B724F" w:rsidP="005B724F">
      <w:pPr>
        <w:numPr>
          <w:ilvl w:val="0"/>
          <w:numId w:val="28"/>
        </w:numPr>
        <w:rPr>
          <w:rFonts w:ascii="Lato" w:eastAsia="Calibri" w:hAnsi="Lato" w:cs="Times New Roman"/>
        </w:rPr>
      </w:pPr>
      <w:r w:rsidRPr="00E117D4">
        <w:rPr>
          <w:rFonts w:ascii="Lato" w:eastAsia="Calibri" w:hAnsi="Lato" w:cs="Times New Roman"/>
        </w:rPr>
        <w:t xml:space="preserve">działania koncentrujące się na wypracowywaniu i doskonaleniu skutecznych sposobów komunikacji pomiędzy służbami a obywatelami (infolinie, strony internetowe, </w:t>
      </w:r>
      <w:r w:rsidR="001438E3">
        <w:rPr>
          <w:rFonts w:ascii="Lato" w:eastAsia="Calibri" w:hAnsi="Lato" w:cs="Times New Roman"/>
        </w:rPr>
        <w:t xml:space="preserve">platformy społecznościowe, </w:t>
      </w:r>
      <w:r w:rsidRPr="00E117D4">
        <w:rPr>
          <w:rFonts w:ascii="Lato" w:eastAsia="Calibri" w:hAnsi="Lato" w:cs="Times New Roman"/>
        </w:rPr>
        <w:t>kontakt bezpośredni za pośrednictwem odpowiednich służb, itd.);</w:t>
      </w:r>
    </w:p>
    <w:p w14:paraId="1F239420" w14:textId="095E07D8" w:rsidR="005B724F" w:rsidRDefault="005B724F" w:rsidP="005B724F">
      <w:pPr>
        <w:numPr>
          <w:ilvl w:val="0"/>
          <w:numId w:val="28"/>
        </w:numPr>
        <w:rPr>
          <w:rFonts w:ascii="Lato" w:eastAsia="Calibri" w:hAnsi="Lato" w:cs="Times New Roman"/>
        </w:rPr>
      </w:pPr>
      <w:r w:rsidRPr="00E117D4">
        <w:rPr>
          <w:rFonts w:ascii="Lato" w:eastAsia="Calibri" w:hAnsi="Lato" w:cs="Times New Roman"/>
        </w:rPr>
        <w:t>wzmocnienie kompetencji i umiejętności odpowiednich służb</w:t>
      </w:r>
      <w:r>
        <w:rPr>
          <w:rFonts w:ascii="Lato" w:eastAsia="Calibri" w:hAnsi="Lato" w:cs="Times New Roman"/>
        </w:rPr>
        <w:t xml:space="preserve"> udzielających wsparcia osobom </w:t>
      </w:r>
      <w:r w:rsidRPr="00E117D4">
        <w:rPr>
          <w:rFonts w:ascii="Lato" w:eastAsia="Calibri" w:hAnsi="Lato" w:cs="Times New Roman"/>
        </w:rPr>
        <w:t xml:space="preserve">będącym ofiarami </w:t>
      </w:r>
      <w:r>
        <w:rPr>
          <w:rFonts w:ascii="Lato" w:eastAsia="Calibri" w:hAnsi="Lato" w:cs="Times New Roman"/>
        </w:rPr>
        <w:t>przestępstw handlu ludźmi</w:t>
      </w:r>
      <w:r w:rsidRPr="00E117D4">
        <w:rPr>
          <w:rFonts w:ascii="Lato" w:eastAsia="Calibri" w:hAnsi="Lato" w:cs="Times New Roman"/>
        </w:rPr>
        <w:t>, a także ich rodzin</w:t>
      </w:r>
      <w:r w:rsidR="005E72E9">
        <w:rPr>
          <w:rFonts w:ascii="Lato" w:eastAsia="Calibri" w:hAnsi="Lato" w:cs="Times New Roman"/>
        </w:rPr>
        <w:t>, działania takie powinny opierać się na wymianie doświadczeń i dobrych praktyk</w:t>
      </w:r>
      <w:r w:rsidRPr="00E117D4">
        <w:rPr>
          <w:rFonts w:ascii="Lato" w:eastAsia="Calibri" w:hAnsi="Lato" w:cs="Times New Roman"/>
        </w:rPr>
        <w:t xml:space="preserve">; </w:t>
      </w:r>
    </w:p>
    <w:p w14:paraId="63765132" w14:textId="77777777" w:rsidR="005E72E9" w:rsidRPr="00E117D4" w:rsidRDefault="005E72E9" w:rsidP="005E72E9">
      <w:pPr>
        <w:numPr>
          <w:ilvl w:val="0"/>
          <w:numId w:val="28"/>
        </w:numPr>
        <w:rPr>
          <w:rFonts w:ascii="Lato" w:eastAsia="Calibri" w:hAnsi="Lato" w:cs="Times New Roman"/>
        </w:rPr>
      </w:pPr>
      <w:r w:rsidRPr="00E117D4">
        <w:rPr>
          <w:rFonts w:ascii="Lato" w:eastAsia="Calibri" w:hAnsi="Lato" w:cs="Times New Roman"/>
        </w:rPr>
        <w:lastRenderedPageBreak/>
        <w:t>szkolenia dla osób pracujących z ofiarami przestępstw</w:t>
      </w:r>
      <w:r>
        <w:rPr>
          <w:rFonts w:ascii="Lato" w:eastAsia="Calibri" w:hAnsi="Lato" w:cs="Times New Roman"/>
        </w:rPr>
        <w:t xml:space="preserve"> handlu ludźmi</w:t>
      </w:r>
      <w:r w:rsidRPr="00E117D4">
        <w:rPr>
          <w:rFonts w:ascii="Lato" w:eastAsia="Calibri" w:hAnsi="Lato" w:cs="Times New Roman"/>
        </w:rPr>
        <w:t>, w tym międzynarodowa wymiana doświadczeń w zakresie istniejących systemów wsparcia ofiar i świadków przestępstw;</w:t>
      </w:r>
    </w:p>
    <w:p w14:paraId="628C4B71" w14:textId="48BD7536" w:rsidR="00455431" w:rsidRPr="00455431" w:rsidRDefault="00455431" w:rsidP="00455431">
      <w:pPr>
        <w:numPr>
          <w:ilvl w:val="0"/>
          <w:numId w:val="28"/>
        </w:numPr>
        <w:rPr>
          <w:rFonts w:ascii="Lato" w:eastAsia="Calibri" w:hAnsi="Lato" w:cs="Times New Roman"/>
        </w:rPr>
      </w:pPr>
      <w:r w:rsidRPr="00E117D4">
        <w:rPr>
          <w:rFonts w:ascii="Lato" w:eastAsia="Calibri" w:hAnsi="Lato" w:cs="Times New Roman"/>
        </w:rPr>
        <w:t xml:space="preserve">działania mające na celu zapewnienie ofiarom przestępstw opieki zdrowotnej </w:t>
      </w:r>
      <w:r w:rsidRPr="00E117D4">
        <w:rPr>
          <w:rFonts w:ascii="Lato" w:eastAsia="Calibri" w:hAnsi="Lato" w:cs="Times New Roman"/>
        </w:rPr>
        <w:br/>
        <w:t>i psychologicznej, pomocy socjalnej, a także doradztwa prawnego, zapewnienie usług pomocnicz</w:t>
      </w:r>
      <w:r>
        <w:rPr>
          <w:rFonts w:ascii="Lato" w:eastAsia="Calibri" w:hAnsi="Lato" w:cs="Times New Roman"/>
        </w:rPr>
        <w:t>ych w postaci wsparcia tłumacza.</w:t>
      </w:r>
    </w:p>
    <w:p w14:paraId="103533C2" w14:textId="77777777" w:rsidR="001438E3" w:rsidRPr="00E117D4" w:rsidRDefault="001438E3" w:rsidP="001438E3">
      <w:pPr>
        <w:numPr>
          <w:ilvl w:val="0"/>
          <w:numId w:val="28"/>
        </w:numPr>
        <w:rPr>
          <w:rFonts w:ascii="Lato" w:eastAsia="Calibri" w:hAnsi="Lato" w:cs="Times New Roman"/>
        </w:rPr>
      </w:pPr>
      <w:r w:rsidRPr="00E117D4">
        <w:rPr>
          <w:rFonts w:ascii="Lato" w:eastAsia="Calibri" w:hAnsi="Lato" w:cs="Times New Roman"/>
        </w:rPr>
        <w:t>doposażenie istniejących struktur w wyposażenie służące ofiarom przestępstw takie jak urządzenia multimedialne, edukacyjne i sportowo-rekreacyjne;</w:t>
      </w:r>
    </w:p>
    <w:p w14:paraId="4A6E4DF0" w14:textId="71C1011B" w:rsidR="001438E3" w:rsidRDefault="001438E3" w:rsidP="001438E3">
      <w:pPr>
        <w:numPr>
          <w:ilvl w:val="0"/>
          <w:numId w:val="28"/>
        </w:numPr>
        <w:rPr>
          <w:rFonts w:ascii="Lato" w:eastAsia="Calibri" w:hAnsi="Lato" w:cs="Times New Roman"/>
        </w:rPr>
      </w:pPr>
      <w:r>
        <w:rPr>
          <w:rFonts w:ascii="Lato" w:eastAsia="Calibri" w:hAnsi="Lato" w:cs="Times New Roman"/>
        </w:rPr>
        <w:t xml:space="preserve">przeprowadzenie diagnozy </w:t>
      </w:r>
      <w:r w:rsidRPr="00E117D4">
        <w:rPr>
          <w:rFonts w:ascii="Lato" w:eastAsia="Calibri" w:hAnsi="Lato" w:cs="Times New Roman"/>
        </w:rPr>
        <w:t>w zakresie identyfikacji grup p</w:t>
      </w:r>
      <w:r>
        <w:rPr>
          <w:rFonts w:ascii="Lato" w:eastAsia="Calibri" w:hAnsi="Lato" w:cs="Times New Roman"/>
        </w:rPr>
        <w:t>otencjalnych ofiar przestępstw;</w:t>
      </w:r>
    </w:p>
    <w:p w14:paraId="512B2AB2" w14:textId="5B123A92" w:rsidR="00D433D9" w:rsidRPr="00467FC4" w:rsidRDefault="00D433D9" w:rsidP="00467FC4">
      <w:pPr>
        <w:numPr>
          <w:ilvl w:val="0"/>
          <w:numId w:val="28"/>
        </w:numPr>
        <w:rPr>
          <w:rFonts w:ascii="Lato" w:eastAsia="Calibri" w:hAnsi="Lato" w:cs="Times New Roman"/>
        </w:rPr>
      </w:pPr>
      <w:r w:rsidRPr="00D433D9">
        <w:rPr>
          <w:rFonts w:ascii="Lato" w:eastAsia="Calibri" w:hAnsi="Lato" w:cs="Times New Roman"/>
        </w:rPr>
        <w:t>wsparcie dla ofiar przestępstw z nienawiści</w:t>
      </w:r>
      <w:r w:rsidR="00467FC4">
        <w:rPr>
          <w:rFonts w:ascii="Lato" w:eastAsia="Calibri" w:hAnsi="Lato" w:cs="Times New Roman"/>
        </w:rPr>
        <w:t xml:space="preserve"> </w:t>
      </w:r>
      <w:r w:rsidR="00467FC4" w:rsidRPr="00D433D9">
        <w:rPr>
          <w:rFonts w:ascii="Lato" w:eastAsia="Calibri" w:hAnsi="Lato" w:cs="Times New Roman"/>
        </w:rPr>
        <w:t>oraz podnoszenie świadomości osób ich</w:t>
      </w:r>
      <w:r w:rsidR="00467FC4">
        <w:rPr>
          <w:rFonts w:ascii="Lato" w:eastAsia="Calibri" w:hAnsi="Lato" w:cs="Times New Roman"/>
        </w:rPr>
        <w:t xml:space="preserve"> </w:t>
      </w:r>
      <w:r w:rsidR="00467FC4" w:rsidRPr="00D433D9">
        <w:rPr>
          <w:rFonts w:ascii="Lato" w:eastAsia="Calibri" w:hAnsi="Lato" w:cs="Times New Roman"/>
        </w:rPr>
        <w:t>doświadczających i całego społeczeństwa</w:t>
      </w:r>
      <w:r w:rsidRPr="00D433D9">
        <w:rPr>
          <w:rFonts w:ascii="Lato" w:eastAsia="Calibri" w:hAnsi="Lato" w:cs="Times New Roman"/>
        </w:rPr>
        <w:t xml:space="preserve">, a także </w:t>
      </w:r>
      <w:r>
        <w:rPr>
          <w:rFonts w:ascii="Lato" w:eastAsia="Calibri" w:hAnsi="Lato" w:cs="Times New Roman"/>
        </w:rPr>
        <w:t>podniesienie kompetencji</w:t>
      </w:r>
      <w:r w:rsidRPr="00D433D9">
        <w:rPr>
          <w:rFonts w:ascii="Lato" w:eastAsia="Calibri" w:hAnsi="Lato" w:cs="Times New Roman"/>
        </w:rPr>
        <w:t xml:space="preserve"> służb </w:t>
      </w:r>
      <w:r w:rsidR="00467FC4">
        <w:rPr>
          <w:rFonts w:ascii="Lato" w:eastAsia="Calibri" w:hAnsi="Lato" w:cs="Times New Roman"/>
        </w:rPr>
        <w:t>w zakresie przeciwdziałania tego typu przestępstwom</w:t>
      </w:r>
      <w:r>
        <w:rPr>
          <w:rFonts w:ascii="Lato" w:eastAsia="Calibri" w:hAnsi="Lato" w:cs="Times New Roman"/>
        </w:rPr>
        <w:t xml:space="preserve">; </w:t>
      </w:r>
    </w:p>
    <w:p w14:paraId="2C1192C6" w14:textId="77777777" w:rsidR="005B724F" w:rsidRPr="00E117D4" w:rsidRDefault="005B724F" w:rsidP="005B724F">
      <w:pPr>
        <w:numPr>
          <w:ilvl w:val="0"/>
          <w:numId w:val="28"/>
        </w:numPr>
        <w:rPr>
          <w:rFonts w:ascii="Lato" w:eastAsia="Calibri" w:hAnsi="Lato" w:cs="Times New Roman"/>
        </w:rPr>
      </w:pPr>
      <w:r w:rsidRPr="00E117D4">
        <w:rPr>
          <w:rFonts w:ascii="Lato" w:eastAsia="Calibri" w:hAnsi="Lato" w:cs="Times New Roman"/>
        </w:rPr>
        <w:t xml:space="preserve">wypracowanie mechanizmów oraz najlepszych praktyk w zakresie wczesnej identyfikacji, ochrony i wsparcia świadków oraz ofiar przestępstw; </w:t>
      </w:r>
    </w:p>
    <w:p w14:paraId="491B93CF" w14:textId="46298B96" w:rsidR="005B724F" w:rsidRPr="00E117D4" w:rsidRDefault="005B724F" w:rsidP="001438E3">
      <w:pPr>
        <w:numPr>
          <w:ilvl w:val="0"/>
          <w:numId w:val="28"/>
        </w:numPr>
        <w:rPr>
          <w:rFonts w:ascii="Lato" w:eastAsia="Calibri" w:hAnsi="Lato" w:cs="Times New Roman"/>
        </w:rPr>
      </w:pPr>
      <w:r w:rsidRPr="00E117D4">
        <w:rPr>
          <w:rFonts w:ascii="Lato" w:eastAsia="Calibri" w:hAnsi="Lato" w:cs="Times New Roman"/>
        </w:rPr>
        <w:t>szkolenia, kampanie informacyjne, w tym ogólnopolskie kampanie edukacyjno-informacyjne</w:t>
      </w:r>
      <w:r w:rsidR="001438E3">
        <w:rPr>
          <w:rFonts w:ascii="Lato" w:eastAsia="Calibri" w:hAnsi="Lato" w:cs="Times New Roman"/>
        </w:rPr>
        <w:t xml:space="preserve"> z uwzględnieniem platform</w:t>
      </w:r>
      <w:r w:rsidR="001438E3" w:rsidRPr="001438E3">
        <w:rPr>
          <w:rFonts w:ascii="Lato" w:eastAsia="Calibri" w:hAnsi="Lato" w:cs="Times New Roman"/>
        </w:rPr>
        <w:t xml:space="preserve"> społecznościow</w:t>
      </w:r>
      <w:r w:rsidR="001438E3">
        <w:rPr>
          <w:rFonts w:ascii="Lato" w:eastAsia="Calibri" w:hAnsi="Lato" w:cs="Times New Roman"/>
        </w:rPr>
        <w:t>ych</w:t>
      </w:r>
      <w:r>
        <w:rPr>
          <w:rFonts w:ascii="Lato" w:eastAsia="Calibri" w:hAnsi="Lato" w:cs="Times New Roman"/>
        </w:rPr>
        <w:t xml:space="preserve">, </w:t>
      </w:r>
      <w:r w:rsidRPr="00E825C0">
        <w:rPr>
          <w:rFonts w:ascii="Lato" w:eastAsia="Calibri" w:hAnsi="Lato" w:cs="Times New Roman"/>
        </w:rPr>
        <w:t>przy czym wydatki związane z informacją i promocją</w:t>
      </w:r>
      <w:r w:rsidR="00B716C6" w:rsidRPr="00E825C0">
        <w:rPr>
          <w:rFonts w:ascii="Lato" w:eastAsia="Calibri" w:hAnsi="Lato" w:cs="Times New Roman"/>
        </w:rPr>
        <w:t xml:space="preserve"> (kampanie informacyjne, ulotki reklamowe etc.)</w:t>
      </w:r>
      <w:r w:rsidRPr="00E825C0">
        <w:rPr>
          <w:rFonts w:ascii="Lato" w:eastAsia="Calibri" w:hAnsi="Lato" w:cs="Times New Roman"/>
        </w:rPr>
        <w:t xml:space="preserve"> mogą stanowić maksymalnie 50% całkowitego budżetu projektu;</w:t>
      </w:r>
    </w:p>
    <w:p w14:paraId="01FBB03A" w14:textId="77777777" w:rsidR="005B724F" w:rsidRPr="00E117D4" w:rsidRDefault="005B724F" w:rsidP="005B724F">
      <w:pPr>
        <w:numPr>
          <w:ilvl w:val="0"/>
          <w:numId w:val="28"/>
        </w:numPr>
        <w:rPr>
          <w:rFonts w:ascii="Lato" w:eastAsia="Calibri" w:hAnsi="Lato" w:cs="Times New Roman"/>
        </w:rPr>
      </w:pPr>
      <w:r w:rsidRPr="00E117D4">
        <w:rPr>
          <w:rFonts w:ascii="Lato" w:eastAsia="Calibri" w:hAnsi="Lato" w:cs="Times New Roman"/>
        </w:rPr>
        <w:t xml:space="preserve">organizację wydarzeń promujących problematykę wspierania ofiar przestępstw skierowanych do ogółu społeczeństwa; </w:t>
      </w:r>
    </w:p>
    <w:p w14:paraId="2FA46362" w14:textId="77777777" w:rsidR="005B724F" w:rsidRPr="00E117D4" w:rsidRDefault="005B724F" w:rsidP="005B724F">
      <w:pPr>
        <w:numPr>
          <w:ilvl w:val="0"/>
          <w:numId w:val="28"/>
        </w:numPr>
        <w:rPr>
          <w:rFonts w:ascii="Lato" w:eastAsia="Calibri" w:hAnsi="Lato" w:cs="Times New Roman"/>
        </w:rPr>
      </w:pPr>
      <w:r w:rsidRPr="00E117D4">
        <w:rPr>
          <w:rFonts w:ascii="Lato" w:eastAsia="Calibri" w:hAnsi="Lato" w:cs="Times New Roman"/>
        </w:rPr>
        <w:t xml:space="preserve">przeprowadzenie spotkań edukacyjnych na temat przeciwdziałania przestępstwom </w:t>
      </w:r>
      <w:r>
        <w:rPr>
          <w:rFonts w:ascii="Lato" w:eastAsia="Calibri" w:hAnsi="Lato" w:cs="Times New Roman"/>
        </w:rPr>
        <w:t xml:space="preserve">handlu ludźmi </w:t>
      </w:r>
      <w:r w:rsidRPr="00E117D4">
        <w:rPr>
          <w:rFonts w:ascii="Lato" w:eastAsia="Calibri" w:hAnsi="Lato" w:cs="Times New Roman"/>
        </w:rPr>
        <w:t>na terenie całego kraju;</w:t>
      </w:r>
    </w:p>
    <w:p w14:paraId="508576ED" w14:textId="06DF61BA" w:rsidR="005B724F" w:rsidRPr="00A02D14" w:rsidRDefault="005B724F" w:rsidP="005B724F">
      <w:pPr>
        <w:numPr>
          <w:ilvl w:val="0"/>
          <w:numId w:val="28"/>
        </w:numPr>
        <w:rPr>
          <w:rFonts w:ascii="Lato" w:eastAsia="Calibri" w:hAnsi="Lato" w:cs="Times New Roman"/>
        </w:rPr>
      </w:pPr>
      <w:r w:rsidRPr="00A02D14">
        <w:rPr>
          <w:rFonts w:ascii="Lato" w:eastAsia="Calibri" w:hAnsi="Lato" w:cs="Times New Roman"/>
        </w:rPr>
        <w:t>upowszechnienie wiedzy nt. wybranych przestępstw wśród młodzieży szkolnej i studentów poprzez org</w:t>
      </w:r>
      <w:r w:rsidR="00455431">
        <w:rPr>
          <w:rFonts w:ascii="Lato" w:eastAsia="Calibri" w:hAnsi="Lato" w:cs="Times New Roman"/>
        </w:rPr>
        <w:t>anizację spotkań informacyjnych</w:t>
      </w:r>
      <w:r w:rsidR="001438E3">
        <w:rPr>
          <w:rFonts w:ascii="Lato" w:eastAsia="Calibri" w:hAnsi="Lato" w:cs="Times New Roman"/>
        </w:rPr>
        <w:t xml:space="preserve"> oraz poprzez informacje na platformach społecznościowych</w:t>
      </w:r>
      <w:r w:rsidR="00455431">
        <w:rPr>
          <w:rFonts w:ascii="Lato" w:eastAsia="Calibri" w:hAnsi="Lato" w:cs="Times New Roman"/>
        </w:rPr>
        <w:t>.</w:t>
      </w:r>
    </w:p>
    <w:p w14:paraId="4FF94583" w14:textId="776E742C" w:rsidR="006B792B" w:rsidRPr="00BC3189" w:rsidRDefault="006B792B" w:rsidP="00CD20ED">
      <w:pPr>
        <w:pStyle w:val="Nagwek1"/>
      </w:pPr>
      <w:r w:rsidRPr="00BC3189">
        <w:t>Orientacyjny harmonogram naboru i jego terminy:</w:t>
      </w:r>
    </w:p>
    <w:p w14:paraId="636BB4EB" w14:textId="040B0EC6" w:rsidR="00BC3189" w:rsidRPr="002B6775" w:rsidRDefault="00BC3189" w:rsidP="00577028">
      <w:pPr>
        <w:pStyle w:val="Tytu"/>
        <w:spacing w:after="240" w:line="276" w:lineRule="auto"/>
        <w:jc w:val="left"/>
        <w:rPr>
          <w:rFonts w:ascii="Lato" w:hAnsi="Lato" w:cs="Arial"/>
          <w:b w:val="0"/>
          <w:sz w:val="22"/>
          <w:szCs w:val="22"/>
        </w:rPr>
      </w:pPr>
      <w:r w:rsidRPr="002B6775">
        <w:rPr>
          <w:rFonts w:ascii="Lato" w:hAnsi="Lato" w:cs="Arial"/>
          <w:b w:val="0"/>
          <w:sz w:val="22"/>
          <w:szCs w:val="22"/>
        </w:rPr>
        <w:t>Nabór projektów odbywa się w okresie od dnia 31 marca 2026 r. do dnia 1 czerwca 2026 r., do godz. 23.59</w:t>
      </w:r>
    </w:p>
    <w:tbl>
      <w:tblPr>
        <w:tblStyle w:val="Tabela-Siatka"/>
        <w:tblW w:w="0" w:type="auto"/>
        <w:tblCellMar>
          <w:left w:w="70" w:type="dxa"/>
          <w:right w:w="70" w:type="dxa"/>
        </w:tblCellMar>
        <w:tblLook w:val="0000" w:firstRow="0" w:lastRow="0" w:firstColumn="0" w:lastColumn="0" w:noHBand="0" w:noVBand="0"/>
      </w:tblPr>
      <w:tblGrid>
        <w:gridCol w:w="4673"/>
        <w:gridCol w:w="4389"/>
      </w:tblGrid>
      <w:tr w:rsidR="006B792B" w:rsidRPr="00D42D67" w14:paraId="47E66A0A" w14:textId="77777777" w:rsidTr="002B6775">
        <w:trPr>
          <w:trHeight w:val="416"/>
        </w:trPr>
        <w:tc>
          <w:tcPr>
            <w:tcW w:w="9062" w:type="dxa"/>
            <w:gridSpan w:val="2"/>
            <w:shd w:val="clear" w:color="auto" w:fill="17365D" w:themeFill="text2" w:themeFillShade="BF"/>
          </w:tcPr>
          <w:p w14:paraId="72873418" w14:textId="77777777" w:rsidR="006B792B" w:rsidRPr="004521C2" w:rsidRDefault="006B792B" w:rsidP="0076096A">
            <w:pPr>
              <w:rPr>
                <w:rFonts w:ascii="Lato" w:hAnsi="Lato"/>
                <w:b/>
              </w:rPr>
            </w:pPr>
            <w:r w:rsidRPr="004521C2">
              <w:rPr>
                <w:rFonts w:ascii="Lato" w:hAnsi="Lato"/>
                <w:b/>
              </w:rPr>
              <w:t xml:space="preserve">ORIENTACYJNY HARMONOGRAM I TERMINY </w:t>
            </w:r>
          </w:p>
        </w:tc>
      </w:tr>
      <w:tr w:rsidR="006B792B" w:rsidRPr="00D42D67" w14:paraId="04F18328" w14:textId="77777777" w:rsidTr="00B914EC">
        <w:tblPrEx>
          <w:tblCellMar>
            <w:left w:w="108" w:type="dxa"/>
            <w:right w:w="108" w:type="dxa"/>
          </w:tblCellMar>
          <w:tblLook w:val="04A0" w:firstRow="1" w:lastRow="0" w:firstColumn="1" w:lastColumn="0" w:noHBand="0" w:noVBand="1"/>
        </w:tblPrEx>
        <w:trPr>
          <w:trHeight w:val="417"/>
        </w:trPr>
        <w:tc>
          <w:tcPr>
            <w:tcW w:w="4673" w:type="dxa"/>
            <w:shd w:val="clear" w:color="auto" w:fill="C6D9F1" w:themeFill="text2" w:themeFillTint="33"/>
          </w:tcPr>
          <w:p w14:paraId="6D7EDC12" w14:textId="77777777" w:rsidR="006B792B" w:rsidRPr="004521C2" w:rsidRDefault="006B792B" w:rsidP="0076096A">
            <w:pPr>
              <w:rPr>
                <w:rFonts w:ascii="Lato" w:hAnsi="Lato"/>
              </w:rPr>
            </w:pPr>
            <w:r w:rsidRPr="004521C2">
              <w:rPr>
                <w:rFonts w:ascii="Lato" w:hAnsi="Lato"/>
              </w:rPr>
              <w:t>Ogłoszenie naboru</w:t>
            </w:r>
          </w:p>
        </w:tc>
        <w:tc>
          <w:tcPr>
            <w:tcW w:w="4389" w:type="dxa"/>
            <w:shd w:val="clear" w:color="auto" w:fill="C6D9F1" w:themeFill="text2" w:themeFillTint="33"/>
          </w:tcPr>
          <w:p w14:paraId="36CD8198" w14:textId="0EE234F1" w:rsidR="006B792B" w:rsidRPr="004521C2" w:rsidRDefault="00897425" w:rsidP="004521C2">
            <w:pPr>
              <w:rPr>
                <w:rFonts w:ascii="Lato" w:hAnsi="Lato"/>
              </w:rPr>
            </w:pPr>
            <w:r>
              <w:rPr>
                <w:rFonts w:ascii="Lato" w:hAnsi="Lato"/>
              </w:rPr>
              <w:t>31</w:t>
            </w:r>
            <w:r w:rsidR="0085163A" w:rsidRPr="004521C2">
              <w:rPr>
                <w:rFonts w:ascii="Lato" w:hAnsi="Lato"/>
              </w:rPr>
              <w:t xml:space="preserve"> </w:t>
            </w:r>
            <w:r w:rsidR="004521C2">
              <w:rPr>
                <w:rFonts w:ascii="Lato" w:hAnsi="Lato"/>
              </w:rPr>
              <w:t>marca</w:t>
            </w:r>
            <w:r w:rsidR="00326DFB" w:rsidRPr="004521C2">
              <w:rPr>
                <w:rFonts w:ascii="Lato" w:hAnsi="Lato"/>
              </w:rPr>
              <w:t xml:space="preserve"> </w:t>
            </w:r>
            <w:r w:rsidR="006B792B" w:rsidRPr="004521C2">
              <w:rPr>
                <w:rFonts w:ascii="Lato" w:hAnsi="Lato"/>
              </w:rPr>
              <w:t>202</w:t>
            </w:r>
            <w:r w:rsidR="004521C2">
              <w:rPr>
                <w:rFonts w:ascii="Lato" w:hAnsi="Lato"/>
              </w:rPr>
              <w:t>6</w:t>
            </w:r>
          </w:p>
        </w:tc>
      </w:tr>
      <w:tr w:rsidR="006B792B" w:rsidRPr="00D42D67" w14:paraId="1402B7AF" w14:textId="77777777" w:rsidTr="00B914EC">
        <w:tblPrEx>
          <w:tblCellMar>
            <w:left w:w="108" w:type="dxa"/>
            <w:right w:w="108" w:type="dxa"/>
          </w:tblCellMar>
          <w:tblLook w:val="04A0" w:firstRow="1" w:lastRow="0" w:firstColumn="1" w:lastColumn="0" w:noHBand="0" w:noVBand="1"/>
        </w:tblPrEx>
        <w:trPr>
          <w:trHeight w:val="409"/>
        </w:trPr>
        <w:tc>
          <w:tcPr>
            <w:tcW w:w="4673" w:type="dxa"/>
            <w:shd w:val="clear" w:color="auto" w:fill="C6D9F1" w:themeFill="text2" w:themeFillTint="33"/>
          </w:tcPr>
          <w:p w14:paraId="40414E54" w14:textId="77777777" w:rsidR="006B792B" w:rsidRPr="004521C2" w:rsidRDefault="006B792B" w:rsidP="0076096A">
            <w:pPr>
              <w:rPr>
                <w:rFonts w:ascii="Lato" w:hAnsi="Lato"/>
              </w:rPr>
            </w:pPr>
            <w:r w:rsidRPr="004521C2">
              <w:rPr>
                <w:rFonts w:ascii="Lato" w:hAnsi="Lato"/>
              </w:rPr>
              <w:t>Termin składania wniosków o dofinansowanie</w:t>
            </w:r>
          </w:p>
        </w:tc>
        <w:tc>
          <w:tcPr>
            <w:tcW w:w="4389" w:type="dxa"/>
            <w:shd w:val="clear" w:color="auto" w:fill="C6D9F1" w:themeFill="text2" w:themeFillTint="33"/>
          </w:tcPr>
          <w:p w14:paraId="2466BA38" w14:textId="2B703928" w:rsidR="006B792B" w:rsidRPr="004521C2" w:rsidRDefault="00BC3189" w:rsidP="00BC3189">
            <w:pPr>
              <w:rPr>
                <w:rFonts w:ascii="Lato" w:hAnsi="Lato"/>
              </w:rPr>
            </w:pPr>
            <w:r>
              <w:rPr>
                <w:rFonts w:ascii="Lato" w:hAnsi="Lato"/>
              </w:rPr>
              <w:t>1 czerwca</w:t>
            </w:r>
            <w:r w:rsidR="00CA051B">
              <w:rPr>
                <w:rFonts w:ascii="Lato" w:hAnsi="Lato"/>
              </w:rPr>
              <w:t xml:space="preserve"> </w:t>
            </w:r>
            <w:r w:rsidR="006B792B" w:rsidRPr="004521C2">
              <w:rPr>
                <w:rFonts w:ascii="Lato" w:hAnsi="Lato"/>
              </w:rPr>
              <w:t>202</w:t>
            </w:r>
            <w:r w:rsidR="00C57B71" w:rsidRPr="004521C2">
              <w:rPr>
                <w:rFonts w:ascii="Lato" w:hAnsi="Lato"/>
              </w:rPr>
              <w:t>6</w:t>
            </w:r>
          </w:p>
        </w:tc>
      </w:tr>
      <w:tr w:rsidR="006B792B" w:rsidRPr="00D42D67" w14:paraId="01229238" w14:textId="77777777" w:rsidTr="00B914EC">
        <w:tblPrEx>
          <w:tblCellMar>
            <w:left w:w="108" w:type="dxa"/>
            <w:right w:w="108" w:type="dxa"/>
          </w:tblCellMar>
          <w:tblLook w:val="04A0" w:firstRow="1" w:lastRow="0" w:firstColumn="1" w:lastColumn="0" w:noHBand="0" w:noVBand="1"/>
        </w:tblPrEx>
        <w:trPr>
          <w:trHeight w:val="415"/>
        </w:trPr>
        <w:tc>
          <w:tcPr>
            <w:tcW w:w="4673" w:type="dxa"/>
            <w:shd w:val="clear" w:color="auto" w:fill="C6D9F1" w:themeFill="text2" w:themeFillTint="33"/>
          </w:tcPr>
          <w:p w14:paraId="474D7709" w14:textId="77777777" w:rsidR="006B792B" w:rsidRPr="004521C2" w:rsidRDefault="006B792B" w:rsidP="0076096A">
            <w:pPr>
              <w:rPr>
                <w:rFonts w:ascii="Lato" w:hAnsi="Lato"/>
              </w:rPr>
            </w:pPr>
            <w:r w:rsidRPr="004521C2">
              <w:rPr>
                <w:rFonts w:ascii="Lato" w:hAnsi="Lato"/>
              </w:rPr>
              <w:t>Ocena formalna i merytoryczna</w:t>
            </w:r>
          </w:p>
        </w:tc>
        <w:tc>
          <w:tcPr>
            <w:tcW w:w="4389" w:type="dxa"/>
            <w:shd w:val="clear" w:color="auto" w:fill="C6D9F1" w:themeFill="text2" w:themeFillTint="33"/>
          </w:tcPr>
          <w:p w14:paraId="01DC7289" w14:textId="6D3A1FAB" w:rsidR="006B792B" w:rsidRPr="004521C2" w:rsidRDefault="002B6775" w:rsidP="00C57B71">
            <w:pPr>
              <w:rPr>
                <w:rFonts w:ascii="Lato" w:hAnsi="Lato"/>
              </w:rPr>
            </w:pPr>
            <w:r>
              <w:rPr>
                <w:rFonts w:ascii="Lato" w:hAnsi="Lato"/>
              </w:rPr>
              <w:t>c</w:t>
            </w:r>
            <w:r w:rsidR="00CA051B">
              <w:rPr>
                <w:rFonts w:ascii="Lato" w:hAnsi="Lato"/>
              </w:rPr>
              <w:t xml:space="preserve">zerwiec </w:t>
            </w:r>
            <w:r w:rsidR="004521C2">
              <w:rPr>
                <w:rFonts w:ascii="Lato" w:hAnsi="Lato"/>
              </w:rPr>
              <w:t>- lipiec</w:t>
            </w:r>
            <w:r w:rsidR="00C57B71" w:rsidRPr="004521C2">
              <w:rPr>
                <w:rFonts w:ascii="Lato" w:hAnsi="Lato"/>
              </w:rPr>
              <w:t xml:space="preserve"> 2026</w:t>
            </w:r>
          </w:p>
        </w:tc>
      </w:tr>
      <w:tr w:rsidR="006B792B" w:rsidRPr="00D42D67" w14:paraId="519B591E" w14:textId="77777777" w:rsidTr="00B914EC">
        <w:tblPrEx>
          <w:tblCellMar>
            <w:left w:w="108" w:type="dxa"/>
            <w:right w:w="108" w:type="dxa"/>
          </w:tblCellMar>
          <w:tblLook w:val="04A0" w:firstRow="1" w:lastRow="0" w:firstColumn="1" w:lastColumn="0" w:noHBand="0" w:noVBand="1"/>
        </w:tblPrEx>
        <w:trPr>
          <w:trHeight w:val="420"/>
        </w:trPr>
        <w:tc>
          <w:tcPr>
            <w:tcW w:w="4673" w:type="dxa"/>
            <w:shd w:val="clear" w:color="auto" w:fill="C6D9F1" w:themeFill="text2" w:themeFillTint="33"/>
          </w:tcPr>
          <w:p w14:paraId="26501469" w14:textId="77777777" w:rsidR="006B792B" w:rsidRPr="004521C2" w:rsidRDefault="006B792B" w:rsidP="0076096A">
            <w:pPr>
              <w:rPr>
                <w:rFonts w:ascii="Lato" w:hAnsi="Lato"/>
              </w:rPr>
            </w:pPr>
            <w:r w:rsidRPr="004521C2">
              <w:rPr>
                <w:rFonts w:ascii="Lato" w:hAnsi="Lato"/>
              </w:rPr>
              <w:t>Informacja o wynikach oceny</w:t>
            </w:r>
          </w:p>
        </w:tc>
        <w:tc>
          <w:tcPr>
            <w:tcW w:w="4389" w:type="dxa"/>
            <w:shd w:val="clear" w:color="auto" w:fill="C6D9F1" w:themeFill="text2" w:themeFillTint="33"/>
          </w:tcPr>
          <w:p w14:paraId="692BD51B" w14:textId="2A662F24" w:rsidR="006B792B" w:rsidRPr="004521C2" w:rsidRDefault="00CA051B" w:rsidP="008B105D">
            <w:pPr>
              <w:rPr>
                <w:rFonts w:ascii="Lato" w:hAnsi="Lato"/>
              </w:rPr>
            </w:pPr>
            <w:r>
              <w:rPr>
                <w:rFonts w:ascii="Lato" w:hAnsi="Lato"/>
              </w:rPr>
              <w:t>sierpień</w:t>
            </w:r>
            <w:r w:rsidR="004521C2">
              <w:rPr>
                <w:rFonts w:ascii="Lato" w:hAnsi="Lato"/>
              </w:rPr>
              <w:t xml:space="preserve"> </w:t>
            </w:r>
            <w:r w:rsidR="00C57B71" w:rsidRPr="004521C2">
              <w:rPr>
                <w:rFonts w:ascii="Lato" w:hAnsi="Lato"/>
              </w:rPr>
              <w:t>2026</w:t>
            </w:r>
          </w:p>
        </w:tc>
      </w:tr>
      <w:tr w:rsidR="006B792B" w:rsidRPr="00D42D67" w14:paraId="761151E0" w14:textId="77777777" w:rsidTr="00B914EC">
        <w:tblPrEx>
          <w:tblCellMar>
            <w:left w:w="108" w:type="dxa"/>
            <w:right w:w="108" w:type="dxa"/>
          </w:tblCellMar>
          <w:tblLook w:val="04A0" w:firstRow="1" w:lastRow="0" w:firstColumn="1" w:lastColumn="0" w:noHBand="0" w:noVBand="1"/>
        </w:tblPrEx>
        <w:trPr>
          <w:trHeight w:val="412"/>
        </w:trPr>
        <w:tc>
          <w:tcPr>
            <w:tcW w:w="4673" w:type="dxa"/>
            <w:shd w:val="clear" w:color="auto" w:fill="C6D9F1" w:themeFill="text2" w:themeFillTint="33"/>
          </w:tcPr>
          <w:p w14:paraId="4FB6B00F" w14:textId="77777777" w:rsidR="006B792B" w:rsidRPr="004521C2" w:rsidRDefault="006B792B" w:rsidP="0076096A">
            <w:pPr>
              <w:rPr>
                <w:rFonts w:ascii="Lato" w:hAnsi="Lato"/>
              </w:rPr>
            </w:pPr>
            <w:r w:rsidRPr="004521C2">
              <w:rPr>
                <w:rFonts w:ascii="Lato" w:hAnsi="Lato"/>
              </w:rPr>
              <w:t>Data podpisania porozumień finansowych</w:t>
            </w:r>
          </w:p>
        </w:tc>
        <w:tc>
          <w:tcPr>
            <w:tcW w:w="4389" w:type="dxa"/>
            <w:shd w:val="clear" w:color="auto" w:fill="C6D9F1" w:themeFill="text2" w:themeFillTint="33"/>
          </w:tcPr>
          <w:p w14:paraId="2E8D1953" w14:textId="2B0ABFB5" w:rsidR="006B792B" w:rsidRPr="004521C2" w:rsidRDefault="00CA051B" w:rsidP="008B105D">
            <w:pPr>
              <w:rPr>
                <w:rFonts w:ascii="Lato" w:hAnsi="Lato"/>
              </w:rPr>
            </w:pPr>
            <w:r>
              <w:rPr>
                <w:rFonts w:ascii="Lato" w:hAnsi="Lato"/>
              </w:rPr>
              <w:t>wrzesień</w:t>
            </w:r>
            <w:r w:rsidR="008B105D" w:rsidRPr="004521C2">
              <w:rPr>
                <w:rFonts w:ascii="Lato" w:hAnsi="Lato"/>
              </w:rPr>
              <w:t xml:space="preserve"> </w:t>
            </w:r>
            <w:r w:rsidR="005B724F">
              <w:rPr>
                <w:rFonts w:ascii="Lato" w:hAnsi="Lato"/>
              </w:rPr>
              <w:t xml:space="preserve">– październik </w:t>
            </w:r>
            <w:r w:rsidR="00C57B71" w:rsidRPr="004521C2">
              <w:rPr>
                <w:rFonts w:ascii="Lato" w:hAnsi="Lato"/>
              </w:rPr>
              <w:t>2026</w:t>
            </w:r>
          </w:p>
        </w:tc>
      </w:tr>
    </w:tbl>
    <w:p w14:paraId="38BE7977" w14:textId="68CBCE0F" w:rsidR="00B943AA" w:rsidRDefault="006B792B" w:rsidP="00294C5D">
      <w:pPr>
        <w:pStyle w:val="Tytu"/>
        <w:spacing w:before="360" w:after="240" w:line="276" w:lineRule="auto"/>
        <w:jc w:val="left"/>
        <w:rPr>
          <w:rFonts w:ascii="Lato" w:hAnsi="Lato" w:cs="Arial"/>
          <w:b w:val="0"/>
          <w:sz w:val="22"/>
          <w:szCs w:val="22"/>
        </w:rPr>
      </w:pPr>
      <w:r w:rsidRPr="00CA051B">
        <w:rPr>
          <w:rFonts w:ascii="Lato" w:hAnsi="Lato" w:cs="Arial"/>
          <w:b w:val="0"/>
          <w:color w:val="000000"/>
          <w:sz w:val="22"/>
          <w:szCs w:val="22"/>
        </w:rPr>
        <w:lastRenderedPageBreak/>
        <w:t xml:space="preserve">Powyższe </w:t>
      </w:r>
      <w:r w:rsidRPr="00CA051B">
        <w:rPr>
          <w:rFonts w:ascii="Lato" w:hAnsi="Lato" w:cs="Arial"/>
          <w:b w:val="0"/>
          <w:sz w:val="22"/>
          <w:szCs w:val="22"/>
        </w:rPr>
        <w:t xml:space="preserve">okresy </w:t>
      </w:r>
      <w:r w:rsidR="00B943AA" w:rsidRPr="00CA051B">
        <w:rPr>
          <w:rFonts w:ascii="Lato" w:hAnsi="Lato" w:cs="Arial"/>
          <w:b w:val="0"/>
          <w:sz w:val="22"/>
          <w:szCs w:val="22"/>
        </w:rPr>
        <w:t>mogą być, w wyjątkowych, należycie uzasadnionych przypadkach przekroczone, zwłaszcza</w:t>
      </w:r>
      <w:r w:rsidR="00305DF5" w:rsidRPr="00CA051B">
        <w:rPr>
          <w:rFonts w:ascii="Lato" w:hAnsi="Lato" w:cs="Arial"/>
          <w:b w:val="0"/>
          <w:sz w:val="22"/>
          <w:szCs w:val="22"/>
        </w:rPr>
        <w:t xml:space="preserve"> w przypadku działań złożonych lub wystąpienia opóźnień</w:t>
      </w:r>
      <w:r w:rsidR="00B943AA" w:rsidRPr="00CA051B">
        <w:rPr>
          <w:rFonts w:ascii="Lato" w:hAnsi="Lato" w:cs="Arial"/>
          <w:b w:val="0"/>
          <w:sz w:val="22"/>
          <w:szCs w:val="22"/>
        </w:rPr>
        <w:t>, które można przypisać wnioskodawcom.</w:t>
      </w:r>
    </w:p>
    <w:p w14:paraId="6DACFEDF" w14:textId="754708C0" w:rsidR="00360094" w:rsidRDefault="00360094" w:rsidP="00294C5D">
      <w:pPr>
        <w:pStyle w:val="Tytu"/>
        <w:spacing w:before="360" w:after="240" w:line="276" w:lineRule="auto"/>
        <w:jc w:val="left"/>
        <w:rPr>
          <w:rFonts w:ascii="Lato" w:hAnsi="Lato" w:cs="Arial"/>
          <w:b w:val="0"/>
          <w:sz w:val="22"/>
          <w:szCs w:val="22"/>
        </w:rPr>
      </w:pPr>
      <w:r>
        <w:rPr>
          <w:rFonts w:ascii="Lato" w:hAnsi="Lato" w:cs="Arial"/>
          <w:b w:val="0"/>
          <w:sz w:val="22"/>
          <w:szCs w:val="22"/>
        </w:rPr>
        <w:t xml:space="preserve">W trakcie trwania naboru </w:t>
      </w:r>
      <w:r w:rsidR="00DC6141">
        <w:rPr>
          <w:rFonts w:ascii="Lato" w:hAnsi="Lato" w:cs="Arial"/>
          <w:b w:val="0"/>
          <w:sz w:val="22"/>
          <w:szCs w:val="22"/>
        </w:rPr>
        <w:t>przewidywane</w:t>
      </w:r>
      <w:r>
        <w:rPr>
          <w:rFonts w:ascii="Lato" w:hAnsi="Lato" w:cs="Arial"/>
          <w:b w:val="0"/>
          <w:sz w:val="22"/>
          <w:szCs w:val="22"/>
        </w:rPr>
        <w:t xml:space="preserve"> jest przeprowadzenie szkolenia dla wnioskodawców w zakresie poprawności wypełniania wniosków o dofinansowanie oraz kwalifikowalności wydatków w ramach projektów realizowanych w ramach FBW. Dokładny termin szkolenia zostanie opublikowany na stronach internetowych IZ oraz IP. </w:t>
      </w:r>
    </w:p>
    <w:p w14:paraId="6E9853FA" w14:textId="6B9087E5" w:rsidR="002B6775" w:rsidRPr="002B6775" w:rsidRDefault="002B6775" w:rsidP="00CD20ED">
      <w:pPr>
        <w:pStyle w:val="Nagwek1"/>
      </w:pPr>
      <w:r w:rsidRPr="002B6775">
        <w:t xml:space="preserve">Składanie wniosku </w:t>
      </w:r>
    </w:p>
    <w:p w14:paraId="3DBD81E7" w14:textId="220C8305" w:rsidR="004B498D" w:rsidRPr="00B914EC" w:rsidRDefault="004B498D" w:rsidP="00A02D14">
      <w:pPr>
        <w:pStyle w:val="Tytu"/>
        <w:numPr>
          <w:ilvl w:val="0"/>
          <w:numId w:val="37"/>
        </w:numPr>
        <w:spacing w:after="240" w:line="276" w:lineRule="auto"/>
        <w:jc w:val="left"/>
        <w:rPr>
          <w:rFonts w:ascii="Lato" w:hAnsi="Lato" w:cs="Calibri"/>
          <w:b w:val="0"/>
          <w:sz w:val="22"/>
          <w:szCs w:val="22"/>
        </w:rPr>
      </w:pPr>
      <w:r w:rsidRPr="00B914EC">
        <w:rPr>
          <w:rFonts w:ascii="Lato" w:hAnsi="Lato" w:cs="Calibri"/>
          <w:b w:val="0"/>
          <w:sz w:val="22"/>
          <w:szCs w:val="22"/>
        </w:rPr>
        <w:t>W celu pr</w:t>
      </w:r>
      <w:r w:rsidR="007C195A" w:rsidRPr="00B914EC">
        <w:rPr>
          <w:rFonts w:ascii="Lato" w:hAnsi="Lato" w:cs="Calibri"/>
          <w:b w:val="0"/>
          <w:sz w:val="22"/>
          <w:szCs w:val="22"/>
        </w:rPr>
        <w:t>awidłowego przygotowania wniosków</w:t>
      </w:r>
      <w:r w:rsidRPr="00B914EC">
        <w:rPr>
          <w:rFonts w:ascii="Lato" w:hAnsi="Lato" w:cs="Calibri"/>
          <w:b w:val="0"/>
          <w:sz w:val="22"/>
          <w:szCs w:val="22"/>
        </w:rPr>
        <w:t xml:space="preserve"> o dofinansowanie należy zastosować się do zapisów Podręcznika dla Beneficjenta, który dostępny jest pod adresem:</w:t>
      </w:r>
    </w:p>
    <w:p w14:paraId="4CB3BC25" w14:textId="3B4E511A" w:rsidR="000C4FEA" w:rsidRDefault="00223E92" w:rsidP="00A02D14">
      <w:pPr>
        <w:pStyle w:val="Tytu"/>
        <w:spacing w:after="240" w:line="276" w:lineRule="auto"/>
        <w:ind w:left="708"/>
        <w:jc w:val="left"/>
        <w:rPr>
          <w:rStyle w:val="Hipercze"/>
          <w:rFonts w:ascii="Lato" w:hAnsi="Lato" w:cs="Calibri"/>
          <w:b w:val="0"/>
          <w:sz w:val="22"/>
          <w:szCs w:val="22"/>
        </w:rPr>
      </w:pPr>
      <w:hyperlink r:id="rId8" w:history="1">
        <w:r w:rsidR="000C4FEA" w:rsidRPr="00B914EC">
          <w:rPr>
            <w:rStyle w:val="Hipercze"/>
            <w:rFonts w:ascii="Lato" w:hAnsi="Lato" w:cs="Calibri"/>
            <w:b w:val="0"/>
            <w:sz w:val="22"/>
            <w:szCs w:val="22"/>
          </w:rPr>
          <w:t>https://copemswia.gov.pl/fundusze/fbw-2/fbw-2021-2027/podrecznik-dla-beneficjenta/</w:t>
        </w:r>
      </w:hyperlink>
    </w:p>
    <w:p w14:paraId="468A3460" w14:textId="2148CE37" w:rsidR="005027F9" w:rsidRPr="005027F9" w:rsidRDefault="005027F9" w:rsidP="00A02D14">
      <w:pPr>
        <w:pStyle w:val="Tytu"/>
        <w:spacing w:after="240" w:line="276" w:lineRule="auto"/>
        <w:ind w:left="708"/>
        <w:jc w:val="left"/>
        <w:rPr>
          <w:rFonts w:ascii="Lato" w:hAnsi="Lato" w:cs="Calibri"/>
          <w:b w:val="0"/>
          <w:sz w:val="22"/>
          <w:szCs w:val="22"/>
        </w:rPr>
      </w:pPr>
      <w:r w:rsidRPr="005027F9">
        <w:rPr>
          <w:rFonts w:ascii="Lato" w:hAnsi="Lato" w:cs="Calibri"/>
          <w:b w:val="0"/>
          <w:sz w:val="22"/>
          <w:szCs w:val="22"/>
        </w:rPr>
        <w:t xml:space="preserve">oraz zapisów Instrukcji wypełniania Wniosku o Dofinansowanie, stanowiącej załącznik do Regulaminu naboru. </w:t>
      </w:r>
    </w:p>
    <w:p w14:paraId="2BF584B9" w14:textId="2645B481" w:rsidR="0053497D" w:rsidRPr="00B914EC" w:rsidRDefault="0053497D" w:rsidP="00A02D14">
      <w:pPr>
        <w:pStyle w:val="Tytu"/>
        <w:spacing w:after="240" w:line="276" w:lineRule="auto"/>
        <w:ind w:left="708"/>
        <w:jc w:val="left"/>
        <w:rPr>
          <w:rFonts w:ascii="Lato" w:hAnsi="Lato" w:cs="Calibri"/>
          <w:b w:val="0"/>
          <w:sz w:val="22"/>
          <w:szCs w:val="22"/>
        </w:rPr>
      </w:pPr>
      <w:r w:rsidRPr="00B914EC">
        <w:rPr>
          <w:rFonts w:ascii="Lato" w:hAnsi="Lato" w:cs="Calibri"/>
          <w:b w:val="0"/>
          <w:sz w:val="22"/>
          <w:szCs w:val="22"/>
        </w:rPr>
        <w:t>Projekty, które zostaną zaakceptowane do realizacji w ramach F</w:t>
      </w:r>
      <w:r w:rsidR="00B97046" w:rsidRPr="00B914EC">
        <w:rPr>
          <w:rFonts w:ascii="Lato" w:hAnsi="Lato" w:cs="Calibri"/>
          <w:b w:val="0"/>
          <w:sz w:val="22"/>
          <w:szCs w:val="22"/>
        </w:rPr>
        <w:t>BW</w:t>
      </w:r>
      <w:r w:rsidRPr="00B914EC">
        <w:rPr>
          <w:rFonts w:ascii="Lato" w:hAnsi="Lato" w:cs="Calibri"/>
          <w:b w:val="0"/>
          <w:sz w:val="22"/>
          <w:szCs w:val="22"/>
        </w:rPr>
        <w:t>:</w:t>
      </w:r>
    </w:p>
    <w:p w14:paraId="04F173A5" w14:textId="381CBCC5" w:rsidR="0053497D" w:rsidRPr="00B914EC" w:rsidRDefault="0053497D" w:rsidP="00A02D14">
      <w:pPr>
        <w:pStyle w:val="Tytu"/>
        <w:numPr>
          <w:ilvl w:val="0"/>
          <w:numId w:val="9"/>
        </w:numPr>
        <w:spacing w:after="240" w:line="276" w:lineRule="auto"/>
        <w:ind w:left="1428"/>
        <w:jc w:val="left"/>
        <w:rPr>
          <w:rFonts w:ascii="Lato" w:hAnsi="Lato" w:cs="Calibri"/>
          <w:b w:val="0"/>
          <w:sz w:val="22"/>
          <w:szCs w:val="22"/>
        </w:rPr>
      </w:pPr>
      <w:r w:rsidRPr="00B914EC">
        <w:rPr>
          <w:rFonts w:ascii="Lato" w:hAnsi="Lato" w:cs="Calibri"/>
          <w:b w:val="0"/>
          <w:sz w:val="22"/>
          <w:szCs w:val="22"/>
        </w:rPr>
        <w:t xml:space="preserve">muszą być zgodnie z zapisami </w:t>
      </w:r>
      <w:r w:rsidRPr="00B914EC">
        <w:rPr>
          <w:rFonts w:ascii="Lato" w:hAnsi="Lato" w:cs="Calibri"/>
          <w:sz w:val="22"/>
          <w:szCs w:val="22"/>
        </w:rPr>
        <w:t xml:space="preserve">Programu </w:t>
      </w:r>
      <w:r w:rsidR="004E772C" w:rsidRPr="00B914EC">
        <w:rPr>
          <w:rFonts w:ascii="Lato" w:hAnsi="Lato" w:cs="Calibri"/>
          <w:sz w:val="22"/>
          <w:szCs w:val="22"/>
        </w:rPr>
        <w:t>Polskiego</w:t>
      </w:r>
      <w:r w:rsidR="00A819B4" w:rsidRPr="00B914EC">
        <w:rPr>
          <w:rFonts w:ascii="Lato" w:hAnsi="Lato" w:cs="Calibri"/>
          <w:sz w:val="22"/>
          <w:szCs w:val="22"/>
        </w:rPr>
        <w:t xml:space="preserve"> F</w:t>
      </w:r>
      <w:r w:rsidR="00B97046" w:rsidRPr="00B914EC">
        <w:rPr>
          <w:rFonts w:ascii="Lato" w:hAnsi="Lato" w:cs="Calibri"/>
          <w:sz w:val="22"/>
          <w:szCs w:val="22"/>
        </w:rPr>
        <w:t>BW</w:t>
      </w:r>
      <w:r w:rsidRPr="00B914EC">
        <w:rPr>
          <w:rFonts w:ascii="Lato" w:hAnsi="Lato" w:cs="Calibri"/>
          <w:b w:val="0"/>
          <w:sz w:val="22"/>
          <w:szCs w:val="22"/>
        </w:rPr>
        <w:t xml:space="preserve"> (</w:t>
      </w:r>
      <w:hyperlink r:id="rId9" w:history="1">
        <w:r w:rsidR="00FA0DBD" w:rsidRPr="00B914EC">
          <w:rPr>
            <w:rStyle w:val="Hipercze"/>
            <w:rFonts w:ascii="Lato" w:hAnsi="Lato" w:cs="Calibri"/>
            <w:b w:val="0"/>
            <w:sz w:val="22"/>
            <w:szCs w:val="22"/>
          </w:rPr>
          <w:t>https://www.gov.pl/web/dfe-mswia/program-funduszu-bezpieczenstwa-wewnetrznego-2021-2027</w:t>
        </w:r>
      </w:hyperlink>
      <w:r w:rsidRPr="00B914EC">
        <w:rPr>
          <w:rFonts w:ascii="Lato" w:hAnsi="Lato" w:cs="Calibri"/>
          <w:b w:val="0"/>
          <w:sz w:val="22"/>
          <w:szCs w:val="22"/>
        </w:rPr>
        <w:t>),</w:t>
      </w:r>
    </w:p>
    <w:p w14:paraId="74E24F9C" w14:textId="3164DE4F" w:rsidR="0053497D" w:rsidRPr="00B914EC" w:rsidRDefault="00B914EC" w:rsidP="00A02D14">
      <w:pPr>
        <w:pStyle w:val="Tytu"/>
        <w:numPr>
          <w:ilvl w:val="0"/>
          <w:numId w:val="9"/>
        </w:numPr>
        <w:spacing w:after="240" w:line="276" w:lineRule="auto"/>
        <w:ind w:left="1428"/>
        <w:jc w:val="left"/>
        <w:rPr>
          <w:rFonts w:ascii="Lato" w:hAnsi="Lato" w:cs="Calibri"/>
          <w:b w:val="0"/>
          <w:sz w:val="22"/>
          <w:szCs w:val="22"/>
        </w:rPr>
      </w:pPr>
      <w:r w:rsidRPr="00B914EC">
        <w:rPr>
          <w:rFonts w:ascii="Lato" w:hAnsi="Lato" w:cs="Calibri"/>
          <w:b w:val="0"/>
          <w:sz w:val="22"/>
          <w:szCs w:val="22"/>
        </w:rPr>
        <w:t>muszą</w:t>
      </w:r>
      <w:r w:rsidR="0053497D" w:rsidRPr="00B914EC">
        <w:rPr>
          <w:rFonts w:ascii="Lato" w:hAnsi="Lato" w:cs="Calibri"/>
          <w:b w:val="0"/>
          <w:sz w:val="22"/>
          <w:szCs w:val="22"/>
        </w:rPr>
        <w:t xml:space="preserve"> uwzględniać zapisy </w:t>
      </w:r>
      <w:r w:rsidR="0053497D" w:rsidRPr="00B914EC">
        <w:rPr>
          <w:rFonts w:ascii="Lato" w:hAnsi="Lato" w:cs="Calibri"/>
          <w:sz w:val="22"/>
          <w:szCs w:val="22"/>
        </w:rPr>
        <w:t>Podręcznika dla Beneficjenta</w:t>
      </w:r>
      <w:r w:rsidR="0053497D" w:rsidRPr="00B914EC">
        <w:rPr>
          <w:rFonts w:ascii="Lato" w:hAnsi="Lato" w:cs="Calibri"/>
          <w:b w:val="0"/>
          <w:sz w:val="22"/>
          <w:szCs w:val="22"/>
        </w:rPr>
        <w:t>, o którym mowa powyżej</w:t>
      </w:r>
      <w:r w:rsidR="000C4FEA" w:rsidRPr="00B914EC">
        <w:rPr>
          <w:rFonts w:ascii="Lato" w:hAnsi="Lato" w:cs="Calibri"/>
          <w:b w:val="0"/>
          <w:sz w:val="22"/>
          <w:szCs w:val="22"/>
        </w:rPr>
        <w:t>.</w:t>
      </w:r>
      <w:r w:rsidR="00B943AA" w:rsidRPr="00B914EC">
        <w:rPr>
          <w:rFonts w:ascii="Lato" w:hAnsi="Lato" w:cs="Calibri"/>
          <w:b w:val="0"/>
          <w:sz w:val="22"/>
          <w:szCs w:val="22"/>
        </w:rPr>
        <w:t xml:space="preserve"> </w:t>
      </w:r>
    </w:p>
    <w:p w14:paraId="3F5FE4FF" w14:textId="276330DA" w:rsidR="00454B0A" w:rsidRDefault="0026320D" w:rsidP="00A02D14">
      <w:pPr>
        <w:pStyle w:val="Tytu"/>
        <w:numPr>
          <w:ilvl w:val="0"/>
          <w:numId w:val="37"/>
        </w:numPr>
        <w:spacing w:after="240" w:line="276" w:lineRule="auto"/>
        <w:jc w:val="left"/>
        <w:rPr>
          <w:rFonts w:ascii="Lato" w:hAnsi="Lato" w:cs="Calibri"/>
          <w:b w:val="0"/>
          <w:sz w:val="22"/>
          <w:szCs w:val="22"/>
        </w:rPr>
      </w:pPr>
      <w:r w:rsidRPr="00592BBD">
        <w:rPr>
          <w:rFonts w:ascii="Lato" w:hAnsi="Lato" w:cs="Calibri"/>
          <w:b w:val="0"/>
          <w:sz w:val="22"/>
          <w:szCs w:val="22"/>
        </w:rPr>
        <w:t xml:space="preserve">Nabór projektów odbywać się będzie w </w:t>
      </w:r>
      <w:r w:rsidR="00CD20ED">
        <w:rPr>
          <w:rFonts w:ascii="Lato" w:hAnsi="Lato" w:cs="Calibri"/>
          <w:sz w:val="22"/>
          <w:szCs w:val="22"/>
        </w:rPr>
        <w:t>procedurze konkurencyjnej</w:t>
      </w:r>
      <w:r w:rsidR="002F2674">
        <w:rPr>
          <w:rFonts w:ascii="Lato" w:hAnsi="Lato" w:cs="Calibri"/>
          <w:b w:val="0"/>
          <w:sz w:val="22"/>
          <w:szCs w:val="22"/>
        </w:rPr>
        <w:t>. Oznacza to</w:t>
      </w:r>
      <w:r w:rsidRPr="00592BBD">
        <w:rPr>
          <w:rFonts w:ascii="Lato" w:hAnsi="Lato" w:cs="Calibri"/>
          <w:b w:val="0"/>
          <w:sz w:val="22"/>
          <w:szCs w:val="22"/>
        </w:rPr>
        <w:t xml:space="preserve"> </w:t>
      </w:r>
      <w:r w:rsidR="002F2674">
        <w:rPr>
          <w:rFonts w:ascii="Lato" w:hAnsi="Lato" w:cs="Calibri"/>
          <w:b w:val="0"/>
          <w:sz w:val="22"/>
          <w:szCs w:val="22"/>
        </w:rPr>
        <w:t xml:space="preserve">skierowanie </w:t>
      </w:r>
      <w:r w:rsidR="00454B0A" w:rsidRPr="00454B0A">
        <w:rPr>
          <w:rFonts w:ascii="Lato" w:hAnsi="Lato" w:cs="Calibri"/>
          <w:b w:val="0"/>
          <w:sz w:val="22"/>
          <w:szCs w:val="22"/>
        </w:rPr>
        <w:t>otwarte</w:t>
      </w:r>
      <w:r w:rsidR="002F2674">
        <w:rPr>
          <w:rFonts w:ascii="Lato" w:hAnsi="Lato" w:cs="Calibri"/>
          <w:b w:val="0"/>
          <w:sz w:val="22"/>
          <w:szCs w:val="22"/>
        </w:rPr>
        <w:t>go zaproszenia</w:t>
      </w:r>
      <w:r w:rsidR="00454B0A" w:rsidRPr="00454B0A">
        <w:rPr>
          <w:rFonts w:ascii="Lato" w:hAnsi="Lato" w:cs="Calibri"/>
          <w:b w:val="0"/>
          <w:sz w:val="22"/>
          <w:szCs w:val="22"/>
        </w:rPr>
        <w:t xml:space="preserve"> do składania wniosków</w:t>
      </w:r>
      <w:r w:rsidR="005027F9">
        <w:rPr>
          <w:rFonts w:ascii="Lato" w:hAnsi="Lato" w:cs="Calibri"/>
          <w:b w:val="0"/>
          <w:sz w:val="22"/>
          <w:szCs w:val="22"/>
        </w:rPr>
        <w:t xml:space="preserve">. </w:t>
      </w:r>
      <w:r w:rsidR="005027F9" w:rsidRPr="005027F9">
        <w:rPr>
          <w:rFonts w:ascii="Lato" w:hAnsi="Lato" w:cs="Calibri"/>
          <w:b w:val="0"/>
          <w:sz w:val="22"/>
          <w:szCs w:val="22"/>
        </w:rPr>
        <w:t xml:space="preserve">W przypadku naboru otwartego IZ publikuje ogłoszenie na stronie internetowej </w:t>
      </w:r>
      <w:hyperlink r:id="rId10" w:history="1">
        <w:r w:rsidR="005027F9" w:rsidRPr="002F2674">
          <w:rPr>
            <w:rStyle w:val="Hipercze"/>
            <w:rFonts w:ascii="Lato" w:hAnsi="Lato" w:cs="Calibri"/>
            <w:b w:val="0"/>
            <w:sz w:val="22"/>
            <w:szCs w:val="22"/>
          </w:rPr>
          <w:t>https://www.gov.pl/web/dfe-mswia</w:t>
        </w:r>
      </w:hyperlink>
      <w:r w:rsidR="005027F9" w:rsidRPr="005027F9">
        <w:rPr>
          <w:rFonts w:ascii="Lato" w:hAnsi="Lato" w:cs="Calibri"/>
          <w:b w:val="0"/>
          <w:sz w:val="22"/>
          <w:szCs w:val="22"/>
        </w:rPr>
        <w:t xml:space="preserve"> w aktualnościach i odpowiedniej zakładce. Ogłoszenie zawiera link do aplikacji CST2021</w:t>
      </w:r>
      <w:r w:rsidR="005027F9">
        <w:rPr>
          <w:rFonts w:ascii="Lato" w:hAnsi="Lato" w:cs="Calibri"/>
          <w:b w:val="0"/>
          <w:sz w:val="22"/>
          <w:szCs w:val="22"/>
        </w:rPr>
        <w:t>.</w:t>
      </w:r>
      <w:r w:rsidRPr="00592BBD">
        <w:rPr>
          <w:rFonts w:ascii="Lato" w:hAnsi="Lato" w:cs="Calibri"/>
          <w:b w:val="0"/>
          <w:sz w:val="22"/>
          <w:szCs w:val="22"/>
        </w:rPr>
        <w:t xml:space="preserve"> </w:t>
      </w:r>
    </w:p>
    <w:p w14:paraId="104F152D" w14:textId="3C6D5F66" w:rsidR="0026320D" w:rsidRDefault="0026320D" w:rsidP="00A02D14">
      <w:pPr>
        <w:pStyle w:val="Tytu"/>
        <w:spacing w:after="240" w:line="276" w:lineRule="auto"/>
        <w:ind w:left="708"/>
        <w:jc w:val="left"/>
        <w:rPr>
          <w:rFonts w:ascii="Lato" w:hAnsi="Lato" w:cs="Calibri"/>
          <w:b w:val="0"/>
          <w:sz w:val="22"/>
          <w:szCs w:val="22"/>
        </w:rPr>
      </w:pPr>
      <w:r w:rsidRPr="00592BBD">
        <w:rPr>
          <w:rFonts w:ascii="Lato" w:hAnsi="Lato" w:cs="Calibri"/>
          <w:b w:val="0"/>
          <w:sz w:val="22"/>
          <w:szCs w:val="22"/>
        </w:rPr>
        <w:t xml:space="preserve">W naborze obowiązuje ściśle określona procedura otrzymania dofinansowania – Wnioskodawca przygotowuje wniosek w </w:t>
      </w:r>
      <w:r>
        <w:rPr>
          <w:rFonts w:ascii="Lato" w:hAnsi="Lato" w:cs="Calibri"/>
          <w:b w:val="0"/>
          <w:sz w:val="22"/>
          <w:szCs w:val="22"/>
        </w:rPr>
        <w:t xml:space="preserve">systemie </w:t>
      </w:r>
      <w:r w:rsidRPr="00592BBD">
        <w:rPr>
          <w:rFonts w:ascii="Lato" w:hAnsi="Lato" w:cs="Calibri"/>
          <w:b w:val="0"/>
          <w:sz w:val="22"/>
          <w:szCs w:val="22"/>
        </w:rPr>
        <w:t xml:space="preserve">CST2021. Złożony wniosek podlega ocenie formalnej, a następnie merytorycznej. Oznacza to, że wniosek o dofinansowanie może zostać zakwalifikowany do oceny merytorycznej wyłącznie po pozytywnym przejściu przez etap oceny formalnej. </w:t>
      </w:r>
      <w:r w:rsidRPr="00DB2FCE">
        <w:rPr>
          <w:rFonts w:ascii="Lato" w:hAnsi="Lato" w:cs="Calibri"/>
          <w:b w:val="0"/>
          <w:sz w:val="22"/>
          <w:szCs w:val="22"/>
        </w:rPr>
        <w:t>W ocenie merytorycznej obowiązuje system punktowy oceny projektów, co oznacza, że większą szansę na otrzymanie dofinansowania mają te projekty, które otrzymają więcej punktów. Dofinansowanie mogą otrzymać tylko te projekty, które spełnią kryteria (należy uzyskać minimum 65 pkt ze 100 pkt oraz w kategoriach B, C i D należy uzyskać min. 50% punktów możliwych do uzyskania w danej kategorii).</w:t>
      </w:r>
      <w:r>
        <w:rPr>
          <w:rFonts w:ascii="Lato" w:hAnsi="Lato" w:cs="Calibri"/>
          <w:b w:val="0"/>
          <w:sz w:val="22"/>
          <w:szCs w:val="22"/>
        </w:rPr>
        <w:t xml:space="preserve"> </w:t>
      </w:r>
    </w:p>
    <w:p w14:paraId="140E2662" w14:textId="503DEB36" w:rsidR="00CD20ED" w:rsidRDefault="00CD20ED" w:rsidP="00A02D14">
      <w:pPr>
        <w:pStyle w:val="Tytu"/>
        <w:spacing w:after="240" w:line="276" w:lineRule="auto"/>
        <w:ind w:left="708"/>
        <w:jc w:val="left"/>
        <w:rPr>
          <w:rFonts w:ascii="Lato" w:hAnsi="Lato" w:cs="Calibri"/>
          <w:b w:val="0"/>
          <w:sz w:val="22"/>
          <w:szCs w:val="22"/>
        </w:rPr>
      </w:pPr>
      <w:r w:rsidRPr="00CD20ED">
        <w:rPr>
          <w:rFonts w:ascii="Lato" w:hAnsi="Lato" w:cs="Calibri"/>
          <w:b w:val="0"/>
          <w:sz w:val="22"/>
          <w:szCs w:val="22"/>
        </w:rPr>
        <w:t>Ocena meryt</w:t>
      </w:r>
      <w:r w:rsidR="002F2674">
        <w:rPr>
          <w:rFonts w:ascii="Lato" w:hAnsi="Lato" w:cs="Calibri"/>
          <w:b w:val="0"/>
          <w:sz w:val="22"/>
          <w:szCs w:val="22"/>
        </w:rPr>
        <w:t xml:space="preserve">oryczna odbywa się w </w:t>
      </w:r>
      <w:r w:rsidR="00720373">
        <w:rPr>
          <w:rFonts w:ascii="Lato" w:hAnsi="Lato" w:cs="Calibri"/>
          <w:b w:val="0"/>
          <w:sz w:val="22"/>
          <w:szCs w:val="22"/>
        </w:rPr>
        <w:t xml:space="preserve">okresie </w:t>
      </w:r>
      <w:r w:rsidR="00950E95">
        <w:rPr>
          <w:rFonts w:ascii="Lato" w:hAnsi="Lato" w:cs="Calibri"/>
          <w:b w:val="0"/>
          <w:sz w:val="22"/>
          <w:szCs w:val="22"/>
        </w:rPr>
        <w:t>37</w:t>
      </w:r>
      <w:r w:rsidRPr="00CD20ED">
        <w:rPr>
          <w:rFonts w:ascii="Lato" w:hAnsi="Lato" w:cs="Calibri"/>
          <w:b w:val="0"/>
          <w:sz w:val="22"/>
          <w:szCs w:val="22"/>
        </w:rPr>
        <w:t xml:space="preserve"> dni </w:t>
      </w:r>
      <w:r w:rsidR="00950E95">
        <w:rPr>
          <w:rFonts w:ascii="Lato" w:hAnsi="Lato" w:cs="Calibri"/>
          <w:b w:val="0"/>
          <w:sz w:val="22"/>
          <w:szCs w:val="22"/>
        </w:rPr>
        <w:t xml:space="preserve">kalendarzowych </w:t>
      </w:r>
      <w:r w:rsidRPr="00CD20ED">
        <w:rPr>
          <w:rFonts w:ascii="Lato" w:hAnsi="Lato" w:cs="Calibri"/>
          <w:b w:val="0"/>
          <w:sz w:val="22"/>
          <w:szCs w:val="22"/>
        </w:rPr>
        <w:t>po zakończeniu oceny formalnej</w:t>
      </w:r>
      <w:r w:rsidR="00950E95">
        <w:rPr>
          <w:rFonts w:ascii="Lato" w:hAnsi="Lato" w:cs="Calibri"/>
          <w:b w:val="0"/>
          <w:sz w:val="22"/>
          <w:szCs w:val="22"/>
        </w:rPr>
        <w:t xml:space="preserve"> i wyznaczeniu zespołów oceniających. </w:t>
      </w:r>
      <w:r w:rsidR="00720373">
        <w:rPr>
          <w:rFonts w:ascii="Lato" w:hAnsi="Lato" w:cs="Calibri"/>
          <w:b w:val="0"/>
          <w:sz w:val="22"/>
          <w:szCs w:val="22"/>
        </w:rPr>
        <w:t xml:space="preserve">W uzasadnionych przypadkach </w:t>
      </w:r>
      <w:r w:rsidR="00720373">
        <w:rPr>
          <w:rFonts w:ascii="Lato" w:hAnsi="Lato" w:cs="Calibri"/>
          <w:b w:val="0"/>
          <w:sz w:val="22"/>
          <w:szCs w:val="22"/>
        </w:rPr>
        <w:lastRenderedPageBreak/>
        <w:t xml:space="preserve">proces oceny merytorycznej może ulec wydłużeniu, o czym wnioskodawcy będą obowiązkowo informowani. </w:t>
      </w:r>
      <w:r w:rsidRPr="00CD20ED">
        <w:rPr>
          <w:rFonts w:ascii="Lato" w:hAnsi="Lato" w:cs="Calibri"/>
          <w:b w:val="0"/>
          <w:sz w:val="22"/>
          <w:szCs w:val="22"/>
        </w:rPr>
        <w:t>Osoby oceniające zobowiązują się do przestrzegania zasad bezstronności i poufności.</w:t>
      </w:r>
    </w:p>
    <w:p w14:paraId="0B035BDF" w14:textId="1C9CDA86" w:rsidR="00CD20ED" w:rsidRPr="00CD20ED" w:rsidRDefault="00CD20ED" w:rsidP="00CD20ED">
      <w:pPr>
        <w:pStyle w:val="Nagwek1"/>
      </w:pPr>
      <w:r w:rsidRPr="00CD20ED">
        <w:t>Rozstrzygnięcie naboru</w:t>
      </w:r>
    </w:p>
    <w:p w14:paraId="7C511276" w14:textId="13AC4E72" w:rsidR="004B5BDC" w:rsidRDefault="005027F9" w:rsidP="00A02D14">
      <w:pPr>
        <w:pStyle w:val="Tytu"/>
        <w:numPr>
          <w:ilvl w:val="0"/>
          <w:numId w:val="38"/>
        </w:numPr>
        <w:spacing w:after="240" w:line="276" w:lineRule="auto"/>
        <w:jc w:val="left"/>
        <w:rPr>
          <w:rFonts w:ascii="Lato" w:hAnsi="Lato" w:cs="Calibri"/>
          <w:b w:val="0"/>
          <w:sz w:val="22"/>
          <w:szCs w:val="22"/>
        </w:rPr>
      </w:pPr>
      <w:r>
        <w:rPr>
          <w:rFonts w:ascii="Lato" w:hAnsi="Lato" w:cs="Calibri"/>
          <w:b w:val="0"/>
          <w:sz w:val="22"/>
          <w:szCs w:val="22"/>
        </w:rPr>
        <w:t xml:space="preserve">Proces oceny merytorycznej kończy się posiedzeniem członków Komitetu Oceny Projektów, </w:t>
      </w:r>
      <w:r w:rsidR="004B5BDC">
        <w:rPr>
          <w:rFonts w:ascii="Lato" w:hAnsi="Lato" w:cs="Calibri"/>
          <w:b w:val="0"/>
          <w:sz w:val="22"/>
          <w:szCs w:val="22"/>
        </w:rPr>
        <w:t>w wyniku którego powstaje projekt listy rankingowej. Ostateczną listę rankingową zat</w:t>
      </w:r>
      <w:r w:rsidR="00950E95">
        <w:rPr>
          <w:rFonts w:ascii="Lato" w:hAnsi="Lato" w:cs="Calibri"/>
          <w:b w:val="0"/>
          <w:sz w:val="22"/>
          <w:szCs w:val="22"/>
        </w:rPr>
        <w:t xml:space="preserve">wierdza Instytucja Zarządzająca, następnie niezwłocznie informuję wnioskodawców o wynikach naboru publikując zatwierdzoną listę rankingową na stronie internetowej IZ. Lista rankingowa stanowi podstawę podpisania porozumienia/umowy finansowej. </w:t>
      </w:r>
    </w:p>
    <w:p w14:paraId="554BA76E" w14:textId="624B4070" w:rsidR="005027F9" w:rsidRDefault="004B5BDC" w:rsidP="00A02D14">
      <w:pPr>
        <w:pStyle w:val="Tytu"/>
        <w:numPr>
          <w:ilvl w:val="0"/>
          <w:numId w:val="38"/>
        </w:numPr>
        <w:spacing w:after="240" w:line="276" w:lineRule="auto"/>
        <w:jc w:val="left"/>
        <w:rPr>
          <w:rFonts w:ascii="Lato" w:hAnsi="Lato" w:cs="Calibri"/>
          <w:b w:val="0"/>
          <w:sz w:val="22"/>
          <w:szCs w:val="22"/>
        </w:rPr>
      </w:pPr>
      <w:r w:rsidRPr="004B5BDC">
        <w:rPr>
          <w:rFonts w:ascii="Lato" w:hAnsi="Lato" w:cs="Calibri"/>
          <w:b w:val="0"/>
          <w:sz w:val="22"/>
          <w:szCs w:val="22"/>
        </w:rPr>
        <w:t>Lista rankingowa zawiera wykaz wniosków uszeregowanych w kolejności od najwyżej punktowanego do najniżej, dla których podane są: numer projektu, tytuł projektu, nazwa wnioskodawcy, liczba przyznanych punktów, wnioskowana kwota dofinansowania, maksymalna kwota dofinansowania rekomendowana w wyniku oceny, poziom dofinansowania wydatków kwalifikowanych wyrażony w %, ewentualne uwagi.</w:t>
      </w:r>
    </w:p>
    <w:p w14:paraId="13DB6F96" w14:textId="123FBBC7" w:rsidR="004B5BDC" w:rsidRPr="002C79E1" w:rsidRDefault="004B5BDC" w:rsidP="00A02D14">
      <w:pPr>
        <w:pStyle w:val="Tytu"/>
        <w:numPr>
          <w:ilvl w:val="0"/>
          <w:numId w:val="38"/>
        </w:numPr>
        <w:spacing w:after="240" w:line="276" w:lineRule="auto"/>
        <w:jc w:val="left"/>
        <w:rPr>
          <w:rFonts w:ascii="Lato" w:hAnsi="Lato" w:cs="Calibri"/>
          <w:b w:val="0"/>
          <w:sz w:val="22"/>
          <w:szCs w:val="22"/>
        </w:rPr>
      </w:pPr>
      <w:r w:rsidRPr="002C79E1">
        <w:rPr>
          <w:rFonts w:ascii="Lato" w:hAnsi="Lato" w:cs="Calibri"/>
          <w:b w:val="0"/>
          <w:sz w:val="22"/>
          <w:szCs w:val="22"/>
        </w:rPr>
        <w:t>W przypadku dwóch lub więcej projektów o równej ogólnej liczbie punktów, wyższe miejsce na liście rankingowej otrzymuje ten, który uzyskał kolejno wyższą liczbę punktów w następujących kategoriach oceny: B, C i D.</w:t>
      </w:r>
    </w:p>
    <w:p w14:paraId="0C726A50" w14:textId="6E678162" w:rsidR="004B5BDC" w:rsidRPr="004B5BDC" w:rsidRDefault="004B5BDC" w:rsidP="002C79E1">
      <w:pPr>
        <w:pStyle w:val="Tytu"/>
        <w:numPr>
          <w:ilvl w:val="0"/>
          <w:numId w:val="38"/>
        </w:numPr>
        <w:spacing w:after="240" w:line="276" w:lineRule="auto"/>
        <w:ind w:left="714" w:hanging="357"/>
        <w:jc w:val="left"/>
        <w:rPr>
          <w:rFonts w:ascii="Lato" w:hAnsi="Lato" w:cs="Calibri"/>
          <w:b w:val="0"/>
          <w:sz w:val="22"/>
          <w:szCs w:val="22"/>
        </w:rPr>
      </w:pPr>
      <w:r w:rsidRPr="004B5BDC">
        <w:rPr>
          <w:rFonts w:ascii="Lato" w:hAnsi="Lato" w:cs="Calibri"/>
          <w:b w:val="0"/>
          <w:sz w:val="22"/>
          <w:szCs w:val="22"/>
        </w:rPr>
        <w:t>Projekty znajdujące się na niższych pozycjach listy rankingowej, dla których dofinansowanie nie mieści się w kwocie naboru, tworzą listę rezerwową projektów.</w:t>
      </w:r>
    </w:p>
    <w:p w14:paraId="4AD5B23F" w14:textId="6451BEB2" w:rsidR="00CD69C6" w:rsidRDefault="00E117D4" w:rsidP="002C79E1">
      <w:pPr>
        <w:pStyle w:val="Tytu"/>
        <w:numPr>
          <w:ilvl w:val="0"/>
          <w:numId w:val="38"/>
        </w:numPr>
        <w:spacing w:after="240" w:line="276" w:lineRule="auto"/>
        <w:jc w:val="left"/>
        <w:rPr>
          <w:rFonts w:ascii="Lato" w:hAnsi="Lato" w:cs="Calibri"/>
          <w:b w:val="0"/>
          <w:sz w:val="22"/>
          <w:szCs w:val="22"/>
        </w:rPr>
      </w:pPr>
      <w:r w:rsidRPr="00E117D4">
        <w:rPr>
          <w:rFonts w:ascii="Lato" w:hAnsi="Lato" w:cs="Calibri"/>
          <w:b w:val="0"/>
          <w:sz w:val="22"/>
          <w:szCs w:val="22"/>
        </w:rPr>
        <w:t>Wnioskodawcy mogą odwołać się od negatywnej oceny wniosku zgodnie</w:t>
      </w:r>
      <w:r w:rsidR="00B15874">
        <w:rPr>
          <w:rFonts w:ascii="Lato" w:hAnsi="Lato" w:cs="Calibri"/>
          <w:b w:val="0"/>
          <w:sz w:val="22"/>
          <w:szCs w:val="22"/>
        </w:rPr>
        <w:t xml:space="preserve"> z</w:t>
      </w:r>
      <w:r w:rsidRPr="00E117D4">
        <w:rPr>
          <w:rFonts w:ascii="Lato" w:hAnsi="Lato" w:cs="Calibri"/>
          <w:b w:val="0"/>
          <w:sz w:val="22"/>
          <w:szCs w:val="22"/>
        </w:rPr>
        <w:t xml:space="preserve"> </w:t>
      </w:r>
      <w:r w:rsidRPr="00950E95">
        <w:rPr>
          <w:rFonts w:ascii="Lato" w:hAnsi="Lato" w:cs="Calibri"/>
          <w:b w:val="0"/>
          <w:i/>
          <w:sz w:val="22"/>
          <w:szCs w:val="22"/>
        </w:rPr>
        <w:t>Procedurą odwoławczą od wyników oceny merytorycznej w ramach konkure</w:t>
      </w:r>
      <w:r w:rsidR="002C79E1">
        <w:rPr>
          <w:rFonts w:ascii="Lato" w:hAnsi="Lato" w:cs="Calibri"/>
          <w:b w:val="0"/>
          <w:i/>
          <w:sz w:val="22"/>
          <w:szCs w:val="22"/>
        </w:rPr>
        <w:t xml:space="preserve">ncyjnego trybu wyboru projektów. </w:t>
      </w:r>
      <w:r w:rsidR="002C79E1" w:rsidRPr="002C79E1">
        <w:rPr>
          <w:rFonts w:ascii="Lato" w:hAnsi="Lato" w:cs="Calibri"/>
          <w:b w:val="0"/>
          <w:sz w:val="22"/>
          <w:szCs w:val="22"/>
        </w:rPr>
        <w:t>Wzór odwołania od wyników oceny merytorycznej</w:t>
      </w:r>
      <w:r w:rsidR="002C79E1">
        <w:rPr>
          <w:rFonts w:ascii="Lato" w:hAnsi="Lato" w:cs="Calibri"/>
          <w:b w:val="0"/>
          <w:sz w:val="22"/>
          <w:szCs w:val="22"/>
        </w:rPr>
        <w:t xml:space="preserve"> stanowi załącznik do niniejszego regulaminu. </w:t>
      </w:r>
    </w:p>
    <w:p w14:paraId="3934A99D" w14:textId="677578CC" w:rsidR="00720373" w:rsidRDefault="004B5BDC" w:rsidP="00720373">
      <w:pPr>
        <w:pStyle w:val="Tytu"/>
        <w:numPr>
          <w:ilvl w:val="0"/>
          <w:numId w:val="38"/>
        </w:numPr>
        <w:spacing w:after="240" w:line="276" w:lineRule="auto"/>
        <w:jc w:val="left"/>
        <w:rPr>
          <w:rFonts w:ascii="Lato" w:hAnsi="Lato" w:cs="Calibri"/>
          <w:b w:val="0"/>
          <w:sz w:val="22"/>
          <w:szCs w:val="22"/>
        </w:rPr>
      </w:pPr>
      <w:r>
        <w:rPr>
          <w:rFonts w:ascii="Lato" w:hAnsi="Lato" w:cs="Calibri"/>
          <w:b w:val="0"/>
          <w:sz w:val="22"/>
          <w:szCs w:val="22"/>
        </w:rPr>
        <w:t>W przypadku projektów rekomendowanych do dofinansowania, p</w:t>
      </w:r>
      <w:r w:rsidR="00866F81" w:rsidRPr="00CA051B">
        <w:rPr>
          <w:rFonts w:ascii="Lato" w:hAnsi="Lato" w:cs="Calibri"/>
          <w:b w:val="0"/>
          <w:sz w:val="22"/>
          <w:szCs w:val="22"/>
        </w:rPr>
        <w:t>o uzgodnieniu ostatecznego kształtu dokumentacji projektowej nastąpi podpisanie porozumienia</w:t>
      </w:r>
      <w:r w:rsidR="00CA051B">
        <w:rPr>
          <w:rFonts w:ascii="Lato" w:hAnsi="Lato" w:cs="Calibri"/>
          <w:b w:val="0"/>
          <w:sz w:val="22"/>
          <w:szCs w:val="22"/>
        </w:rPr>
        <w:t>/umowy finansowej określającej</w:t>
      </w:r>
      <w:r w:rsidR="00866F81" w:rsidRPr="00CA051B">
        <w:rPr>
          <w:rFonts w:ascii="Lato" w:hAnsi="Lato" w:cs="Calibri"/>
          <w:b w:val="0"/>
          <w:sz w:val="22"/>
          <w:szCs w:val="22"/>
        </w:rPr>
        <w:t xml:space="preserve"> wzajemne prawa i obowiązki związane z realizacją projektu.</w:t>
      </w:r>
    </w:p>
    <w:p w14:paraId="20A81EA0" w14:textId="54BAB447" w:rsidR="00720373" w:rsidRPr="00720373" w:rsidRDefault="00720373" w:rsidP="00720373">
      <w:pPr>
        <w:pStyle w:val="Nagwek1"/>
      </w:pPr>
      <w:r>
        <w:t>Zalecenia</w:t>
      </w:r>
      <w:r w:rsidR="00641123">
        <w:t xml:space="preserve"> dla wnioskodawców</w:t>
      </w:r>
      <w:r w:rsidRPr="00720373">
        <w:t>:</w:t>
      </w:r>
    </w:p>
    <w:p w14:paraId="3A7DC321" w14:textId="322320B8" w:rsidR="00C07D4A" w:rsidRPr="00CA051B" w:rsidRDefault="00C07D4A" w:rsidP="00720373">
      <w:pPr>
        <w:pStyle w:val="Tytu"/>
        <w:numPr>
          <w:ilvl w:val="0"/>
          <w:numId w:val="40"/>
        </w:numPr>
        <w:spacing w:after="240" w:line="276" w:lineRule="auto"/>
        <w:jc w:val="left"/>
        <w:rPr>
          <w:rFonts w:ascii="Lato" w:hAnsi="Lato" w:cs="Calibri"/>
          <w:b w:val="0"/>
          <w:sz w:val="22"/>
          <w:szCs w:val="22"/>
        </w:rPr>
      </w:pPr>
      <w:r w:rsidRPr="00CA051B">
        <w:rPr>
          <w:rFonts w:ascii="Lato" w:hAnsi="Lato" w:cs="Calibri"/>
          <w:b w:val="0"/>
          <w:sz w:val="22"/>
          <w:szCs w:val="22"/>
        </w:rPr>
        <w:t>Przygotowując wniosek należy mieć na uwadze kryteria, którymi</w:t>
      </w:r>
      <w:r w:rsidR="007C195A" w:rsidRPr="00CA051B">
        <w:rPr>
          <w:rFonts w:ascii="Lato" w:hAnsi="Lato" w:cs="Calibri"/>
          <w:b w:val="0"/>
          <w:sz w:val="22"/>
          <w:szCs w:val="22"/>
        </w:rPr>
        <w:t xml:space="preserve"> będą posługiwać się oceniający</w:t>
      </w:r>
      <w:r w:rsidRPr="00CA051B">
        <w:rPr>
          <w:rFonts w:ascii="Lato" w:hAnsi="Lato" w:cs="Calibri"/>
          <w:b w:val="0"/>
          <w:sz w:val="22"/>
          <w:szCs w:val="22"/>
        </w:rPr>
        <w:t>.</w:t>
      </w:r>
      <w:r w:rsidR="00DC1D20" w:rsidRPr="00CA051B">
        <w:rPr>
          <w:rFonts w:ascii="Lato" w:hAnsi="Lato" w:cs="Calibri"/>
          <w:b w:val="0"/>
          <w:sz w:val="22"/>
          <w:szCs w:val="22"/>
        </w:rPr>
        <w:t xml:space="preserve"> </w:t>
      </w:r>
      <w:r w:rsidR="00DC1D20" w:rsidRPr="00CA051B">
        <w:rPr>
          <w:rFonts w:ascii="Lato" w:hAnsi="Lato" w:cs="Calibri"/>
          <w:sz w:val="22"/>
          <w:szCs w:val="22"/>
        </w:rPr>
        <w:t>Kryteria oraz metodyka wyboru projektów</w:t>
      </w:r>
      <w:r w:rsidR="00DC1D20" w:rsidRPr="00CA051B">
        <w:rPr>
          <w:rFonts w:ascii="Lato" w:hAnsi="Lato" w:cs="Calibri"/>
          <w:b w:val="0"/>
          <w:sz w:val="22"/>
          <w:szCs w:val="22"/>
        </w:rPr>
        <w:t>, z</w:t>
      </w:r>
      <w:r w:rsidR="009451DD" w:rsidRPr="00CA051B">
        <w:rPr>
          <w:rFonts w:ascii="Lato" w:hAnsi="Lato" w:cs="Calibri"/>
          <w:b w:val="0"/>
          <w:sz w:val="22"/>
          <w:szCs w:val="22"/>
        </w:rPr>
        <w:t>atwierdzone przez Komitet Monitorujący dla Funduszy Europejskich na Migracje, Granice i Bezpieczeństwo 2021-2027</w:t>
      </w:r>
      <w:r w:rsidR="00DC1D20" w:rsidRPr="00CA051B">
        <w:rPr>
          <w:rFonts w:ascii="Lato" w:hAnsi="Lato" w:cs="Calibri"/>
          <w:b w:val="0"/>
          <w:sz w:val="22"/>
          <w:szCs w:val="22"/>
        </w:rPr>
        <w:t>,</w:t>
      </w:r>
      <w:r w:rsidR="009451DD" w:rsidRPr="00CA051B">
        <w:rPr>
          <w:rFonts w:ascii="Lato" w:hAnsi="Lato" w:cs="Calibri"/>
          <w:b w:val="0"/>
          <w:sz w:val="22"/>
          <w:szCs w:val="22"/>
        </w:rPr>
        <w:t xml:space="preserve"> znajdują się tutaj: </w:t>
      </w:r>
      <w:hyperlink r:id="rId11" w:history="1">
        <w:r w:rsidR="00AC6462" w:rsidRPr="00CA051B">
          <w:rPr>
            <w:rStyle w:val="Hipercze"/>
            <w:rFonts w:ascii="Lato" w:hAnsi="Lato" w:cs="Calibri"/>
            <w:b w:val="0"/>
            <w:sz w:val="22"/>
            <w:szCs w:val="22"/>
          </w:rPr>
          <w:t>https://www.gov.pl/web/dfe-mswia/nabory-wnioskow-fbw</w:t>
        </w:r>
      </w:hyperlink>
      <w:r w:rsidR="00AC6462" w:rsidRPr="00CA051B">
        <w:rPr>
          <w:rFonts w:ascii="Lato" w:hAnsi="Lato" w:cs="Calibri"/>
          <w:b w:val="0"/>
          <w:sz w:val="22"/>
          <w:szCs w:val="22"/>
        </w:rPr>
        <w:t xml:space="preserve">. </w:t>
      </w:r>
    </w:p>
    <w:p w14:paraId="0A1463C9" w14:textId="6B7AD8F4" w:rsidR="009765ED" w:rsidRDefault="009765ED" w:rsidP="00720373">
      <w:pPr>
        <w:pStyle w:val="Tytu"/>
        <w:numPr>
          <w:ilvl w:val="0"/>
          <w:numId w:val="40"/>
        </w:numPr>
        <w:spacing w:after="240" w:line="276" w:lineRule="auto"/>
        <w:jc w:val="left"/>
        <w:rPr>
          <w:rFonts w:ascii="Lato" w:hAnsi="Lato" w:cs="Calibri"/>
          <w:b w:val="0"/>
          <w:sz w:val="22"/>
          <w:szCs w:val="22"/>
        </w:rPr>
      </w:pPr>
      <w:r w:rsidRPr="00CA051B">
        <w:rPr>
          <w:rFonts w:ascii="Lato" w:hAnsi="Lato" w:cs="Calibri"/>
          <w:b w:val="0"/>
          <w:sz w:val="22"/>
          <w:szCs w:val="22"/>
        </w:rPr>
        <w:t xml:space="preserve">Projekt powinien być odpowiedzią na zidentyfikowane potrzeby, a jednocześnie musi odpowiadać ograniczeniom Funduszu. Zasadne jest przeprowadzenie szczegółowej analizy aktualnej sytuacji Wnioskodawcy i jego potrzeb w tym zakresie. </w:t>
      </w:r>
    </w:p>
    <w:p w14:paraId="62E1E83F" w14:textId="2C6C8E8B" w:rsidR="00187C9B" w:rsidRPr="00CA051B" w:rsidRDefault="00187C9B" w:rsidP="00187C9B">
      <w:pPr>
        <w:pStyle w:val="Tytu"/>
        <w:numPr>
          <w:ilvl w:val="0"/>
          <w:numId w:val="40"/>
        </w:numPr>
        <w:spacing w:after="240" w:line="276" w:lineRule="auto"/>
        <w:jc w:val="left"/>
        <w:rPr>
          <w:rFonts w:ascii="Lato" w:hAnsi="Lato" w:cs="Calibri"/>
          <w:b w:val="0"/>
          <w:sz w:val="22"/>
          <w:szCs w:val="22"/>
        </w:rPr>
      </w:pPr>
      <w:r w:rsidRPr="00187C9B">
        <w:rPr>
          <w:rFonts w:ascii="Lato" w:hAnsi="Lato" w:cs="Calibri"/>
          <w:b w:val="0"/>
          <w:sz w:val="22"/>
          <w:szCs w:val="22"/>
        </w:rPr>
        <w:lastRenderedPageBreak/>
        <w:t xml:space="preserve">Wnioskodawcy realizujący działania na rzecz dzieci mają </w:t>
      </w:r>
      <w:r w:rsidRPr="00E825C0">
        <w:rPr>
          <w:rFonts w:ascii="Lato" w:hAnsi="Lato" w:cs="Calibri"/>
          <w:sz w:val="22"/>
          <w:szCs w:val="22"/>
        </w:rPr>
        <w:t>obowiązek posiadania standardów ochrony małoletnich</w:t>
      </w:r>
      <w:r w:rsidRPr="00187C9B">
        <w:rPr>
          <w:rFonts w:ascii="Lato" w:hAnsi="Lato" w:cs="Calibri"/>
          <w:b w:val="0"/>
          <w:sz w:val="22"/>
          <w:szCs w:val="22"/>
        </w:rPr>
        <w:t xml:space="preserve">, zgodnie z Ustawą z dnia 28 lipca 2023 r. o zmianie ustawy – </w:t>
      </w:r>
      <w:r w:rsidRPr="00E825C0">
        <w:rPr>
          <w:rFonts w:ascii="Lato" w:hAnsi="Lato" w:cs="Calibri"/>
          <w:b w:val="0"/>
          <w:i/>
          <w:sz w:val="22"/>
          <w:szCs w:val="22"/>
        </w:rPr>
        <w:t>Kodeks rodzinny i opiekuńczy oraz niektórych innych ustaw</w:t>
      </w:r>
      <w:r w:rsidRPr="00187C9B">
        <w:rPr>
          <w:rFonts w:ascii="Lato" w:hAnsi="Lato" w:cs="Calibri"/>
          <w:b w:val="0"/>
          <w:sz w:val="22"/>
          <w:szCs w:val="22"/>
        </w:rPr>
        <w:t>.</w:t>
      </w:r>
    </w:p>
    <w:p w14:paraId="1F23A2A0" w14:textId="755D4BF4" w:rsidR="00284120" w:rsidRPr="008A4C62" w:rsidRDefault="005B4BD6" w:rsidP="00720373">
      <w:pPr>
        <w:pStyle w:val="Tytu"/>
        <w:numPr>
          <w:ilvl w:val="0"/>
          <w:numId w:val="40"/>
        </w:numPr>
        <w:spacing w:after="240" w:line="276" w:lineRule="auto"/>
        <w:jc w:val="left"/>
        <w:rPr>
          <w:rFonts w:ascii="Lato" w:hAnsi="Lato" w:cs="Calibri"/>
          <w:b w:val="0"/>
          <w:sz w:val="22"/>
          <w:szCs w:val="22"/>
        </w:rPr>
      </w:pPr>
      <w:r w:rsidRPr="008A4C62">
        <w:rPr>
          <w:rFonts w:ascii="Lato" w:hAnsi="Lato" w:cs="Calibri"/>
          <w:b w:val="0"/>
          <w:sz w:val="22"/>
          <w:szCs w:val="22"/>
        </w:rPr>
        <w:t xml:space="preserve">W przypadku pytań lub wątpliwości związanych z prawidłowym wypełnianiem wniosków aplikacyjnych, istnieje możliwość wysłania zapytania związanego z przedmiotowym naborem na adres poczty elektronicznej: </w:t>
      </w:r>
      <w:hyperlink r:id="rId12" w:history="1">
        <w:r w:rsidR="00BB6DB6" w:rsidRPr="008A4C62">
          <w:rPr>
            <w:rStyle w:val="Hipercze"/>
            <w:rFonts w:ascii="Lato" w:hAnsi="Lato" w:cs="Calibri"/>
            <w:b w:val="0"/>
            <w:sz w:val="22"/>
            <w:szCs w:val="22"/>
          </w:rPr>
          <w:t>fundusze.kontakt@mswia.gov.pl</w:t>
        </w:r>
      </w:hyperlink>
      <w:r w:rsidRPr="008A4C62">
        <w:rPr>
          <w:rFonts w:ascii="Lato" w:hAnsi="Lato" w:cs="Calibri"/>
          <w:b w:val="0"/>
          <w:sz w:val="22"/>
          <w:szCs w:val="22"/>
        </w:rPr>
        <w:t xml:space="preserve">. Odpowiedzi będą przekazywane w terminie do </w:t>
      </w:r>
      <w:r w:rsidR="00D9463C" w:rsidRPr="008A4C62">
        <w:rPr>
          <w:rFonts w:ascii="Lato" w:hAnsi="Lato" w:cs="Calibri"/>
          <w:b w:val="0"/>
          <w:sz w:val="22"/>
          <w:szCs w:val="22"/>
        </w:rPr>
        <w:t>7</w:t>
      </w:r>
      <w:r w:rsidRPr="008A4C62">
        <w:rPr>
          <w:rFonts w:ascii="Lato" w:hAnsi="Lato" w:cs="Calibri"/>
          <w:b w:val="0"/>
          <w:sz w:val="22"/>
          <w:szCs w:val="22"/>
        </w:rPr>
        <w:t xml:space="preserve"> dni roboczyc</w:t>
      </w:r>
      <w:r w:rsidR="008C5F5C" w:rsidRPr="008A4C62">
        <w:rPr>
          <w:rFonts w:ascii="Lato" w:hAnsi="Lato" w:cs="Calibri"/>
          <w:b w:val="0"/>
          <w:sz w:val="22"/>
          <w:szCs w:val="22"/>
        </w:rPr>
        <w:t>h</w:t>
      </w:r>
      <w:r w:rsidR="0036177F" w:rsidRPr="008A4C62">
        <w:rPr>
          <w:rFonts w:ascii="Lato" w:hAnsi="Lato" w:cs="Calibri"/>
          <w:b w:val="0"/>
          <w:sz w:val="22"/>
          <w:szCs w:val="22"/>
        </w:rPr>
        <w:t>.</w:t>
      </w:r>
    </w:p>
    <w:p w14:paraId="1B799D2B" w14:textId="3543B7B2" w:rsidR="00604EA2" w:rsidRPr="00897425" w:rsidRDefault="00114E36" w:rsidP="00975191">
      <w:pPr>
        <w:spacing w:after="240"/>
        <w:rPr>
          <w:rFonts w:ascii="Lato" w:hAnsi="Lato"/>
          <w:sz w:val="18"/>
          <w:szCs w:val="18"/>
        </w:rPr>
      </w:pPr>
      <w:r w:rsidRPr="00D42D67">
        <w:rPr>
          <w:rFonts w:ascii="Lato" w:hAnsi="Lato"/>
          <w:highlight w:val="yellow"/>
          <w:u w:val="single"/>
        </w:rPr>
        <w:br/>
      </w:r>
      <w:r w:rsidR="00A819B4" w:rsidRPr="00897425">
        <w:rPr>
          <w:rFonts w:ascii="Lato" w:hAnsi="Lato"/>
          <w:sz w:val="18"/>
          <w:szCs w:val="18"/>
        </w:rPr>
        <w:t>Załączniki:</w:t>
      </w:r>
    </w:p>
    <w:p w14:paraId="2B1C1F43" w14:textId="514B5BD2" w:rsidR="00B3731C" w:rsidRPr="00897425" w:rsidRDefault="00A819B4" w:rsidP="00D60811">
      <w:pPr>
        <w:pStyle w:val="Akapitzlist"/>
        <w:numPr>
          <w:ilvl w:val="0"/>
          <w:numId w:val="7"/>
        </w:numPr>
        <w:spacing w:after="160"/>
        <w:rPr>
          <w:rFonts w:ascii="Lato" w:hAnsi="Lato" w:cs="Arial"/>
          <w:color w:val="000000"/>
          <w:sz w:val="18"/>
          <w:szCs w:val="18"/>
        </w:rPr>
      </w:pPr>
      <w:r w:rsidRPr="00897425">
        <w:rPr>
          <w:rFonts w:ascii="Lato" w:hAnsi="Lato" w:cs="Arial"/>
          <w:color w:val="000000"/>
          <w:sz w:val="18"/>
          <w:szCs w:val="18"/>
        </w:rPr>
        <w:t>Instrukcja wypełniania WOD F</w:t>
      </w:r>
      <w:r w:rsidR="00AF4443" w:rsidRPr="00897425">
        <w:rPr>
          <w:rFonts w:ascii="Lato" w:hAnsi="Lato" w:cs="Arial"/>
          <w:color w:val="000000"/>
          <w:sz w:val="18"/>
          <w:szCs w:val="18"/>
        </w:rPr>
        <w:t>BW</w:t>
      </w:r>
      <w:r w:rsidRPr="00897425">
        <w:rPr>
          <w:rFonts w:ascii="Lato" w:hAnsi="Lato" w:cs="Arial"/>
          <w:color w:val="000000"/>
          <w:sz w:val="18"/>
          <w:szCs w:val="18"/>
        </w:rPr>
        <w:t xml:space="preserve"> w CST2021</w:t>
      </w:r>
      <w:r w:rsidR="00AC4907" w:rsidRPr="00897425">
        <w:rPr>
          <w:rFonts w:ascii="Lato" w:hAnsi="Lato" w:cs="Arial"/>
          <w:color w:val="000000"/>
          <w:sz w:val="18"/>
          <w:szCs w:val="18"/>
        </w:rPr>
        <w:t>;</w:t>
      </w:r>
    </w:p>
    <w:p w14:paraId="24922B2E" w14:textId="530E6493" w:rsidR="00DB785E" w:rsidRPr="00897425" w:rsidRDefault="00A819B4" w:rsidP="00A819B4">
      <w:pPr>
        <w:pStyle w:val="Akapitzlist"/>
        <w:numPr>
          <w:ilvl w:val="0"/>
          <w:numId w:val="7"/>
        </w:numPr>
        <w:spacing w:after="160"/>
        <w:rPr>
          <w:rFonts w:ascii="Lato" w:hAnsi="Lato" w:cs="Arial"/>
          <w:color w:val="000000"/>
          <w:sz w:val="18"/>
          <w:szCs w:val="18"/>
        </w:rPr>
      </w:pPr>
      <w:r w:rsidRPr="00897425">
        <w:rPr>
          <w:rFonts w:ascii="Lato" w:hAnsi="Lato" w:cs="Arial"/>
          <w:color w:val="000000"/>
          <w:sz w:val="18"/>
          <w:szCs w:val="18"/>
        </w:rPr>
        <w:t>Arkusz Oceny Formalnej</w:t>
      </w:r>
      <w:r w:rsidR="007972C4" w:rsidRPr="00897425">
        <w:rPr>
          <w:rFonts w:ascii="Lato" w:hAnsi="Lato" w:cs="Arial"/>
          <w:color w:val="000000"/>
          <w:sz w:val="18"/>
          <w:szCs w:val="18"/>
        </w:rPr>
        <w:t xml:space="preserve"> wniosku o dofinansowanie </w:t>
      </w:r>
      <w:r w:rsidRPr="00897425">
        <w:rPr>
          <w:rFonts w:ascii="Lato" w:hAnsi="Lato" w:cs="Arial"/>
          <w:color w:val="000000"/>
          <w:sz w:val="18"/>
          <w:szCs w:val="18"/>
        </w:rPr>
        <w:t>z F</w:t>
      </w:r>
      <w:r w:rsidR="007972C4" w:rsidRPr="00897425">
        <w:rPr>
          <w:rFonts w:ascii="Lato" w:hAnsi="Lato" w:cs="Arial"/>
          <w:color w:val="000000"/>
          <w:sz w:val="18"/>
          <w:szCs w:val="18"/>
        </w:rPr>
        <w:t>BW</w:t>
      </w:r>
      <w:r w:rsidR="00AC4907" w:rsidRPr="00897425">
        <w:rPr>
          <w:rFonts w:ascii="Lato" w:hAnsi="Lato" w:cs="Arial"/>
          <w:color w:val="000000"/>
          <w:sz w:val="18"/>
          <w:szCs w:val="18"/>
        </w:rPr>
        <w:t>;</w:t>
      </w:r>
    </w:p>
    <w:p w14:paraId="26BAAED9" w14:textId="6A353AB5" w:rsidR="0032387F" w:rsidRPr="00897425" w:rsidRDefault="0032387F" w:rsidP="0032387F">
      <w:pPr>
        <w:pStyle w:val="Akapitzlist"/>
        <w:numPr>
          <w:ilvl w:val="0"/>
          <w:numId w:val="7"/>
        </w:numPr>
        <w:spacing w:after="160"/>
        <w:rPr>
          <w:rFonts w:ascii="Lato" w:hAnsi="Lato" w:cs="Arial"/>
          <w:color w:val="000000"/>
          <w:sz w:val="18"/>
          <w:szCs w:val="18"/>
        </w:rPr>
      </w:pPr>
      <w:r w:rsidRPr="00897425">
        <w:rPr>
          <w:rFonts w:ascii="Lato" w:hAnsi="Lato" w:cs="Arial"/>
          <w:color w:val="000000"/>
          <w:sz w:val="18"/>
          <w:szCs w:val="18"/>
        </w:rPr>
        <w:t>Arkusz Oceny Merytorycznej wniosku o dofinansowanie z FBW</w:t>
      </w:r>
      <w:r w:rsidR="00AC4907" w:rsidRPr="00897425">
        <w:rPr>
          <w:rFonts w:ascii="Lato" w:hAnsi="Lato" w:cs="Arial"/>
          <w:color w:val="000000"/>
          <w:sz w:val="18"/>
          <w:szCs w:val="18"/>
        </w:rPr>
        <w:t>;</w:t>
      </w:r>
    </w:p>
    <w:p w14:paraId="18F199F2" w14:textId="3242D4EB" w:rsidR="00A819B4" w:rsidRDefault="00A819B4" w:rsidP="00FD1240">
      <w:pPr>
        <w:pStyle w:val="Akapitzlist"/>
        <w:numPr>
          <w:ilvl w:val="0"/>
          <w:numId w:val="7"/>
        </w:numPr>
        <w:spacing w:after="160"/>
        <w:rPr>
          <w:rFonts w:ascii="Lato" w:hAnsi="Lato" w:cs="Arial"/>
          <w:color w:val="000000"/>
          <w:sz w:val="18"/>
          <w:szCs w:val="18"/>
        </w:rPr>
      </w:pPr>
      <w:r w:rsidRPr="00897425">
        <w:rPr>
          <w:rFonts w:ascii="Lato" w:hAnsi="Lato" w:cs="Arial"/>
          <w:color w:val="000000"/>
          <w:sz w:val="18"/>
          <w:szCs w:val="18"/>
        </w:rPr>
        <w:t>Wzór Porozumienia Finansowego</w:t>
      </w:r>
      <w:r w:rsidR="002C79E1">
        <w:rPr>
          <w:rFonts w:ascii="Lato" w:hAnsi="Lato" w:cs="Arial"/>
          <w:color w:val="000000"/>
          <w:sz w:val="18"/>
          <w:szCs w:val="18"/>
        </w:rPr>
        <w:t>;</w:t>
      </w:r>
    </w:p>
    <w:p w14:paraId="542F7F33" w14:textId="7EBAEACF" w:rsidR="002C79E1" w:rsidRDefault="002C79E1" w:rsidP="00FD1240">
      <w:pPr>
        <w:pStyle w:val="Akapitzlist"/>
        <w:numPr>
          <w:ilvl w:val="0"/>
          <w:numId w:val="7"/>
        </w:numPr>
        <w:spacing w:after="160"/>
        <w:rPr>
          <w:rFonts w:ascii="Lato" w:hAnsi="Lato" w:cs="Arial"/>
          <w:color w:val="000000"/>
          <w:sz w:val="18"/>
          <w:szCs w:val="18"/>
        </w:rPr>
      </w:pPr>
      <w:r>
        <w:rPr>
          <w:rFonts w:ascii="Lato" w:hAnsi="Lato" w:cs="Arial"/>
          <w:color w:val="000000"/>
          <w:sz w:val="18"/>
          <w:szCs w:val="18"/>
        </w:rPr>
        <w:t>Wzór Umowy Finansowej;</w:t>
      </w:r>
    </w:p>
    <w:p w14:paraId="3D26E987" w14:textId="5E005F09" w:rsidR="00A02D14" w:rsidRPr="002C79E1" w:rsidRDefault="002C79E1" w:rsidP="002C79E1">
      <w:pPr>
        <w:pStyle w:val="Akapitzlist"/>
        <w:numPr>
          <w:ilvl w:val="0"/>
          <w:numId w:val="7"/>
        </w:numPr>
        <w:rPr>
          <w:rFonts w:ascii="Lato" w:hAnsi="Lato" w:cs="Arial"/>
          <w:color w:val="000000"/>
          <w:sz w:val="18"/>
          <w:szCs w:val="18"/>
        </w:rPr>
      </w:pPr>
      <w:r w:rsidRPr="002C79E1">
        <w:rPr>
          <w:rFonts w:ascii="Lato" w:hAnsi="Lato" w:cs="Arial"/>
          <w:color w:val="000000"/>
          <w:sz w:val="18"/>
          <w:szCs w:val="18"/>
        </w:rPr>
        <w:t>Procedura odwoławcza wraz ze wzorem odwołani</w:t>
      </w:r>
      <w:r>
        <w:rPr>
          <w:rFonts w:ascii="Lato" w:hAnsi="Lato" w:cs="Arial"/>
          <w:color w:val="000000"/>
          <w:sz w:val="18"/>
          <w:szCs w:val="18"/>
        </w:rPr>
        <w:t>a od wyników oceny merytorycznej.</w:t>
      </w:r>
    </w:p>
    <w:sectPr w:rsidR="00A02D14" w:rsidRPr="002C79E1" w:rsidSect="00677715">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4F18A" w14:textId="77777777" w:rsidR="004A240D" w:rsidRDefault="004A240D" w:rsidP="009451DD">
      <w:pPr>
        <w:spacing w:after="0" w:line="240" w:lineRule="auto"/>
      </w:pPr>
      <w:r>
        <w:separator/>
      </w:r>
    </w:p>
  </w:endnote>
  <w:endnote w:type="continuationSeparator" w:id="0">
    <w:p w14:paraId="4EA9F81F" w14:textId="77777777" w:rsidR="004A240D" w:rsidRDefault="004A240D" w:rsidP="009451DD">
      <w:pPr>
        <w:spacing w:after="0" w:line="240" w:lineRule="auto"/>
      </w:pPr>
      <w:r>
        <w:continuationSeparator/>
      </w:r>
    </w:p>
  </w:endnote>
  <w:endnote w:type="continuationNotice" w:id="1">
    <w:p w14:paraId="66871F40" w14:textId="77777777" w:rsidR="004A240D" w:rsidRDefault="004A2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08342"/>
      <w:docPartObj>
        <w:docPartGallery w:val="Page Numbers (Bottom of Page)"/>
        <w:docPartUnique/>
      </w:docPartObj>
    </w:sdtPr>
    <w:sdtEndPr/>
    <w:sdtContent>
      <w:sdt>
        <w:sdtPr>
          <w:id w:val="1728636285"/>
          <w:docPartObj>
            <w:docPartGallery w:val="Page Numbers (Top of Page)"/>
            <w:docPartUnique/>
          </w:docPartObj>
        </w:sdtPr>
        <w:sdtEndPr/>
        <w:sdtContent>
          <w:p w14:paraId="69510DD4" w14:textId="3458A88D" w:rsidR="008D6F24" w:rsidRDefault="008D6F2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223E92">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23E92">
              <w:rPr>
                <w:b/>
                <w:bCs/>
                <w:noProof/>
              </w:rPr>
              <w:t>7</w:t>
            </w:r>
            <w:r>
              <w:rPr>
                <w:b/>
                <w:bCs/>
                <w:sz w:val="24"/>
                <w:szCs w:val="24"/>
              </w:rPr>
              <w:fldChar w:fldCharType="end"/>
            </w:r>
          </w:p>
        </w:sdtContent>
      </w:sdt>
    </w:sdtContent>
  </w:sdt>
  <w:p w14:paraId="658C7D64" w14:textId="77777777" w:rsidR="008D6F24" w:rsidRDefault="008D6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C973" w14:textId="77777777" w:rsidR="004A240D" w:rsidRDefault="004A240D" w:rsidP="009451DD">
      <w:pPr>
        <w:spacing w:after="0" w:line="240" w:lineRule="auto"/>
      </w:pPr>
      <w:r>
        <w:separator/>
      </w:r>
    </w:p>
  </w:footnote>
  <w:footnote w:type="continuationSeparator" w:id="0">
    <w:p w14:paraId="223A9C1F" w14:textId="77777777" w:rsidR="004A240D" w:rsidRDefault="004A240D" w:rsidP="009451DD">
      <w:pPr>
        <w:spacing w:after="0" w:line="240" w:lineRule="auto"/>
      </w:pPr>
      <w:r>
        <w:continuationSeparator/>
      </w:r>
    </w:p>
  </w:footnote>
  <w:footnote w:type="continuationNotice" w:id="1">
    <w:p w14:paraId="7D1B8EAE" w14:textId="77777777" w:rsidR="004A240D" w:rsidRDefault="004A240D">
      <w:pPr>
        <w:spacing w:after="0" w:line="240" w:lineRule="auto"/>
      </w:pPr>
    </w:p>
  </w:footnote>
  <w:footnote w:id="2">
    <w:p w14:paraId="4006977A" w14:textId="52CC2568" w:rsidR="00226CD2" w:rsidRDefault="00226CD2">
      <w:pPr>
        <w:pStyle w:val="Tekstprzypisudolnego"/>
      </w:pPr>
      <w:r>
        <w:rPr>
          <w:rStyle w:val="Odwoanieprzypisudolnego"/>
        </w:rPr>
        <w:footnoteRef/>
      </w:r>
      <w:r>
        <w:t xml:space="preserve"> </w:t>
      </w:r>
      <w:r w:rsidRPr="00DE3B62">
        <w:rPr>
          <w:i/>
          <w:sz w:val="16"/>
          <w:szCs w:val="16"/>
        </w:rPr>
        <w:t>Zgodnie z załącznikiem II Rozporządzenia Parlamentu Europejskiego i Rady (UE) 2021/1149 z dnia 7 lipca 2021 r. ustanawiającym Fundusz Bezpieczeństwa Wewnętrznego</w:t>
      </w:r>
      <w:r w:rsidRPr="00DE3B62">
        <w:rPr>
          <w:sz w:val="16"/>
          <w:szCs w:val="16"/>
        </w:rPr>
        <w:t xml:space="preserve"> – środek wykonawczy</w:t>
      </w:r>
      <w:r w:rsidR="006D31FF">
        <w:rPr>
          <w:sz w:val="16"/>
          <w:szCs w:val="16"/>
        </w:rPr>
        <w:t xml:space="preserve"> c</w:t>
      </w:r>
      <w:r>
        <w:rPr>
          <w:sz w:val="16"/>
          <w:szCs w:val="16"/>
        </w:rPr>
        <w:t xml:space="preserve">) </w:t>
      </w:r>
      <w:r w:rsidR="006D31FF" w:rsidRPr="006D31FF">
        <w:rPr>
          <w:sz w:val="16"/>
          <w:szCs w:val="16"/>
        </w:rPr>
        <w:t>promowanie i rozwijanie środków, zabezpieczeń, mechanizmów oraz najlepszych praktyk na potrzeby identyfikacji, ochrony i wsparcia – na wczesnym etapie – świadków, sygnalistów i ofiar przemocy oraz rozwijanie w tym celu partnerstw między organami publicznymi a</w:t>
      </w:r>
      <w:r w:rsidR="006D31FF">
        <w:rPr>
          <w:sz w:val="16"/>
          <w:szCs w:val="16"/>
        </w:rPr>
        <w:t xml:space="preserve"> innymi odpowiednimi podmiotami</w:t>
      </w:r>
      <w:r>
        <w:rPr>
          <w:sz w:val="16"/>
          <w:szCs w:val="16"/>
        </w:rPr>
        <w:t xml:space="preserve">. </w:t>
      </w:r>
    </w:p>
  </w:footnote>
  <w:footnote w:id="3">
    <w:p w14:paraId="549258CB" w14:textId="50BC053C" w:rsidR="008A6230" w:rsidRPr="008A6230" w:rsidRDefault="008A6230">
      <w:pPr>
        <w:pStyle w:val="Tekstprzypisudolnego"/>
      </w:pPr>
      <w:r w:rsidRPr="008A6230">
        <w:rPr>
          <w:color w:val="000000" w:themeColor="text1"/>
          <w:sz w:val="16"/>
          <w:szCs w:val="16"/>
        </w:rPr>
        <w:footnoteRef/>
      </w:r>
      <w:r w:rsidRPr="008A6230">
        <w:rPr>
          <w:color w:val="000000" w:themeColor="text1"/>
          <w:sz w:val="16"/>
          <w:szCs w:val="16"/>
        </w:rPr>
        <w:t xml:space="preserve"> Projekty systemowe, to takie projekty, które nie są nastawione </w:t>
      </w:r>
      <w:r>
        <w:rPr>
          <w:color w:val="000000" w:themeColor="text1"/>
          <w:sz w:val="16"/>
          <w:szCs w:val="16"/>
        </w:rPr>
        <w:t>wyłącznie</w:t>
      </w:r>
      <w:r w:rsidRPr="008A6230">
        <w:rPr>
          <w:color w:val="000000" w:themeColor="text1"/>
          <w:sz w:val="16"/>
          <w:szCs w:val="16"/>
        </w:rPr>
        <w:t xml:space="preserve"> na pomoc doraźną, ale na pomoc trwałą, kontynuowaną także po zakończeniu realizacji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C9F1" w14:textId="289FCDF7" w:rsidR="006D0DA9" w:rsidRDefault="006D0DA9">
    <w:pPr>
      <w:pStyle w:val="Nagwek"/>
    </w:pPr>
  </w:p>
  <w:p w14:paraId="5023B5B0" w14:textId="77777777" w:rsidR="006D0DA9" w:rsidRDefault="006D0D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222" w14:textId="248F3F5C" w:rsidR="00677715" w:rsidRDefault="00FD357A">
    <w:pPr>
      <w:pStyle w:val="Nagwek"/>
    </w:pPr>
    <w:r>
      <w:rPr>
        <w:noProof/>
        <w:lang w:eastAsia="pl-PL"/>
      </w:rPr>
      <w:drawing>
        <wp:inline distT="0" distB="0" distL="0" distR="0" wp14:anchorId="267E7B19" wp14:editId="515884B2">
          <wp:extent cx="5760720" cy="822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GB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822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101"/>
    <w:multiLevelType w:val="hybridMultilevel"/>
    <w:tmpl w:val="1D14C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1A203C"/>
    <w:multiLevelType w:val="hybridMultilevel"/>
    <w:tmpl w:val="55588E9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927172"/>
    <w:multiLevelType w:val="hybridMultilevel"/>
    <w:tmpl w:val="F8E28A4A"/>
    <w:lvl w:ilvl="0" w:tplc="074EBDC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 w15:restartNumberingAfterBreak="0">
    <w:nsid w:val="10315B22"/>
    <w:multiLevelType w:val="hybridMultilevel"/>
    <w:tmpl w:val="F67ED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1859BD"/>
    <w:multiLevelType w:val="hybridMultilevel"/>
    <w:tmpl w:val="F8AC62EC"/>
    <w:lvl w:ilvl="0" w:tplc="6A26A950">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C65A6"/>
    <w:multiLevelType w:val="hybridMultilevel"/>
    <w:tmpl w:val="EF68F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2739D"/>
    <w:multiLevelType w:val="hybridMultilevel"/>
    <w:tmpl w:val="3B64BB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09287F"/>
    <w:multiLevelType w:val="hybridMultilevel"/>
    <w:tmpl w:val="8C366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3A2EEE"/>
    <w:multiLevelType w:val="hybridMultilevel"/>
    <w:tmpl w:val="27B23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35C44F4"/>
    <w:multiLevelType w:val="hybridMultilevel"/>
    <w:tmpl w:val="0212A4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7BC0111"/>
    <w:multiLevelType w:val="hybridMultilevel"/>
    <w:tmpl w:val="A356B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B0C63"/>
    <w:multiLevelType w:val="hybridMultilevel"/>
    <w:tmpl w:val="A5482DF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32FC3382"/>
    <w:multiLevelType w:val="hybridMultilevel"/>
    <w:tmpl w:val="8D86C222"/>
    <w:lvl w:ilvl="0" w:tplc="9B4AF1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3AB6B15"/>
    <w:multiLevelType w:val="hybridMultilevel"/>
    <w:tmpl w:val="A75AC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916B4B"/>
    <w:multiLevelType w:val="hybridMultilevel"/>
    <w:tmpl w:val="DF2636C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C0CA2"/>
    <w:multiLevelType w:val="hybridMultilevel"/>
    <w:tmpl w:val="884EA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211590"/>
    <w:multiLevelType w:val="hybridMultilevel"/>
    <w:tmpl w:val="B582BDD6"/>
    <w:lvl w:ilvl="0" w:tplc="9B4AF1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62F3715"/>
    <w:multiLevelType w:val="hybridMultilevel"/>
    <w:tmpl w:val="86B40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B636BE"/>
    <w:multiLevelType w:val="hybridMultilevel"/>
    <w:tmpl w:val="6406B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E55EEC"/>
    <w:multiLevelType w:val="hybridMultilevel"/>
    <w:tmpl w:val="F5F0A6E6"/>
    <w:lvl w:ilvl="0" w:tplc="AF6EB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052363"/>
    <w:multiLevelType w:val="hybridMultilevel"/>
    <w:tmpl w:val="B1E40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E07520"/>
    <w:multiLevelType w:val="hybridMultilevel"/>
    <w:tmpl w:val="BC28FF6A"/>
    <w:lvl w:ilvl="0" w:tplc="35EE70E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A04F37"/>
    <w:multiLevelType w:val="hybridMultilevel"/>
    <w:tmpl w:val="A356B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E26A2"/>
    <w:multiLevelType w:val="hybridMultilevel"/>
    <w:tmpl w:val="B36E2ACA"/>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4" w15:restartNumberingAfterBreak="0">
    <w:nsid w:val="67782601"/>
    <w:multiLevelType w:val="hybridMultilevel"/>
    <w:tmpl w:val="673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486455"/>
    <w:multiLevelType w:val="hybridMultilevel"/>
    <w:tmpl w:val="DBA8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1B39F4"/>
    <w:multiLevelType w:val="hybridMultilevel"/>
    <w:tmpl w:val="E624B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B6A0E16"/>
    <w:multiLevelType w:val="hybridMultilevel"/>
    <w:tmpl w:val="037276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CB477FF"/>
    <w:multiLevelType w:val="hybridMultilevel"/>
    <w:tmpl w:val="7298C86C"/>
    <w:lvl w:ilvl="0" w:tplc="44AE54E4">
      <w:numFmt w:val="bullet"/>
      <w:lvlText w:val="•"/>
      <w:lvlJc w:val="left"/>
      <w:pPr>
        <w:ind w:left="720" w:hanging="360"/>
      </w:pPr>
      <w:rPr>
        <w:rFonts w:ascii="Lato" w:eastAsia="Times New Roman" w:hAnsi="La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3C5630"/>
    <w:multiLevelType w:val="hybridMultilevel"/>
    <w:tmpl w:val="79869DC6"/>
    <w:lvl w:ilvl="0" w:tplc="3CDC12C2">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A41290"/>
    <w:multiLevelType w:val="hybridMultilevel"/>
    <w:tmpl w:val="8DD46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3C1A63"/>
    <w:multiLevelType w:val="hybridMultilevel"/>
    <w:tmpl w:val="16669C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9BC7BD6"/>
    <w:multiLevelType w:val="hybridMultilevel"/>
    <w:tmpl w:val="08AE5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7"/>
  </w:num>
  <w:num w:numId="4">
    <w:abstractNumId w:val="12"/>
  </w:num>
  <w:num w:numId="5">
    <w:abstractNumId w:val="29"/>
  </w:num>
  <w:num w:numId="6">
    <w:abstractNumId w:val="16"/>
  </w:num>
  <w:num w:numId="7">
    <w:abstractNumId w:val="1"/>
  </w:num>
  <w:num w:numId="8">
    <w:abstractNumId w:val="19"/>
  </w:num>
  <w:num w:numId="9">
    <w:abstractNumId w:val="0"/>
  </w:num>
  <w:num w:numId="10">
    <w:abstractNumId w:val="26"/>
  </w:num>
  <w:num w:numId="11">
    <w:abstractNumId w:val="15"/>
  </w:num>
  <w:num w:numId="12">
    <w:abstractNumId w:val="11"/>
  </w:num>
  <w:num w:numId="13">
    <w:abstractNumId w:val="25"/>
  </w:num>
  <w:num w:numId="14">
    <w:abstractNumId w:val="9"/>
  </w:num>
  <w:num w:numId="15">
    <w:abstractNumId w:val="27"/>
  </w:num>
  <w:num w:numId="16">
    <w:abstractNumId w:val="24"/>
  </w:num>
  <w:num w:numId="17">
    <w:abstractNumId w:val="6"/>
  </w:num>
  <w:num w:numId="18">
    <w:abstractNumId w:val="13"/>
  </w:num>
  <w:num w:numId="19">
    <w:abstractNumId w:val="8"/>
  </w:num>
  <w:num w:numId="20">
    <w:abstractNumId w:val="21"/>
  </w:num>
  <w:num w:numId="21">
    <w:abstractNumId w:val="20"/>
  </w:num>
  <w:num w:numId="22">
    <w:abstractNumId w:val="28"/>
  </w:num>
  <w:num w:numId="23">
    <w:abstractNumId w:val="30"/>
  </w:num>
  <w:num w:numId="24">
    <w:abstractNumId w:val="4"/>
  </w:num>
  <w:num w:numId="25">
    <w:abstractNumId w:val="4"/>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2"/>
  </w:num>
  <w:num w:numId="29">
    <w:abstractNumId w:val="4"/>
  </w:num>
  <w:num w:numId="30">
    <w:abstractNumId w:val="4"/>
  </w:num>
  <w:num w:numId="31">
    <w:abstractNumId w:val="4"/>
  </w:num>
  <w:num w:numId="32">
    <w:abstractNumId w:val="3"/>
  </w:num>
  <w:num w:numId="33">
    <w:abstractNumId w:val="2"/>
  </w:num>
  <w:num w:numId="34">
    <w:abstractNumId w:val="23"/>
  </w:num>
  <w:num w:numId="35">
    <w:abstractNumId w:val="4"/>
  </w:num>
  <w:num w:numId="36">
    <w:abstractNumId w:val="4"/>
  </w:num>
  <w:num w:numId="37">
    <w:abstractNumId w:val="5"/>
  </w:num>
  <w:num w:numId="38">
    <w:abstractNumId w:val="10"/>
  </w:num>
  <w:num w:numId="39">
    <w:abstractNumId w:val="4"/>
  </w:num>
  <w:num w:numId="40">
    <w:abstractNumId w:val="22"/>
  </w:num>
  <w:num w:numId="4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0F"/>
    <w:rsid w:val="00002711"/>
    <w:rsid w:val="000101C0"/>
    <w:rsid w:val="000222AA"/>
    <w:rsid w:val="00023304"/>
    <w:rsid w:val="00024671"/>
    <w:rsid w:val="00033E26"/>
    <w:rsid w:val="00035719"/>
    <w:rsid w:val="000672CB"/>
    <w:rsid w:val="000706E1"/>
    <w:rsid w:val="0008124C"/>
    <w:rsid w:val="00085A52"/>
    <w:rsid w:val="0008608F"/>
    <w:rsid w:val="000A514F"/>
    <w:rsid w:val="000A755C"/>
    <w:rsid w:val="000B29DC"/>
    <w:rsid w:val="000C4FEA"/>
    <w:rsid w:val="000D390F"/>
    <w:rsid w:val="000E1366"/>
    <w:rsid w:val="000E137C"/>
    <w:rsid w:val="000E6B00"/>
    <w:rsid w:val="000F0C74"/>
    <w:rsid w:val="000F6CAD"/>
    <w:rsid w:val="00114E36"/>
    <w:rsid w:val="00115CC5"/>
    <w:rsid w:val="001222EB"/>
    <w:rsid w:val="0012415C"/>
    <w:rsid w:val="00124A08"/>
    <w:rsid w:val="001438E3"/>
    <w:rsid w:val="00145D2E"/>
    <w:rsid w:val="00151129"/>
    <w:rsid w:val="00152B80"/>
    <w:rsid w:val="00156509"/>
    <w:rsid w:val="0016776E"/>
    <w:rsid w:val="00170C14"/>
    <w:rsid w:val="00180962"/>
    <w:rsid w:val="001849C6"/>
    <w:rsid w:val="00187C9B"/>
    <w:rsid w:val="00195C97"/>
    <w:rsid w:val="001A625B"/>
    <w:rsid w:val="001C71C0"/>
    <w:rsid w:val="001E190E"/>
    <w:rsid w:val="001E1CD0"/>
    <w:rsid w:val="001E2D09"/>
    <w:rsid w:val="001F001C"/>
    <w:rsid w:val="001F55E0"/>
    <w:rsid w:val="002018F2"/>
    <w:rsid w:val="002075DE"/>
    <w:rsid w:val="00215725"/>
    <w:rsid w:val="002169CE"/>
    <w:rsid w:val="00223E92"/>
    <w:rsid w:val="00226CD2"/>
    <w:rsid w:val="002333DE"/>
    <w:rsid w:val="002376FE"/>
    <w:rsid w:val="00240B84"/>
    <w:rsid w:val="00245DFA"/>
    <w:rsid w:val="00253C79"/>
    <w:rsid w:val="0026320D"/>
    <w:rsid w:val="00264AA8"/>
    <w:rsid w:val="0026632E"/>
    <w:rsid w:val="00267EBE"/>
    <w:rsid w:val="00274FE4"/>
    <w:rsid w:val="00282064"/>
    <w:rsid w:val="00283926"/>
    <w:rsid w:val="00284120"/>
    <w:rsid w:val="0028469F"/>
    <w:rsid w:val="00294C5D"/>
    <w:rsid w:val="00295E7E"/>
    <w:rsid w:val="002A1CC7"/>
    <w:rsid w:val="002A215D"/>
    <w:rsid w:val="002A35BD"/>
    <w:rsid w:val="002A52E2"/>
    <w:rsid w:val="002B6775"/>
    <w:rsid w:val="002C57E7"/>
    <w:rsid w:val="002C6C22"/>
    <w:rsid w:val="002C79E1"/>
    <w:rsid w:val="002D6ECD"/>
    <w:rsid w:val="002E3E48"/>
    <w:rsid w:val="002E51E3"/>
    <w:rsid w:val="002F2674"/>
    <w:rsid w:val="00300873"/>
    <w:rsid w:val="0030104C"/>
    <w:rsid w:val="00303656"/>
    <w:rsid w:val="00305DF5"/>
    <w:rsid w:val="0032387F"/>
    <w:rsid w:val="00324776"/>
    <w:rsid w:val="00326950"/>
    <w:rsid w:val="00326DFB"/>
    <w:rsid w:val="0033248B"/>
    <w:rsid w:val="00342D16"/>
    <w:rsid w:val="00360094"/>
    <w:rsid w:val="0036177F"/>
    <w:rsid w:val="00364895"/>
    <w:rsid w:val="0036508E"/>
    <w:rsid w:val="0037412E"/>
    <w:rsid w:val="003A3D7B"/>
    <w:rsid w:val="003A641F"/>
    <w:rsid w:val="003B1A72"/>
    <w:rsid w:val="003C0047"/>
    <w:rsid w:val="003C2FA8"/>
    <w:rsid w:val="003D587E"/>
    <w:rsid w:val="003E0865"/>
    <w:rsid w:val="003E3305"/>
    <w:rsid w:val="003F4871"/>
    <w:rsid w:val="0041117D"/>
    <w:rsid w:val="0041532A"/>
    <w:rsid w:val="0042636D"/>
    <w:rsid w:val="0044062A"/>
    <w:rsid w:val="00445DD7"/>
    <w:rsid w:val="004521C2"/>
    <w:rsid w:val="00454B0A"/>
    <w:rsid w:val="00455431"/>
    <w:rsid w:val="004654DF"/>
    <w:rsid w:val="00467FC4"/>
    <w:rsid w:val="004753BD"/>
    <w:rsid w:val="00490931"/>
    <w:rsid w:val="00493BA6"/>
    <w:rsid w:val="004A1FB0"/>
    <w:rsid w:val="004A240D"/>
    <w:rsid w:val="004A2A49"/>
    <w:rsid w:val="004A4F7B"/>
    <w:rsid w:val="004B404F"/>
    <w:rsid w:val="004B498D"/>
    <w:rsid w:val="004B5BDC"/>
    <w:rsid w:val="004B788C"/>
    <w:rsid w:val="004D1356"/>
    <w:rsid w:val="004E268F"/>
    <w:rsid w:val="004E47D9"/>
    <w:rsid w:val="004E772C"/>
    <w:rsid w:val="004F16E0"/>
    <w:rsid w:val="004F567B"/>
    <w:rsid w:val="00500E98"/>
    <w:rsid w:val="0050273B"/>
    <w:rsid w:val="005027F9"/>
    <w:rsid w:val="00511F2E"/>
    <w:rsid w:val="00521F41"/>
    <w:rsid w:val="00527DD4"/>
    <w:rsid w:val="0053497D"/>
    <w:rsid w:val="00536256"/>
    <w:rsid w:val="005564EC"/>
    <w:rsid w:val="00575AC4"/>
    <w:rsid w:val="00577028"/>
    <w:rsid w:val="005928C2"/>
    <w:rsid w:val="00592BBD"/>
    <w:rsid w:val="005952CC"/>
    <w:rsid w:val="00596B1B"/>
    <w:rsid w:val="00597908"/>
    <w:rsid w:val="005A04B1"/>
    <w:rsid w:val="005B0578"/>
    <w:rsid w:val="005B2B33"/>
    <w:rsid w:val="005B4BD6"/>
    <w:rsid w:val="005B724F"/>
    <w:rsid w:val="005D2D02"/>
    <w:rsid w:val="005D4B19"/>
    <w:rsid w:val="005D63D6"/>
    <w:rsid w:val="005E3644"/>
    <w:rsid w:val="005E72E9"/>
    <w:rsid w:val="005F5B52"/>
    <w:rsid w:val="0060408A"/>
    <w:rsid w:val="00604D37"/>
    <w:rsid w:val="00604EA2"/>
    <w:rsid w:val="00604F37"/>
    <w:rsid w:val="0061217C"/>
    <w:rsid w:val="006265E1"/>
    <w:rsid w:val="00641123"/>
    <w:rsid w:val="0065576F"/>
    <w:rsid w:val="006612FB"/>
    <w:rsid w:val="00665658"/>
    <w:rsid w:val="00677715"/>
    <w:rsid w:val="00691765"/>
    <w:rsid w:val="006A075C"/>
    <w:rsid w:val="006A2C20"/>
    <w:rsid w:val="006B0039"/>
    <w:rsid w:val="006B0320"/>
    <w:rsid w:val="006B6E8B"/>
    <w:rsid w:val="006B792B"/>
    <w:rsid w:val="006D0DA9"/>
    <w:rsid w:val="006D31FF"/>
    <w:rsid w:val="006E172A"/>
    <w:rsid w:val="006E3A48"/>
    <w:rsid w:val="006F15B5"/>
    <w:rsid w:val="006F651E"/>
    <w:rsid w:val="006F6E44"/>
    <w:rsid w:val="00720373"/>
    <w:rsid w:val="00720941"/>
    <w:rsid w:val="00724D86"/>
    <w:rsid w:val="00724FD6"/>
    <w:rsid w:val="007307B3"/>
    <w:rsid w:val="00747965"/>
    <w:rsid w:val="00754739"/>
    <w:rsid w:val="0076096A"/>
    <w:rsid w:val="00760BEA"/>
    <w:rsid w:val="007638F6"/>
    <w:rsid w:val="007675CA"/>
    <w:rsid w:val="00771043"/>
    <w:rsid w:val="0078738B"/>
    <w:rsid w:val="007966E8"/>
    <w:rsid w:val="007972C4"/>
    <w:rsid w:val="007B265C"/>
    <w:rsid w:val="007B5ED6"/>
    <w:rsid w:val="007C170D"/>
    <w:rsid w:val="007C195A"/>
    <w:rsid w:val="007C6968"/>
    <w:rsid w:val="007E0408"/>
    <w:rsid w:val="00800B94"/>
    <w:rsid w:val="00803C5C"/>
    <w:rsid w:val="00817F08"/>
    <w:rsid w:val="008237B9"/>
    <w:rsid w:val="00846F20"/>
    <w:rsid w:val="0085163A"/>
    <w:rsid w:val="00853354"/>
    <w:rsid w:val="00861ADD"/>
    <w:rsid w:val="00865CB7"/>
    <w:rsid w:val="00866F81"/>
    <w:rsid w:val="0087025D"/>
    <w:rsid w:val="00885C14"/>
    <w:rsid w:val="00893670"/>
    <w:rsid w:val="00897425"/>
    <w:rsid w:val="008A0655"/>
    <w:rsid w:val="008A199A"/>
    <w:rsid w:val="008A4C62"/>
    <w:rsid w:val="008A6230"/>
    <w:rsid w:val="008B105D"/>
    <w:rsid w:val="008B1139"/>
    <w:rsid w:val="008B70E2"/>
    <w:rsid w:val="008C5F5C"/>
    <w:rsid w:val="008D6BE3"/>
    <w:rsid w:val="008D6F24"/>
    <w:rsid w:val="008E11C3"/>
    <w:rsid w:val="00903993"/>
    <w:rsid w:val="00916A94"/>
    <w:rsid w:val="009172D8"/>
    <w:rsid w:val="00921D56"/>
    <w:rsid w:val="009444B0"/>
    <w:rsid w:val="009451DD"/>
    <w:rsid w:val="009471C2"/>
    <w:rsid w:val="00950E95"/>
    <w:rsid w:val="00960D42"/>
    <w:rsid w:val="00962C31"/>
    <w:rsid w:val="00975191"/>
    <w:rsid w:val="009765ED"/>
    <w:rsid w:val="0098462C"/>
    <w:rsid w:val="009871E4"/>
    <w:rsid w:val="009977A2"/>
    <w:rsid w:val="009A5886"/>
    <w:rsid w:val="009B3C58"/>
    <w:rsid w:val="009C0D29"/>
    <w:rsid w:val="009C4668"/>
    <w:rsid w:val="009C4FEF"/>
    <w:rsid w:val="009C755C"/>
    <w:rsid w:val="009D5EA4"/>
    <w:rsid w:val="009E706E"/>
    <w:rsid w:val="009F4EB6"/>
    <w:rsid w:val="009F4EBC"/>
    <w:rsid w:val="00A02D14"/>
    <w:rsid w:val="00A06AE4"/>
    <w:rsid w:val="00A208B0"/>
    <w:rsid w:val="00A23400"/>
    <w:rsid w:val="00A34311"/>
    <w:rsid w:val="00A3640B"/>
    <w:rsid w:val="00A4445B"/>
    <w:rsid w:val="00A46CE5"/>
    <w:rsid w:val="00A6146A"/>
    <w:rsid w:val="00A66F14"/>
    <w:rsid w:val="00A71316"/>
    <w:rsid w:val="00A72E42"/>
    <w:rsid w:val="00A72FE2"/>
    <w:rsid w:val="00A77235"/>
    <w:rsid w:val="00A819B4"/>
    <w:rsid w:val="00A82F5C"/>
    <w:rsid w:val="00AA7D45"/>
    <w:rsid w:val="00AB01A9"/>
    <w:rsid w:val="00AB2740"/>
    <w:rsid w:val="00AC15F2"/>
    <w:rsid w:val="00AC4416"/>
    <w:rsid w:val="00AC4907"/>
    <w:rsid w:val="00AC5CAD"/>
    <w:rsid w:val="00AC6462"/>
    <w:rsid w:val="00AD4B61"/>
    <w:rsid w:val="00AE01D4"/>
    <w:rsid w:val="00AF4443"/>
    <w:rsid w:val="00B06E97"/>
    <w:rsid w:val="00B07233"/>
    <w:rsid w:val="00B15874"/>
    <w:rsid w:val="00B22282"/>
    <w:rsid w:val="00B31353"/>
    <w:rsid w:val="00B36886"/>
    <w:rsid w:val="00B3731C"/>
    <w:rsid w:val="00B50B25"/>
    <w:rsid w:val="00B716C6"/>
    <w:rsid w:val="00B73BD5"/>
    <w:rsid w:val="00B83824"/>
    <w:rsid w:val="00B90D0F"/>
    <w:rsid w:val="00B914EC"/>
    <w:rsid w:val="00B943AA"/>
    <w:rsid w:val="00B954A2"/>
    <w:rsid w:val="00B95A7E"/>
    <w:rsid w:val="00B97046"/>
    <w:rsid w:val="00BA5322"/>
    <w:rsid w:val="00BB3B9E"/>
    <w:rsid w:val="00BB6DB6"/>
    <w:rsid w:val="00BC3189"/>
    <w:rsid w:val="00BC428C"/>
    <w:rsid w:val="00BC5A25"/>
    <w:rsid w:val="00BE4D38"/>
    <w:rsid w:val="00BE7E96"/>
    <w:rsid w:val="00BF7249"/>
    <w:rsid w:val="00C07D4A"/>
    <w:rsid w:val="00C1449B"/>
    <w:rsid w:val="00C1487D"/>
    <w:rsid w:val="00C17979"/>
    <w:rsid w:val="00C20616"/>
    <w:rsid w:val="00C20C17"/>
    <w:rsid w:val="00C248C9"/>
    <w:rsid w:val="00C27208"/>
    <w:rsid w:val="00C35042"/>
    <w:rsid w:val="00C444E1"/>
    <w:rsid w:val="00C47143"/>
    <w:rsid w:val="00C50D43"/>
    <w:rsid w:val="00C57B71"/>
    <w:rsid w:val="00C830D0"/>
    <w:rsid w:val="00C97121"/>
    <w:rsid w:val="00CA051B"/>
    <w:rsid w:val="00CA5708"/>
    <w:rsid w:val="00CD20ED"/>
    <w:rsid w:val="00CD3775"/>
    <w:rsid w:val="00CD69C6"/>
    <w:rsid w:val="00CE0AA3"/>
    <w:rsid w:val="00CF07AD"/>
    <w:rsid w:val="00D02AC1"/>
    <w:rsid w:val="00D14796"/>
    <w:rsid w:val="00D21D30"/>
    <w:rsid w:val="00D26487"/>
    <w:rsid w:val="00D3484A"/>
    <w:rsid w:val="00D3617B"/>
    <w:rsid w:val="00D42D67"/>
    <w:rsid w:val="00D433D9"/>
    <w:rsid w:val="00D43E25"/>
    <w:rsid w:val="00D51BD2"/>
    <w:rsid w:val="00D60811"/>
    <w:rsid w:val="00D60A98"/>
    <w:rsid w:val="00D63212"/>
    <w:rsid w:val="00D65388"/>
    <w:rsid w:val="00D71775"/>
    <w:rsid w:val="00D920F1"/>
    <w:rsid w:val="00D943BE"/>
    <w:rsid w:val="00D9463C"/>
    <w:rsid w:val="00DB270B"/>
    <w:rsid w:val="00DB2853"/>
    <w:rsid w:val="00DB2FCE"/>
    <w:rsid w:val="00DB5AFB"/>
    <w:rsid w:val="00DB728F"/>
    <w:rsid w:val="00DB785E"/>
    <w:rsid w:val="00DC1D20"/>
    <w:rsid w:val="00DC6141"/>
    <w:rsid w:val="00DD6A2E"/>
    <w:rsid w:val="00DE3B62"/>
    <w:rsid w:val="00DE418C"/>
    <w:rsid w:val="00DF4B36"/>
    <w:rsid w:val="00DF74EE"/>
    <w:rsid w:val="00E03434"/>
    <w:rsid w:val="00E117D4"/>
    <w:rsid w:val="00E12A21"/>
    <w:rsid w:val="00E21191"/>
    <w:rsid w:val="00E2478E"/>
    <w:rsid w:val="00E25D76"/>
    <w:rsid w:val="00E40660"/>
    <w:rsid w:val="00E54D33"/>
    <w:rsid w:val="00E664C2"/>
    <w:rsid w:val="00E7196C"/>
    <w:rsid w:val="00E825C0"/>
    <w:rsid w:val="00E924B5"/>
    <w:rsid w:val="00E93B7D"/>
    <w:rsid w:val="00EA79C3"/>
    <w:rsid w:val="00EB1401"/>
    <w:rsid w:val="00EC0482"/>
    <w:rsid w:val="00EC2437"/>
    <w:rsid w:val="00EC3705"/>
    <w:rsid w:val="00EC388F"/>
    <w:rsid w:val="00EF5E51"/>
    <w:rsid w:val="00F06A56"/>
    <w:rsid w:val="00F163F5"/>
    <w:rsid w:val="00F217C8"/>
    <w:rsid w:val="00F308ED"/>
    <w:rsid w:val="00F4340F"/>
    <w:rsid w:val="00F569C8"/>
    <w:rsid w:val="00F6416A"/>
    <w:rsid w:val="00F83411"/>
    <w:rsid w:val="00F93724"/>
    <w:rsid w:val="00FA0DBD"/>
    <w:rsid w:val="00FD1240"/>
    <w:rsid w:val="00FD357A"/>
    <w:rsid w:val="00FE111C"/>
    <w:rsid w:val="00FF6636"/>
    <w:rsid w:val="00FF7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6A15B"/>
  <w15:docId w15:val="{0A0C0D07-57D9-4B6E-87E8-E4F458EE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autoRedefine/>
    <w:uiPriority w:val="9"/>
    <w:qFormat/>
    <w:rsid w:val="00CD20ED"/>
    <w:pPr>
      <w:keepNext/>
      <w:keepLines/>
      <w:numPr>
        <w:numId w:val="24"/>
      </w:numPr>
      <w:spacing w:before="240" w:after="120"/>
      <w:outlineLvl w:val="0"/>
    </w:pPr>
    <w:rPr>
      <w:rFonts w:ascii="Lato" w:eastAsiaTheme="majorEastAsia" w:hAnsi="Lato" w:cs="Calibr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569C8"/>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F569C8"/>
    <w:rPr>
      <w:rFonts w:ascii="Times New Roman" w:eastAsia="Times New Roman" w:hAnsi="Times New Roman" w:cs="Times New Roman"/>
      <w:b/>
      <w:bCs/>
      <w:sz w:val="24"/>
      <w:szCs w:val="24"/>
      <w:lang w:eastAsia="pl-PL"/>
    </w:rPr>
  </w:style>
  <w:style w:type="character" w:styleId="Hipercze">
    <w:name w:val="Hyperlink"/>
    <w:basedOn w:val="Domylnaczcionkaakapitu"/>
    <w:unhideWhenUsed/>
    <w:rsid w:val="00C35042"/>
    <w:rPr>
      <w:color w:val="0000FF"/>
      <w:u w:val="single"/>
    </w:rPr>
  </w:style>
  <w:style w:type="paragraph" w:styleId="Akapitzlist">
    <w:name w:val="List Paragraph"/>
    <w:basedOn w:val="Normalny"/>
    <w:uiPriority w:val="34"/>
    <w:qFormat/>
    <w:rsid w:val="00C07D4A"/>
    <w:pPr>
      <w:ind w:left="720"/>
      <w:contextualSpacing/>
    </w:pPr>
  </w:style>
  <w:style w:type="paragraph" w:styleId="Tekstdymka">
    <w:name w:val="Balloon Text"/>
    <w:basedOn w:val="Normalny"/>
    <w:link w:val="TekstdymkaZnak"/>
    <w:uiPriority w:val="99"/>
    <w:semiHidden/>
    <w:unhideWhenUsed/>
    <w:rsid w:val="00035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719"/>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451DD"/>
    <w:pPr>
      <w:spacing w:after="0" w:line="240" w:lineRule="auto"/>
    </w:pPr>
    <w:rPr>
      <w:rFonts w:ascii="Lato" w:hAnsi="Lato"/>
      <w:sz w:val="20"/>
      <w:szCs w:val="20"/>
    </w:rPr>
  </w:style>
  <w:style w:type="character" w:customStyle="1" w:styleId="TekstprzypisudolnegoZnak">
    <w:name w:val="Tekst przypisu dolnego Znak"/>
    <w:basedOn w:val="Domylnaczcionkaakapitu"/>
    <w:link w:val="Tekstprzypisudolnego"/>
    <w:uiPriority w:val="99"/>
    <w:semiHidden/>
    <w:rsid w:val="009451DD"/>
    <w:rPr>
      <w:rFonts w:ascii="Lato" w:hAnsi="Lato"/>
      <w:sz w:val="20"/>
      <w:szCs w:val="20"/>
    </w:rPr>
  </w:style>
  <w:style w:type="character" w:styleId="Odwoanieprzypisudolnego">
    <w:name w:val="footnote reference"/>
    <w:basedOn w:val="Domylnaczcionkaakapitu"/>
    <w:uiPriority w:val="99"/>
    <w:semiHidden/>
    <w:unhideWhenUsed/>
    <w:rsid w:val="009451DD"/>
    <w:rPr>
      <w:vertAlign w:val="superscript"/>
    </w:rPr>
  </w:style>
  <w:style w:type="table" w:styleId="Tabela-Siatka">
    <w:name w:val="Table Grid"/>
    <w:basedOn w:val="Standardowy"/>
    <w:uiPriority w:val="39"/>
    <w:rsid w:val="0084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92B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2BBD"/>
  </w:style>
  <w:style w:type="paragraph" w:styleId="Stopka">
    <w:name w:val="footer"/>
    <w:basedOn w:val="Normalny"/>
    <w:link w:val="StopkaZnak"/>
    <w:uiPriority w:val="99"/>
    <w:unhideWhenUsed/>
    <w:rsid w:val="00592B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2BBD"/>
  </w:style>
  <w:style w:type="paragraph" w:styleId="Poprawka">
    <w:name w:val="Revision"/>
    <w:hidden/>
    <w:uiPriority w:val="99"/>
    <w:semiHidden/>
    <w:rsid w:val="004E772C"/>
    <w:pPr>
      <w:spacing w:after="0" w:line="240" w:lineRule="auto"/>
    </w:pPr>
  </w:style>
  <w:style w:type="character" w:styleId="Odwoaniedokomentarza">
    <w:name w:val="annotation reference"/>
    <w:basedOn w:val="Domylnaczcionkaakapitu"/>
    <w:uiPriority w:val="99"/>
    <w:semiHidden/>
    <w:unhideWhenUsed/>
    <w:rsid w:val="004E772C"/>
    <w:rPr>
      <w:sz w:val="16"/>
      <w:szCs w:val="16"/>
    </w:rPr>
  </w:style>
  <w:style w:type="paragraph" w:styleId="Tekstkomentarza">
    <w:name w:val="annotation text"/>
    <w:basedOn w:val="Normalny"/>
    <w:link w:val="TekstkomentarzaZnak"/>
    <w:uiPriority w:val="99"/>
    <w:unhideWhenUsed/>
    <w:rsid w:val="004E772C"/>
    <w:pPr>
      <w:spacing w:line="240" w:lineRule="auto"/>
    </w:pPr>
    <w:rPr>
      <w:sz w:val="20"/>
      <w:szCs w:val="20"/>
    </w:rPr>
  </w:style>
  <w:style w:type="character" w:customStyle="1" w:styleId="TekstkomentarzaZnak">
    <w:name w:val="Tekst komentarza Znak"/>
    <w:basedOn w:val="Domylnaczcionkaakapitu"/>
    <w:link w:val="Tekstkomentarza"/>
    <w:uiPriority w:val="99"/>
    <w:rsid w:val="004E772C"/>
    <w:rPr>
      <w:sz w:val="20"/>
      <w:szCs w:val="20"/>
    </w:rPr>
  </w:style>
  <w:style w:type="paragraph" w:styleId="Tematkomentarza">
    <w:name w:val="annotation subject"/>
    <w:basedOn w:val="Tekstkomentarza"/>
    <w:next w:val="Tekstkomentarza"/>
    <w:link w:val="TematkomentarzaZnak"/>
    <w:uiPriority w:val="99"/>
    <w:semiHidden/>
    <w:unhideWhenUsed/>
    <w:rsid w:val="004E772C"/>
    <w:rPr>
      <w:b/>
      <w:bCs/>
    </w:rPr>
  </w:style>
  <w:style w:type="character" w:customStyle="1" w:styleId="TematkomentarzaZnak">
    <w:name w:val="Temat komentarza Znak"/>
    <w:basedOn w:val="TekstkomentarzaZnak"/>
    <w:link w:val="Tematkomentarza"/>
    <w:uiPriority w:val="99"/>
    <w:semiHidden/>
    <w:rsid w:val="004E772C"/>
    <w:rPr>
      <w:b/>
      <w:bCs/>
      <w:sz w:val="20"/>
      <w:szCs w:val="20"/>
    </w:rPr>
  </w:style>
  <w:style w:type="character" w:styleId="UyteHipercze">
    <w:name w:val="FollowedHyperlink"/>
    <w:basedOn w:val="Domylnaczcionkaakapitu"/>
    <w:uiPriority w:val="99"/>
    <w:semiHidden/>
    <w:unhideWhenUsed/>
    <w:rsid w:val="007C195A"/>
    <w:rPr>
      <w:color w:val="800080" w:themeColor="followedHyperlink"/>
      <w:u w:val="single"/>
    </w:rPr>
  </w:style>
  <w:style w:type="character" w:customStyle="1" w:styleId="Nagwek1Znak">
    <w:name w:val="Nagłówek 1 Znak"/>
    <w:basedOn w:val="Domylnaczcionkaakapitu"/>
    <w:link w:val="Nagwek1"/>
    <w:uiPriority w:val="9"/>
    <w:rsid w:val="00CD20ED"/>
    <w:rPr>
      <w:rFonts w:ascii="Lato" w:eastAsiaTheme="majorEastAsia" w:hAnsi="Lato"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5917">
      <w:bodyDiv w:val="1"/>
      <w:marLeft w:val="0"/>
      <w:marRight w:val="0"/>
      <w:marTop w:val="0"/>
      <w:marBottom w:val="0"/>
      <w:divBdr>
        <w:top w:val="none" w:sz="0" w:space="0" w:color="auto"/>
        <w:left w:val="none" w:sz="0" w:space="0" w:color="auto"/>
        <w:bottom w:val="none" w:sz="0" w:space="0" w:color="auto"/>
        <w:right w:val="none" w:sz="0" w:space="0" w:color="auto"/>
      </w:divBdr>
    </w:div>
    <w:div w:id="10921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emswia.gov.pl/fundusze/fbw-2/fbw-2021-2027/podrecznik-dla-beneficjent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undusze.kontakt@mswia.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fe-mswia/nabory-wnioskow-fb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pl/web/dfe-mswia%20" TargetMode="External"/><Relationship Id="rId4" Type="http://schemas.openxmlformats.org/officeDocument/2006/relationships/settings" Target="settings.xml"/><Relationship Id="rId9" Type="http://schemas.openxmlformats.org/officeDocument/2006/relationships/hyperlink" Target="https://www.gov.pl/web/dfe-mswia/program-funduszu-bezpieczenstwa-wewnetrznego-2021-202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981D9-2C94-4634-A38C-B4F34006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7</Pages>
  <Words>2095</Words>
  <Characters>12576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Cieślak-Kondraszuk Monika</dc:creator>
  <cp:keywords/>
  <dc:description/>
  <cp:lastModifiedBy>Heleniak Julia</cp:lastModifiedBy>
  <cp:revision>4</cp:revision>
  <cp:lastPrinted>2023-12-08T06:31:00Z</cp:lastPrinted>
  <dcterms:created xsi:type="dcterms:W3CDTF">2026-03-11T15:34:00Z</dcterms:created>
  <dcterms:modified xsi:type="dcterms:W3CDTF">2026-03-31T13:06:00Z</dcterms:modified>
</cp:coreProperties>
</file>