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2FD" w:rsidRDefault="009552FD" w:rsidP="009552FD">
      <w:pPr>
        <w:jc w:val="center"/>
        <w:rPr>
          <w:b/>
          <w:sz w:val="48"/>
          <w:szCs w:val="48"/>
        </w:rPr>
      </w:pPr>
    </w:p>
    <w:p w:rsidR="009552FD" w:rsidRDefault="009552FD" w:rsidP="009552FD">
      <w:pPr>
        <w:jc w:val="center"/>
        <w:rPr>
          <w:b/>
          <w:sz w:val="48"/>
          <w:szCs w:val="48"/>
        </w:rPr>
      </w:pPr>
    </w:p>
    <w:p w:rsidR="009552FD" w:rsidRDefault="009552FD" w:rsidP="009552FD">
      <w:pPr>
        <w:jc w:val="center"/>
        <w:rPr>
          <w:b/>
          <w:sz w:val="48"/>
          <w:szCs w:val="48"/>
        </w:rPr>
      </w:pPr>
    </w:p>
    <w:p w:rsidR="009552FD" w:rsidRDefault="009552FD" w:rsidP="009552FD">
      <w:pPr>
        <w:jc w:val="center"/>
        <w:rPr>
          <w:b/>
          <w:sz w:val="48"/>
          <w:szCs w:val="48"/>
        </w:rPr>
      </w:pPr>
    </w:p>
    <w:p w:rsidR="009552FD" w:rsidRDefault="009552FD" w:rsidP="009552FD">
      <w:pPr>
        <w:jc w:val="center"/>
        <w:rPr>
          <w:b/>
          <w:sz w:val="48"/>
          <w:szCs w:val="48"/>
        </w:rPr>
      </w:pPr>
    </w:p>
    <w:p w:rsidR="009552FD" w:rsidRDefault="009552FD" w:rsidP="009552FD">
      <w:pPr>
        <w:jc w:val="center"/>
        <w:rPr>
          <w:b/>
          <w:sz w:val="48"/>
          <w:szCs w:val="48"/>
        </w:rPr>
      </w:pPr>
      <w:r>
        <w:rPr>
          <w:b/>
          <w:sz w:val="48"/>
          <w:szCs w:val="48"/>
        </w:rPr>
        <w:t>Załącznik F</w:t>
      </w:r>
    </w:p>
    <w:p w:rsidR="009552FD" w:rsidRPr="00FB6C21" w:rsidRDefault="009552FD" w:rsidP="009552FD">
      <w:pPr>
        <w:jc w:val="center"/>
        <w:rPr>
          <w:b/>
          <w:sz w:val="48"/>
          <w:szCs w:val="48"/>
        </w:rPr>
      </w:pPr>
      <w:r w:rsidRPr="00FB6C21">
        <w:rPr>
          <w:b/>
          <w:sz w:val="48"/>
          <w:szCs w:val="48"/>
        </w:rPr>
        <w:t xml:space="preserve">do Raportu z wykonywania wyroków Europejskiego Trybunału </w:t>
      </w:r>
    </w:p>
    <w:p w:rsidR="009552FD" w:rsidRPr="00FB6C21" w:rsidRDefault="009552FD" w:rsidP="009552FD">
      <w:pPr>
        <w:jc w:val="center"/>
        <w:rPr>
          <w:b/>
          <w:sz w:val="48"/>
          <w:szCs w:val="48"/>
        </w:rPr>
      </w:pPr>
      <w:r w:rsidRPr="00FB6C21">
        <w:rPr>
          <w:b/>
          <w:sz w:val="48"/>
          <w:szCs w:val="48"/>
        </w:rPr>
        <w:t xml:space="preserve">Praw Człowieka </w:t>
      </w:r>
    </w:p>
    <w:p w:rsidR="009552FD" w:rsidRDefault="009552FD" w:rsidP="009552FD">
      <w:pPr>
        <w:jc w:val="center"/>
        <w:rPr>
          <w:b/>
          <w:sz w:val="48"/>
          <w:szCs w:val="48"/>
        </w:rPr>
      </w:pPr>
      <w:r w:rsidRPr="00FB6C21">
        <w:rPr>
          <w:b/>
          <w:sz w:val="48"/>
          <w:szCs w:val="48"/>
        </w:rPr>
        <w:t>przez Polskę za 20</w:t>
      </w:r>
      <w:r>
        <w:rPr>
          <w:b/>
          <w:sz w:val="48"/>
          <w:szCs w:val="48"/>
        </w:rPr>
        <w:t>20</w:t>
      </w:r>
      <w:r w:rsidRPr="00FB6C21">
        <w:rPr>
          <w:b/>
          <w:sz w:val="48"/>
          <w:szCs w:val="48"/>
        </w:rPr>
        <w:t xml:space="preserve"> r.</w:t>
      </w:r>
    </w:p>
    <w:p w:rsidR="009552FD" w:rsidRDefault="009552FD" w:rsidP="009552FD">
      <w:pPr>
        <w:jc w:val="center"/>
        <w:rPr>
          <w:b/>
          <w:sz w:val="48"/>
          <w:szCs w:val="48"/>
        </w:rPr>
      </w:pPr>
    </w:p>
    <w:p w:rsidR="009552FD" w:rsidRDefault="009552FD" w:rsidP="009552FD">
      <w:pPr>
        <w:jc w:val="center"/>
        <w:rPr>
          <w:b/>
          <w:sz w:val="48"/>
          <w:szCs w:val="48"/>
        </w:rPr>
      </w:pPr>
    </w:p>
    <w:p w:rsidR="009552FD" w:rsidRDefault="009552FD" w:rsidP="009552FD">
      <w:pPr>
        <w:jc w:val="center"/>
        <w:rPr>
          <w:b/>
          <w:sz w:val="48"/>
          <w:szCs w:val="48"/>
        </w:rPr>
      </w:pPr>
    </w:p>
    <w:p w:rsidR="009552FD" w:rsidRDefault="009552FD" w:rsidP="009552FD">
      <w:pPr>
        <w:jc w:val="center"/>
        <w:rPr>
          <w:b/>
          <w:sz w:val="48"/>
          <w:szCs w:val="48"/>
        </w:rPr>
      </w:pPr>
    </w:p>
    <w:p w:rsidR="009552FD" w:rsidRDefault="009552FD" w:rsidP="009552FD">
      <w:pPr>
        <w:jc w:val="center"/>
        <w:rPr>
          <w:b/>
          <w:sz w:val="48"/>
          <w:szCs w:val="48"/>
        </w:rPr>
      </w:pPr>
    </w:p>
    <w:p w:rsidR="009552FD" w:rsidRDefault="009552FD" w:rsidP="009552FD">
      <w:pPr>
        <w:jc w:val="center"/>
        <w:rPr>
          <w:b/>
          <w:sz w:val="48"/>
          <w:szCs w:val="48"/>
        </w:rPr>
      </w:pPr>
    </w:p>
    <w:p w:rsidR="009552FD" w:rsidRDefault="009552FD" w:rsidP="009552FD">
      <w:pPr>
        <w:jc w:val="center"/>
        <w:rPr>
          <w:b/>
          <w:sz w:val="48"/>
          <w:szCs w:val="48"/>
        </w:rPr>
      </w:pPr>
    </w:p>
    <w:p w:rsidR="000F4063" w:rsidRDefault="000F4063"/>
    <w:p w:rsidR="000F4063" w:rsidRDefault="000F4063"/>
    <w:p w:rsidR="00624593" w:rsidRDefault="00624593">
      <w:r>
        <w:t xml:space="preserve">Spis treści </w:t>
      </w:r>
    </w:p>
    <w:p w:rsidR="0047460C" w:rsidRDefault="00B708A0">
      <w:pPr>
        <w:pStyle w:val="Spistreci1"/>
        <w:rPr>
          <w:rFonts w:eastAsiaTheme="minorEastAsia"/>
          <w:noProof/>
          <w:lang w:eastAsia="pl-PL"/>
        </w:rPr>
      </w:pPr>
      <w:r>
        <w:fldChar w:fldCharType="begin"/>
      </w:r>
      <w:r>
        <w:instrText xml:space="preserve"> TOC \o "1-1" \h \z \u </w:instrText>
      </w:r>
      <w:r>
        <w:fldChar w:fldCharType="separate"/>
      </w:r>
      <w:hyperlink w:anchor="_Toc69124145" w:history="1">
        <w:r w:rsidR="0047460C" w:rsidRPr="00E36FE2">
          <w:rPr>
            <w:rStyle w:val="Hipercze"/>
            <w:noProof/>
          </w:rPr>
          <w:t xml:space="preserve">Komunikacja Helsińskiej Fundacji Praw Człowieka w sprawie wykonania wyroku Europejskiego Trybunału Praw Człowieka </w:t>
        </w:r>
        <w:r w:rsidR="0047460C" w:rsidRPr="00E36FE2">
          <w:rPr>
            <w:rStyle w:val="Hipercze"/>
            <w:i/>
            <w:noProof/>
          </w:rPr>
          <w:t>Mierzejewski p. Polsce</w:t>
        </w:r>
        <w:r w:rsidR="0047460C" w:rsidRPr="00E36FE2">
          <w:rPr>
            <w:rStyle w:val="Hipercze"/>
            <w:noProof/>
          </w:rPr>
          <w:t xml:space="preserve"> z dnia 22 stycznia 2020 r.</w:t>
        </w:r>
        <w:r w:rsidR="0047460C">
          <w:rPr>
            <w:noProof/>
            <w:webHidden/>
          </w:rPr>
          <w:tab/>
        </w:r>
        <w:r w:rsidR="0047460C">
          <w:rPr>
            <w:noProof/>
            <w:webHidden/>
          </w:rPr>
          <w:fldChar w:fldCharType="begin"/>
        </w:r>
        <w:r w:rsidR="0047460C">
          <w:rPr>
            <w:noProof/>
            <w:webHidden/>
          </w:rPr>
          <w:instrText xml:space="preserve"> PAGEREF _Toc69124145 \h </w:instrText>
        </w:r>
        <w:r w:rsidR="0047460C">
          <w:rPr>
            <w:noProof/>
            <w:webHidden/>
          </w:rPr>
        </w:r>
        <w:r w:rsidR="0047460C">
          <w:rPr>
            <w:noProof/>
            <w:webHidden/>
          </w:rPr>
          <w:fldChar w:fldCharType="separate"/>
        </w:r>
        <w:r w:rsidR="00DC1AE2">
          <w:rPr>
            <w:noProof/>
            <w:webHidden/>
          </w:rPr>
          <w:t>3</w:t>
        </w:r>
        <w:r w:rsidR="0047460C">
          <w:rPr>
            <w:noProof/>
            <w:webHidden/>
          </w:rPr>
          <w:fldChar w:fldCharType="end"/>
        </w:r>
      </w:hyperlink>
    </w:p>
    <w:p w:rsidR="0047460C" w:rsidRDefault="007F0472">
      <w:pPr>
        <w:pStyle w:val="Spistreci1"/>
        <w:rPr>
          <w:rFonts w:eastAsiaTheme="minorEastAsia"/>
          <w:noProof/>
          <w:lang w:eastAsia="pl-PL"/>
        </w:rPr>
      </w:pPr>
      <w:hyperlink w:anchor="_Toc69124146" w:history="1">
        <w:r w:rsidR="0047460C" w:rsidRPr="00E36FE2">
          <w:rPr>
            <w:rStyle w:val="Hipercze"/>
            <w:noProof/>
          </w:rPr>
          <w:t xml:space="preserve">Komunikacja Centrum Praw Reprodukcyjnych i Federacji na rzecz Kobiet i Planowania Rodziny w sprawie wykonania wyroków Europejskiego Trybunału Praw Człowieka </w:t>
        </w:r>
        <w:r w:rsidR="0047460C" w:rsidRPr="00E36FE2">
          <w:rPr>
            <w:rStyle w:val="Hipercze"/>
            <w:i/>
            <w:noProof/>
          </w:rPr>
          <w:t>Tysiąc p. Polsce</w:t>
        </w:r>
        <w:r w:rsidR="0047460C" w:rsidRPr="00E36FE2">
          <w:rPr>
            <w:rStyle w:val="Hipercze"/>
            <w:noProof/>
          </w:rPr>
          <w:t xml:space="preserve">, </w:t>
        </w:r>
        <w:r w:rsidR="0047460C" w:rsidRPr="00E36FE2">
          <w:rPr>
            <w:rStyle w:val="Hipercze"/>
            <w:i/>
            <w:noProof/>
          </w:rPr>
          <w:t>R.R. p. Polsce</w:t>
        </w:r>
        <w:r w:rsidR="0047460C" w:rsidRPr="00E36FE2">
          <w:rPr>
            <w:rStyle w:val="Hipercze"/>
            <w:noProof/>
          </w:rPr>
          <w:t xml:space="preserve"> i </w:t>
        </w:r>
        <w:r w:rsidR="0047460C" w:rsidRPr="00E36FE2">
          <w:rPr>
            <w:rStyle w:val="Hipercze"/>
            <w:i/>
            <w:noProof/>
          </w:rPr>
          <w:t>P. i S. p. Polsce</w:t>
        </w:r>
        <w:r w:rsidR="0047460C" w:rsidRPr="00E36FE2">
          <w:rPr>
            <w:rStyle w:val="Hipercze"/>
            <w:noProof/>
          </w:rPr>
          <w:t xml:space="preserve"> z dnia 22 stycznia 2020 r.</w:t>
        </w:r>
        <w:r w:rsidR="0047460C">
          <w:rPr>
            <w:noProof/>
            <w:webHidden/>
          </w:rPr>
          <w:tab/>
        </w:r>
        <w:r w:rsidR="0047460C">
          <w:rPr>
            <w:noProof/>
            <w:webHidden/>
          </w:rPr>
          <w:fldChar w:fldCharType="begin"/>
        </w:r>
        <w:r w:rsidR="0047460C">
          <w:rPr>
            <w:noProof/>
            <w:webHidden/>
          </w:rPr>
          <w:instrText xml:space="preserve"> PAGEREF _Toc69124146 \h </w:instrText>
        </w:r>
        <w:r w:rsidR="0047460C">
          <w:rPr>
            <w:noProof/>
            <w:webHidden/>
          </w:rPr>
        </w:r>
        <w:r w:rsidR="0047460C">
          <w:rPr>
            <w:noProof/>
            <w:webHidden/>
          </w:rPr>
          <w:fldChar w:fldCharType="separate"/>
        </w:r>
        <w:r w:rsidR="00DC1AE2">
          <w:rPr>
            <w:noProof/>
            <w:webHidden/>
          </w:rPr>
          <w:t>15</w:t>
        </w:r>
        <w:r w:rsidR="0047460C">
          <w:rPr>
            <w:noProof/>
            <w:webHidden/>
          </w:rPr>
          <w:fldChar w:fldCharType="end"/>
        </w:r>
      </w:hyperlink>
    </w:p>
    <w:p w:rsidR="0047460C" w:rsidRDefault="007F0472">
      <w:pPr>
        <w:pStyle w:val="Spistreci1"/>
        <w:rPr>
          <w:rFonts w:eastAsiaTheme="minorEastAsia"/>
          <w:noProof/>
          <w:lang w:eastAsia="pl-PL"/>
        </w:rPr>
      </w:pPr>
      <w:hyperlink w:anchor="_Toc69124147" w:history="1">
        <w:r w:rsidR="0047460C" w:rsidRPr="00E36FE2">
          <w:rPr>
            <w:rStyle w:val="Hipercze"/>
            <w:noProof/>
          </w:rPr>
          <w:t xml:space="preserve">Komunikacja Komisarza Praw Człowieka Rady Europy w sprawie wykonania wyroków Europejskiego Trybunału Praw Człowieka </w:t>
        </w:r>
        <w:r w:rsidR="0047460C" w:rsidRPr="00E36FE2">
          <w:rPr>
            <w:rStyle w:val="Hipercze"/>
            <w:i/>
            <w:noProof/>
          </w:rPr>
          <w:t>Tysiąc p. Polsce</w:t>
        </w:r>
        <w:r w:rsidR="0047460C" w:rsidRPr="00E36FE2">
          <w:rPr>
            <w:rStyle w:val="Hipercze"/>
            <w:noProof/>
          </w:rPr>
          <w:t xml:space="preserve">, </w:t>
        </w:r>
        <w:r w:rsidR="0047460C" w:rsidRPr="00E36FE2">
          <w:rPr>
            <w:rStyle w:val="Hipercze"/>
            <w:i/>
            <w:noProof/>
          </w:rPr>
          <w:t>R.R. p. Polsce</w:t>
        </w:r>
        <w:r w:rsidR="0047460C" w:rsidRPr="00E36FE2">
          <w:rPr>
            <w:rStyle w:val="Hipercze"/>
            <w:noProof/>
          </w:rPr>
          <w:t xml:space="preserve"> i </w:t>
        </w:r>
        <w:r w:rsidR="0047460C" w:rsidRPr="00E36FE2">
          <w:rPr>
            <w:rStyle w:val="Hipercze"/>
            <w:i/>
            <w:noProof/>
          </w:rPr>
          <w:t>P. i S. p. Polsce</w:t>
        </w:r>
        <w:r w:rsidR="0047460C" w:rsidRPr="00E36FE2">
          <w:rPr>
            <w:rStyle w:val="Hipercze"/>
            <w:noProof/>
          </w:rPr>
          <w:t xml:space="preserve"> z dnia 29 stycznia 2020 r.</w:t>
        </w:r>
        <w:r w:rsidR="0047460C">
          <w:rPr>
            <w:noProof/>
            <w:webHidden/>
          </w:rPr>
          <w:tab/>
        </w:r>
        <w:r w:rsidR="0047460C">
          <w:rPr>
            <w:noProof/>
            <w:webHidden/>
          </w:rPr>
          <w:fldChar w:fldCharType="begin"/>
        </w:r>
        <w:r w:rsidR="0047460C">
          <w:rPr>
            <w:noProof/>
            <w:webHidden/>
          </w:rPr>
          <w:instrText xml:space="preserve"> PAGEREF _Toc69124147 \h </w:instrText>
        </w:r>
        <w:r w:rsidR="0047460C">
          <w:rPr>
            <w:noProof/>
            <w:webHidden/>
          </w:rPr>
        </w:r>
        <w:r w:rsidR="0047460C">
          <w:rPr>
            <w:noProof/>
            <w:webHidden/>
          </w:rPr>
          <w:fldChar w:fldCharType="separate"/>
        </w:r>
        <w:r w:rsidR="00DC1AE2">
          <w:rPr>
            <w:noProof/>
            <w:webHidden/>
          </w:rPr>
          <w:t>38</w:t>
        </w:r>
        <w:r w:rsidR="0047460C">
          <w:rPr>
            <w:noProof/>
            <w:webHidden/>
          </w:rPr>
          <w:fldChar w:fldCharType="end"/>
        </w:r>
      </w:hyperlink>
    </w:p>
    <w:p w:rsidR="0047460C" w:rsidRDefault="007F0472">
      <w:pPr>
        <w:pStyle w:val="Spistreci1"/>
        <w:rPr>
          <w:rFonts w:eastAsiaTheme="minorEastAsia"/>
          <w:noProof/>
          <w:lang w:eastAsia="pl-PL"/>
        </w:rPr>
      </w:pPr>
      <w:hyperlink w:anchor="_Toc69124148" w:history="1">
        <w:r w:rsidR="0047460C" w:rsidRPr="00E36FE2">
          <w:rPr>
            <w:rStyle w:val="Hipercze"/>
            <w:noProof/>
          </w:rPr>
          <w:t xml:space="preserve">Komunikacja Rzecznika Praw Obywatelskich w sprawie wykonania wyroków Europejskiego Trybunału Praw Człowieka </w:t>
        </w:r>
        <w:r w:rsidR="0047460C" w:rsidRPr="00E36FE2">
          <w:rPr>
            <w:rStyle w:val="Hipercze"/>
            <w:i/>
            <w:noProof/>
          </w:rPr>
          <w:t>Tysiąc p. Polsce</w:t>
        </w:r>
        <w:r w:rsidR="0047460C" w:rsidRPr="00E36FE2">
          <w:rPr>
            <w:rStyle w:val="Hipercze"/>
            <w:noProof/>
          </w:rPr>
          <w:t xml:space="preserve">, </w:t>
        </w:r>
        <w:r w:rsidR="0047460C" w:rsidRPr="00E36FE2">
          <w:rPr>
            <w:rStyle w:val="Hipercze"/>
            <w:i/>
            <w:noProof/>
          </w:rPr>
          <w:t>R.R. p. Polsce</w:t>
        </w:r>
        <w:r w:rsidR="0047460C" w:rsidRPr="00E36FE2">
          <w:rPr>
            <w:rStyle w:val="Hipercze"/>
            <w:noProof/>
          </w:rPr>
          <w:t xml:space="preserve"> i </w:t>
        </w:r>
        <w:r w:rsidR="0047460C" w:rsidRPr="00E36FE2">
          <w:rPr>
            <w:rStyle w:val="Hipercze"/>
            <w:i/>
            <w:noProof/>
          </w:rPr>
          <w:t>P. i S. p. Polsce</w:t>
        </w:r>
        <w:r w:rsidR="0047460C" w:rsidRPr="00E36FE2">
          <w:rPr>
            <w:rStyle w:val="Hipercze"/>
            <w:noProof/>
          </w:rPr>
          <w:t xml:space="preserve"> z dnia 29 stycznia 2020 r.</w:t>
        </w:r>
        <w:r w:rsidR="0047460C">
          <w:rPr>
            <w:noProof/>
            <w:webHidden/>
          </w:rPr>
          <w:tab/>
        </w:r>
        <w:r w:rsidR="0047460C">
          <w:rPr>
            <w:noProof/>
            <w:webHidden/>
          </w:rPr>
          <w:fldChar w:fldCharType="begin"/>
        </w:r>
        <w:r w:rsidR="0047460C">
          <w:rPr>
            <w:noProof/>
            <w:webHidden/>
          </w:rPr>
          <w:instrText xml:space="preserve"> PAGEREF _Toc69124148 \h </w:instrText>
        </w:r>
        <w:r w:rsidR="0047460C">
          <w:rPr>
            <w:noProof/>
            <w:webHidden/>
          </w:rPr>
        </w:r>
        <w:r w:rsidR="0047460C">
          <w:rPr>
            <w:noProof/>
            <w:webHidden/>
          </w:rPr>
          <w:fldChar w:fldCharType="separate"/>
        </w:r>
        <w:r w:rsidR="00DC1AE2">
          <w:rPr>
            <w:noProof/>
            <w:webHidden/>
          </w:rPr>
          <w:t>52</w:t>
        </w:r>
        <w:r w:rsidR="0047460C">
          <w:rPr>
            <w:noProof/>
            <w:webHidden/>
          </w:rPr>
          <w:fldChar w:fldCharType="end"/>
        </w:r>
      </w:hyperlink>
    </w:p>
    <w:p w:rsidR="0047460C" w:rsidRDefault="007F0472">
      <w:pPr>
        <w:pStyle w:val="Spistreci1"/>
        <w:rPr>
          <w:rFonts w:eastAsiaTheme="minorEastAsia"/>
          <w:noProof/>
          <w:lang w:eastAsia="pl-PL"/>
        </w:rPr>
      </w:pPr>
      <w:hyperlink w:anchor="_Toc69124149" w:history="1">
        <w:r w:rsidR="0047460C" w:rsidRPr="00E36FE2">
          <w:rPr>
            <w:rStyle w:val="Hipercze"/>
            <w:noProof/>
          </w:rPr>
          <w:t xml:space="preserve">Komunikacja Helsińskiej Fundacji Praw Człowieka w sprawie wykonania wyroków Europejskiego Trybunału Praw Człowieka </w:t>
        </w:r>
        <w:r w:rsidR="0047460C" w:rsidRPr="00E36FE2">
          <w:rPr>
            <w:rStyle w:val="Hipercze"/>
            <w:i/>
            <w:noProof/>
          </w:rPr>
          <w:t>Tysiąc p. Polsce</w:t>
        </w:r>
        <w:r w:rsidR="0047460C" w:rsidRPr="00E36FE2">
          <w:rPr>
            <w:rStyle w:val="Hipercze"/>
            <w:noProof/>
          </w:rPr>
          <w:t xml:space="preserve">, </w:t>
        </w:r>
        <w:r w:rsidR="0047460C" w:rsidRPr="00E36FE2">
          <w:rPr>
            <w:rStyle w:val="Hipercze"/>
            <w:i/>
            <w:noProof/>
          </w:rPr>
          <w:t>R.R. p. Polsce</w:t>
        </w:r>
        <w:r w:rsidR="0047460C" w:rsidRPr="00E36FE2">
          <w:rPr>
            <w:rStyle w:val="Hipercze"/>
            <w:noProof/>
          </w:rPr>
          <w:t xml:space="preserve"> i </w:t>
        </w:r>
        <w:r w:rsidR="0047460C" w:rsidRPr="00E36FE2">
          <w:rPr>
            <w:rStyle w:val="Hipercze"/>
            <w:i/>
            <w:noProof/>
          </w:rPr>
          <w:t>P. i S. p. Polsce</w:t>
        </w:r>
        <w:r w:rsidR="0047460C" w:rsidRPr="00E36FE2">
          <w:rPr>
            <w:rStyle w:val="Hipercze"/>
            <w:noProof/>
          </w:rPr>
          <w:t xml:space="preserve"> z dnia 4 lutego 2020 r.</w:t>
        </w:r>
        <w:r w:rsidR="0047460C">
          <w:rPr>
            <w:noProof/>
            <w:webHidden/>
          </w:rPr>
          <w:tab/>
        </w:r>
        <w:r w:rsidR="0047460C">
          <w:rPr>
            <w:noProof/>
            <w:webHidden/>
          </w:rPr>
          <w:fldChar w:fldCharType="begin"/>
        </w:r>
        <w:r w:rsidR="0047460C">
          <w:rPr>
            <w:noProof/>
            <w:webHidden/>
          </w:rPr>
          <w:instrText xml:space="preserve"> PAGEREF _Toc69124149 \h </w:instrText>
        </w:r>
        <w:r w:rsidR="0047460C">
          <w:rPr>
            <w:noProof/>
            <w:webHidden/>
          </w:rPr>
        </w:r>
        <w:r w:rsidR="0047460C">
          <w:rPr>
            <w:noProof/>
            <w:webHidden/>
          </w:rPr>
          <w:fldChar w:fldCharType="separate"/>
        </w:r>
        <w:r w:rsidR="00DC1AE2">
          <w:rPr>
            <w:noProof/>
            <w:webHidden/>
          </w:rPr>
          <w:t>61</w:t>
        </w:r>
        <w:r w:rsidR="0047460C">
          <w:rPr>
            <w:noProof/>
            <w:webHidden/>
          </w:rPr>
          <w:fldChar w:fldCharType="end"/>
        </w:r>
      </w:hyperlink>
    </w:p>
    <w:p w:rsidR="0047460C" w:rsidRDefault="007F0472">
      <w:pPr>
        <w:pStyle w:val="Spistreci1"/>
        <w:rPr>
          <w:rFonts w:eastAsiaTheme="minorEastAsia"/>
          <w:noProof/>
          <w:lang w:eastAsia="pl-PL"/>
        </w:rPr>
      </w:pPr>
      <w:hyperlink w:anchor="_Toc69124150" w:history="1">
        <w:r w:rsidR="0047460C" w:rsidRPr="00E36FE2">
          <w:rPr>
            <w:rStyle w:val="Hipercze"/>
            <w:noProof/>
          </w:rPr>
          <w:t xml:space="preserve">Komunikacja Human Rights in Practice w sprawie wykonania wyroku Europejskiego Trybunału Praw Człowieka </w:t>
        </w:r>
        <w:r w:rsidR="0047460C" w:rsidRPr="00E36FE2">
          <w:rPr>
            <w:rStyle w:val="Hipercze"/>
            <w:i/>
            <w:noProof/>
          </w:rPr>
          <w:t>Husayn (Abu Zubaydah) p. Polsce</w:t>
        </w:r>
        <w:r w:rsidR="0047460C" w:rsidRPr="00E36FE2">
          <w:rPr>
            <w:rStyle w:val="Hipercze"/>
            <w:noProof/>
          </w:rPr>
          <w:t xml:space="preserve"> z dnia 6 lutego 2020 r.</w:t>
        </w:r>
        <w:r w:rsidR="0047460C">
          <w:rPr>
            <w:noProof/>
            <w:webHidden/>
          </w:rPr>
          <w:tab/>
        </w:r>
        <w:r w:rsidR="0047460C">
          <w:rPr>
            <w:noProof/>
            <w:webHidden/>
          </w:rPr>
          <w:fldChar w:fldCharType="begin"/>
        </w:r>
        <w:r w:rsidR="0047460C">
          <w:rPr>
            <w:noProof/>
            <w:webHidden/>
          </w:rPr>
          <w:instrText xml:space="preserve"> PAGEREF _Toc69124150 \h </w:instrText>
        </w:r>
        <w:r w:rsidR="0047460C">
          <w:rPr>
            <w:noProof/>
            <w:webHidden/>
          </w:rPr>
        </w:r>
        <w:r w:rsidR="0047460C">
          <w:rPr>
            <w:noProof/>
            <w:webHidden/>
          </w:rPr>
          <w:fldChar w:fldCharType="separate"/>
        </w:r>
        <w:r w:rsidR="00DC1AE2">
          <w:rPr>
            <w:noProof/>
            <w:webHidden/>
          </w:rPr>
          <w:t>71</w:t>
        </w:r>
        <w:r w:rsidR="0047460C">
          <w:rPr>
            <w:noProof/>
            <w:webHidden/>
          </w:rPr>
          <w:fldChar w:fldCharType="end"/>
        </w:r>
      </w:hyperlink>
    </w:p>
    <w:p w:rsidR="0047460C" w:rsidRDefault="007F0472">
      <w:pPr>
        <w:pStyle w:val="Spistreci1"/>
        <w:rPr>
          <w:rFonts w:eastAsiaTheme="minorEastAsia"/>
          <w:noProof/>
          <w:lang w:eastAsia="pl-PL"/>
        </w:rPr>
      </w:pPr>
      <w:hyperlink w:anchor="_Toc69124151" w:history="1">
        <w:r w:rsidR="0047460C" w:rsidRPr="00E36FE2">
          <w:rPr>
            <w:rStyle w:val="Hipercze"/>
            <w:noProof/>
          </w:rPr>
          <w:t xml:space="preserve">Komunikacja Helsińskiej Fundacji Praw Człowieka, Towarzystwa Dziennikarskiego i Watchdog Polska w sprawie wykonania wyroku Europejskiego Trybunału Praw Człowieka </w:t>
        </w:r>
        <w:r w:rsidR="0047460C" w:rsidRPr="00E36FE2">
          <w:rPr>
            <w:rStyle w:val="Hipercze"/>
            <w:i/>
            <w:noProof/>
          </w:rPr>
          <w:t>Kurłowicz p. Polsce</w:t>
        </w:r>
        <w:r w:rsidR="0047460C" w:rsidRPr="00E36FE2">
          <w:rPr>
            <w:rStyle w:val="Hipercze"/>
            <w:noProof/>
          </w:rPr>
          <w:t xml:space="preserve"> z dnia 20 lutego 2020 r.</w:t>
        </w:r>
        <w:r w:rsidR="0047460C">
          <w:rPr>
            <w:noProof/>
            <w:webHidden/>
          </w:rPr>
          <w:tab/>
        </w:r>
        <w:r w:rsidR="0047460C">
          <w:rPr>
            <w:noProof/>
            <w:webHidden/>
          </w:rPr>
          <w:fldChar w:fldCharType="begin"/>
        </w:r>
        <w:r w:rsidR="0047460C">
          <w:rPr>
            <w:noProof/>
            <w:webHidden/>
          </w:rPr>
          <w:instrText xml:space="preserve"> PAGEREF _Toc69124151 \h </w:instrText>
        </w:r>
        <w:r w:rsidR="0047460C">
          <w:rPr>
            <w:noProof/>
            <w:webHidden/>
          </w:rPr>
        </w:r>
        <w:r w:rsidR="0047460C">
          <w:rPr>
            <w:noProof/>
            <w:webHidden/>
          </w:rPr>
          <w:fldChar w:fldCharType="separate"/>
        </w:r>
        <w:r w:rsidR="00DC1AE2">
          <w:rPr>
            <w:noProof/>
            <w:webHidden/>
          </w:rPr>
          <w:t>92</w:t>
        </w:r>
        <w:r w:rsidR="0047460C">
          <w:rPr>
            <w:noProof/>
            <w:webHidden/>
          </w:rPr>
          <w:fldChar w:fldCharType="end"/>
        </w:r>
      </w:hyperlink>
    </w:p>
    <w:p w:rsidR="0047460C" w:rsidRDefault="007F0472">
      <w:pPr>
        <w:pStyle w:val="Spistreci1"/>
        <w:rPr>
          <w:rFonts w:eastAsiaTheme="minorEastAsia"/>
          <w:noProof/>
          <w:lang w:eastAsia="pl-PL"/>
        </w:rPr>
      </w:pPr>
      <w:hyperlink w:anchor="_Toc69124152" w:history="1">
        <w:r w:rsidR="0047460C" w:rsidRPr="00E36FE2">
          <w:rPr>
            <w:rStyle w:val="Hipercze"/>
            <w:noProof/>
          </w:rPr>
          <w:t xml:space="preserve">Komunikacja Open Society Justice Initiative w sprawie wykonania wyroku Europejskiego Trybunału Praw Człowieka </w:t>
        </w:r>
        <w:r w:rsidR="0047460C" w:rsidRPr="00E36FE2">
          <w:rPr>
            <w:rStyle w:val="Hipercze"/>
            <w:i/>
            <w:noProof/>
          </w:rPr>
          <w:t>Al Nashiri p. Polsce</w:t>
        </w:r>
        <w:r w:rsidR="0047460C" w:rsidRPr="00E36FE2">
          <w:rPr>
            <w:rStyle w:val="Hipercze"/>
            <w:noProof/>
          </w:rPr>
          <w:t xml:space="preserve"> z dnia 12 lutego 2020 r.</w:t>
        </w:r>
        <w:r w:rsidR="0047460C">
          <w:rPr>
            <w:noProof/>
            <w:webHidden/>
          </w:rPr>
          <w:tab/>
        </w:r>
        <w:r w:rsidR="0047460C">
          <w:rPr>
            <w:noProof/>
            <w:webHidden/>
          </w:rPr>
          <w:fldChar w:fldCharType="begin"/>
        </w:r>
        <w:r w:rsidR="0047460C">
          <w:rPr>
            <w:noProof/>
            <w:webHidden/>
          </w:rPr>
          <w:instrText xml:space="preserve"> PAGEREF _Toc69124152 \h </w:instrText>
        </w:r>
        <w:r w:rsidR="0047460C">
          <w:rPr>
            <w:noProof/>
            <w:webHidden/>
          </w:rPr>
        </w:r>
        <w:r w:rsidR="0047460C">
          <w:rPr>
            <w:noProof/>
            <w:webHidden/>
          </w:rPr>
          <w:fldChar w:fldCharType="separate"/>
        </w:r>
        <w:r w:rsidR="00DC1AE2">
          <w:rPr>
            <w:noProof/>
            <w:webHidden/>
          </w:rPr>
          <w:t>102</w:t>
        </w:r>
        <w:r w:rsidR="0047460C">
          <w:rPr>
            <w:noProof/>
            <w:webHidden/>
          </w:rPr>
          <w:fldChar w:fldCharType="end"/>
        </w:r>
      </w:hyperlink>
    </w:p>
    <w:p w:rsidR="0047460C" w:rsidRDefault="007F0472">
      <w:pPr>
        <w:pStyle w:val="Spistreci1"/>
        <w:rPr>
          <w:rFonts w:eastAsiaTheme="minorEastAsia"/>
          <w:noProof/>
          <w:lang w:eastAsia="pl-PL"/>
        </w:rPr>
      </w:pPr>
      <w:hyperlink w:anchor="_Toc69124153" w:history="1">
        <w:r w:rsidR="0047460C" w:rsidRPr="00E36FE2">
          <w:rPr>
            <w:rStyle w:val="Hipercze"/>
            <w:noProof/>
          </w:rPr>
          <w:t xml:space="preserve">Komunikacja Helsińskiej Fundacji Praw Człowieka w sprawie wykonania wyroku Europejskiego Trybunału Praw Człowieka </w:t>
        </w:r>
        <w:r w:rsidR="0047460C" w:rsidRPr="00E36FE2">
          <w:rPr>
            <w:rStyle w:val="Hipercze"/>
            <w:i/>
            <w:noProof/>
          </w:rPr>
          <w:t>Bednarz p. Polsce</w:t>
        </w:r>
        <w:r w:rsidR="0047460C" w:rsidRPr="00E36FE2">
          <w:rPr>
            <w:rStyle w:val="Hipercze"/>
            <w:noProof/>
          </w:rPr>
          <w:t xml:space="preserve"> z dnia 20 lutego 2020 r.</w:t>
        </w:r>
        <w:r w:rsidR="0047460C">
          <w:rPr>
            <w:noProof/>
            <w:webHidden/>
          </w:rPr>
          <w:tab/>
        </w:r>
        <w:r w:rsidR="0047460C">
          <w:rPr>
            <w:noProof/>
            <w:webHidden/>
          </w:rPr>
          <w:fldChar w:fldCharType="begin"/>
        </w:r>
        <w:r w:rsidR="0047460C">
          <w:rPr>
            <w:noProof/>
            <w:webHidden/>
          </w:rPr>
          <w:instrText xml:space="preserve"> PAGEREF _Toc69124153 \h </w:instrText>
        </w:r>
        <w:r w:rsidR="0047460C">
          <w:rPr>
            <w:noProof/>
            <w:webHidden/>
          </w:rPr>
        </w:r>
        <w:r w:rsidR="0047460C">
          <w:rPr>
            <w:noProof/>
            <w:webHidden/>
          </w:rPr>
          <w:fldChar w:fldCharType="separate"/>
        </w:r>
        <w:r w:rsidR="00DC1AE2">
          <w:rPr>
            <w:noProof/>
            <w:webHidden/>
          </w:rPr>
          <w:t>110</w:t>
        </w:r>
        <w:r w:rsidR="0047460C">
          <w:rPr>
            <w:noProof/>
            <w:webHidden/>
          </w:rPr>
          <w:fldChar w:fldCharType="end"/>
        </w:r>
      </w:hyperlink>
    </w:p>
    <w:p w:rsidR="0047460C" w:rsidRDefault="007F0472">
      <w:pPr>
        <w:pStyle w:val="Spistreci1"/>
        <w:rPr>
          <w:rFonts w:eastAsiaTheme="minorEastAsia"/>
          <w:noProof/>
          <w:lang w:eastAsia="pl-PL"/>
        </w:rPr>
      </w:pPr>
      <w:hyperlink w:anchor="_Toc69124154" w:history="1">
        <w:r w:rsidR="0047460C" w:rsidRPr="00E36FE2">
          <w:rPr>
            <w:rStyle w:val="Hipercze"/>
            <w:noProof/>
          </w:rPr>
          <w:t xml:space="preserve">Komunikacja Helsińskiej Fundacji Praw Człowieka w sprawie wykonania wyroków Europejskiego Trybunału Praw Człowieka </w:t>
        </w:r>
        <w:r w:rsidR="0047460C" w:rsidRPr="00E36FE2">
          <w:rPr>
            <w:rStyle w:val="Hipercze"/>
            <w:i/>
            <w:noProof/>
          </w:rPr>
          <w:t xml:space="preserve">Al Nashiri p. Polsce </w:t>
        </w:r>
        <w:r w:rsidR="0047460C" w:rsidRPr="00E36FE2">
          <w:rPr>
            <w:rStyle w:val="Hipercze"/>
            <w:noProof/>
          </w:rPr>
          <w:t xml:space="preserve">i </w:t>
        </w:r>
        <w:r w:rsidR="0047460C" w:rsidRPr="00E36FE2">
          <w:rPr>
            <w:rStyle w:val="Hipercze"/>
            <w:i/>
            <w:noProof/>
          </w:rPr>
          <w:t>Husayn (Abu Zubaydah) p. Polsce</w:t>
        </w:r>
        <w:r w:rsidR="0047460C" w:rsidRPr="00E36FE2">
          <w:rPr>
            <w:rStyle w:val="Hipercze"/>
            <w:noProof/>
          </w:rPr>
          <w:t xml:space="preserve"> z dnia 20 lutego 2020 r.</w:t>
        </w:r>
        <w:r w:rsidR="0047460C">
          <w:rPr>
            <w:noProof/>
            <w:webHidden/>
          </w:rPr>
          <w:tab/>
        </w:r>
        <w:r w:rsidR="0047460C">
          <w:rPr>
            <w:noProof/>
            <w:webHidden/>
          </w:rPr>
          <w:fldChar w:fldCharType="begin"/>
        </w:r>
        <w:r w:rsidR="0047460C">
          <w:rPr>
            <w:noProof/>
            <w:webHidden/>
          </w:rPr>
          <w:instrText xml:space="preserve"> PAGEREF _Toc69124154 \h </w:instrText>
        </w:r>
        <w:r w:rsidR="0047460C">
          <w:rPr>
            <w:noProof/>
            <w:webHidden/>
          </w:rPr>
        </w:r>
        <w:r w:rsidR="0047460C">
          <w:rPr>
            <w:noProof/>
            <w:webHidden/>
          </w:rPr>
          <w:fldChar w:fldCharType="separate"/>
        </w:r>
        <w:r w:rsidR="00DC1AE2">
          <w:rPr>
            <w:noProof/>
            <w:webHidden/>
          </w:rPr>
          <w:t>127</w:t>
        </w:r>
        <w:r w:rsidR="0047460C">
          <w:rPr>
            <w:noProof/>
            <w:webHidden/>
          </w:rPr>
          <w:fldChar w:fldCharType="end"/>
        </w:r>
      </w:hyperlink>
      <w:bookmarkStart w:id="0" w:name="_GoBack"/>
      <w:bookmarkEnd w:id="0"/>
    </w:p>
    <w:p w:rsidR="0047460C" w:rsidRDefault="007F0472">
      <w:pPr>
        <w:pStyle w:val="Spistreci1"/>
        <w:rPr>
          <w:rFonts w:eastAsiaTheme="minorEastAsia"/>
          <w:noProof/>
          <w:lang w:eastAsia="pl-PL"/>
        </w:rPr>
      </w:pPr>
      <w:hyperlink w:anchor="_Toc69124155" w:history="1">
        <w:r w:rsidR="0047460C" w:rsidRPr="00E36FE2">
          <w:rPr>
            <w:rStyle w:val="Hipercze"/>
            <w:noProof/>
          </w:rPr>
          <w:t xml:space="preserve">Komunikacja Helsińskiej Fundacji Praw Człowieka w sprawie wykonania wyroku Europejskiego Trybunału Praw Człowieka </w:t>
        </w:r>
        <w:r w:rsidR="0047460C" w:rsidRPr="00E36FE2">
          <w:rPr>
            <w:rStyle w:val="Hipercze"/>
            <w:i/>
            <w:noProof/>
          </w:rPr>
          <w:t>Rutkowski i inni p. Polsce</w:t>
        </w:r>
        <w:r w:rsidR="0047460C" w:rsidRPr="00E36FE2">
          <w:rPr>
            <w:rStyle w:val="Hipercze"/>
            <w:noProof/>
          </w:rPr>
          <w:t xml:space="preserve"> z dnia 16 kwietnia 2020 r.</w:t>
        </w:r>
        <w:r w:rsidR="0047460C">
          <w:rPr>
            <w:noProof/>
            <w:webHidden/>
          </w:rPr>
          <w:tab/>
        </w:r>
        <w:r w:rsidR="0047460C">
          <w:rPr>
            <w:noProof/>
            <w:webHidden/>
          </w:rPr>
          <w:fldChar w:fldCharType="begin"/>
        </w:r>
        <w:r w:rsidR="0047460C">
          <w:rPr>
            <w:noProof/>
            <w:webHidden/>
          </w:rPr>
          <w:instrText xml:space="preserve"> PAGEREF _Toc69124155 \h </w:instrText>
        </w:r>
        <w:r w:rsidR="0047460C">
          <w:rPr>
            <w:noProof/>
            <w:webHidden/>
          </w:rPr>
        </w:r>
        <w:r w:rsidR="0047460C">
          <w:rPr>
            <w:noProof/>
            <w:webHidden/>
          </w:rPr>
          <w:fldChar w:fldCharType="separate"/>
        </w:r>
        <w:r w:rsidR="00DC1AE2">
          <w:rPr>
            <w:noProof/>
            <w:webHidden/>
          </w:rPr>
          <w:t>134</w:t>
        </w:r>
        <w:r w:rsidR="0047460C">
          <w:rPr>
            <w:noProof/>
            <w:webHidden/>
          </w:rPr>
          <w:fldChar w:fldCharType="end"/>
        </w:r>
      </w:hyperlink>
    </w:p>
    <w:p w:rsidR="0047460C" w:rsidRDefault="007F0472">
      <w:pPr>
        <w:pStyle w:val="Spistreci1"/>
        <w:rPr>
          <w:rFonts w:eastAsiaTheme="minorEastAsia"/>
          <w:noProof/>
          <w:lang w:eastAsia="pl-PL"/>
        </w:rPr>
      </w:pPr>
      <w:hyperlink w:anchor="_Toc69124156" w:history="1">
        <w:r w:rsidR="0047460C" w:rsidRPr="00E36FE2">
          <w:rPr>
            <w:rStyle w:val="Hipercze"/>
            <w:noProof/>
          </w:rPr>
          <w:t xml:space="preserve">Komunikacja Helsińskiej Fundacji Praw Człowieka w sprawie wykonania wyroku Europejskiego Trybunału Praw Człowieka </w:t>
        </w:r>
        <w:r w:rsidR="0047460C" w:rsidRPr="00E36FE2">
          <w:rPr>
            <w:rStyle w:val="Hipercze"/>
            <w:i/>
            <w:noProof/>
          </w:rPr>
          <w:t>Bistieva i inni p. Polsce</w:t>
        </w:r>
        <w:r w:rsidR="0047460C" w:rsidRPr="00E36FE2">
          <w:rPr>
            <w:rStyle w:val="Hipercze"/>
            <w:noProof/>
          </w:rPr>
          <w:t xml:space="preserve"> z dnia 5 czerwca 2020 r.</w:t>
        </w:r>
        <w:r w:rsidR="0047460C">
          <w:rPr>
            <w:noProof/>
            <w:webHidden/>
          </w:rPr>
          <w:tab/>
        </w:r>
        <w:r w:rsidR="0047460C">
          <w:rPr>
            <w:noProof/>
            <w:webHidden/>
          </w:rPr>
          <w:fldChar w:fldCharType="begin"/>
        </w:r>
        <w:r w:rsidR="0047460C">
          <w:rPr>
            <w:noProof/>
            <w:webHidden/>
          </w:rPr>
          <w:instrText xml:space="preserve"> PAGEREF _Toc69124156 \h </w:instrText>
        </w:r>
        <w:r w:rsidR="0047460C">
          <w:rPr>
            <w:noProof/>
            <w:webHidden/>
          </w:rPr>
        </w:r>
        <w:r w:rsidR="0047460C">
          <w:rPr>
            <w:noProof/>
            <w:webHidden/>
          </w:rPr>
          <w:fldChar w:fldCharType="separate"/>
        </w:r>
        <w:r w:rsidR="00DC1AE2">
          <w:rPr>
            <w:noProof/>
            <w:webHidden/>
          </w:rPr>
          <w:t>140</w:t>
        </w:r>
        <w:r w:rsidR="0047460C">
          <w:rPr>
            <w:noProof/>
            <w:webHidden/>
          </w:rPr>
          <w:fldChar w:fldCharType="end"/>
        </w:r>
      </w:hyperlink>
    </w:p>
    <w:p w:rsidR="0047460C" w:rsidRDefault="007F0472">
      <w:pPr>
        <w:pStyle w:val="Spistreci1"/>
        <w:rPr>
          <w:rFonts w:eastAsiaTheme="minorEastAsia"/>
          <w:noProof/>
          <w:lang w:eastAsia="pl-PL"/>
        </w:rPr>
      </w:pPr>
      <w:hyperlink w:anchor="_Toc69124157" w:history="1">
        <w:r w:rsidR="0047460C" w:rsidRPr="00E36FE2">
          <w:rPr>
            <w:rStyle w:val="Hipercze"/>
            <w:noProof/>
          </w:rPr>
          <w:t xml:space="preserve">Komunikacja Helsińskiej Fundacji Praw Człowieka w sprawie wykonania wyroków Europejskiego Trybunału Praw Człowieka </w:t>
        </w:r>
        <w:r w:rsidR="0047460C" w:rsidRPr="00E36FE2">
          <w:rPr>
            <w:rStyle w:val="Hipercze"/>
            <w:i/>
            <w:noProof/>
          </w:rPr>
          <w:t>Parol p. Polsce</w:t>
        </w:r>
        <w:r w:rsidR="0047460C" w:rsidRPr="00E36FE2">
          <w:rPr>
            <w:rStyle w:val="Hipercze"/>
            <w:noProof/>
          </w:rPr>
          <w:t xml:space="preserve"> i </w:t>
        </w:r>
        <w:r w:rsidR="0047460C" w:rsidRPr="00E36FE2">
          <w:rPr>
            <w:rStyle w:val="Hipercze"/>
            <w:i/>
            <w:noProof/>
          </w:rPr>
          <w:t>Adamkowski p. Polsce</w:t>
        </w:r>
        <w:r w:rsidR="0047460C" w:rsidRPr="00E36FE2">
          <w:rPr>
            <w:rStyle w:val="Hipercze"/>
            <w:noProof/>
          </w:rPr>
          <w:t xml:space="preserve"> z dnia 2 września 2020 r.</w:t>
        </w:r>
        <w:r w:rsidR="0047460C">
          <w:rPr>
            <w:noProof/>
            <w:webHidden/>
          </w:rPr>
          <w:tab/>
        </w:r>
        <w:r w:rsidR="0047460C">
          <w:rPr>
            <w:noProof/>
            <w:webHidden/>
          </w:rPr>
          <w:fldChar w:fldCharType="begin"/>
        </w:r>
        <w:r w:rsidR="0047460C">
          <w:rPr>
            <w:noProof/>
            <w:webHidden/>
          </w:rPr>
          <w:instrText xml:space="preserve"> PAGEREF _Toc69124157 \h </w:instrText>
        </w:r>
        <w:r w:rsidR="0047460C">
          <w:rPr>
            <w:noProof/>
            <w:webHidden/>
          </w:rPr>
        </w:r>
        <w:r w:rsidR="0047460C">
          <w:rPr>
            <w:noProof/>
            <w:webHidden/>
          </w:rPr>
          <w:fldChar w:fldCharType="separate"/>
        </w:r>
        <w:r w:rsidR="00DC1AE2">
          <w:rPr>
            <w:noProof/>
            <w:webHidden/>
          </w:rPr>
          <w:t>147</w:t>
        </w:r>
        <w:r w:rsidR="0047460C">
          <w:rPr>
            <w:noProof/>
            <w:webHidden/>
          </w:rPr>
          <w:fldChar w:fldCharType="end"/>
        </w:r>
      </w:hyperlink>
    </w:p>
    <w:p w:rsidR="0047460C" w:rsidRDefault="007F0472">
      <w:pPr>
        <w:pStyle w:val="Spistreci1"/>
        <w:rPr>
          <w:rFonts w:eastAsiaTheme="minorEastAsia"/>
          <w:noProof/>
          <w:lang w:eastAsia="pl-PL"/>
        </w:rPr>
      </w:pPr>
      <w:hyperlink w:anchor="_Toc69124158" w:history="1">
        <w:r w:rsidR="0047460C" w:rsidRPr="00E36FE2">
          <w:rPr>
            <w:rStyle w:val="Hipercze"/>
            <w:noProof/>
          </w:rPr>
          <w:t xml:space="preserve">Komunikacja Open Society Justice Initiative w sprawie wykonania wyroku Europejskiego Trybunału Praw Człowieka </w:t>
        </w:r>
        <w:r w:rsidR="0047460C" w:rsidRPr="00E36FE2">
          <w:rPr>
            <w:rStyle w:val="Hipercze"/>
            <w:i/>
            <w:noProof/>
          </w:rPr>
          <w:t xml:space="preserve">Al Nashiri p. Polsce </w:t>
        </w:r>
        <w:r w:rsidR="0047460C" w:rsidRPr="00E36FE2">
          <w:rPr>
            <w:rStyle w:val="Hipercze"/>
            <w:noProof/>
          </w:rPr>
          <w:t>z dnia 23 października 2020 r.</w:t>
        </w:r>
        <w:r w:rsidR="0047460C">
          <w:rPr>
            <w:noProof/>
            <w:webHidden/>
          </w:rPr>
          <w:tab/>
        </w:r>
        <w:r w:rsidR="0047460C">
          <w:rPr>
            <w:noProof/>
            <w:webHidden/>
          </w:rPr>
          <w:fldChar w:fldCharType="begin"/>
        </w:r>
        <w:r w:rsidR="0047460C">
          <w:rPr>
            <w:noProof/>
            <w:webHidden/>
          </w:rPr>
          <w:instrText xml:space="preserve"> PAGEREF _Toc69124158 \h </w:instrText>
        </w:r>
        <w:r w:rsidR="0047460C">
          <w:rPr>
            <w:noProof/>
            <w:webHidden/>
          </w:rPr>
        </w:r>
        <w:r w:rsidR="0047460C">
          <w:rPr>
            <w:noProof/>
            <w:webHidden/>
          </w:rPr>
          <w:fldChar w:fldCharType="separate"/>
        </w:r>
        <w:r w:rsidR="00DC1AE2">
          <w:rPr>
            <w:noProof/>
            <w:webHidden/>
          </w:rPr>
          <w:t>154</w:t>
        </w:r>
        <w:r w:rsidR="0047460C">
          <w:rPr>
            <w:noProof/>
            <w:webHidden/>
          </w:rPr>
          <w:fldChar w:fldCharType="end"/>
        </w:r>
      </w:hyperlink>
    </w:p>
    <w:p w:rsidR="00B708A0" w:rsidRDefault="00B708A0">
      <w:r>
        <w:fldChar w:fldCharType="end"/>
      </w:r>
    </w:p>
    <w:p w:rsidR="006B2CF8" w:rsidRDefault="006B2CF8"/>
    <w:p w:rsidR="000F4063" w:rsidRDefault="000F4063"/>
    <w:p w:rsidR="009552FD" w:rsidRDefault="009552FD"/>
    <w:p w:rsidR="006B2CF8" w:rsidRDefault="006B2CF8"/>
    <w:p w:rsidR="00A447FA" w:rsidRPr="00B708A0" w:rsidRDefault="00A447FA" w:rsidP="00B708A0">
      <w:pPr>
        <w:pStyle w:val="Nagwek1"/>
        <w:jc w:val="both"/>
        <w:rPr>
          <w:rFonts w:asciiTheme="minorHAnsi" w:hAnsiTheme="minorHAnsi"/>
          <w:sz w:val="28"/>
          <w:szCs w:val="28"/>
        </w:rPr>
      </w:pPr>
      <w:bookmarkStart w:id="1" w:name="_Toc69124145"/>
      <w:r w:rsidRPr="00B708A0">
        <w:rPr>
          <w:rFonts w:asciiTheme="minorHAnsi" w:hAnsiTheme="minorHAnsi"/>
          <w:sz w:val="28"/>
          <w:szCs w:val="28"/>
        </w:rPr>
        <w:lastRenderedPageBreak/>
        <w:t xml:space="preserve">Komunikacja Helsińskiej Fundacji Praw Człowieka w sprawie wykonania wyroku Europejskiego Trybunału Praw Człowieka </w:t>
      </w:r>
      <w:r w:rsidRPr="00B708A0">
        <w:rPr>
          <w:rFonts w:asciiTheme="minorHAnsi" w:hAnsiTheme="minorHAnsi"/>
          <w:i/>
          <w:sz w:val="28"/>
          <w:szCs w:val="28"/>
        </w:rPr>
        <w:t>Mierzejewski p. Polsce</w:t>
      </w:r>
      <w:r w:rsidRPr="00B708A0">
        <w:rPr>
          <w:rFonts w:asciiTheme="minorHAnsi" w:hAnsiTheme="minorHAnsi"/>
          <w:sz w:val="28"/>
          <w:szCs w:val="28"/>
        </w:rPr>
        <w:t xml:space="preserve"> z dnia 22 stycznia 2020 r.</w:t>
      </w:r>
      <w:bookmarkEnd w:id="1"/>
      <w:r w:rsidRPr="00B708A0">
        <w:rPr>
          <w:rFonts w:asciiTheme="minorHAnsi" w:hAnsiTheme="minorHAnsi"/>
          <w:sz w:val="28"/>
          <w:szCs w:val="28"/>
        </w:rPr>
        <w:t xml:space="preserve">   </w:t>
      </w:r>
    </w:p>
    <w:p w:rsidR="00B708A0" w:rsidRDefault="00B708A0" w:rsidP="00A447FA">
      <w:pPr>
        <w:rPr>
          <w:sz w:val="24"/>
          <w:szCs w:val="24"/>
          <w:u w:val="single"/>
        </w:rPr>
      </w:pPr>
    </w:p>
    <w:p w:rsidR="00A447FA" w:rsidRPr="009552FD" w:rsidRDefault="00A447FA" w:rsidP="00A447FA">
      <w:pPr>
        <w:rPr>
          <w:sz w:val="24"/>
          <w:szCs w:val="24"/>
          <w:u w:val="single"/>
        </w:rPr>
      </w:pPr>
      <w:r w:rsidRPr="009552FD">
        <w:rPr>
          <w:sz w:val="24"/>
          <w:szCs w:val="24"/>
          <w:u w:val="single"/>
        </w:rPr>
        <w:t>Treść komunikacji</w:t>
      </w:r>
    </w:p>
    <w:p w:rsidR="009C7E99" w:rsidRPr="009552FD" w:rsidRDefault="009C7E99" w:rsidP="008D6043">
      <w:pPr>
        <w:spacing w:before="120" w:after="0" w:line="240" w:lineRule="auto"/>
        <w:rPr>
          <w:rFonts w:eastAsia="Times New Roman" w:cs="Times New Roman"/>
          <w:b/>
          <w:bCs/>
          <w:sz w:val="24"/>
          <w:szCs w:val="24"/>
          <w:lang w:bidi="en-US"/>
        </w:rPr>
      </w:pPr>
      <w:bookmarkStart w:id="2" w:name="bookmark2"/>
      <w:bookmarkStart w:id="3" w:name="bookmark3"/>
      <w:bookmarkStart w:id="4" w:name="bookmark4"/>
      <w:r w:rsidRPr="009552FD">
        <w:rPr>
          <w:rFonts w:eastAsia="Times New Roman" w:cs="Times New Roman"/>
          <w:b/>
          <w:bCs/>
          <w:sz w:val="24"/>
          <w:szCs w:val="24"/>
          <w:lang w:bidi="en-US"/>
        </w:rPr>
        <w:t>STRESZCZENIE</w:t>
      </w:r>
      <w:bookmarkEnd w:id="2"/>
      <w:bookmarkEnd w:id="3"/>
      <w:bookmarkEnd w:id="4"/>
      <w:r w:rsidR="0017447A">
        <w:rPr>
          <w:rFonts w:eastAsia="Times New Roman" w:cs="Times New Roman"/>
          <w:b/>
          <w:bCs/>
          <w:sz w:val="24"/>
          <w:szCs w:val="24"/>
          <w:lang w:bidi="en-US"/>
        </w:rPr>
        <w:t xml:space="preserve"> </w:t>
      </w:r>
    </w:p>
    <w:p w:rsidR="009C7E99" w:rsidRPr="009552FD" w:rsidRDefault="009C7E99" w:rsidP="00D24F7A">
      <w:pPr>
        <w:widowControl w:val="0"/>
        <w:numPr>
          <w:ilvl w:val="0"/>
          <w:numId w:val="10"/>
        </w:numPr>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 xml:space="preserve">W wyroku z dnia 4 listopada 2014 r. wydanym w sprawie </w:t>
      </w:r>
      <w:r w:rsidRPr="009552FD">
        <w:rPr>
          <w:rFonts w:eastAsia="Times New Roman" w:cs="Times New Roman"/>
          <w:i/>
          <w:iCs/>
          <w:sz w:val="24"/>
          <w:szCs w:val="24"/>
          <w:lang w:bidi="en-US"/>
        </w:rPr>
        <w:t>Mierzejewski p</w:t>
      </w:r>
      <w:r w:rsidR="008D6043">
        <w:rPr>
          <w:rFonts w:eastAsia="Times New Roman" w:cs="Times New Roman"/>
          <w:i/>
          <w:iCs/>
          <w:sz w:val="24"/>
          <w:szCs w:val="24"/>
          <w:lang w:bidi="en-US"/>
        </w:rPr>
        <w:t>.</w:t>
      </w:r>
      <w:r w:rsidRPr="009552FD">
        <w:rPr>
          <w:rFonts w:eastAsia="Times New Roman" w:cs="Times New Roman"/>
          <w:i/>
          <w:iCs/>
          <w:sz w:val="24"/>
          <w:szCs w:val="24"/>
          <w:lang w:bidi="en-US"/>
        </w:rPr>
        <w:t xml:space="preserve"> Polsce</w:t>
      </w:r>
      <w:r w:rsidRPr="009552FD">
        <w:rPr>
          <w:rFonts w:eastAsia="Times New Roman" w:cs="Times New Roman"/>
          <w:sz w:val="24"/>
          <w:szCs w:val="24"/>
          <w:lang w:bidi="en-US"/>
        </w:rPr>
        <w:t xml:space="preserve"> (skarga nr 9916/13), ETPCz dokonał oceny praktycznego stosowania tymczasowego aresztowania w Polsce.</w:t>
      </w:r>
    </w:p>
    <w:p w:rsidR="009C7E99" w:rsidRPr="009552FD" w:rsidRDefault="009C7E99" w:rsidP="00D24F7A">
      <w:pPr>
        <w:widowControl w:val="0"/>
        <w:numPr>
          <w:ilvl w:val="0"/>
          <w:numId w:val="10"/>
        </w:numPr>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 xml:space="preserve">W grudniu 2019 r. rząd Polski przedstawił raport z działań, w którym wyraził nadzieję, że podjęte środki o charakterze generalnym będą wystarczającą podstawą do stwierdzenia, że wyrok został wykonany. W raporcie z działań rząd odniósł się m.in. do raportu z działań wydanego w sprawie </w:t>
      </w:r>
      <w:r w:rsidR="008D6043">
        <w:rPr>
          <w:rFonts w:eastAsia="Times New Roman" w:cs="Times New Roman"/>
          <w:i/>
          <w:iCs/>
          <w:sz w:val="24"/>
          <w:szCs w:val="24"/>
          <w:lang w:bidi="en-US"/>
        </w:rPr>
        <w:t>Trzaska p.</w:t>
      </w:r>
      <w:r w:rsidRPr="009552FD">
        <w:rPr>
          <w:rFonts w:eastAsia="Times New Roman" w:cs="Times New Roman"/>
          <w:i/>
          <w:iCs/>
          <w:sz w:val="24"/>
          <w:szCs w:val="24"/>
          <w:lang w:bidi="en-US"/>
        </w:rPr>
        <w:t xml:space="preserve"> Polsce</w:t>
      </w:r>
      <w:r w:rsidRPr="009552FD">
        <w:rPr>
          <w:rFonts w:eastAsia="Times New Roman" w:cs="Times New Roman"/>
          <w:sz w:val="24"/>
          <w:szCs w:val="24"/>
          <w:lang w:bidi="en-US"/>
        </w:rPr>
        <w:t>, któ</w:t>
      </w:r>
      <w:r w:rsidR="008D6043">
        <w:rPr>
          <w:rFonts w:eastAsia="Times New Roman" w:cs="Times New Roman"/>
          <w:sz w:val="24"/>
          <w:szCs w:val="24"/>
          <w:lang w:bidi="en-US"/>
        </w:rPr>
        <w:t xml:space="preserve">ry skutkował przyjęciem rezolucji końcowej </w:t>
      </w:r>
      <w:r w:rsidRPr="009552FD">
        <w:rPr>
          <w:rFonts w:eastAsia="Times New Roman" w:cs="Times New Roman"/>
          <w:sz w:val="24"/>
          <w:szCs w:val="24"/>
          <w:lang w:bidi="en-US"/>
        </w:rPr>
        <w:t>o zamknięciu badania wykonywania wyroków grupowych w przedmiocie tymczasowego aresztowania.</w:t>
      </w:r>
    </w:p>
    <w:p w:rsidR="009C7E99" w:rsidRPr="009552FD" w:rsidRDefault="009C7E99" w:rsidP="00D24F7A">
      <w:pPr>
        <w:widowControl w:val="0"/>
        <w:numPr>
          <w:ilvl w:val="0"/>
          <w:numId w:val="10"/>
        </w:numPr>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 xml:space="preserve">Jednak od czasu przyjęcia </w:t>
      </w:r>
      <w:r w:rsidR="008D6043">
        <w:rPr>
          <w:rFonts w:eastAsia="Times New Roman" w:cs="Times New Roman"/>
          <w:sz w:val="24"/>
          <w:szCs w:val="24"/>
          <w:lang w:bidi="en-US"/>
        </w:rPr>
        <w:t>rezolucji</w:t>
      </w:r>
      <w:r w:rsidRPr="009552FD">
        <w:rPr>
          <w:rFonts w:eastAsia="Times New Roman" w:cs="Times New Roman"/>
          <w:sz w:val="24"/>
          <w:szCs w:val="24"/>
          <w:lang w:bidi="en-US"/>
        </w:rPr>
        <w:t xml:space="preserve"> w sprawie </w:t>
      </w:r>
      <w:r w:rsidRPr="009552FD">
        <w:rPr>
          <w:rFonts w:eastAsia="Times New Roman" w:cs="Times New Roman"/>
          <w:i/>
          <w:iCs/>
          <w:sz w:val="24"/>
          <w:szCs w:val="24"/>
          <w:lang w:bidi="en-US"/>
        </w:rPr>
        <w:t xml:space="preserve">Trzaska </w:t>
      </w:r>
      <w:r w:rsidRPr="009552FD">
        <w:rPr>
          <w:rFonts w:eastAsia="Times New Roman" w:cs="Times New Roman"/>
          <w:sz w:val="24"/>
          <w:szCs w:val="24"/>
          <w:lang w:bidi="en-US"/>
        </w:rPr>
        <w:t>w dniu 4 grudnia 2014 r., nastąpił szereg zmian legislacyjnych i praktycznych, które Komitet powinien wziąć pod uwagę przy ocenie wykonania najnowszych wyroków w sprawie tymczasowego aresztowania.</w:t>
      </w:r>
    </w:p>
    <w:p w:rsidR="009C7E99" w:rsidRPr="009552FD" w:rsidRDefault="009C7E99" w:rsidP="00D24F7A">
      <w:pPr>
        <w:widowControl w:val="0"/>
        <w:numPr>
          <w:ilvl w:val="0"/>
          <w:numId w:val="10"/>
        </w:numPr>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 xml:space="preserve">W ocenie Helsińskiej Fundacji Praw Człowieka działania podjęte przez rząd RP w związku ze sprawą </w:t>
      </w:r>
      <w:r w:rsidR="008D6043">
        <w:rPr>
          <w:rFonts w:eastAsia="Times New Roman" w:cs="Times New Roman"/>
          <w:i/>
          <w:iCs/>
          <w:sz w:val="24"/>
          <w:szCs w:val="24"/>
          <w:lang w:bidi="en-US"/>
        </w:rPr>
        <w:t>Mierzejewski p.</w:t>
      </w:r>
      <w:r w:rsidRPr="009552FD">
        <w:rPr>
          <w:rFonts w:eastAsia="Times New Roman" w:cs="Times New Roman"/>
          <w:i/>
          <w:iCs/>
          <w:sz w:val="24"/>
          <w:szCs w:val="24"/>
          <w:lang w:bidi="en-US"/>
        </w:rPr>
        <w:t xml:space="preserve"> Polsce</w:t>
      </w:r>
      <w:r w:rsidRPr="009552FD">
        <w:rPr>
          <w:rFonts w:eastAsia="Times New Roman" w:cs="Times New Roman"/>
          <w:sz w:val="24"/>
          <w:szCs w:val="24"/>
          <w:lang w:bidi="en-US"/>
        </w:rPr>
        <w:t xml:space="preserve"> nie przyniosły oczekiwanych rezultatów. Tym samym nie mogły być one wystarczające do stwierdzenia, że Polska wypełniła swoje zobowiązania wynikające z art. 46 ust. 1 Konwencji.</w:t>
      </w:r>
    </w:p>
    <w:p w:rsidR="009C7E99" w:rsidRPr="009552FD" w:rsidRDefault="009C7E99" w:rsidP="00D24F7A">
      <w:pPr>
        <w:widowControl w:val="0"/>
        <w:numPr>
          <w:ilvl w:val="0"/>
          <w:numId w:val="10"/>
        </w:numPr>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 xml:space="preserve">Fundacja Helsińska w pełni podtrzymuje swoje stanowisko, które przekazała Komitetowi Ministrów w dniu 21 sierpnia 2019 r. w odniesieniu do sprawy </w:t>
      </w:r>
      <w:r w:rsidR="008D6043">
        <w:rPr>
          <w:rFonts w:eastAsia="Times New Roman" w:cs="Times New Roman"/>
          <w:i/>
          <w:iCs/>
          <w:sz w:val="24"/>
          <w:szCs w:val="24"/>
          <w:lang w:bidi="en-US"/>
        </w:rPr>
        <w:t>Burża p.</w:t>
      </w:r>
      <w:r w:rsidRPr="009552FD">
        <w:rPr>
          <w:rFonts w:eastAsia="Times New Roman" w:cs="Times New Roman"/>
          <w:i/>
          <w:iCs/>
          <w:sz w:val="24"/>
          <w:szCs w:val="24"/>
          <w:lang w:bidi="en-US"/>
        </w:rPr>
        <w:t xml:space="preserve"> Polsce</w:t>
      </w:r>
      <w:r w:rsidRPr="009552FD">
        <w:rPr>
          <w:rFonts w:eastAsia="Times New Roman" w:cs="Times New Roman"/>
          <w:sz w:val="24"/>
          <w:szCs w:val="24"/>
          <w:lang w:bidi="en-US"/>
        </w:rPr>
        <w:t>, wskazując na systemowy charakter nadużywania instytucji tymczasowego aresztowania w Polsce. Z obserwacji poczynionych w ostatnich miesiącach wynika również, że przyjęcie ostatecznego rozstrzygnięcia byłoby przedwczesne.</w:t>
      </w:r>
    </w:p>
    <w:p w:rsidR="009C7E99" w:rsidRPr="009552FD" w:rsidRDefault="009C7E99" w:rsidP="00D24F7A">
      <w:pPr>
        <w:widowControl w:val="0"/>
        <w:numPr>
          <w:ilvl w:val="0"/>
          <w:numId w:val="10"/>
        </w:numPr>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Nasze stanowisko wyrażone w niniejszym wystąpieniu znajduje potwierdzenie w sprawdzonych danych statystycznych. Z danych statystycznych wynika, że w ciągu ostatnich pięciu lat znacznie wzrosła liczba tymczasowo aresztowanych osób (z 4162 na koniec 2015 r. do 8520 na koniec 2019 r.). O powadze problemu świadczy również odsetek osób tymczasowo aresztowanych w ogólnej liczbie osób osadzonych, który niepokojąco wzrósł – z 5,88% w 2015 r. do 11,49% na koniec 2019 r.</w:t>
      </w:r>
    </w:p>
    <w:p w:rsidR="009C7E99" w:rsidRPr="009552FD" w:rsidRDefault="009C7E99" w:rsidP="00D24F7A">
      <w:pPr>
        <w:widowControl w:val="0"/>
        <w:numPr>
          <w:ilvl w:val="0"/>
          <w:numId w:val="10"/>
        </w:numPr>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Co bardziej niepokojące, aktualne dane statystyczne zdają się sugerować, że problem ze stosowaniem tymczasowego aresztowania może się jeszcze bardziej pogłębić, gdyż w okresie jednego roku (grudzień 2018 – grudzień 2019) liczba osób tymczasowo aresztowanych wzrosła o ponad 1100.</w:t>
      </w:r>
    </w:p>
    <w:p w:rsidR="009C7E99" w:rsidRPr="009552FD" w:rsidRDefault="009C7E99" w:rsidP="00D24F7A">
      <w:pPr>
        <w:widowControl w:val="0"/>
        <w:numPr>
          <w:ilvl w:val="0"/>
          <w:numId w:val="10"/>
        </w:numPr>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Stanowisko HFPC dodatkowo potwierdzają również wyniki badania opublikowanego w grudniu 2019 r. przez Fundację Court Watch, w którym stwierdzono, że procedura podejmowania decyzji w przedmiocie tymczasowego aresztowania nie jest w pełni zgodna z zaleceniami ETPCz.</w:t>
      </w:r>
    </w:p>
    <w:p w:rsidR="009C7E99" w:rsidRPr="009552FD" w:rsidRDefault="009C7E99" w:rsidP="00D24F7A">
      <w:pPr>
        <w:widowControl w:val="0"/>
        <w:numPr>
          <w:ilvl w:val="0"/>
          <w:numId w:val="10"/>
        </w:numPr>
        <w:spacing w:before="120" w:after="0" w:line="240" w:lineRule="auto"/>
        <w:rPr>
          <w:rFonts w:eastAsia="Times New Roman" w:cs="Times New Roman"/>
          <w:sz w:val="24"/>
          <w:szCs w:val="24"/>
          <w:lang w:bidi="en-US"/>
        </w:rPr>
      </w:pPr>
      <w:r w:rsidRPr="009552FD">
        <w:rPr>
          <w:rFonts w:eastAsia="Times New Roman" w:cs="Times New Roman"/>
          <w:sz w:val="24"/>
          <w:szCs w:val="24"/>
          <w:lang w:bidi="en-US"/>
        </w:rPr>
        <w:lastRenderedPageBreak/>
        <w:t xml:space="preserve">HFPC uprzejmie wskazuje, że pełne wykonanie wyroku w sprawie </w:t>
      </w:r>
      <w:r w:rsidRPr="009552FD">
        <w:rPr>
          <w:rFonts w:eastAsia="Times New Roman" w:cs="Times New Roman"/>
          <w:i/>
          <w:iCs/>
          <w:sz w:val="24"/>
          <w:szCs w:val="24"/>
          <w:lang w:bidi="en-US"/>
        </w:rPr>
        <w:t>Mierzejewski</w:t>
      </w:r>
      <w:r w:rsidRPr="009552FD">
        <w:rPr>
          <w:rFonts w:eastAsia="Times New Roman" w:cs="Times New Roman"/>
          <w:sz w:val="24"/>
          <w:szCs w:val="24"/>
          <w:lang w:bidi="en-US"/>
        </w:rPr>
        <w:t xml:space="preserve"> wymaga wprowadzenia zmian legislacyjnych.</w:t>
      </w:r>
    </w:p>
    <w:p w:rsidR="009C7E99" w:rsidRPr="009552FD" w:rsidRDefault="009C7E99" w:rsidP="008D6043">
      <w:pPr>
        <w:keepNext/>
        <w:keepLines/>
        <w:widowControl w:val="0"/>
        <w:numPr>
          <w:ilvl w:val="0"/>
          <w:numId w:val="8"/>
        </w:numPr>
        <w:tabs>
          <w:tab w:val="left" w:pos="285"/>
        </w:tabs>
        <w:spacing w:before="120" w:after="0" w:line="240" w:lineRule="auto"/>
        <w:outlineLvl w:val="1"/>
        <w:rPr>
          <w:rFonts w:eastAsia="Times New Roman" w:cs="Times New Roman"/>
          <w:b/>
          <w:bCs/>
          <w:sz w:val="24"/>
          <w:szCs w:val="24"/>
          <w:lang w:bidi="en-US"/>
        </w:rPr>
      </w:pPr>
      <w:bookmarkStart w:id="5" w:name="bookmark7"/>
      <w:bookmarkStart w:id="6" w:name="bookmark5"/>
      <w:bookmarkStart w:id="7" w:name="bookmark6"/>
      <w:bookmarkStart w:id="8" w:name="bookmark8"/>
      <w:bookmarkEnd w:id="5"/>
      <w:r w:rsidRPr="009552FD">
        <w:rPr>
          <w:rFonts w:eastAsia="Times New Roman" w:cs="Times New Roman"/>
          <w:b/>
          <w:bCs/>
          <w:sz w:val="24"/>
          <w:szCs w:val="24"/>
          <w:lang w:bidi="en-US"/>
        </w:rPr>
        <w:t>Wstęp</w:t>
      </w:r>
      <w:bookmarkEnd w:id="6"/>
      <w:bookmarkEnd w:id="7"/>
      <w:bookmarkEnd w:id="8"/>
    </w:p>
    <w:p w:rsidR="009C7E99" w:rsidRPr="009552FD" w:rsidRDefault="009C7E99" w:rsidP="008D6043">
      <w:pPr>
        <w:widowControl w:val="0"/>
        <w:numPr>
          <w:ilvl w:val="0"/>
          <w:numId w:val="9"/>
        </w:numPr>
        <w:tabs>
          <w:tab w:val="left" w:pos="285"/>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Helsińska Fundacja Praw Człowieka (dalej: „HFPC” lub „Fundacja”) jest organizacją pozarządową, której przedmiotem działalności statutowej jest o</w:t>
      </w:r>
      <w:r w:rsidR="008D6043">
        <w:rPr>
          <w:rFonts w:eastAsia="Times New Roman" w:cs="Times New Roman"/>
          <w:sz w:val="24"/>
          <w:szCs w:val="24"/>
          <w:lang w:bidi="en-US"/>
        </w:rPr>
        <w:t>chrona</w:t>
      </w:r>
      <w:r w:rsidRPr="009552FD">
        <w:rPr>
          <w:rFonts w:eastAsia="Times New Roman" w:cs="Times New Roman"/>
          <w:sz w:val="24"/>
          <w:szCs w:val="24"/>
          <w:lang w:bidi="en-US"/>
        </w:rPr>
        <w:t xml:space="preserve"> praw człowieka i kierowanie wystąpień. W swojej działalności w zakresie praw człowieka Fundacja skupia się przede wszystkim na ochronie wolności osobistej. W związku z powyższym od początku swojego istnienia HFPC zwraca szczególną uwagę na praktykę stosowania instytucji tymczasowego aresztowania w postępowaniu karnym. W tym celu Fundacja prowadzi działalność interwencyjną, kontrolną i edukacyjną. Jednym z celów działalności Fundacji jest zapewnienie zgodności praktyk organów państwowych ze standardami wynikającymi z Europejskiej Konwencji Praw Człowieka oraz wytycznymi Europejskiego Trybunału Praw Człowieka (dalej: „ETPCz” lub „Trybunał”).</w:t>
      </w:r>
    </w:p>
    <w:p w:rsidR="009C7E99" w:rsidRPr="009552FD" w:rsidRDefault="009C7E99" w:rsidP="008D6043">
      <w:pPr>
        <w:widowControl w:val="0"/>
        <w:numPr>
          <w:ilvl w:val="0"/>
          <w:numId w:val="9"/>
        </w:numPr>
        <w:tabs>
          <w:tab w:val="left" w:pos="285"/>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 xml:space="preserve">Działając w ramach swoich celów statutowych, Helsińska Fundacja Praw Człowieka uprzejmie przedstawia Komitetowi Ministrów Rady Europy wystąpienie w przedmiocie wykonania przez Polskę wyroku ETPCz wydanego w dniu 4 listopada 2014 r. w sprawie </w:t>
      </w:r>
      <w:r w:rsidRPr="009552FD">
        <w:rPr>
          <w:rFonts w:eastAsia="Times New Roman" w:cs="Times New Roman"/>
          <w:i/>
          <w:iCs/>
          <w:sz w:val="24"/>
          <w:szCs w:val="24"/>
          <w:lang w:bidi="en-US"/>
        </w:rPr>
        <w:t>Mierzeje</w:t>
      </w:r>
      <w:r w:rsidR="008D6043">
        <w:rPr>
          <w:rFonts w:eastAsia="Times New Roman" w:cs="Times New Roman"/>
          <w:i/>
          <w:iCs/>
          <w:sz w:val="24"/>
          <w:szCs w:val="24"/>
          <w:lang w:bidi="en-US"/>
        </w:rPr>
        <w:t>wski p.</w:t>
      </w:r>
      <w:r w:rsidRPr="009552FD">
        <w:rPr>
          <w:rFonts w:eastAsia="Times New Roman" w:cs="Times New Roman"/>
          <w:i/>
          <w:iCs/>
          <w:sz w:val="24"/>
          <w:szCs w:val="24"/>
          <w:lang w:bidi="en-US"/>
        </w:rPr>
        <w:t xml:space="preserve"> Polsce</w:t>
      </w:r>
      <w:r w:rsidRPr="009552FD">
        <w:rPr>
          <w:rFonts w:eastAsia="Times New Roman" w:cs="Times New Roman"/>
          <w:sz w:val="24"/>
          <w:szCs w:val="24"/>
          <w:lang w:bidi="en-US"/>
        </w:rPr>
        <w:t xml:space="preserve">, skarga nr 9916/13. Wyrażamy nadzieję, że Komitet uzna nasze wystąpienie za przydatne w procesie oceny działań podjętych przez rząd RP w związku z wyrokiem w sprawie </w:t>
      </w:r>
      <w:r w:rsidRPr="009552FD">
        <w:rPr>
          <w:rFonts w:eastAsia="Times New Roman" w:cs="Times New Roman"/>
          <w:i/>
          <w:iCs/>
          <w:sz w:val="24"/>
          <w:szCs w:val="24"/>
          <w:lang w:bidi="en-US"/>
        </w:rPr>
        <w:t>Mierzejewski</w:t>
      </w:r>
      <w:r w:rsidRPr="009552FD">
        <w:rPr>
          <w:rFonts w:eastAsia="Times New Roman" w:cs="Times New Roman"/>
          <w:sz w:val="24"/>
          <w:szCs w:val="24"/>
          <w:lang w:bidi="en-US"/>
        </w:rPr>
        <w:t xml:space="preserve"> oraz że nasze uwagi będą stanowiły podstawę do dalszej dyskusji na poziomie krajowym i europejskim.</w:t>
      </w:r>
    </w:p>
    <w:p w:rsidR="009C7E99" w:rsidRPr="009552FD" w:rsidRDefault="009C7E99" w:rsidP="008D6043">
      <w:pPr>
        <w:widowControl w:val="0"/>
        <w:numPr>
          <w:ilvl w:val="0"/>
          <w:numId w:val="8"/>
        </w:numPr>
        <w:tabs>
          <w:tab w:val="left" w:pos="346"/>
        </w:tabs>
        <w:spacing w:before="120" w:after="0" w:line="240" w:lineRule="auto"/>
        <w:jc w:val="both"/>
        <w:rPr>
          <w:rFonts w:eastAsia="Times New Roman" w:cs="Times New Roman"/>
          <w:sz w:val="24"/>
          <w:szCs w:val="24"/>
          <w:lang w:bidi="en-US"/>
        </w:rPr>
      </w:pPr>
      <w:r w:rsidRPr="009552FD">
        <w:rPr>
          <w:rFonts w:eastAsia="Times New Roman" w:cs="Times New Roman"/>
          <w:b/>
          <w:bCs/>
          <w:sz w:val="24"/>
          <w:szCs w:val="24"/>
          <w:lang w:bidi="en-US"/>
        </w:rPr>
        <w:t xml:space="preserve">Wyrok w sprawie </w:t>
      </w:r>
      <w:r w:rsidR="008D6043">
        <w:rPr>
          <w:rFonts w:eastAsia="Times New Roman" w:cs="Times New Roman"/>
          <w:b/>
          <w:bCs/>
          <w:i/>
          <w:iCs/>
          <w:sz w:val="24"/>
          <w:szCs w:val="24"/>
          <w:lang w:bidi="en-US"/>
        </w:rPr>
        <w:t>Mierzejewski p.</w:t>
      </w:r>
      <w:r w:rsidRPr="009552FD">
        <w:rPr>
          <w:rFonts w:eastAsia="Times New Roman" w:cs="Times New Roman"/>
          <w:b/>
          <w:bCs/>
          <w:i/>
          <w:iCs/>
          <w:sz w:val="24"/>
          <w:szCs w:val="24"/>
          <w:lang w:bidi="en-US"/>
        </w:rPr>
        <w:t xml:space="preserve"> Polsce</w:t>
      </w:r>
    </w:p>
    <w:p w:rsidR="009C7E99" w:rsidRPr="009552FD" w:rsidRDefault="009C7E99" w:rsidP="008D6043">
      <w:pPr>
        <w:widowControl w:val="0"/>
        <w:numPr>
          <w:ilvl w:val="0"/>
          <w:numId w:val="9"/>
        </w:numPr>
        <w:tabs>
          <w:tab w:val="left" w:pos="285"/>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 xml:space="preserve">W sprawie </w:t>
      </w:r>
      <w:r w:rsidRPr="009552FD">
        <w:rPr>
          <w:rFonts w:eastAsia="Times New Roman" w:cs="Times New Roman"/>
          <w:i/>
          <w:iCs/>
          <w:sz w:val="24"/>
          <w:szCs w:val="24"/>
          <w:lang w:bidi="en-US"/>
        </w:rPr>
        <w:t xml:space="preserve">Mierzejewski </w:t>
      </w:r>
      <w:r w:rsidRPr="009552FD">
        <w:rPr>
          <w:rFonts w:eastAsia="Times New Roman" w:cs="Times New Roman"/>
          <w:sz w:val="24"/>
          <w:szCs w:val="24"/>
          <w:lang w:bidi="en-US"/>
        </w:rPr>
        <w:t>ETPCz dokonał oceny praktycznego stosowania instytucji tymczasowego aresztowania w Polsce. Zastosowane wobec skarżącego tymczasowe aresztowanie trwało trzy lata, trzy miesiące i jeden dzień. Skarżącego zatrzymano w 2010 r. pod zarzutem obrotu narkotykami i udziału w zorganizowanej grupie przestępczej. Stosowane wobec niego tymczasowe aresztowanie było wielokrotnie przedłużane do czasu zakończenia prowadzonego wobec niego postępowania karnego w 2014 r.</w:t>
      </w:r>
    </w:p>
    <w:p w:rsidR="009C7E99" w:rsidRPr="009552FD" w:rsidRDefault="009C7E99" w:rsidP="008D6043">
      <w:pPr>
        <w:widowControl w:val="0"/>
        <w:numPr>
          <w:ilvl w:val="0"/>
          <w:numId w:val="9"/>
        </w:numPr>
        <w:tabs>
          <w:tab w:val="left" w:pos="289"/>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W wyroku Trybunał uznał, że przesłanki przytoczone przez władze krajowe w postanowieniach o zastosowaniu tymczasowego aresztowania wydanych wobec skarżącego, a mianowicie wysokie prawdopodobieństwo popełnienia przez niego zarzucanego mu przestępstwa, obawa, że będzie on utrudniał postępowanie oraz – w późniejszym czasie – surowość grożącej skarżącemu kary, były nieprawidłowe i nie mogły uzasadniać całkowitego okresu zastosowanego wobec skarżącego tymczasowego aresztowania. Na powyższą ocenę Trybunału nie miała wpływu zawiłość sprawy skarżącego wynikająca z przedstawionych mu zarzutów dotyczących działania w ramach grupy przestępczej. Trybunał pr</w:t>
      </w:r>
      <w:r w:rsidR="008D6043">
        <w:rPr>
          <w:rFonts w:eastAsia="Times New Roman" w:cs="Times New Roman"/>
          <w:sz w:val="24"/>
          <w:szCs w:val="24"/>
          <w:lang w:bidi="en-US"/>
        </w:rPr>
        <w:t>zyznał skarżącemu kwotę 2500 euro</w:t>
      </w:r>
      <w:r w:rsidRPr="009552FD">
        <w:rPr>
          <w:rFonts w:eastAsia="Times New Roman" w:cs="Times New Roman"/>
          <w:sz w:val="24"/>
          <w:szCs w:val="24"/>
          <w:lang w:bidi="en-US"/>
        </w:rPr>
        <w:t xml:space="preserve"> tytułem zadośćuczynienia za szkodę niemajątkową.</w:t>
      </w:r>
    </w:p>
    <w:p w:rsidR="009C7E99" w:rsidRPr="009552FD" w:rsidRDefault="009C7E99" w:rsidP="008D6043">
      <w:pPr>
        <w:keepNext/>
        <w:keepLines/>
        <w:widowControl w:val="0"/>
        <w:numPr>
          <w:ilvl w:val="0"/>
          <w:numId w:val="8"/>
        </w:numPr>
        <w:tabs>
          <w:tab w:val="left" w:pos="433"/>
        </w:tabs>
        <w:spacing w:before="120" w:after="0" w:line="240" w:lineRule="auto"/>
        <w:jc w:val="both"/>
        <w:outlineLvl w:val="1"/>
        <w:rPr>
          <w:rFonts w:eastAsia="Times New Roman" w:cs="Times New Roman"/>
          <w:b/>
          <w:bCs/>
          <w:sz w:val="24"/>
          <w:szCs w:val="24"/>
          <w:lang w:bidi="en-US"/>
        </w:rPr>
      </w:pPr>
      <w:r w:rsidRPr="009552FD">
        <w:rPr>
          <w:rFonts w:eastAsia="Times New Roman" w:cs="Times New Roman"/>
          <w:b/>
          <w:bCs/>
          <w:sz w:val="24"/>
          <w:szCs w:val="24"/>
          <w:lang w:bidi="en-US"/>
        </w:rPr>
        <w:t>Środki generalne</w:t>
      </w:r>
    </w:p>
    <w:p w:rsidR="009C7E99" w:rsidRPr="009552FD" w:rsidRDefault="009C7E99" w:rsidP="008D6043">
      <w:pPr>
        <w:widowControl w:val="0"/>
        <w:numPr>
          <w:ilvl w:val="0"/>
          <w:numId w:val="9"/>
        </w:numPr>
        <w:tabs>
          <w:tab w:val="left" w:pos="294"/>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 xml:space="preserve">Przede wszystkim pragniemy ponownie podkreślić aktualność uwag Fundacji przedstawionych Komitetowi Ministrów w dniu 21 sierpnia 2019 r. w sprawie </w:t>
      </w:r>
      <w:r w:rsidR="008D6043">
        <w:rPr>
          <w:rFonts w:eastAsia="Times New Roman" w:cs="Times New Roman"/>
          <w:i/>
          <w:iCs/>
          <w:sz w:val="24"/>
          <w:szCs w:val="24"/>
          <w:lang w:bidi="en-US"/>
        </w:rPr>
        <w:t>Burża p.</w:t>
      </w:r>
      <w:r w:rsidRPr="009552FD">
        <w:rPr>
          <w:rFonts w:eastAsia="Times New Roman" w:cs="Times New Roman"/>
          <w:i/>
          <w:iCs/>
          <w:sz w:val="24"/>
          <w:szCs w:val="24"/>
          <w:lang w:bidi="en-US"/>
        </w:rPr>
        <w:t xml:space="preserve"> Polsce</w:t>
      </w:r>
      <w:r w:rsidRPr="009552FD">
        <w:rPr>
          <w:rFonts w:eastAsia="Times New Roman" w:cs="Times New Roman"/>
          <w:sz w:val="24"/>
          <w:szCs w:val="24"/>
          <w:lang w:bidi="en-US"/>
        </w:rPr>
        <w:t xml:space="preserve"> (skarga nr 15333/15)</w:t>
      </w:r>
      <w:r w:rsidRPr="009552FD">
        <w:rPr>
          <w:rFonts w:eastAsia="Times New Roman" w:cs="Times New Roman"/>
          <w:sz w:val="24"/>
          <w:szCs w:val="24"/>
          <w:vertAlign w:val="superscript"/>
          <w:lang w:bidi="en-US"/>
        </w:rPr>
        <w:footnoteReference w:id="1"/>
      </w:r>
      <w:r w:rsidRPr="009552FD">
        <w:rPr>
          <w:rFonts w:eastAsia="Times New Roman" w:cs="Times New Roman"/>
          <w:sz w:val="24"/>
          <w:szCs w:val="24"/>
          <w:lang w:bidi="en-US"/>
        </w:rPr>
        <w:t xml:space="preserve">. Biorąc pod uwagę zasadność naszych wcześniejszych uwag i wniosków, </w:t>
      </w:r>
      <w:r w:rsidRPr="009552FD">
        <w:rPr>
          <w:rFonts w:eastAsia="Times New Roman" w:cs="Times New Roman"/>
          <w:sz w:val="24"/>
          <w:szCs w:val="24"/>
          <w:lang w:bidi="en-US"/>
        </w:rPr>
        <w:lastRenderedPageBreak/>
        <w:t>które są już znane Komitetowi Ministrów, poniżej jedynie zwięźle odniesiemy się do argumentów przedstawionych przez rząd w raporcie z działań z dnia 19 grudnia 2019 r.</w:t>
      </w:r>
      <w:r w:rsidRPr="009552FD">
        <w:rPr>
          <w:rFonts w:eastAsia="Times New Roman" w:cs="Times New Roman"/>
          <w:sz w:val="24"/>
          <w:szCs w:val="24"/>
          <w:vertAlign w:val="superscript"/>
          <w:lang w:bidi="en-US"/>
        </w:rPr>
        <w:footnoteReference w:id="2"/>
      </w:r>
      <w:r w:rsidRPr="009552FD">
        <w:rPr>
          <w:rFonts w:eastAsia="Times New Roman" w:cs="Times New Roman"/>
          <w:sz w:val="24"/>
          <w:szCs w:val="24"/>
          <w:lang w:bidi="en-US"/>
        </w:rPr>
        <w:t xml:space="preserve"> Jednocześnie uwzględnimy jedynie środki o charakterze ogólnym podjęte przez rząd polski.</w:t>
      </w:r>
    </w:p>
    <w:p w:rsidR="009C7E99" w:rsidRPr="009552FD" w:rsidRDefault="009C7E99" w:rsidP="008D6043">
      <w:pPr>
        <w:widowControl w:val="0"/>
        <w:numPr>
          <w:ilvl w:val="0"/>
          <w:numId w:val="9"/>
        </w:numPr>
        <w:tabs>
          <w:tab w:val="left" w:pos="284"/>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W raporcie z działań (dalej: „Raport z działań”) z dnia 19 grudnia 2019 r. (zob. s. 1–2) rząd polski podkreślił, że:</w:t>
      </w:r>
    </w:p>
    <w:p w:rsidR="009C7E99" w:rsidRPr="008D6043" w:rsidRDefault="009C7E99" w:rsidP="008D6043">
      <w:pPr>
        <w:widowControl w:val="0"/>
        <w:spacing w:before="120" w:after="0" w:line="240" w:lineRule="auto"/>
        <w:ind w:firstLine="320"/>
        <w:jc w:val="both"/>
        <w:rPr>
          <w:rFonts w:eastAsia="Times New Roman" w:cs="Times New Roman"/>
          <w:sz w:val="24"/>
          <w:szCs w:val="24"/>
          <w:lang w:bidi="en-US"/>
        </w:rPr>
      </w:pPr>
      <w:r w:rsidRPr="008D6043">
        <w:rPr>
          <w:rFonts w:eastAsia="Times New Roman" w:cs="Times New Roman"/>
          <w:iCs/>
          <w:sz w:val="24"/>
          <w:szCs w:val="24"/>
          <w:lang w:bidi="en-US"/>
        </w:rPr>
        <w:t xml:space="preserve">„Szczegółowe informacje na temat środków o charakterze generalnym podjętych w celu rozwiązania kwestii nadmiernej długości tymczasowego aresztowania zostały przedstawione w raportach z działań dotyczących wykonania wyroków w grupie spraw </w:t>
      </w:r>
      <w:r w:rsidRPr="008D6043">
        <w:rPr>
          <w:rFonts w:eastAsia="Times New Roman" w:cs="Times New Roman"/>
          <w:i/>
          <w:iCs/>
          <w:sz w:val="24"/>
          <w:szCs w:val="24"/>
          <w:lang w:bidi="en-US"/>
        </w:rPr>
        <w:t>Trzaska p</w:t>
      </w:r>
      <w:r w:rsidR="008D6043" w:rsidRPr="008D6043">
        <w:rPr>
          <w:rFonts w:eastAsia="Times New Roman" w:cs="Times New Roman"/>
          <w:i/>
          <w:iCs/>
          <w:sz w:val="24"/>
          <w:szCs w:val="24"/>
          <w:lang w:bidi="en-US"/>
        </w:rPr>
        <w:t>.</w:t>
      </w:r>
      <w:r w:rsidRPr="008D6043">
        <w:rPr>
          <w:rFonts w:eastAsia="Times New Roman" w:cs="Times New Roman"/>
          <w:i/>
          <w:iCs/>
          <w:sz w:val="24"/>
          <w:szCs w:val="24"/>
          <w:lang w:bidi="en-US"/>
        </w:rPr>
        <w:t xml:space="preserve"> Polsce</w:t>
      </w:r>
      <w:r w:rsidRPr="008D6043">
        <w:rPr>
          <w:rFonts w:eastAsia="Times New Roman" w:cs="Times New Roman"/>
          <w:iCs/>
          <w:sz w:val="24"/>
          <w:szCs w:val="24"/>
          <w:lang w:bidi="en-US"/>
        </w:rPr>
        <w:t xml:space="preserve"> (skarga nr 25792/94, zob. dokument DH-DD(2014)1312) oraz w sprawie </w:t>
      </w:r>
      <w:r w:rsidRPr="008D6043">
        <w:rPr>
          <w:rFonts w:eastAsia="Times New Roman" w:cs="Times New Roman"/>
          <w:i/>
          <w:iCs/>
          <w:sz w:val="24"/>
          <w:szCs w:val="24"/>
          <w:lang w:bidi="en-US"/>
        </w:rPr>
        <w:t>Porowski p</w:t>
      </w:r>
      <w:r w:rsidR="008D6043" w:rsidRPr="008D6043">
        <w:rPr>
          <w:rFonts w:eastAsia="Times New Roman" w:cs="Times New Roman"/>
          <w:i/>
          <w:iCs/>
          <w:sz w:val="24"/>
          <w:szCs w:val="24"/>
          <w:lang w:bidi="en-US"/>
        </w:rPr>
        <w:t>.</w:t>
      </w:r>
      <w:r w:rsidRPr="008D6043">
        <w:rPr>
          <w:rFonts w:eastAsia="Times New Roman" w:cs="Times New Roman"/>
          <w:i/>
          <w:iCs/>
          <w:sz w:val="24"/>
          <w:szCs w:val="24"/>
          <w:lang w:bidi="en-US"/>
        </w:rPr>
        <w:t xml:space="preserve"> Polsce</w:t>
      </w:r>
      <w:r w:rsidRPr="008D6043">
        <w:rPr>
          <w:rFonts w:eastAsia="Times New Roman" w:cs="Times New Roman"/>
          <w:iCs/>
          <w:sz w:val="24"/>
          <w:szCs w:val="24"/>
          <w:lang w:bidi="en-US"/>
        </w:rPr>
        <w:t xml:space="preserve"> (skarga nr 34458/03, wyrok z dnia 21.03.2017 r., który stał się ostateczny w dniu 21.06.2017 r.). Ponadto w niniejszej sprawie podjęto szereg środków o charakterze generalnym.</w:t>
      </w:r>
      <w:r w:rsidR="008D6043">
        <w:rPr>
          <w:rFonts w:eastAsia="Times New Roman" w:cs="Times New Roman"/>
          <w:iCs/>
          <w:sz w:val="24"/>
          <w:szCs w:val="24"/>
          <w:lang w:bidi="en-US"/>
        </w:rPr>
        <w:t>”</w:t>
      </w:r>
      <w:r w:rsidRPr="008D6043">
        <w:rPr>
          <w:rFonts w:eastAsia="Times New Roman" w:cs="Times New Roman"/>
          <w:iCs/>
          <w:sz w:val="24"/>
          <w:szCs w:val="24"/>
          <w:vertAlign w:val="superscript"/>
          <w:lang w:bidi="en-US"/>
        </w:rPr>
        <w:footnoteReference w:id="3"/>
      </w:r>
    </w:p>
    <w:p w:rsidR="009C7E99" w:rsidRPr="009552FD" w:rsidRDefault="009C7E99" w:rsidP="008D6043">
      <w:pPr>
        <w:widowControl w:val="0"/>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Ponadto w Raporcie z działań stwierdzono, że:</w:t>
      </w:r>
    </w:p>
    <w:p w:rsidR="009C7E99" w:rsidRPr="008D6043" w:rsidRDefault="009C7E99" w:rsidP="0047460C">
      <w:pPr>
        <w:widowControl w:val="0"/>
        <w:spacing w:before="120" w:after="0" w:line="240" w:lineRule="auto"/>
        <w:jc w:val="both"/>
        <w:rPr>
          <w:rFonts w:eastAsia="Times New Roman" w:cs="Times New Roman"/>
          <w:sz w:val="24"/>
          <w:szCs w:val="24"/>
          <w:lang w:bidi="en-US"/>
        </w:rPr>
      </w:pPr>
      <w:r w:rsidRPr="008D6043">
        <w:rPr>
          <w:rFonts w:eastAsia="Times New Roman" w:cs="Times New Roman"/>
          <w:iCs/>
          <w:sz w:val="24"/>
          <w:szCs w:val="24"/>
          <w:lang w:bidi="en-US"/>
        </w:rPr>
        <w:t>„Rząd jest zdania, że (...) wyżej opisane środki o charakterze generalnym są wystarczające, aby stwierdzić, że Polska wywiązała się ze swoich zobowiązań wynikających z art. 46 § 1 Konwencji.</w:t>
      </w:r>
      <w:r w:rsidR="008D6043">
        <w:rPr>
          <w:rFonts w:eastAsia="Times New Roman" w:cs="Times New Roman"/>
          <w:iCs/>
          <w:sz w:val="24"/>
          <w:szCs w:val="24"/>
          <w:lang w:bidi="en-US"/>
        </w:rPr>
        <w:t>”</w:t>
      </w:r>
    </w:p>
    <w:p w:rsidR="009C7E99" w:rsidRPr="009552FD" w:rsidRDefault="009C7E99" w:rsidP="007532E9">
      <w:pPr>
        <w:widowControl w:val="0"/>
        <w:numPr>
          <w:ilvl w:val="0"/>
          <w:numId w:val="9"/>
        </w:numPr>
        <w:tabs>
          <w:tab w:val="left" w:pos="284"/>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HFPC pragnie przedstawić wyjaśnienia i obawy dotyczące uwag rządu. Na wstępie uprzejmie wskazujemy, że problem nadużywania instytucji tymczasowego aresztowania w Polsce ma nadal charakter systemowy. Nasze stanowisko w tej sprawie potwierdzają uwagi organów międzynarodowych, a w szczególności najnowszy raport Komitetu Przeciwko Torturom ONZ</w:t>
      </w:r>
      <w:r w:rsidRPr="009552FD">
        <w:rPr>
          <w:rFonts w:eastAsia="Times New Roman" w:cs="Times New Roman"/>
          <w:sz w:val="24"/>
          <w:szCs w:val="24"/>
          <w:vertAlign w:val="superscript"/>
          <w:lang w:bidi="en-US"/>
        </w:rPr>
        <w:footnoteReference w:id="4"/>
      </w:r>
      <w:r w:rsidRPr="009552FD">
        <w:rPr>
          <w:rFonts w:eastAsia="Times New Roman" w:cs="Times New Roman"/>
          <w:sz w:val="24"/>
          <w:szCs w:val="24"/>
          <w:lang w:bidi="en-US"/>
        </w:rPr>
        <w:t>, a także badania krajowych i międzynarodowych organizacji pozarządowych.</w:t>
      </w:r>
    </w:p>
    <w:p w:rsidR="009C7E99" w:rsidRPr="008D6043" w:rsidRDefault="009C7E99" w:rsidP="007532E9">
      <w:pPr>
        <w:widowControl w:val="0"/>
        <w:numPr>
          <w:ilvl w:val="0"/>
          <w:numId w:val="9"/>
        </w:numPr>
        <w:tabs>
          <w:tab w:val="left" w:pos="298"/>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 xml:space="preserve">Nasze stanowisko dodatkowo potwierdzają wnioski z raportu na temat praktyki stosowania tymczasowego aresztowania, który został opublikowany w grudniu 2019 r. przez Fundację Court Watch Polska </w:t>
      </w:r>
      <w:r w:rsidRPr="009552FD">
        <w:rPr>
          <w:rFonts w:eastAsia="Times New Roman" w:cs="Times New Roman"/>
          <w:sz w:val="24"/>
          <w:szCs w:val="24"/>
          <w:vertAlign w:val="superscript"/>
          <w:lang w:bidi="en-US"/>
        </w:rPr>
        <w:footnoteReference w:id="5"/>
      </w:r>
      <w:r w:rsidRPr="009552FD">
        <w:rPr>
          <w:rFonts w:eastAsia="Times New Roman" w:cs="Times New Roman"/>
          <w:sz w:val="24"/>
          <w:szCs w:val="24"/>
          <w:lang w:bidi="en-US"/>
        </w:rPr>
        <w:t>. W raporcie stwierdzono</w:t>
      </w:r>
      <w:r w:rsidRPr="008D6043">
        <w:rPr>
          <w:rFonts w:eastAsia="Times New Roman" w:cs="Times New Roman"/>
          <w:sz w:val="24"/>
          <w:szCs w:val="24"/>
          <w:lang w:bidi="en-US"/>
        </w:rPr>
        <w:t xml:space="preserve">: </w:t>
      </w:r>
      <w:r w:rsidRPr="008D6043">
        <w:rPr>
          <w:rFonts w:eastAsia="Times New Roman" w:cs="Times New Roman"/>
          <w:iCs/>
          <w:sz w:val="24"/>
          <w:szCs w:val="24"/>
          <w:lang w:bidi="en-US"/>
        </w:rPr>
        <w:t xml:space="preserve">„Dane uzyskane na losowej próbie 310 przypadków zastosowania tego środka zapobiegawczego pokazują, że niektóre nieprawidłowości wskazywane przez Trybunał są przez polskie sądy powszechnie powielane, a więc stanowią dowód na to, że mamy do czynienia w naszym kraju z problemem o charakterze systemowym. Tymczasowe aresztowanie bywa stosowane nawet w przypadkach, w których z dowodów zawartych w aktach sprawy nie wynika konieczność pozbawienia wolności człowieka, wobec którego obowiązuje zasada domniemania </w:t>
      </w:r>
      <w:r w:rsidRPr="00AB13E6">
        <w:rPr>
          <w:rFonts w:eastAsia="Times New Roman" w:cs="Times New Roman"/>
          <w:iCs/>
          <w:sz w:val="24"/>
          <w:szCs w:val="24"/>
          <w:lang w:bidi="en-US"/>
        </w:rPr>
        <w:t>niewinności.”</w:t>
      </w:r>
      <w:r w:rsidRPr="00AB13E6">
        <w:rPr>
          <w:rFonts w:eastAsia="Times New Roman" w:cs="Times New Roman"/>
          <w:iCs/>
          <w:sz w:val="24"/>
          <w:szCs w:val="24"/>
          <w:vertAlign w:val="superscript"/>
          <w:lang w:bidi="en-US"/>
        </w:rPr>
        <w:footnoteReference w:id="6"/>
      </w:r>
      <w:r w:rsidRPr="00AB13E6">
        <w:rPr>
          <w:rFonts w:eastAsia="Times New Roman" w:cs="Times New Roman"/>
          <w:iCs/>
          <w:sz w:val="24"/>
          <w:szCs w:val="24"/>
          <w:lang w:bidi="en-US"/>
        </w:rPr>
        <w:t>.</w:t>
      </w:r>
    </w:p>
    <w:p w:rsidR="009C7E99" w:rsidRPr="009552FD" w:rsidRDefault="009C7E99" w:rsidP="007532E9">
      <w:pPr>
        <w:widowControl w:val="0"/>
        <w:numPr>
          <w:ilvl w:val="0"/>
          <w:numId w:val="9"/>
        </w:numPr>
        <w:tabs>
          <w:tab w:val="left" w:pos="284"/>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Raport Court Watch potwierdza wyniki wieloletnich badań prowadzonych przez HFPC, jak również wnioski płynące z ostatniego raportu Fundacji „Tymczasowe aresztowanie – (nie)tymczasowy problem” na temat stosowania tymczasowego aresztowania w Polsce, który zawiera szereg istotnych rekomendacji dla ustawodawcy</w:t>
      </w:r>
      <w:r w:rsidRPr="009552FD">
        <w:rPr>
          <w:rFonts w:eastAsia="Times New Roman" w:cs="Times New Roman"/>
          <w:sz w:val="24"/>
          <w:szCs w:val="24"/>
          <w:vertAlign w:val="superscript"/>
          <w:lang w:bidi="en-US"/>
        </w:rPr>
        <w:footnoteReference w:id="7"/>
      </w:r>
      <w:r w:rsidRPr="009552FD">
        <w:rPr>
          <w:rFonts w:eastAsia="Times New Roman" w:cs="Times New Roman"/>
          <w:sz w:val="24"/>
          <w:szCs w:val="24"/>
          <w:lang w:bidi="en-US"/>
        </w:rPr>
        <w:t>.</w:t>
      </w:r>
    </w:p>
    <w:p w:rsidR="009C7E99" w:rsidRPr="009552FD" w:rsidRDefault="007532E9" w:rsidP="007532E9">
      <w:pPr>
        <w:keepNext/>
        <w:keepLines/>
        <w:widowControl w:val="0"/>
        <w:spacing w:before="120" w:after="0" w:line="240" w:lineRule="auto"/>
        <w:outlineLvl w:val="1"/>
        <w:rPr>
          <w:rFonts w:eastAsia="Times New Roman" w:cs="Times New Roman"/>
          <w:b/>
          <w:bCs/>
          <w:sz w:val="24"/>
          <w:szCs w:val="24"/>
          <w:lang w:bidi="en-US"/>
        </w:rPr>
      </w:pPr>
      <w:r>
        <w:rPr>
          <w:rFonts w:eastAsia="Times New Roman" w:cs="Times New Roman"/>
          <w:b/>
          <w:bCs/>
          <w:sz w:val="24"/>
          <w:szCs w:val="24"/>
          <w:lang w:bidi="en-US"/>
        </w:rPr>
        <w:lastRenderedPageBreak/>
        <w:t>III.</w:t>
      </w:r>
      <w:r w:rsidR="009C7E99" w:rsidRPr="009552FD">
        <w:rPr>
          <w:rFonts w:eastAsia="Times New Roman" w:cs="Times New Roman"/>
          <w:b/>
          <w:bCs/>
          <w:sz w:val="24"/>
          <w:szCs w:val="24"/>
          <w:lang w:bidi="en-US"/>
        </w:rPr>
        <w:t xml:space="preserve"> 1. Szczegółowe uwagi do Raportu z działań z dnia 19 grudnia 2019 r.</w:t>
      </w:r>
    </w:p>
    <w:p w:rsidR="009C7E99" w:rsidRPr="009552FD" w:rsidRDefault="009C7E99" w:rsidP="007532E9">
      <w:pPr>
        <w:widowControl w:val="0"/>
        <w:numPr>
          <w:ilvl w:val="0"/>
          <w:numId w:val="9"/>
        </w:numPr>
        <w:tabs>
          <w:tab w:val="left" w:pos="394"/>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Na stronie 2 Raportu z działań rząd przedstawia dane statystyczne dotyczące praktyki stosowania tymczasowego aresztowania w Polsce. HFPC uprzejmie wskazuje, że ocena skuteczności działań podjętych przez polskie władze wymaga szerszej perspektywy czasowej.</w:t>
      </w:r>
    </w:p>
    <w:p w:rsidR="009C7E99" w:rsidRPr="009552FD" w:rsidRDefault="009C7E99" w:rsidP="007532E9">
      <w:pPr>
        <w:keepNext/>
        <w:keepLines/>
        <w:widowControl w:val="0"/>
        <w:spacing w:before="120" w:after="0" w:line="240" w:lineRule="auto"/>
        <w:jc w:val="both"/>
        <w:outlineLvl w:val="1"/>
        <w:rPr>
          <w:rFonts w:eastAsia="Times New Roman" w:cs="Times New Roman"/>
          <w:b/>
          <w:bCs/>
          <w:sz w:val="24"/>
          <w:szCs w:val="24"/>
          <w:lang w:bidi="en-US"/>
        </w:rPr>
      </w:pPr>
      <w:r w:rsidRPr="009552FD">
        <w:rPr>
          <w:rFonts w:eastAsia="Times New Roman" w:cs="Times New Roman"/>
          <w:b/>
          <w:bCs/>
          <w:sz w:val="24"/>
          <w:szCs w:val="24"/>
          <w:lang w:bidi="en-US"/>
        </w:rPr>
        <w:t xml:space="preserve">III. </w:t>
      </w:r>
      <w:r w:rsidR="007532E9">
        <w:rPr>
          <w:rFonts w:eastAsia="Times New Roman" w:cs="Times New Roman"/>
          <w:b/>
          <w:bCs/>
          <w:sz w:val="24"/>
          <w:szCs w:val="24"/>
          <w:lang w:bidi="en-US"/>
        </w:rPr>
        <w:t>1</w:t>
      </w:r>
      <w:r w:rsidRPr="009552FD">
        <w:rPr>
          <w:rFonts w:eastAsia="Times New Roman" w:cs="Times New Roman"/>
          <w:b/>
          <w:bCs/>
          <w:sz w:val="24"/>
          <w:szCs w:val="24"/>
          <w:lang w:bidi="en-US"/>
        </w:rPr>
        <w:t>.a. Liczba złożonych wniosków o zastosowanie tymczasowego aresztowania w toku postępowania przygotowawczego i ich skuteczność</w:t>
      </w:r>
    </w:p>
    <w:p w:rsidR="009C7E99" w:rsidRDefault="009C7E99" w:rsidP="007532E9">
      <w:pPr>
        <w:widowControl w:val="0"/>
        <w:numPr>
          <w:ilvl w:val="0"/>
          <w:numId w:val="9"/>
        </w:numPr>
        <w:tabs>
          <w:tab w:val="left" w:pos="404"/>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W Raporcie z działań rząd wskazuje, że w 2018 r. prokuratorzy złożyli 19 655 wniosków o zastosowanie tymczasowego aresztowania. Co warte podkreślenia, liczba ta przekracza liczbę wniosków o zastosowanie tymczasowego aresztowania złożonych odpowiednio w latach 2017 i 2016 o ponad 900 i 4483. Jednocześnie skuteczność wniosków jest nadal bardzo wysoka i przekracza 90%. Nieznacznie obniżonej (o 1%) skuteczności w 2018 r. nie można uznać za zjawisko pozytywne, gdyż może być konsekwencją rosnącej liczby złożonych wniosków prokuratorskich o zastosowanie tymczasowego aresztowania.</w:t>
      </w:r>
    </w:p>
    <w:p w:rsidR="00AB13E6" w:rsidRPr="009552FD" w:rsidRDefault="00AB13E6" w:rsidP="00AB13E6">
      <w:pPr>
        <w:widowControl w:val="0"/>
        <w:tabs>
          <w:tab w:val="left" w:pos="404"/>
        </w:tabs>
        <w:spacing w:before="120" w:after="0" w:line="240" w:lineRule="auto"/>
        <w:jc w:val="both"/>
        <w:rPr>
          <w:rFonts w:eastAsia="Times New Roman" w:cs="Times New Roman"/>
          <w:sz w:val="24"/>
          <w:szCs w:val="24"/>
          <w:lang w:bidi="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994"/>
        <w:gridCol w:w="2510"/>
        <w:gridCol w:w="2798"/>
        <w:gridCol w:w="2563"/>
      </w:tblGrid>
      <w:tr w:rsidR="009C7E99" w:rsidRPr="007532E9" w:rsidTr="009C7E99">
        <w:trPr>
          <w:trHeight w:hRule="exact" w:val="1099"/>
          <w:jc w:val="center"/>
        </w:trPr>
        <w:tc>
          <w:tcPr>
            <w:tcW w:w="994" w:type="dxa"/>
            <w:tcBorders>
              <w:top w:val="single" w:sz="4" w:space="0" w:color="auto"/>
              <w:left w:val="single" w:sz="4" w:space="0" w:color="auto"/>
            </w:tcBorders>
            <w:shd w:val="clear" w:color="auto" w:fill="FFFFFF"/>
          </w:tcPr>
          <w:p w:rsidR="009C7E99" w:rsidRPr="007532E9" w:rsidRDefault="009C7E99" w:rsidP="007532E9">
            <w:pPr>
              <w:widowControl w:val="0"/>
              <w:spacing w:before="120" w:after="0" w:line="240" w:lineRule="auto"/>
              <w:ind w:firstLine="180"/>
              <w:jc w:val="center"/>
              <w:rPr>
                <w:rFonts w:eastAsia="Times New Roman" w:cs="Times New Roman"/>
                <w:sz w:val="20"/>
                <w:szCs w:val="20"/>
                <w:lang w:bidi="en-US"/>
              </w:rPr>
            </w:pPr>
            <w:r w:rsidRPr="007532E9">
              <w:rPr>
                <w:rFonts w:eastAsia="Times New Roman" w:cs="Times New Roman"/>
                <w:b/>
                <w:bCs/>
                <w:sz w:val="20"/>
                <w:szCs w:val="20"/>
                <w:lang w:bidi="en-US"/>
              </w:rPr>
              <w:t>Rok</w:t>
            </w:r>
            <w:r w:rsidRPr="007532E9">
              <w:rPr>
                <w:rFonts w:eastAsia="Times New Roman" w:cs="Times New Roman"/>
                <w:b/>
                <w:bCs/>
                <w:sz w:val="20"/>
                <w:szCs w:val="20"/>
                <w:vertAlign w:val="superscript"/>
                <w:lang w:bidi="en-US"/>
              </w:rPr>
              <w:footnoteReference w:id="8"/>
            </w:r>
          </w:p>
        </w:tc>
        <w:tc>
          <w:tcPr>
            <w:tcW w:w="2510" w:type="dxa"/>
            <w:tcBorders>
              <w:top w:val="single" w:sz="4" w:space="0" w:color="auto"/>
              <w:left w:val="single" w:sz="4" w:space="0" w:color="auto"/>
            </w:tcBorders>
            <w:shd w:val="clear" w:color="auto" w:fill="FFFFFF"/>
          </w:tcPr>
          <w:p w:rsidR="009C7E99" w:rsidRPr="007532E9" w:rsidRDefault="009C7E99" w:rsidP="007532E9">
            <w:pPr>
              <w:widowControl w:val="0"/>
              <w:spacing w:before="120" w:after="0" w:line="240" w:lineRule="auto"/>
              <w:jc w:val="center"/>
              <w:rPr>
                <w:rFonts w:eastAsia="Times New Roman" w:cs="Times New Roman"/>
                <w:sz w:val="20"/>
                <w:szCs w:val="20"/>
                <w:lang w:bidi="en-US"/>
              </w:rPr>
            </w:pPr>
            <w:r w:rsidRPr="007532E9">
              <w:rPr>
                <w:rFonts w:eastAsia="Times New Roman" w:cs="Times New Roman"/>
                <w:b/>
                <w:bCs/>
                <w:sz w:val="20"/>
                <w:szCs w:val="20"/>
                <w:lang w:bidi="en-US"/>
              </w:rPr>
              <w:t>Wnioski o zastosowanie tymczasowego aresztowania w toku postępowania przygotowawczego</w:t>
            </w:r>
          </w:p>
        </w:tc>
        <w:tc>
          <w:tcPr>
            <w:tcW w:w="2798" w:type="dxa"/>
            <w:tcBorders>
              <w:top w:val="single" w:sz="4" w:space="0" w:color="auto"/>
              <w:left w:val="single" w:sz="4" w:space="0" w:color="auto"/>
            </w:tcBorders>
            <w:shd w:val="clear" w:color="auto" w:fill="FFFFFF"/>
          </w:tcPr>
          <w:p w:rsidR="009C7E99" w:rsidRPr="007532E9" w:rsidRDefault="009C7E99" w:rsidP="007532E9">
            <w:pPr>
              <w:widowControl w:val="0"/>
              <w:spacing w:before="120" w:after="0" w:line="240" w:lineRule="auto"/>
              <w:jc w:val="center"/>
              <w:rPr>
                <w:rFonts w:eastAsia="Times New Roman" w:cs="Times New Roman"/>
                <w:sz w:val="20"/>
                <w:szCs w:val="20"/>
                <w:lang w:bidi="en-US"/>
              </w:rPr>
            </w:pPr>
            <w:r w:rsidRPr="007532E9">
              <w:rPr>
                <w:rFonts w:eastAsia="Times New Roman" w:cs="Times New Roman"/>
                <w:b/>
                <w:bCs/>
                <w:sz w:val="20"/>
                <w:szCs w:val="20"/>
                <w:lang w:bidi="en-US"/>
              </w:rPr>
              <w:t>Postanowienia o zastosowaniu tymczasowego aresztowania w toku postępowania przygotowawczego</w:t>
            </w:r>
          </w:p>
        </w:tc>
        <w:tc>
          <w:tcPr>
            <w:tcW w:w="2563" w:type="dxa"/>
            <w:tcBorders>
              <w:top w:val="single" w:sz="4" w:space="0" w:color="auto"/>
              <w:left w:val="single" w:sz="4" w:space="0" w:color="auto"/>
              <w:right w:val="single" w:sz="4" w:space="0" w:color="auto"/>
            </w:tcBorders>
            <w:shd w:val="clear" w:color="auto" w:fill="FFFFFF"/>
          </w:tcPr>
          <w:p w:rsidR="009C7E99" w:rsidRPr="007532E9" w:rsidRDefault="009C7E99" w:rsidP="007532E9">
            <w:pPr>
              <w:widowControl w:val="0"/>
              <w:spacing w:before="120" w:after="0" w:line="240" w:lineRule="auto"/>
              <w:jc w:val="center"/>
              <w:rPr>
                <w:rFonts w:eastAsia="Times New Roman" w:cs="Times New Roman"/>
                <w:sz w:val="20"/>
                <w:szCs w:val="20"/>
                <w:lang w:bidi="en-US"/>
              </w:rPr>
            </w:pPr>
            <w:r w:rsidRPr="007532E9">
              <w:rPr>
                <w:rFonts w:eastAsia="Times New Roman" w:cs="Times New Roman"/>
                <w:b/>
                <w:bCs/>
                <w:sz w:val="20"/>
                <w:szCs w:val="20"/>
                <w:lang w:bidi="en-US"/>
              </w:rPr>
              <w:t>Procent uwzględnionych wniosków o zastosowanie tymczasowego aresztowania</w:t>
            </w:r>
          </w:p>
        </w:tc>
      </w:tr>
      <w:tr w:rsidR="009C7E99" w:rsidRPr="009552FD" w:rsidTr="004E1166">
        <w:trPr>
          <w:trHeight w:hRule="exact" w:val="283"/>
          <w:jc w:val="center"/>
        </w:trPr>
        <w:tc>
          <w:tcPr>
            <w:tcW w:w="994" w:type="dxa"/>
            <w:tcBorders>
              <w:top w:val="single" w:sz="4" w:space="0" w:color="auto"/>
              <w:left w:val="single" w:sz="4" w:space="0" w:color="auto"/>
            </w:tcBorders>
            <w:shd w:val="clear" w:color="auto" w:fill="FFFFFF"/>
            <w:vAlign w:val="bottom"/>
          </w:tcPr>
          <w:p w:rsidR="009C7E99" w:rsidRPr="009552FD" w:rsidRDefault="009C7E99" w:rsidP="009C7E99">
            <w:pPr>
              <w:widowControl w:val="0"/>
              <w:spacing w:after="0" w:line="240" w:lineRule="auto"/>
              <w:ind w:firstLine="420"/>
              <w:rPr>
                <w:rFonts w:eastAsia="Times New Roman" w:cs="Times New Roman"/>
                <w:sz w:val="24"/>
                <w:szCs w:val="24"/>
                <w:lang w:bidi="en-US"/>
              </w:rPr>
            </w:pPr>
            <w:r w:rsidRPr="009552FD">
              <w:rPr>
                <w:rFonts w:eastAsia="Times New Roman" w:cs="Times New Roman"/>
                <w:b/>
                <w:bCs/>
                <w:sz w:val="24"/>
                <w:szCs w:val="24"/>
                <w:lang w:bidi="en-US"/>
              </w:rPr>
              <w:t>2009</w:t>
            </w:r>
          </w:p>
        </w:tc>
        <w:tc>
          <w:tcPr>
            <w:tcW w:w="2510" w:type="dxa"/>
            <w:tcBorders>
              <w:top w:val="single" w:sz="4" w:space="0" w:color="auto"/>
              <w:left w:val="single" w:sz="4" w:space="0" w:color="auto"/>
            </w:tcBorders>
            <w:shd w:val="clear" w:color="auto" w:fill="auto"/>
            <w:vAlign w:val="bottom"/>
          </w:tcPr>
          <w:p w:rsidR="009C7E99" w:rsidRPr="009552FD" w:rsidRDefault="009C7E99" w:rsidP="009C7E99">
            <w:pPr>
              <w:widowControl w:val="0"/>
              <w:spacing w:after="0" w:line="240" w:lineRule="auto"/>
              <w:ind w:left="1760"/>
              <w:rPr>
                <w:rFonts w:eastAsia="Times New Roman" w:cs="Times New Roman"/>
                <w:sz w:val="24"/>
                <w:szCs w:val="24"/>
                <w:lang w:bidi="en-US"/>
              </w:rPr>
            </w:pPr>
            <w:r w:rsidRPr="009552FD">
              <w:rPr>
                <w:rFonts w:eastAsia="Times New Roman" w:cs="Times New Roman"/>
                <w:sz w:val="24"/>
                <w:szCs w:val="24"/>
                <w:lang w:bidi="en-US"/>
              </w:rPr>
              <w:t>27 693</w:t>
            </w:r>
          </w:p>
        </w:tc>
        <w:tc>
          <w:tcPr>
            <w:tcW w:w="2798" w:type="dxa"/>
            <w:tcBorders>
              <w:top w:val="single" w:sz="4" w:space="0" w:color="auto"/>
              <w:left w:val="single" w:sz="4" w:space="0" w:color="auto"/>
            </w:tcBorders>
            <w:shd w:val="clear" w:color="auto" w:fill="auto"/>
            <w:vAlign w:val="bottom"/>
          </w:tcPr>
          <w:p w:rsidR="009C7E99" w:rsidRPr="009552FD" w:rsidRDefault="009C7E99" w:rsidP="009C7E99">
            <w:pPr>
              <w:widowControl w:val="0"/>
              <w:spacing w:after="0" w:line="240" w:lineRule="auto"/>
              <w:jc w:val="right"/>
              <w:rPr>
                <w:rFonts w:eastAsia="Times New Roman" w:cs="Times New Roman"/>
                <w:sz w:val="24"/>
                <w:szCs w:val="24"/>
                <w:lang w:bidi="en-US"/>
              </w:rPr>
            </w:pPr>
            <w:r w:rsidRPr="009552FD">
              <w:rPr>
                <w:rFonts w:eastAsia="Times New Roman" w:cs="Times New Roman"/>
                <w:sz w:val="24"/>
                <w:szCs w:val="24"/>
                <w:lang w:bidi="en-US"/>
              </w:rPr>
              <w:t xml:space="preserve">24 755   </w:t>
            </w:r>
          </w:p>
        </w:tc>
        <w:tc>
          <w:tcPr>
            <w:tcW w:w="2563" w:type="dxa"/>
            <w:tcBorders>
              <w:top w:val="single" w:sz="4" w:space="0" w:color="auto"/>
              <w:left w:val="single" w:sz="4" w:space="0" w:color="auto"/>
              <w:right w:val="single" w:sz="4" w:space="0" w:color="auto"/>
            </w:tcBorders>
            <w:shd w:val="clear" w:color="auto" w:fill="auto"/>
            <w:vAlign w:val="bottom"/>
          </w:tcPr>
          <w:p w:rsidR="009C7E99" w:rsidRPr="009552FD" w:rsidRDefault="009C7E99" w:rsidP="009C7E99">
            <w:pPr>
              <w:widowControl w:val="0"/>
              <w:spacing w:after="0" w:line="240" w:lineRule="auto"/>
              <w:ind w:left="1740"/>
              <w:rPr>
                <w:rFonts w:eastAsia="Times New Roman" w:cs="Times New Roman"/>
                <w:sz w:val="24"/>
                <w:szCs w:val="24"/>
                <w:lang w:bidi="en-US"/>
              </w:rPr>
            </w:pPr>
            <w:r w:rsidRPr="009552FD">
              <w:rPr>
                <w:rFonts w:eastAsia="Times New Roman" w:cs="Times New Roman"/>
                <w:sz w:val="24"/>
                <w:szCs w:val="24"/>
                <w:lang w:bidi="en-US"/>
              </w:rPr>
              <w:t>89,39%</w:t>
            </w:r>
          </w:p>
        </w:tc>
      </w:tr>
      <w:tr w:rsidR="009C7E99" w:rsidRPr="009552FD" w:rsidTr="004E1166">
        <w:trPr>
          <w:trHeight w:hRule="exact" w:val="293"/>
          <w:jc w:val="center"/>
        </w:trPr>
        <w:tc>
          <w:tcPr>
            <w:tcW w:w="994" w:type="dxa"/>
            <w:tcBorders>
              <w:top w:val="single" w:sz="4" w:space="0" w:color="auto"/>
              <w:left w:val="single" w:sz="4" w:space="0" w:color="auto"/>
            </w:tcBorders>
            <w:shd w:val="clear" w:color="auto" w:fill="FFFFFF"/>
            <w:vAlign w:val="bottom"/>
          </w:tcPr>
          <w:p w:rsidR="009C7E99" w:rsidRPr="009552FD" w:rsidRDefault="009C7E99" w:rsidP="009C7E99">
            <w:pPr>
              <w:widowControl w:val="0"/>
              <w:spacing w:after="0" w:line="240" w:lineRule="auto"/>
              <w:ind w:firstLine="420"/>
              <w:rPr>
                <w:rFonts w:eastAsia="Times New Roman" w:cs="Times New Roman"/>
                <w:sz w:val="24"/>
                <w:szCs w:val="24"/>
                <w:lang w:bidi="en-US"/>
              </w:rPr>
            </w:pPr>
            <w:r w:rsidRPr="009552FD">
              <w:rPr>
                <w:rFonts w:eastAsia="Times New Roman" w:cs="Times New Roman"/>
                <w:b/>
                <w:bCs/>
                <w:sz w:val="24"/>
                <w:szCs w:val="24"/>
                <w:lang w:bidi="en-US"/>
              </w:rPr>
              <w:t>2010</w:t>
            </w:r>
          </w:p>
        </w:tc>
        <w:tc>
          <w:tcPr>
            <w:tcW w:w="2510" w:type="dxa"/>
            <w:tcBorders>
              <w:top w:val="single" w:sz="4" w:space="0" w:color="auto"/>
              <w:left w:val="single" w:sz="4" w:space="0" w:color="auto"/>
            </w:tcBorders>
            <w:shd w:val="clear" w:color="auto" w:fill="auto"/>
            <w:vAlign w:val="bottom"/>
          </w:tcPr>
          <w:p w:rsidR="009C7E99" w:rsidRPr="009552FD" w:rsidRDefault="009C7E99" w:rsidP="009C7E99">
            <w:pPr>
              <w:widowControl w:val="0"/>
              <w:spacing w:after="0" w:line="240" w:lineRule="auto"/>
              <w:ind w:left="1760"/>
              <w:rPr>
                <w:rFonts w:eastAsia="Times New Roman" w:cs="Times New Roman"/>
                <w:sz w:val="24"/>
                <w:szCs w:val="24"/>
                <w:lang w:bidi="en-US"/>
              </w:rPr>
            </w:pPr>
            <w:r w:rsidRPr="009552FD">
              <w:rPr>
                <w:rFonts w:eastAsia="Times New Roman" w:cs="Times New Roman"/>
                <w:sz w:val="24"/>
                <w:szCs w:val="24"/>
                <w:lang w:bidi="en-US"/>
              </w:rPr>
              <w:t>25 688</w:t>
            </w:r>
          </w:p>
        </w:tc>
        <w:tc>
          <w:tcPr>
            <w:tcW w:w="2798" w:type="dxa"/>
            <w:tcBorders>
              <w:top w:val="single" w:sz="4" w:space="0" w:color="auto"/>
              <w:left w:val="single" w:sz="4" w:space="0" w:color="auto"/>
            </w:tcBorders>
            <w:shd w:val="clear" w:color="auto" w:fill="auto"/>
            <w:vAlign w:val="bottom"/>
          </w:tcPr>
          <w:p w:rsidR="009C7E99" w:rsidRPr="009552FD" w:rsidRDefault="009C7E99" w:rsidP="009C7E99">
            <w:pPr>
              <w:widowControl w:val="0"/>
              <w:spacing w:after="0" w:line="240" w:lineRule="auto"/>
              <w:jc w:val="right"/>
              <w:rPr>
                <w:rFonts w:eastAsia="Times New Roman" w:cs="Times New Roman"/>
                <w:sz w:val="24"/>
                <w:szCs w:val="24"/>
                <w:lang w:bidi="en-US"/>
              </w:rPr>
            </w:pPr>
            <w:r w:rsidRPr="009552FD">
              <w:rPr>
                <w:rFonts w:eastAsia="Times New Roman" w:cs="Times New Roman"/>
                <w:sz w:val="24"/>
                <w:szCs w:val="24"/>
                <w:lang w:bidi="en-US"/>
              </w:rPr>
              <w:t>23 060</w:t>
            </w:r>
          </w:p>
        </w:tc>
        <w:tc>
          <w:tcPr>
            <w:tcW w:w="2563" w:type="dxa"/>
            <w:tcBorders>
              <w:top w:val="single" w:sz="4" w:space="0" w:color="auto"/>
              <w:left w:val="single" w:sz="4" w:space="0" w:color="auto"/>
              <w:right w:val="single" w:sz="4" w:space="0" w:color="auto"/>
            </w:tcBorders>
            <w:shd w:val="clear" w:color="auto" w:fill="auto"/>
            <w:vAlign w:val="bottom"/>
          </w:tcPr>
          <w:p w:rsidR="009C7E99" w:rsidRPr="009552FD" w:rsidRDefault="009C7E99" w:rsidP="009C7E99">
            <w:pPr>
              <w:widowControl w:val="0"/>
              <w:spacing w:after="0" w:line="240" w:lineRule="auto"/>
              <w:ind w:left="1740"/>
              <w:rPr>
                <w:rFonts w:eastAsia="Times New Roman" w:cs="Times New Roman"/>
                <w:sz w:val="24"/>
                <w:szCs w:val="24"/>
                <w:lang w:bidi="en-US"/>
              </w:rPr>
            </w:pPr>
            <w:r w:rsidRPr="009552FD">
              <w:rPr>
                <w:rFonts w:eastAsia="Times New Roman" w:cs="Times New Roman"/>
                <w:sz w:val="24"/>
                <w:szCs w:val="24"/>
                <w:lang w:bidi="en-US"/>
              </w:rPr>
              <w:t>89,77%</w:t>
            </w:r>
          </w:p>
        </w:tc>
      </w:tr>
      <w:tr w:rsidR="009C7E99" w:rsidRPr="009552FD" w:rsidTr="004E1166">
        <w:trPr>
          <w:trHeight w:hRule="exact" w:val="288"/>
          <w:jc w:val="center"/>
        </w:trPr>
        <w:tc>
          <w:tcPr>
            <w:tcW w:w="994" w:type="dxa"/>
            <w:tcBorders>
              <w:top w:val="single" w:sz="4" w:space="0" w:color="auto"/>
              <w:left w:val="single" w:sz="4" w:space="0" w:color="auto"/>
            </w:tcBorders>
            <w:shd w:val="clear" w:color="auto" w:fill="FFFFFF"/>
            <w:vAlign w:val="bottom"/>
          </w:tcPr>
          <w:p w:rsidR="009C7E99" w:rsidRPr="009552FD" w:rsidRDefault="009C7E99" w:rsidP="009C7E99">
            <w:pPr>
              <w:widowControl w:val="0"/>
              <w:spacing w:after="0" w:line="240" w:lineRule="auto"/>
              <w:ind w:firstLine="420"/>
              <w:rPr>
                <w:rFonts w:eastAsia="Times New Roman" w:cs="Times New Roman"/>
                <w:sz w:val="24"/>
                <w:szCs w:val="24"/>
                <w:lang w:bidi="en-US"/>
              </w:rPr>
            </w:pPr>
            <w:r w:rsidRPr="009552FD">
              <w:rPr>
                <w:rFonts w:eastAsia="Times New Roman" w:cs="Times New Roman"/>
                <w:b/>
                <w:bCs/>
                <w:sz w:val="24"/>
                <w:szCs w:val="24"/>
                <w:lang w:bidi="en-US"/>
              </w:rPr>
              <w:t>2011</w:t>
            </w:r>
          </w:p>
        </w:tc>
        <w:tc>
          <w:tcPr>
            <w:tcW w:w="2510" w:type="dxa"/>
            <w:tcBorders>
              <w:top w:val="single" w:sz="4" w:space="0" w:color="auto"/>
              <w:left w:val="single" w:sz="4" w:space="0" w:color="auto"/>
            </w:tcBorders>
            <w:shd w:val="clear" w:color="auto" w:fill="auto"/>
            <w:vAlign w:val="bottom"/>
          </w:tcPr>
          <w:p w:rsidR="009C7E99" w:rsidRPr="009552FD" w:rsidRDefault="009C7E99" w:rsidP="009C7E99">
            <w:pPr>
              <w:widowControl w:val="0"/>
              <w:spacing w:after="0" w:line="240" w:lineRule="auto"/>
              <w:ind w:left="1760"/>
              <w:rPr>
                <w:rFonts w:eastAsia="Times New Roman" w:cs="Times New Roman"/>
                <w:sz w:val="24"/>
                <w:szCs w:val="24"/>
                <w:lang w:bidi="en-US"/>
              </w:rPr>
            </w:pPr>
            <w:r w:rsidRPr="009552FD">
              <w:rPr>
                <w:rFonts w:eastAsia="Times New Roman" w:cs="Times New Roman"/>
                <w:sz w:val="24"/>
                <w:szCs w:val="24"/>
                <w:lang w:bidi="en-US"/>
              </w:rPr>
              <w:t>25 452</w:t>
            </w:r>
          </w:p>
        </w:tc>
        <w:tc>
          <w:tcPr>
            <w:tcW w:w="2798" w:type="dxa"/>
            <w:tcBorders>
              <w:top w:val="single" w:sz="4" w:space="0" w:color="auto"/>
              <w:left w:val="single" w:sz="4" w:space="0" w:color="auto"/>
            </w:tcBorders>
            <w:shd w:val="clear" w:color="auto" w:fill="auto"/>
            <w:vAlign w:val="bottom"/>
          </w:tcPr>
          <w:p w:rsidR="009C7E99" w:rsidRPr="009552FD" w:rsidRDefault="009C7E99" w:rsidP="009C7E99">
            <w:pPr>
              <w:widowControl w:val="0"/>
              <w:spacing w:after="0" w:line="240" w:lineRule="auto"/>
              <w:jc w:val="right"/>
              <w:rPr>
                <w:rFonts w:eastAsia="Times New Roman" w:cs="Times New Roman"/>
                <w:sz w:val="24"/>
                <w:szCs w:val="24"/>
                <w:lang w:bidi="en-US"/>
              </w:rPr>
            </w:pPr>
            <w:r w:rsidRPr="009552FD">
              <w:rPr>
                <w:rFonts w:eastAsia="Times New Roman" w:cs="Times New Roman"/>
                <w:sz w:val="24"/>
                <w:szCs w:val="24"/>
                <w:lang w:bidi="en-US"/>
              </w:rPr>
              <w:t>22 748</w:t>
            </w:r>
          </w:p>
        </w:tc>
        <w:tc>
          <w:tcPr>
            <w:tcW w:w="2563" w:type="dxa"/>
            <w:tcBorders>
              <w:top w:val="single" w:sz="4" w:space="0" w:color="auto"/>
              <w:left w:val="single" w:sz="4" w:space="0" w:color="auto"/>
              <w:right w:val="single" w:sz="4" w:space="0" w:color="auto"/>
            </w:tcBorders>
            <w:shd w:val="clear" w:color="auto" w:fill="auto"/>
            <w:vAlign w:val="bottom"/>
          </w:tcPr>
          <w:p w:rsidR="009C7E99" w:rsidRPr="009552FD" w:rsidRDefault="009C7E99" w:rsidP="009C7E99">
            <w:pPr>
              <w:widowControl w:val="0"/>
              <w:spacing w:after="0" w:line="240" w:lineRule="auto"/>
              <w:ind w:left="1740"/>
              <w:rPr>
                <w:rFonts w:eastAsia="Times New Roman" w:cs="Times New Roman"/>
                <w:sz w:val="24"/>
                <w:szCs w:val="24"/>
                <w:lang w:bidi="en-US"/>
              </w:rPr>
            </w:pPr>
            <w:r w:rsidRPr="009552FD">
              <w:rPr>
                <w:rFonts w:eastAsia="Times New Roman" w:cs="Times New Roman"/>
                <w:sz w:val="24"/>
                <w:szCs w:val="24"/>
                <w:lang w:bidi="en-US"/>
              </w:rPr>
              <w:t>89,37%</w:t>
            </w:r>
          </w:p>
        </w:tc>
      </w:tr>
      <w:tr w:rsidR="009C7E99" w:rsidRPr="009552FD" w:rsidTr="004E1166">
        <w:trPr>
          <w:trHeight w:hRule="exact" w:val="288"/>
          <w:jc w:val="center"/>
        </w:trPr>
        <w:tc>
          <w:tcPr>
            <w:tcW w:w="994" w:type="dxa"/>
            <w:tcBorders>
              <w:top w:val="single" w:sz="4" w:space="0" w:color="auto"/>
              <w:left w:val="single" w:sz="4" w:space="0" w:color="auto"/>
            </w:tcBorders>
            <w:shd w:val="clear" w:color="auto" w:fill="FFFFFF"/>
            <w:vAlign w:val="bottom"/>
          </w:tcPr>
          <w:p w:rsidR="009C7E99" w:rsidRPr="009552FD" w:rsidRDefault="009C7E99" w:rsidP="009C7E99">
            <w:pPr>
              <w:widowControl w:val="0"/>
              <w:spacing w:after="0" w:line="240" w:lineRule="auto"/>
              <w:ind w:firstLine="420"/>
              <w:rPr>
                <w:rFonts w:eastAsia="Times New Roman" w:cs="Times New Roman"/>
                <w:sz w:val="24"/>
                <w:szCs w:val="24"/>
                <w:lang w:bidi="en-US"/>
              </w:rPr>
            </w:pPr>
            <w:r w:rsidRPr="009552FD">
              <w:rPr>
                <w:rFonts w:eastAsia="Times New Roman" w:cs="Times New Roman"/>
                <w:b/>
                <w:bCs/>
                <w:sz w:val="24"/>
                <w:szCs w:val="24"/>
                <w:lang w:bidi="en-US"/>
              </w:rPr>
              <w:t>2012</w:t>
            </w:r>
          </w:p>
        </w:tc>
        <w:tc>
          <w:tcPr>
            <w:tcW w:w="2510" w:type="dxa"/>
            <w:tcBorders>
              <w:top w:val="single" w:sz="4" w:space="0" w:color="auto"/>
              <w:left w:val="single" w:sz="4" w:space="0" w:color="auto"/>
            </w:tcBorders>
            <w:shd w:val="clear" w:color="auto" w:fill="auto"/>
            <w:vAlign w:val="bottom"/>
          </w:tcPr>
          <w:p w:rsidR="009C7E99" w:rsidRPr="009552FD" w:rsidRDefault="009C7E99" w:rsidP="009C7E99">
            <w:pPr>
              <w:widowControl w:val="0"/>
              <w:spacing w:after="0" w:line="240" w:lineRule="auto"/>
              <w:ind w:left="1760"/>
              <w:rPr>
                <w:rFonts w:eastAsia="Times New Roman" w:cs="Times New Roman"/>
                <w:sz w:val="24"/>
                <w:szCs w:val="24"/>
                <w:lang w:bidi="en-US"/>
              </w:rPr>
            </w:pPr>
            <w:r w:rsidRPr="009552FD">
              <w:rPr>
                <w:rFonts w:eastAsia="Times New Roman" w:cs="Times New Roman"/>
                <w:sz w:val="24"/>
                <w:szCs w:val="24"/>
                <w:lang w:bidi="en-US"/>
              </w:rPr>
              <w:t>22 330</w:t>
            </w:r>
          </w:p>
        </w:tc>
        <w:tc>
          <w:tcPr>
            <w:tcW w:w="2798" w:type="dxa"/>
            <w:tcBorders>
              <w:top w:val="single" w:sz="4" w:space="0" w:color="auto"/>
              <w:left w:val="single" w:sz="4" w:space="0" w:color="auto"/>
            </w:tcBorders>
            <w:shd w:val="clear" w:color="auto" w:fill="auto"/>
            <w:vAlign w:val="bottom"/>
          </w:tcPr>
          <w:p w:rsidR="009C7E99" w:rsidRPr="009552FD" w:rsidRDefault="009C7E99" w:rsidP="009C7E99">
            <w:pPr>
              <w:widowControl w:val="0"/>
              <w:spacing w:after="0" w:line="240" w:lineRule="auto"/>
              <w:jc w:val="right"/>
              <w:rPr>
                <w:rFonts w:eastAsia="Times New Roman" w:cs="Times New Roman"/>
                <w:sz w:val="24"/>
                <w:szCs w:val="24"/>
                <w:lang w:bidi="en-US"/>
              </w:rPr>
            </w:pPr>
            <w:r w:rsidRPr="009552FD">
              <w:rPr>
                <w:rFonts w:eastAsia="Times New Roman" w:cs="Times New Roman"/>
                <w:sz w:val="24"/>
                <w:szCs w:val="24"/>
                <w:lang w:bidi="en-US"/>
              </w:rPr>
              <w:t>19 786</w:t>
            </w:r>
          </w:p>
        </w:tc>
        <w:tc>
          <w:tcPr>
            <w:tcW w:w="2563" w:type="dxa"/>
            <w:tcBorders>
              <w:top w:val="single" w:sz="4" w:space="0" w:color="auto"/>
              <w:left w:val="single" w:sz="4" w:space="0" w:color="auto"/>
              <w:right w:val="single" w:sz="4" w:space="0" w:color="auto"/>
            </w:tcBorders>
            <w:shd w:val="clear" w:color="auto" w:fill="auto"/>
            <w:vAlign w:val="bottom"/>
          </w:tcPr>
          <w:p w:rsidR="009C7E99" w:rsidRPr="009552FD" w:rsidRDefault="009C7E99" w:rsidP="009C7E99">
            <w:pPr>
              <w:widowControl w:val="0"/>
              <w:spacing w:after="0" w:line="240" w:lineRule="auto"/>
              <w:ind w:left="1740"/>
              <w:rPr>
                <w:rFonts w:eastAsia="Times New Roman" w:cs="Times New Roman"/>
                <w:sz w:val="24"/>
                <w:szCs w:val="24"/>
                <w:lang w:bidi="en-US"/>
              </w:rPr>
            </w:pPr>
            <w:r w:rsidRPr="009552FD">
              <w:rPr>
                <w:rFonts w:eastAsia="Times New Roman" w:cs="Times New Roman"/>
                <w:sz w:val="24"/>
                <w:szCs w:val="24"/>
                <w:lang w:bidi="en-US"/>
              </w:rPr>
              <w:t>88,60%</w:t>
            </w:r>
          </w:p>
        </w:tc>
      </w:tr>
      <w:tr w:rsidR="009C7E99" w:rsidRPr="009552FD" w:rsidTr="004E1166">
        <w:trPr>
          <w:trHeight w:hRule="exact" w:val="293"/>
          <w:jc w:val="center"/>
        </w:trPr>
        <w:tc>
          <w:tcPr>
            <w:tcW w:w="994" w:type="dxa"/>
            <w:tcBorders>
              <w:top w:val="single" w:sz="4" w:space="0" w:color="auto"/>
              <w:left w:val="single" w:sz="4" w:space="0" w:color="auto"/>
            </w:tcBorders>
            <w:shd w:val="clear" w:color="auto" w:fill="FFFFFF"/>
            <w:vAlign w:val="bottom"/>
          </w:tcPr>
          <w:p w:rsidR="009C7E99" w:rsidRPr="009552FD" w:rsidRDefault="009C7E99" w:rsidP="009C7E99">
            <w:pPr>
              <w:widowControl w:val="0"/>
              <w:spacing w:after="0" w:line="240" w:lineRule="auto"/>
              <w:ind w:firstLine="420"/>
              <w:rPr>
                <w:rFonts w:eastAsia="Times New Roman" w:cs="Times New Roman"/>
                <w:sz w:val="24"/>
                <w:szCs w:val="24"/>
                <w:lang w:bidi="en-US"/>
              </w:rPr>
            </w:pPr>
            <w:r w:rsidRPr="009552FD">
              <w:rPr>
                <w:rFonts w:eastAsia="Times New Roman" w:cs="Times New Roman"/>
                <w:b/>
                <w:bCs/>
                <w:sz w:val="24"/>
                <w:szCs w:val="24"/>
                <w:lang w:bidi="en-US"/>
              </w:rPr>
              <w:t>2013</w:t>
            </w:r>
          </w:p>
        </w:tc>
        <w:tc>
          <w:tcPr>
            <w:tcW w:w="2510" w:type="dxa"/>
            <w:tcBorders>
              <w:top w:val="single" w:sz="4" w:space="0" w:color="auto"/>
              <w:left w:val="single" w:sz="4" w:space="0" w:color="auto"/>
            </w:tcBorders>
            <w:shd w:val="clear" w:color="auto" w:fill="auto"/>
            <w:vAlign w:val="bottom"/>
          </w:tcPr>
          <w:p w:rsidR="009C7E99" w:rsidRPr="009552FD" w:rsidRDefault="009C7E99" w:rsidP="009C7E99">
            <w:pPr>
              <w:widowControl w:val="0"/>
              <w:spacing w:after="0" w:line="240" w:lineRule="auto"/>
              <w:ind w:left="1760"/>
              <w:rPr>
                <w:rFonts w:eastAsia="Times New Roman" w:cs="Times New Roman"/>
                <w:sz w:val="24"/>
                <w:szCs w:val="24"/>
                <w:lang w:bidi="en-US"/>
              </w:rPr>
            </w:pPr>
            <w:r w:rsidRPr="009552FD">
              <w:rPr>
                <w:rFonts w:eastAsia="Times New Roman" w:cs="Times New Roman"/>
                <w:sz w:val="24"/>
                <w:szCs w:val="24"/>
                <w:lang w:bidi="en-US"/>
              </w:rPr>
              <w:t>19 410</w:t>
            </w:r>
          </w:p>
        </w:tc>
        <w:tc>
          <w:tcPr>
            <w:tcW w:w="2798" w:type="dxa"/>
            <w:tcBorders>
              <w:top w:val="single" w:sz="4" w:space="0" w:color="auto"/>
              <w:left w:val="single" w:sz="4" w:space="0" w:color="auto"/>
            </w:tcBorders>
            <w:shd w:val="clear" w:color="auto" w:fill="auto"/>
            <w:vAlign w:val="bottom"/>
          </w:tcPr>
          <w:p w:rsidR="009C7E99" w:rsidRPr="009552FD" w:rsidRDefault="009C7E99" w:rsidP="009C7E99">
            <w:pPr>
              <w:widowControl w:val="0"/>
              <w:spacing w:after="0" w:line="240" w:lineRule="auto"/>
              <w:jc w:val="right"/>
              <w:rPr>
                <w:rFonts w:eastAsia="Times New Roman" w:cs="Times New Roman"/>
                <w:sz w:val="24"/>
                <w:szCs w:val="24"/>
                <w:lang w:bidi="en-US"/>
              </w:rPr>
            </w:pPr>
            <w:r w:rsidRPr="009552FD">
              <w:rPr>
                <w:rFonts w:eastAsia="Times New Roman" w:cs="Times New Roman"/>
                <w:sz w:val="24"/>
                <w:szCs w:val="24"/>
                <w:lang w:bidi="en-US"/>
              </w:rPr>
              <w:t>17 490</w:t>
            </w:r>
          </w:p>
        </w:tc>
        <w:tc>
          <w:tcPr>
            <w:tcW w:w="2563" w:type="dxa"/>
            <w:tcBorders>
              <w:top w:val="single" w:sz="4" w:space="0" w:color="auto"/>
              <w:left w:val="single" w:sz="4" w:space="0" w:color="auto"/>
              <w:right w:val="single" w:sz="4" w:space="0" w:color="auto"/>
            </w:tcBorders>
            <w:shd w:val="clear" w:color="auto" w:fill="auto"/>
            <w:vAlign w:val="bottom"/>
          </w:tcPr>
          <w:p w:rsidR="009C7E99" w:rsidRPr="009552FD" w:rsidRDefault="009C7E99" w:rsidP="009C7E99">
            <w:pPr>
              <w:widowControl w:val="0"/>
              <w:spacing w:after="0" w:line="240" w:lineRule="auto"/>
              <w:ind w:left="1740"/>
              <w:rPr>
                <w:rFonts w:eastAsia="Times New Roman" w:cs="Times New Roman"/>
                <w:sz w:val="24"/>
                <w:szCs w:val="24"/>
                <w:lang w:bidi="en-US"/>
              </w:rPr>
            </w:pPr>
            <w:r w:rsidRPr="009552FD">
              <w:rPr>
                <w:rFonts w:eastAsia="Times New Roman" w:cs="Times New Roman"/>
                <w:sz w:val="24"/>
                <w:szCs w:val="24"/>
                <w:lang w:bidi="en-US"/>
              </w:rPr>
              <w:t>90,11%</w:t>
            </w:r>
          </w:p>
        </w:tc>
      </w:tr>
      <w:tr w:rsidR="009C7E99" w:rsidRPr="009552FD" w:rsidTr="004E1166">
        <w:trPr>
          <w:trHeight w:hRule="exact" w:val="288"/>
          <w:jc w:val="center"/>
        </w:trPr>
        <w:tc>
          <w:tcPr>
            <w:tcW w:w="994" w:type="dxa"/>
            <w:tcBorders>
              <w:top w:val="single" w:sz="4" w:space="0" w:color="auto"/>
              <w:left w:val="single" w:sz="4" w:space="0" w:color="auto"/>
            </w:tcBorders>
            <w:shd w:val="clear" w:color="auto" w:fill="FFFFFF"/>
            <w:vAlign w:val="bottom"/>
          </w:tcPr>
          <w:p w:rsidR="009C7E99" w:rsidRPr="009552FD" w:rsidRDefault="009C7E99" w:rsidP="009C7E99">
            <w:pPr>
              <w:widowControl w:val="0"/>
              <w:spacing w:after="0" w:line="240" w:lineRule="auto"/>
              <w:ind w:firstLine="420"/>
              <w:rPr>
                <w:rFonts w:eastAsia="Times New Roman" w:cs="Times New Roman"/>
                <w:sz w:val="24"/>
                <w:szCs w:val="24"/>
                <w:lang w:bidi="en-US"/>
              </w:rPr>
            </w:pPr>
            <w:r w:rsidRPr="009552FD">
              <w:rPr>
                <w:rFonts w:eastAsia="Times New Roman" w:cs="Times New Roman"/>
                <w:b/>
                <w:bCs/>
                <w:sz w:val="24"/>
                <w:szCs w:val="24"/>
                <w:lang w:bidi="en-US"/>
              </w:rPr>
              <w:t>2014</w:t>
            </w:r>
          </w:p>
        </w:tc>
        <w:tc>
          <w:tcPr>
            <w:tcW w:w="2510" w:type="dxa"/>
            <w:tcBorders>
              <w:top w:val="single" w:sz="4" w:space="0" w:color="auto"/>
              <w:left w:val="single" w:sz="4" w:space="0" w:color="auto"/>
            </w:tcBorders>
            <w:shd w:val="clear" w:color="auto" w:fill="auto"/>
            <w:vAlign w:val="bottom"/>
          </w:tcPr>
          <w:p w:rsidR="009C7E99" w:rsidRPr="009552FD" w:rsidRDefault="009C7E99" w:rsidP="009C7E99">
            <w:pPr>
              <w:widowControl w:val="0"/>
              <w:spacing w:after="0" w:line="240" w:lineRule="auto"/>
              <w:ind w:left="1760"/>
              <w:rPr>
                <w:rFonts w:eastAsia="Times New Roman" w:cs="Times New Roman"/>
                <w:sz w:val="24"/>
                <w:szCs w:val="24"/>
                <w:lang w:bidi="en-US"/>
              </w:rPr>
            </w:pPr>
            <w:r w:rsidRPr="009552FD">
              <w:rPr>
                <w:rFonts w:eastAsia="Times New Roman" w:cs="Times New Roman"/>
                <w:sz w:val="24"/>
                <w:szCs w:val="24"/>
                <w:lang w:bidi="en-US"/>
              </w:rPr>
              <w:t>18 835</w:t>
            </w:r>
          </w:p>
        </w:tc>
        <w:tc>
          <w:tcPr>
            <w:tcW w:w="2798" w:type="dxa"/>
            <w:tcBorders>
              <w:top w:val="single" w:sz="4" w:space="0" w:color="auto"/>
              <w:left w:val="single" w:sz="4" w:space="0" w:color="auto"/>
            </w:tcBorders>
            <w:shd w:val="clear" w:color="auto" w:fill="auto"/>
            <w:vAlign w:val="bottom"/>
          </w:tcPr>
          <w:p w:rsidR="009C7E99" w:rsidRPr="009552FD" w:rsidRDefault="009C7E99" w:rsidP="009C7E99">
            <w:pPr>
              <w:widowControl w:val="0"/>
              <w:spacing w:after="0" w:line="240" w:lineRule="auto"/>
              <w:jc w:val="right"/>
              <w:rPr>
                <w:rFonts w:eastAsia="Times New Roman" w:cs="Times New Roman"/>
                <w:sz w:val="24"/>
                <w:szCs w:val="24"/>
                <w:lang w:bidi="en-US"/>
              </w:rPr>
            </w:pPr>
            <w:r w:rsidRPr="009552FD">
              <w:rPr>
                <w:rFonts w:eastAsia="Times New Roman" w:cs="Times New Roman"/>
                <w:sz w:val="24"/>
                <w:szCs w:val="24"/>
                <w:lang w:bidi="en-US"/>
              </w:rPr>
              <w:t>17 231</w:t>
            </w:r>
          </w:p>
        </w:tc>
        <w:tc>
          <w:tcPr>
            <w:tcW w:w="2563" w:type="dxa"/>
            <w:tcBorders>
              <w:top w:val="single" w:sz="4" w:space="0" w:color="auto"/>
              <w:left w:val="single" w:sz="4" w:space="0" w:color="auto"/>
              <w:right w:val="single" w:sz="4" w:space="0" w:color="auto"/>
            </w:tcBorders>
            <w:shd w:val="clear" w:color="auto" w:fill="auto"/>
            <w:vAlign w:val="bottom"/>
          </w:tcPr>
          <w:p w:rsidR="009C7E99" w:rsidRPr="009552FD" w:rsidRDefault="009C7E99" w:rsidP="009C7E99">
            <w:pPr>
              <w:widowControl w:val="0"/>
              <w:spacing w:after="0" w:line="240" w:lineRule="auto"/>
              <w:ind w:left="1740"/>
              <w:rPr>
                <w:rFonts w:eastAsia="Times New Roman" w:cs="Times New Roman"/>
                <w:sz w:val="24"/>
                <w:szCs w:val="24"/>
                <w:lang w:bidi="en-US"/>
              </w:rPr>
            </w:pPr>
            <w:r w:rsidRPr="009552FD">
              <w:rPr>
                <w:rFonts w:eastAsia="Times New Roman" w:cs="Times New Roman"/>
                <w:sz w:val="24"/>
                <w:szCs w:val="24"/>
                <w:lang w:bidi="en-US"/>
              </w:rPr>
              <w:t>91,48%</w:t>
            </w:r>
          </w:p>
        </w:tc>
      </w:tr>
      <w:tr w:rsidR="009C7E99" w:rsidRPr="009552FD" w:rsidTr="004E1166">
        <w:trPr>
          <w:trHeight w:hRule="exact" w:val="283"/>
          <w:jc w:val="center"/>
        </w:trPr>
        <w:tc>
          <w:tcPr>
            <w:tcW w:w="994" w:type="dxa"/>
            <w:tcBorders>
              <w:top w:val="single" w:sz="4" w:space="0" w:color="auto"/>
              <w:left w:val="single" w:sz="4" w:space="0" w:color="auto"/>
            </w:tcBorders>
            <w:shd w:val="clear" w:color="auto" w:fill="FFFFFF"/>
            <w:vAlign w:val="bottom"/>
          </w:tcPr>
          <w:p w:rsidR="009C7E99" w:rsidRPr="009552FD" w:rsidRDefault="009C7E99" w:rsidP="009C7E99">
            <w:pPr>
              <w:widowControl w:val="0"/>
              <w:spacing w:after="0" w:line="240" w:lineRule="auto"/>
              <w:ind w:firstLine="420"/>
              <w:rPr>
                <w:rFonts w:eastAsia="Times New Roman" w:cs="Times New Roman"/>
                <w:sz w:val="24"/>
                <w:szCs w:val="24"/>
                <w:lang w:bidi="en-US"/>
              </w:rPr>
            </w:pPr>
            <w:r w:rsidRPr="009552FD">
              <w:rPr>
                <w:rFonts w:eastAsia="Times New Roman" w:cs="Times New Roman"/>
                <w:b/>
                <w:bCs/>
                <w:sz w:val="24"/>
                <w:szCs w:val="24"/>
                <w:lang w:bidi="en-US"/>
              </w:rPr>
              <w:t>2015</w:t>
            </w:r>
          </w:p>
        </w:tc>
        <w:tc>
          <w:tcPr>
            <w:tcW w:w="2510" w:type="dxa"/>
            <w:tcBorders>
              <w:top w:val="single" w:sz="4" w:space="0" w:color="auto"/>
              <w:left w:val="single" w:sz="4" w:space="0" w:color="auto"/>
            </w:tcBorders>
            <w:shd w:val="clear" w:color="auto" w:fill="auto"/>
            <w:vAlign w:val="bottom"/>
          </w:tcPr>
          <w:p w:rsidR="009C7E99" w:rsidRPr="009552FD" w:rsidRDefault="009C7E99" w:rsidP="009C7E99">
            <w:pPr>
              <w:widowControl w:val="0"/>
              <w:spacing w:after="0" w:line="240" w:lineRule="auto"/>
              <w:ind w:left="1760"/>
              <w:rPr>
                <w:rFonts w:eastAsia="Times New Roman" w:cs="Times New Roman"/>
                <w:sz w:val="24"/>
                <w:szCs w:val="24"/>
                <w:lang w:bidi="en-US"/>
              </w:rPr>
            </w:pPr>
            <w:r w:rsidRPr="009552FD">
              <w:rPr>
                <w:rFonts w:eastAsia="Times New Roman" w:cs="Times New Roman"/>
                <w:sz w:val="24"/>
                <w:szCs w:val="24"/>
                <w:lang w:bidi="en-US"/>
              </w:rPr>
              <w:t>13 665</w:t>
            </w:r>
          </w:p>
        </w:tc>
        <w:tc>
          <w:tcPr>
            <w:tcW w:w="2798" w:type="dxa"/>
            <w:tcBorders>
              <w:top w:val="single" w:sz="4" w:space="0" w:color="auto"/>
              <w:left w:val="single" w:sz="4" w:space="0" w:color="auto"/>
            </w:tcBorders>
            <w:shd w:val="clear" w:color="auto" w:fill="auto"/>
            <w:vAlign w:val="bottom"/>
          </w:tcPr>
          <w:p w:rsidR="009C7E99" w:rsidRPr="009552FD" w:rsidRDefault="009C7E99" w:rsidP="009C7E99">
            <w:pPr>
              <w:widowControl w:val="0"/>
              <w:spacing w:after="0" w:line="240" w:lineRule="auto"/>
              <w:jc w:val="right"/>
              <w:rPr>
                <w:rFonts w:eastAsia="Times New Roman" w:cs="Times New Roman"/>
                <w:sz w:val="24"/>
                <w:szCs w:val="24"/>
                <w:lang w:bidi="en-US"/>
              </w:rPr>
            </w:pPr>
            <w:r w:rsidRPr="009552FD">
              <w:rPr>
                <w:rFonts w:eastAsia="Times New Roman" w:cs="Times New Roman"/>
                <w:sz w:val="24"/>
                <w:szCs w:val="24"/>
                <w:lang w:bidi="en-US"/>
              </w:rPr>
              <w:t>12 580</w:t>
            </w:r>
          </w:p>
        </w:tc>
        <w:tc>
          <w:tcPr>
            <w:tcW w:w="2563" w:type="dxa"/>
            <w:tcBorders>
              <w:top w:val="single" w:sz="4" w:space="0" w:color="auto"/>
              <w:left w:val="single" w:sz="4" w:space="0" w:color="auto"/>
              <w:right w:val="single" w:sz="4" w:space="0" w:color="auto"/>
            </w:tcBorders>
            <w:shd w:val="clear" w:color="auto" w:fill="auto"/>
            <w:vAlign w:val="bottom"/>
          </w:tcPr>
          <w:p w:rsidR="009C7E99" w:rsidRPr="009552FD" w:rsidRDefault="009C7E99" w:rsidP="009C7E99">
            <w:pPr>
              <w:widowControl w:val="0"/>
              <w:spacing w:after="0" w:line="240" w:lineRule="auto"/>
              <w:ind w:left="1740"/>
              <w:rPr>
                <w:rFonts w:eastAsia="Times New Roman" w:cs="Times New Roman"/>
                <w:sz w:val="24"/>
                <w:szCs w:val="24"/>
                <w:lang w:bidi="en-US"/>
              </w:rPr>
            </w:pPr>
            <w:r w:rsidRPr="009552FD">
              <w:rPr>
                <w:rFonts w:eastAsia="Times New Roman" w:cs="Times New Roman"/>
                <w:sz w:val="24"/>
                <w:szCs w:val="24"/>
                <w:lang w:bidi="en-US"/>
              </w:rPr>
              <w:t>92,06%</w:t>
            </w:r>
          </w:p>
        </w:tc>
      </w:tr>
      <w:tr w:rsidR="009C7E99" w:rsidRPr="009552FD" w:rsidTr="004E1166">
        <w:trPr>
          <w:trHeight w:hRule="exact" w:val="298"/>
          <w:jc w:val="center"/>
        </w:trPr>
        <w:tc>
          <w:tcPr>
            <w:tcW w:w="994" w:type="dxa"/>
            <w:tcBorders>
              <w:top w:val="single" w:sz="4" w:space="0" w:color="auto"/>
              <w:left w:val="single" w:sz="4" w:space="0" w:color="auto"/>
            </w:tcBorders>
            <w:shd w:val="clear" w:color="auto" w:fill="FFFFFF"/>
            <w:vAlign w:val="bottom"/>
          </w:tcPr>
          <w:p w:rsidR="009C7E99" w:rsidRPr="009552FD" w:rsidRDefault="009C7E99" w:rsidP="009C7E99">
            <w:pPr>
              <w:widowControl w:val="0"/>
              <w:spacing w:after="0" w:line="240" w:lineRule="auto"/>
              <w:ind w:firstLine="420"/>
              <w:rPr>
                <w:rFonts w:eastAsia="Times New Roman" w:cs="Times New Roman"/>
                <w:sz w:val="24"/>
                <w:szCs w:val="24"/>
                <w:lang w:bidi="en-US"/>
              </w:rPr>
            </w:pPr>
            <w:r w:rsidRPr="009552FD">
              <w:rPr>
                <w:rFonts w:eastAsia="Times New Roman" w:cs="Times New Roman"/>
                <w:b/>
                <w:bCs/>
                <w:sz w:val="24"/>
                <w:szCs w:val="24"/>
                <w:lang w:bidi="en-US"/>
              </w:rPr>
              <w:t>2016</w:t>
            </w:r>
          </w:p>
        </w:tc>
        <w:tc>
          <w:tcPr>
            <w:tcW w:w="2510" w:type="dxa"/>
            <w:tcBorders>
              <w:top w:val="single" w:sz="4" w:space="0" w:color="auto"/>
              <w:left w:val="single" w:sz="4" w:space="0" w:color="auto"/>
            </w:tcBorders>
            <w:shd w:val="clear" w:color="auto" w:fill="auto"/>
            <w:vAlign w:val="bottom"/>
          </w:tcPr>
          <w:p w:rsidR="009C7E99" w:rsidRPr="009552FD" w:rsidRDefault="009C7E99" w:rsidP="009C7E99">
            <w:pPr>
              <w:widowControl w:val="0"/>
              <w:spacing w:after="0" w:line="240" w:lineRule="auto"/>
              <w:ind w:left="1760"/>
              <w:rPr>
                <w:rFonts w:eastAsia="Times New Roman" w:cs="Times New Roman"/>
                <w:sz w:val="24"/>
                <w:szCs w:val="24"/>
                <w:lang w:bidi="en-US"/>
              </w:rPr>
            </w:pPr>
            <w:r w:rsidRPr="009552FD">
              <w:rPr>
                <w:rFonts w:eastAsia="Times New Roman" w:cs="Times New Roman"/>
                <w:sz w:val="24"/>
                <w:szCs w:val="24"/>
                <w:lang w:bidi="en-US"/>
              </w:rPr>
              <w:t>15 172</w:t>
            </w:r>
          </w:p>
        </w:tc>
        <w:tc>
          <w:tcPr>
            <w:tcW w:w="2798" w:type="dxa"/>
            <w:tcBorders>
              <w:top w:val="single" w:sz="4" w:space="0" w:color="auto"/>
              <w:left w:val="single" w:sz="4" w:space="0" w:color="auto"/>
            </w:tcBorders>
            <w:shd w:val="clear" w:color="auto" w:fill="auto"/>
            <w:vAlign w:val="bottom"/>
          </w:tcPr>
          <w:p w:rsidR="009C7E99" w:rsidRPr="009552FD" w:rsidRDefault="009C7E99" w:rsidP="009C7E99">
            <w:pPr>
              <w:widowControl w:val="0"/>
              <w:spacing w:after="0" w:line="240" w:lineRule="auto"/>
              <w:jc w:val="right"/>
              <w:rPr>
                <w:rFonts w:eastAsia="Times New Roman" w:cs="Times New Roman"/>
                <w:sz w:val="24"/>
                <w:szCs w:val="24"/>
                <w:lang w:bidi="en-US"/>
              </w:rPr>
            </w:pPr>
            <w:r w:rsidRPr="009552FD">
              <w:rPr>
                <w:rFonts w:eastAsia="Times New Roman" w:cs="Times New Roman"/>
                <w:sz w:val="24"/>
                <w:szCs w:val="24"/>
                <w:lang w:bidi="en-US"/>
              </w:rPr>
              <w:t>13 791</w:t>
            </w:r>
          </w:p>
        </w:tc>
        <w:tc>
          <w:tcPr>
            <w:tcW w:w="2563" w:type="dxa"/>
            <w:tcBorders>
              <w:top w:val="single" w:sz="4" w:space="0" w:color="auto"/>
              <w:left w:val="single" w:sz="4" w:space="0" w:color="auto"/>
              <w:right w:val="single" w:sz="4" w:space="0" w:color="auto"/>
            </w:tcBorders>
            <w:shd w:val="clear" w:color="auto" w:fill="auto"/>
            <w:vAlign w:val="bottom"/>
          </w:tcPr>
          <w:p w:rsidR="009C7E99" w:rsidRPr="009552FD" w:rsidRDefault="009C7E99" w:rsidP="009C7E99">
            <w:pPr>
              <w:widowControl w:val="0"/>
              <w:spacing w:after="0" w:line="240" w:lineRule="auto"/>
              <w:ind w:left="1740"/>
              <w:rPr>
                <w:rFonts w:eastAsia="Times New Roman" w:cs="Times New Roman"/>
                <w:sz w:val="24"/>
                <w:szCs w:val="24"/>
                <w:lang w:bidi="en-US"/>
              </w:rPr>
            </w:pPr>
            <w:r w:rsidRPr="009552FD">
              <w:rPr>
                <w:rFonts w:eastAsia="Times New Roman" w:cs="Times New Roman"/>
                <w:sz w:val="24"/>
                <w:szCs w:val="24"/>
                <w:lang w:bidi="en-US"/>
              </w:rPr>
              <w:t>90,90%</w:t>
            </w:r>
          </w:p>
        </w:tc>
      </w:tr>
      <w:tr w:rsidR="009C7E99" w:rsidRPr="009552FD" w:rsidTr="004E1166">
        <w:trPr>
          <w:trHeight w:hRule="exact" w:val="288"/>
          <w:jc w:val="center"/>
        </w:trPr>
        <w:tc>
          <w:tcPr>
            <w:tcW w:w="994" w:type="dxa"/>
            <w:tcBorders>
              <w:top w:val="single" w:sz="4" w:space="0" w:color="auto"/>
              <w:left w:val="single" w:sz="4" w:space="0" w:color="auto"/>
            </w:tcBorders>
            <w:shd w:val="clear" w:color="auto" w:fill="FFFFFF"/>
            <w:vAlign w:val="bottom"/>
          </w:tcPr>
          <w:p w:rsidR="009C7E99" w:rsidRPr="009552FD" w:rsidRDefault="009C7E99" w:rsidP="009C7E99">
            <w:pPr>
              <w:widowControl w:val="0"/>
              <w:spacing w:after="0" w:line="240" w:lineRule="auto"/>
              <w:ind w:firstLine="420"/>
              <w:rPr>
                <w:rFonts w:eastAsia="Times New Roman" w:cs="Times New Roman"/>
                <w:sz w:val="24"/>
                <w:szCs w:val="24"/>
                <w:lang w:bidi="en-US"/>
              </w:rPr>
            </w:pPr>
            <w:r w:rsidRPr="009552FD">
              <w:rPr>
                <w:rFonts w:eastAsia="Times New Roman" w:cs="Times New Roman"/>
                <w:b/>
                <w:bCs/>
                <w:sz w:val="24"/>
                <w:szCs w:val="24"/>
                <w:lang w:bidi="en-US"/>
              </w:rPr>
              <w:t>2017</w:t>
            </w:r>
          </w:p>
        </w:tc>
        <w:tc>
          <w:tcPr>
            <w:tcW w:w="2510" w:type="dxa"/>
            <w:tcBorders>
              <w:top w:val="single" w:sz="4" w:space="0" w:color="auto"/>
              <w:left w:val="single" w:sz="4" w:space="0" w:color="auto"/>
            </w:tcBorders>
            <w:shd w:val="clear" w:color="auto" w:fill="auto"/>
            <w:vAlign w:val="bottom"/>
          </w:tcPr>
          <w:p w:rsidR="009C7E99" w:rsidRPr="009552FD" w:rsidRDefault="009C7E99" w:rsidP="009C7E99">
            <w:pPr>
              <w:widowControl w:val="0"/>
              <w:spacing w:after="0" w:line="240" w:lineRule="auto"/>
              <w:ind w:left="1760"/>
              <w:rPr>
                <w:rFonts w:eastAsia="Times New Roman" w:cs="Times New Roman"/>
                <w:sz w:val="24"/>
                <w:szCs w:val="24"/>
                <w:lang w:bidi="en-US"/>
              </w:rPr>
            </w:pPr>
            <w:r w:rsidRPr="009552FD">
              <w:rPr>
                <w:rFonts w:eastAsia="Times New Roman" w:cs="Times New Roman"/>
                <w:sz w:val="24"/>
                <w:szCs w:val="24"/>
                <w:lang w:bidi="en-US"/>
              </w:rPr>
              <w:t>18 750</w:t>
            </w:r>
          </w:p>
        </w:tc>
        <w:tc>
          <w:tcPr>
            <w:tcW w:w="2798" w:type="dxa"/>
            <w:tcBorders>
              <w:top w:val="single" w:sz="4" w:space="0" w:color="auto"/>
              <w:left w:val="single" w:sz="4" w:space="0" w:color="auto"/>
            </w:tcBorders>
            <w:shd w:val="clear" w:color="auto" w:fill="auto"/>
            <w:vAlign w:val="bottom"/>
          </w:tcPr>
          <w:p w:rsidR="009C7E99" w:rsidRPr="009552FD" w:rsidRDefault="009C7E99" w:rsidP="009C7E99">
            <w:pPr>
              <w:widowControl w:val="0"/>
              <w:spacing w:after="0" w:line="240" w:lineRule="auto"/>
              <w:jc w:val="right"/>
              <w:rPr>
                <w:rFonts w:eastAsia="Times New Roman" w:cs="Times New Roman"/>
                <w:sz w:val="24"/>
                <w:szCs w:val="24"/>
                <w:lang w:bidi="en-US"/>
              </w:rPr>
            </w:pPr>
            <w:r w:rsidRPr="009552FD">
              <w:rPr>
                <w:rFonts w:eastAsia="Times New Roman" w:cs="Times New Roman"/>
                <w:sz w:val="24"/>
                <w:szCs w:val="24"/>
                <w:lang w:bidi="en-US"/>
              </w:rPr>
              <w:t>17 140</w:t>
            </w:r>
          </w:p>
        </w:tc>
        <w:tc>
          <w:tcPr>
            <w:tcW w:w="2563" w:type="dxa"/>
            <w:tcBorders>
              <w:top w:val="single" w:sz="4" w:space="0" w:color="auto"/>
              <w:left w:val="single" w:sz="4" w:space="0" w:color="auto"/>
              <w:right w:val="single" w:sz="4" w:space="0" w:color="auto"/>
            </w:tcBorders>
            <w:shd w:val="clear" w:color="auto" w:fill="auto"/>
            <w:vAlign w:val="bottom"/>
          </w:tcPr>
          <w:p w:rsidR="009C7E99" w:rsidRPr="009552FD" w:rsidRDefault="009C7E99" w:rsidP="009C7E99">
            <w:pPr>
              <w:widowControl w:val="0"/>
              <w:spacing w:after="0" w:line="240" w:lineRule="auto"/>
              <w:ind w:left="1740"/>
              <w:rPr>
                <w:rFonts w:eastAsia="Times New Roman" w:cs="Times New Roman"/>
                <w:sz w:val="24"/>
                <w:szCs w:val="24"/>
                <w:lang w:bidi="en-US"/>
              </w:rPr>
            </w:pPr>
            <w:r w:rsidRPr="009552FD">
              <w:rPr>
                <w:rFonts w:eastAsia="Times New Roman" w:cs="Times New Roman"/>
                <w:sz w:val="24"/>
                <w:szCs w:val="24"/>
                <w:lang w:bidi="en-US"/>
              </w:rPr>
              <w:t>91,41%</w:t>
            </w:r>
          </w:p>
        </w:tc>
      </w:tr>
      <w:tr w:rsidR="009C7E99" w:rsidRPr="009552FD" w:rsidTr="004E1166">
        <w:trPr>
          <w:trHeight w:hRule="exact" w:val="322"/>
          <w:jc w:val="center"/>
        </w:trPr>
        <w:tc>
          <w:tcPr>
            <w:tcW w:w="994" w:type="dxa"/>
            <w:tcBorders>
              <w:top w:val="single" w:sz="4" w:space="0" w:color="auto"/>
              <w:left w:val="single" w:sz="4" w:space="0" w:color="auto"/>
              <w:bottom w:val="single" w:sz="4" w:space="0" w:color="auto"/>
            </w:tcBorders>
            <w:shd w:val="clear" w:color="auto" w:fill="FFFFFF"/>
            <w:vAlign w:val="bottom"/>
          </w:tcPr>
          <w:p w:rsidR="009C7E99" w:rsidRPr="009552FD" w:rsidRDefault="009C7E99" w:rsidP="009C7E99">
            <w:pPr>
              <w:widowControl w:val="0"/>
              <w:spacing w:after="0" w:line="240" w:lineRule="auto"/>
              <w:ind w:firstLine="420"/>
              <w:rPr>
                <w:rFonts w:eastAsia="Times New Roman" w:cs="Times New Roman"/>
                <w:sz w:val="24"/>
                <w:szCs w:val="24"/>
                <w:lang w:bidi="en-US"/>
              </w:rPr>
            </w:pPr>
            <w:r w:rsidRPr="009552FD">
              <w:rPr>
                <w:rFonts w:eastAsia="Times New Roman" w:cs="Times New Roman"/>
                <w:b/>
                <w:bCs/>
                <w:sz w:val="24"/>
                <w:szCs w:val="24"/>
                <w:lang w:bidi="en-US"/>
              </w:rPr>
              <w:t>2018</w:t>
            </w:r>
          </w:p>
        </w:tc>
        <w:tc>
          <w:tcPr>
            <w:tcW w:w="2510" w:type="dxa"/>
            <w:tcBorders>
              <w:top w:val="single" w:sz="4" w:space="0" w:color="auto"/>
              <w:left w:val="single" w:sz="4" w:space="0" w:color="auto"/>
              <w:bottom w:val="single" w:sz="4" w:space="0" w:color="auto"/>
            </w:tcBorders>
            <w:shd w:val="clear" w:color="auto" w:fill="auto"/>
            <w:vAlign w:val="bottom"/>
          </w:tcPr>
          <w:p w:rsidR="009C7E99" w:rsidRPr="009552FD" w:rsidRDefault="009C7E99" w:rsidP="009C7E99">
            <w:pPr>
              <w:widowControl w:val="0"/>
              <w:spacing w:after="0" w:line="240" w:lineRule="auto"/>
              <w:ind w:left="1760"/>
              <w:rPr>
                <w:rFonts w:eastAsia="Times New Roman" w:cs="Times New Roman"/>
                <w:sz w:val="24"/>
                <w:szCs w:val="24"/>
                <w:lang w:bidi="en-US"/>
              </w:rPr>
            </w:pPr>
            <w:r w:rsidRPr="009552FD">
              <w:rPr>
                <w:rFonts w:eastAsia="Times New Roman" w:cs="Times New Roman"/>
                <w:sz w:val="24"/>
                <w:szCs w:val="24"/>
                <w:lang w:bidi="en-US"/>
              </w:rPr>
              <w:t>19 655</w:t>
            </w:r>
          </w:p>
        </w:tc>
        <w:tc>
          <w:tcPr>
            <w:tcW w:w="2798" w:type="dxa"/>
            <w:tcBorders>
              <w:top w:val="single" w:sz="4" w:space="0" w:color="auto"/>
              <w:left w:val="single" w:sz="4" w:space="0" w:color="auto"/>
              <w:bottom w:val="single" w:sz="4" w:space="0" w:color="auto"/>
            </w:tcBorders>
            <w:shd w:val="clear" w:color="auto" w:fill="auto"/>
            <w:vAlign w:val="bottom"/>
          </w:tcPr>
          <w:p w:rsidR="009C7E99" w:rsidRPr="009552FD" w:rsidRDefault="009C7E99" w:rsidP="009C7E99">
            <w:pPr>
              <w:widowControl w:val="0"/>
              <w:spacing w:after="0" w:line="240" w:lineRule="auto"/>
              <w:jc w:val="right"/>
              <w:rPr>
                <w:rFonts w:eastAsia="Times New Roman" w:cs="Times New Roman"/>
                <w:sz w:val="24"/>
                <w:szCs w:val="24"/>
                <w:lang w:bidi="en-US"/>
              </w:rPr>
            </w:pPr>
            <w:r w:rsidRPr="009552FD">
              <w:rPr>
                <w:rFonts w:eastAsia="Times New Roman" w:cs="Times New Roman"/>
                <w:sz w:val="24"/>
                <w:szCs w:val="24"/>
                <w:lang w:bidi="en-US"/>
              </w:rPr>
              <w:t>17 762</w:t>
            </w:r>
          </w:p>
        </w:tc>
        <w:tc>
          <w:tcPr>
            <w:tcW w:w="2563" w:type="dxa"/>
            <w:tcBorders>
              <w:top w:val="single" w:sz="4" w:space="0" w:color="auto"/>
              <w:left w:val="single" w:sz="4" w:space="0" w:color="auto"/>
              <w:bottom w:val="single" w:sz="4" w:space="0" w:color="auto"/>
              <w:right w:val="single" w:sz="4" w:space="0" w:color="auto"/>
            </w:tcBorders>
            <w:shd w:val="clear" w:color="auto" w:fill="auto"/>
            <w:vAlign w:val="bottom"/>
          </w:tcPr>
          <w:p w:rsidR="009C7E99" w:rsidRPr="009552FD" w:rsidRDefault="009C7E99" w:rsidP="009C7E99">
            <w:pPr>
              <w:widowControl w:val="0"/>
              <w:spacing w:after="0" w:line="240" w:lineRule="auto"/>
              <w:ind w:left="1740"/>
              <w:rPr>
                <w:rFonts w:eastAsia="Times New Roman" w:cs="Times New Roman"/>
                <w:sz w:val="24"/>
                <w:szCs w:val="24"/>
                <w:lang w:bidi="en-US"/>
              </w:rPr>
            </w:pPr>
            <w:r w:rsidRPr="009552FD">
              <w:rPr>
                <w:rFonts w:eastAsia="Times New Roman" w:cs="Times New Roman"/>
                <w:sz w:val="24"/>
                <w:szCs w:val="24"/>
                <w:lang w:bidi="en-US"/>
              </w:rPr>
              <w:t>90,46%</w:t>
            </w:r>
          </w:p>
        </w:tc>
      </w:tr>
    </w:tbl>
    <w:p w:rsidR="009C7E99" w:rsidRPr="009552FD" w:rsidRDefault="009C7E99" w:rsidP="009C7E99">
      <w:pPr>
        <w:widowControl w:val="0"/>
        <w:spacing w:after="259" w:line="1" w:lineRule="exact"/>
        <w:rPr>
          <w:rFonts w:eastAsia="Arial Unicode MS" w:cs="Arial Unicode MS"/>
          <w:color w:val="000000"/>
          <w:sz w:val="24"/>
          <w:szCs w:val="24"/>
          <w:lang w:bidi="en-US"/>
        </w:rPr>
      </w:pPr>
    </w:p>
    <w:p w:rsidR="009C7E99" w:rsidRPr="00AB13E6" w:rsidRDefault="009C7E99" w:rsidP="00AB13E6">
      <w:pPr>
        <w:widowControl w:val="0"/>
        <w:numPr>
          <w:ilvl w:val="0"/>
          <w:numId w:val="9"/>
        </w:numPr>
        <w:tabs>
          <w:tab w:val="left" w:pos="404"/>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 xml:space="preserve">Wspomniana wyżej wysoka skuteczność wniosków o zastosowanie tymczasowego aresztowania musi budzić uzasadnione obawy co do prawidłowości i wszechstronności </w:t>
      </w:r>
      <w:r w:rsidRPr="00AB13E6">
        <w:rPr>
          <w:rFonts w:eastAsia="Times New Roman" w:cs="Times New Roman"/>
          <w:sz w:val="24"/>
          <w:szCs w:val="24"/>
          <w:lang w:bidi="en-US"/>
        </w:rPr>
        <w:t>sądowego badania wniosków prokuratorskich. W swoim raporcie Fundacja Court Watch podkreśla, że „</w:t>
      </w:r>
      <w:r w:rsidRPr="00AB13E6">
        <w:rPr>
          <w:rFonts w:eastAsia="Times New Roman" w:cs="Times New Roman"/>
          <w:iCs/>
          <w:sz w:val="24"/>
          <w:szCs w:val="24"/>
          <w:lang w:bidi="en-US"/>
        </w:rPr>
        <w:t>najważniejszą wadą wydawanych przez sądy postanowień o zastosowaniu tymczasowego aresztowania są lakoniczne, wręcz pozorne uzasadnienia podawane w celu usprawiedliwienia tymczasowego aresztowania. Ani oskarżony, ani jego obrońca, często nie są w stanie dowiedzieć się, dlaczego sąd zdecydował się zastosować tak dolegliwy środek zapobiegawczy. Co ważne, wbrew przepisom, z treści uzasadnień często nie wynika, aby były rozważane wolnościowe alternatywy dla tymczasowego aresztowania i okoliczności świadczące o tym, że należy odstąpić od izolacji oskarżonego”.</w:t>
      </w:r>
    </w:p>
    <w:p w:rsidR="009C7E99" w:rsidRPr="009552FD" w:rsidRDefault="009C7E99" w:rsidP="007532E9">
      <w:pPr>
        <w:widowControl w:val="0"/>
        <w:numPr>
          <w:ilvl w:val="0"/>
          <w:numId w:val="9"/>
        </w:numPr>
        <w:tabs>
          <w:tab w:val="left" w:pos="394"/>
        </w:tabs>
        <w:spacing w:before="120" w:after="0" w:line="240" w:lineRule="auto"/>
        <w:ind w:firstLine="198"/>
        <w:jc w:val="both"/>
        <w:rPr>
          <w:rFonts w:eastAsia="Times New Roman" w:cs="Times New Roman"/>
          <w:sz w:val="24"/>
          <w:szCs w:val="24"/>
          <w:lang w:bidi="en-US"/>
        </w:rPr>
      </w:pPr>
      <w:r w:rsidRPr="009552FD">
        <w:rPr>
          <w:rFonts w:eastAsia="Times New Roman" w:cs="Times New Roman"/>
          <w:sz w:val="24"/>
          <w:szCs w:val="24"/>
          <w:lang w:bidi="en-US"/>
        </w:rPr>
        <w:t xml:space="preserve">Należy zauważyć, że w odpowiedzi na uwagi Fundacji w sprawie </w:t>
      </w:r>
      <w:r w:rsidRPr="009552FD">
        <w:rPr>
          <w:rFonts w:eastAsia="Times New Roman" w:cs="Times New Roman"/>
          <w:i/>
          <w:iCs/>
          <w:sz w:val="24"/>
          <w:szCs w:val="24"/>
          <w:lang w:bidi="en-US"/>
        </w:rPr>
        <w:t>Burża</w:t>
      </w:r>
      <w:r w:rsidRPr="009552FD">
        <w:rPr>
          <w:rFonts w:eastAsia="Times New Roman" w:cs="Times New Roman"/>
          <w:sz w:val="24"/>
          <w:szCs w:val="24"/>
          <w:lang w:bidi="en-US"/>
        </w:rPr>
        <w:t xml:space="preserve"> z dnia 6 września 2019 r., rząd wskazał, że wzrost liczby wniosków o zastosowanie tymczasowego aresztowania </w:t>
      </w:r>
      <w:r w:rsidRPr="009552FD">
        <w:rPr>
          <w:rFonts w:eastAsia="Times New Roman" w:cs="Times New Roman"/>
          <w:sz w:val="24"/>
          <w:szCs w:val="24"/>
          <w:lang w:bidi="en-US"/>
        </w:rPr>
        <w:lastRenderedPageBreak/>
        <w:t>był proporcjonalny do wzrostu liczby spraw kierowanych do prokuratur</w:t>
      </w:r>
      <w:r w:rsidRPr="009552FD">
        <w:rPr>
          <w:rFonts w:eastAsia="Times New Roman" w:cs="Times New Roman"/>
          <w:sz w:val="24"/>
          <w:szCs w:val="24"/>
          <w:vertAlign w:val="superscript"/>
          <w:lang w:bidi="en-US"/>
        </w:rPr>
        <w:footnoteReference w:id="9"/>
      </w:r>
      <w:r w:rsidRPr="009552FD">
        <w:rPr>
          <w:rFonts w:eastAsia="Times New Roman" w:cs="Times New Roman"/>
          <w:sz w:val="24"/>
          <w:szCs w:val="24"/>
          <w:lang w:bidi="en-US"/>
        </w:rPr>
        <w:t>. Taki wzrost nie koresponduje jednak z faktem, że wskaźniki przestępczości odnotowywane w Polsce konsekwentnie maleją (w 2015 r. zarejestrowano 509 473 przestępstwa, podczas gdy w 2018 r. liczba ta wyniosła 447 406)</w:t>
      </w:r>
      <w:r w:rsidRPr="009552FD">
        <w:rPr>
          <w:rFonts w:eastAsia="Times New Roman" w:cs="Times New Roman"/>
          <w:sz w:val="24"/>
          <w:szCs w:val="24"/>
          <w:vertAlign w:val="superscript"/>
          <w:lang w:bidi="en-US"/>
        </w:rPr>
        <w:footnoteReference w:id="10"/>
      </w:r>
      <w:r w:rsidRPr="009552FD">
        <w:rPr>
          <w:rFonts w:eastAsia="Times New Roman" w:cs="Times New Roman"/>
          <w:sz w:val="24"/>
          <w:szCs w:val="24"/>
          <w:lang w:bidi="en-US"/>
        </w:rPr>
        <w:t>.</w:t>
      </w:r>
    </w:p>
    <w:p w:rsidR="009C7E99" w:rsidRPr="009552FD" w:rsidRDefault="007532E9" w:rsidP="007532E9">
      <w:pPr>
        <w:keepNext/>
        <w:keepLines/>
        <w:widowControl w:val="0"/>
        <w:tabs>
          <w:tab w:val="left" w:pos="423"/>
        </w:tabs>
        <w:spacing w:before="120" w:after="0" w:line="240" w:lineRule="auto"/>
        <w:outlineLvl w:val="1"/>
        <w:rPr>
          <w:rFonts w:eastAsia="Times New Roman" w:cs="Times New Roman"/>
          <w:b/>
          <w:bCs/>
          <w:sz w:val="24"/>
          <w:szCs w:val="24"/>
          <w:lang w:bidi="en-US"/>
        </w:rPr>
      </w:pPr>
      <w:r>
        <w:rPr>
          <w:rFonts w:eastAsia="Times New Roman" w:cs="Times New Roman"/>
          <w:b/>
          <w:bCs/>
          <w:sz w:val="24"/>
          <w:szCs w:val="24"/>
          <w:lang w:bidi="en-US"/>
        </w:rPr>
        <w:t xml:space="preserve">III.1.b. </w:t>
      </w:r>
      <w:r w:rsidR="009C7E99" w:rsidRPr="009552FD">
        <w:rPr>
          <w:rFonts w:eastAsia="Times New Roman" w:cs="Times New Roman"/>
          <w:b/>
          <w:bCs/>
          <w:sz w:val="24"/>
          <w:szCs w:val="24"/>
          <w:lang w:bidi="en-US"/>
        </w:rPr>
        <w:t>Liczba osób tymczasowo aresztowanych</w:t>
      </w:r>
    </w:p>
    <w:p w:rsidR="009C7E99" w:rsidRDefault="009C7E99" w:rsidP="007532E9">
      <w:pPr>
        <w:widowControl w:val="0"/>
        <w:numPr>
          <w:ilvl w:val="0"/>
          <w:numId w:val="9"/>
        </w:numPr>
        <w:tabs>
          <w:tab w:val="left" w:pos="404"/>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 xml:space="preserve">Powyższe dane dotyczące liczby i skuteczności wniosków prokuratorskich należy porównać z liczbą osób tymczasowo aresztowanych. Z wyżej przedstawionych danych statystycznych wynika, że w ciągu ostatnich pięciu lat znacznie wzrosła liczba osób tymczasowo aresztowanych (z 4162 na koniec 2015 r. do 8520 na koniec 2019 r.). O powadze problemu świadczy również odsetek osób tymczasowo aresztowanych w stosunku do ogólnej populacji osób osadzonych, który niepokojąco wzrósł – z 5,88% w 2015 r. do 11,49% na koniec 2019 r. W odpowiedzi na wystąpienie HFPC w sprawie </w:t>
      </w:r>
      <w:r w:rsidRPr="009552FD">
        <w:rPr>
          <w:rFonts w:eastAsia="Times New Roman" w:cs="Times New Roman"/>
          <w:i/>
          <w:iCs/>
          <w:sz w:val="24"/>
          <w:szCs w:val="24"/>
          <w:lang w:bidi="en-US"/>
        </w:rPr>
        <w:t>Burża</w:t>
      </w:r>
      <w:r w:rsidRPr="009552FD">
        <w:rPr>
          <w:rFonts w:eastAsia="Times New Roman" w:cs="Times New Roman"/>
          <w:sz w:val="24"/>
          <w:szCs w:val="24"/>
          <w:lang w:bidi="en-US"/>
        </w:rPr>
        <w:t xml:space="preserve">, rząd zauważył, że wzrost liczby osób tymczasowo aresztowanych był widoczny przy porównaniu roku 2016 do roku 2017, ale mniej widoczny w okresie pomiędzy latami 2017 a 2018. HFPC uprzejmie wskazuje, że aby ocenić skuteczność środków podjętych przez rząd w celu wykonania wyroku w sprawie </w:t>
      </w:r>
      <w:r w:rsidRPr="009552FD">
        <w:rPr>
          <w:rFonts w:eastAsia="Times New Roman" w:cs="Times New Roman"/>
          <w:i/>
          <w:iCs/>
          <w:sz w:val="24"/>
          <w:szCs w:val="24"/>
          <w:lang w:bidi="en-US"/>
        </w:rPr>
        <w:t>Mierzejewski</w:t>
      </w:r>
      <w:r w:rsidRPr="009552FD">
        <w:rPr>
          <w:rFonts w:eastAsia="Times New Roman" w:cs="Times New Roman"/>
          <w:sz w:val="24"/>
          <w:szCs w:val="24"/>
          <w:lang w:bidi="en-US"/>
        </w:rPr>
        <w:t>, należy skupić się na danych statystycznych dotyczących tymczasowego aresztowania za rok 2010 (rok, w którym skarżący został zatrzymany), 2013 (rok, w którym skarżący złożył skargę do ETPCz) oraz 2014 (rok, w którym ETPCz wydał wyrok), jak również na danych statystycznych dotyczących ostatnich miesięcy, tj. okresu, w którym Komitet będzie rozpatrywał przedmiotową sprawę. Tendencja oceniana na przestrzeni ostatnich 9 lat najlepiej zobrazuje zachodzące zmiany i wpływ wyroku ETPCz na praktykę polskich organów wymiaru sprawiedliwości w sprawach karnych.</w:t>
      </w:r>
    </w:p>
    <w:p w:rsidR="007532E9" w:rsidRPr="009552FD" w:rsidRDefault="007532E9" w:rsidP="007532E9">
      <w:pPr>
        <w:widowControl w:val="0"/>
        <w:tabs>
          <w:tab w:val="left" w:pos="404"/>
        </w:tabs>
        <w:spacing w:before="120" w:after="0" w:line="240" w:lineRule="auto"/>
        <w:jc w:val="both"/>
        <w:rPr>
          <w:rFonts w:eastAsia="Times New Roman" w:cs="Times New Roman"/>
          <w:sz w:val="24"/>
          <w:szCs w:val="24"/>
          <w:lang w:bidi="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83"/>
        <w:gridCol w:w="2285"/>
        <w:gridCol w:w="2093"/>
        <w:gridCol w:w="2875"/>
      </w:tblGrid>
      <w:tr w:rsidR="009C7E99" w:rsidRPr="007532E9" w:rsidTr="009C7E99">
        <w:trPr>
          <w:trHeight w:hRule="exact" w:val="1184"/>
          <w:jc w:val="center"/>
        </w:trPr>
        <w:tc>
          <w:tcPr>
            <w:tcW w:w="1483" w:type="dxa"/>
            <w:tcBorders>
              <w:top w:val="single" w:sz="4" w:space="0" w:color="auto"/>
              <w:left w:val="single" w:sz="4" w:space="0" w:color="auto"/>
            </w:tcBorders>
            <w:shd w:val="clear" w:color="auto" w:fill="FFFFFF"/>
          </w:tcPr>
          <w:p w:rsidR="009C7E99" w:rsidRPr="007532E9" w:rsidRDefault="009C7E99" w:rsidP="007532E9">
            <w:pPr>
              <w:widowControl w:val="0"/>
              <w:spacing w:after="0" w:line="240" w:lineRule="auto"/>
              <w:jc w:val="center"/>
              <w:rPr>
                <w:rFonts w:eastAsia="Times New Roman" w:cs="Times New Roman"/>
                <w:sz w:val="20"/>
                <w:szCs w:val="20"/>
                <w:lang w:bidi="en-US"/>
              </w:rPr>
            </w:pPr>
            <w:r w:rsidRPr="007532E9">
              <w:rPr>
                <w:rFonts w:eastAsia="Times New Roman" w:cs="Times New Roman"/>
                <w:b/>
                <w:bCs/>
                <w:sz w:val="20"/>
                <w:szCs w:val="20"/>
                <w:lang w:bidi="en-US"/>
              </w:rPr>
              <w:t>Rok</w:t>
            </w:r>
            <w:r w:rsidRPr="007532E9">
              <w:rPr>
                <w:rFonts w:eastAsia="Times New Roman" w:cs="Times New Roman"/>
                <w:b/>
                <w:bCs/>
                <w:sz w:val="20"/>
                <w:szCs w:val="20"/>
                <w:vertAlign w:val="superscript"/>
                <w:lang w:bidi="en-US"/>
              </w:rPr>
              <w:footnoteReference w:id="11"/>
            </w:r>
          </w:p>
        </w:tc>
        <w:tc>
          <w:tcPr>
            <w:tcW w:w="2285" w:type="dxa"/>
            <w:tcBorders>
              <w:top w:val="single" w:sz="4" w:space="0" w:color="auto"/>
              <w:left w:val="single" w:sz="4" w:space="0" w:color="auto"/>
            </w:tcBorders>
            <w:shd w:val="clear" w:color="auto" w:fill="FFFFFF"/>
          </w:tcPr>
          <w:p w:rsidR="009C7E99" w:rsidRPr="007532E9" w:rsidRDefault="009C7E99" w:rsidP="007532E9">
            <w:pPr>
              <w:widowControl w:val="0"/>
              <w:spacing w:after="0" w:line="240" w:lineRule="auto"/>
              <w:jc w:val="center"/>
              <w:rPr>
                <w:rFonts w:eastAsia="Times New Roman" w:cs="Times New Roman"/>
                <w:sz w:val="20"/>
                <w:szCs w:val="20"/>
                <w:lang w:bidi="en-US"/>
              </w:rPr>
            </w:pPr>
            <w:r w:rsidRPr="007532E9">
              <w:rPr>
                <w:rFonts w:eastAsia="Times New Roman" w:cs="Times New Roman"/>
                <w:b/>
                <w:bCs/>
                <w:sz w:val="20"/>
                <w:szCs w:val="20"/>
                <w:lang w:bidi="en-US"/>
              </w:rPr>
              <w:t>Liczba osób tymczasowo aresztowanych na dzień 31 grudnia</w:t>
            </w:r>
          </w:p>
        </w:tc>
        <w:tc>
          <w:tcPr>
            <w:tcW w:w="2093" w:type="dxa"/>
            <w:tcBorders>
              <w:top w:val="single" w:sz="4" w:space="0" w:color="auto"/>
              <w:left w:val="single" w:sz="4" w:space="0" w:color="auto"/>
            </w:tcBorders>
            <w:shd w:val="clear" w:color="auto" w:fill="FFFFFF"/>
          </w:tcPr>
          <w:p w:rsidR="009C7E99" w:rsidRPr="007532E9" w:rsidRDefault="009C7E99" w:rsidP="007532E9">
            <w:pPr>
              <w:widowControl w:val="0"/>
              <w:tabs>
                <w:tab w:val="left" w:pos="1675"/>
              </w:tabs>
              <w:spacing w:after="0" w:line="240" w:lineRule="auto"/>
              <w:jc w:val="center"/>
              <w:rPr>
                <w:rFonts w:eastAsia="Times New Roman" w:cs="Times New Roman"/>
                <w:sz w:val="20"/>
                <w:szCs w:val="20"/>
                <w:lang w:bidi="en-US"/>
              </w:rPr>
            </w:pPr>
            <w:r w:rsidRPr="007532E9">
              <w:rPr>
                <w:rFonts w:eastAsia="Times New Roman" w:cs="Times New Roman"/>
                <w:b/>
                <w:bCs/>
                <w:sz w:val="20"/>
                <w:szCs w:val="20"/>
                <w:lang w:bidi="en-US"/>
              </w:rPr>
              <w:t>Populacja</w:t>
            </w:r>
          </w:p>
          <w:p w:rsidR="009C7E99" w:rsidRPr="007532E9" w:rsidRDefault="009C7E99" w:rsidP="007532E9">
            <w:pPr>
              <w:widowControl w:val="0"/>
              <w:tabs>
                <w:tab w:val="left" w:pos="979"/>
              </w:tabs>
              <w:spacing w:after="0" w:line="240" w:lineRule="auto"/>
              <w:jc w:val="center"/>
              <w:rPr>
                <w:rFonts w:eastAsia="Times New Roman" w:cs="Times New Roman"/>
                <w:sz w:val="20"/>
                <w:szCs w:val="20"/>
                <w:lang w:bidi="en-US"/>
              </w:rPr>
            </w:pPr>
            <w:r w:rsidRPr="007532E9">
              <w:rPr>
                <w:rFonts w:eastAsia="Times New Roman" w:cs="Times New Roman"/>
                <w:b/>
                <w:bCs/>
                <w:sz w:val="20"/>
                <w:szCs w:val="20"/>
                <w:lang w:bidi="en-US"/>
              </w:rPr>
              <w:t>w zakładach karnych i</w:t>
            </w:r>
            <w:r w:rsidRPr="007532E9">
              <w:rPr>
                <w:rFonts w:eastAsia="Times New Roman" w:cs="Times New Roman"/>
                <w:sz w:val="20"/>
                <w:szCs w:val="20"/>
                <w:lang w:bidi="en-US"/>
              </w:rPr>
              <w:t xml:space="preserve"> </w:t>
            </w:r>
            <w:r w:rsidRPr="007532E9">
              <w:rPr>
                <w:rFonts w:eastAsia="Times New Roman" w:cs="Times New Roman"/>
                <w:b/>
                <w:bCs/>
                <w:sz w:val="20"/>
                <w:szCs w:val="20"/>
                <w:lang w:bidi="en-US"/>
              </w:rPr>
              <w:t>aresztach śledczych na dzień 31 grudnia</w:t>
            </w:r>
          </w:p>
        </w:tc>
        <w:tc>
          <w:tcPr>
            <w:tcW w:w="2875" w:type="dxa"/>
            <w:tcBorders>
              <w:top w:val="single" w:sz="4" w:space="0" w:color="auto"/>
              <w:left w:val="single" w:sz="4" w:space="0" w:color="auto"/>
              <w:right w:val="single" w:sz="4" w:space="0" w:color="auto"/>
            </w:tcBorders>
            <w:shd w:val="clear" w:color="auto" w:fill="FFFFFF"/>
          </w:tcPr>
          <w:p w:rsidR="009C7E99" w:rsidRPr="007532E9" w:rsidRDefault="009C7E99" w:rsidP="007532E9">
            <w:pPr>
              <w:widowControl w:val="0"/>
              <w:spacing w:after="0" w:line="240" w:lineRule="auto"/>
              <w:jc w:val="center"/>
              <w:rPr>
                <w:rFonts w:eastAsia="Times New Roman" w:cs="Times New Roman"/>
                <w:sz w:val="20"/>
                <w:szCs w:val="20"/>
                <w:lang w:bidi="en-US"/>
              </w:rPr>
            </w:pPr>
            <w:r w:rsidRPr="007532E9">
              <w:rPr>
                <w:rFonts w:eastAsia="Times New Roman" w:cs="Times New Roman"/>
                <w:b/>
                <w:bCs/>
                <w:sz w:val="20"/>
                <w:szCs w:val="20"/>
                <w:lang w:bidi="en-US"/>
              </w:rPr>
              <w:t>Procent tymczasowo aresztowanych w stosunku do ogólnej populacji w zakładach karnych i aresztach śledczych</w:t>
            </w:r>
          </w:p>
        </w:tc>
      </w:tr>
      <w:tr w:rsidR="009C7E99" w:rsidRPr="009552FD" w:rsidTr="004E1166">
        <w:trPr>
          <w:trHeight w:hRule="exact" w:val="288"/>
          <w:jc w:val="center"/>
        </w:trPr>
        <w:tc>
          <w:tcPr>
            <w:tcW w:w="1483"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b/>
                <w:bCs/>
                <w:sz w:val="24"/>
                <w:szCs w:val="24"/>
                <w:lang w:bidi="en-US"/>
              </w:rPr>
              <w:t>2009</w:t>
            </w:r>
          </w:p>
        </w:tc>
        <w:tc>
          <w:tcPr>
            <w:tcW w:w="2285"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9 460</w:t>
            </w:r>
          </w:p>
        </w:tc>
        <w:tc>
          <w:tcPr>
            <w:tcW w:w="2093"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84 003</w:t>
            </w:r>
          </w:p>
        </w:tc>
        <w:tc>
          <w:tcPr>
            <w:tcW w:w="2875" w:type="dxa"/>
            <w:tcBorders>
              <w:top w:val="single" w:sz="4" w:space="0" w:color="auto"/>
              <w:left w:val="single" w:sz="4" w:space="0" w:color="auto"/>
              <w:righ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11,26%</w:t>
            </w:r>
          </w:p>
        </w:tc>
      </w:tr>
      <w:tr w:rsidR="009C7E99" w:rsidRPr="009552FD" w:rsidTr="004E1166">
        <w:trPr>
          <w:trHeight w:hRule="exact" w:val="274"/>
          <w:jc w:val="center"/>
        </w:trPr>
        <w:tc>
          <w:tcPr>
            <w:tcW w:w="1483"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b/>
                <w:bCs/>
                <w:sz w:val="24"/>
                <w:szCs w:val="24"/>
                <w:lang w:bidi="en-US"/>
              </w:rPr>
              <w:t>2010</w:t>
            </w:r>
          </w:p>
        </w:tc>
        <w:tc>
          <w:tcPr>
            <w:tcW w:w="2285"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8 389</w:t>
            </w:r>
          </w:p>
        </w:tc>
        <w:tc>
          <w:tcPr>
            <w:tcW w:w="2093"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80 728</w:t>
            </w:r>
          </w:p>
        </w:tc>
        <w:tc>
          <w:tcPr>
            <w:tcW w:w="2875" w:type="dxa"/>
            <w:tcBorders>
              <w:top w:val="single" w:sz="4" w:space="0" w:color="auto"/>
              <w:left w:val="single" w:sz="4" w:space="0" w:color="auto"/>
              <w:righ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10,76%</w:t>
            </w:r>
          </w:p>
        </w:tc>
      </w:tr>
      <w:tr w:rsidR="009C7E99" w:rsidRPr="009552FD" w:rsidTr="004E1166">
        <w:trPr>
          <w:trHeight w:hRule="exact" w:val="288"/>
          <w:jc w:val="center"/>
        </w:trPr>
        <w:tc>
          <w:tcPr>
            <w:tcW w:w="1483"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b/>
                <w:bCs/>
                <w:sz w:val="24"/>
                <w:szCs w:val="24"/>
                <w:lang w:bidi="en-US"/>
              </w:rPr>
              <w:t>2011</w:t>
            </w:r>
          </w:p>
        </w:tc>
        <w:tc>
          <w:tcPr>
            <w:tcW w:w="2285"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8 159</w:t>
            </w:r>
          </w:p>
        </w:tc>
        <w:tc>
          <w:tcPr>
            <w:tcW w:w="2093"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81 382</w:t>
            </w:r>
          </w:p>
        </w:tc>
        <w:tc>
          <w:tcPr>
            <w:tcW w:w="2875" w:type="dxa"/>
            <w:tcBorders>
              <w:top w:val="single" w:sz="4" w:space="0" w:color="auto"/>
              <w:left w:val="single" w:sz="4" w:space="0" w:color="auto"/>
              <w:righ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10,02%</w:t>
            </w:r>
          </w:p>
        </w:tc>
      </w:tr>
      <w:tr w:rsidR="009C7E99" w:rsidRPr="009552FD" w:rsidTr="004E1166">
        <w:trPr>
          <w:trHeight w:hRule="exact" w:val="293"/>
          <w:jc w:val="center"/>
        </w:trPr>
        <w:tc>
          <w:tcPr>
            <w:tcW w:w="1483"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b/>
                <w:bCs/>
                <w:sz w:val="24"/>
                <w:szCs w:val="24"/>
                <w:lang w:bidi="en-US"/>
              </w:rPr>
              <w:t>2012</w:t>
            </w:r>
          </w:p>
        </w:tc>
        <w:tc>
          <w:tcPr>
            <w:tcW w:w="2285"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7 009</w:t>
            </w:r>
          </w:p>
        </w:tc>
        <w:tc>
          <w:tcPr>
            <w:tcW w:w="2093"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84 156</w:t>
            </w:r>
          </w:p>
        </w:tc>
        <w:tc>
          <w:tcPr>
            <w:tcW w:w="2875" w:type="dxa"/>
            <w:tcBorders>
              <w:top w:val="single" w:sz="4" w:space="0" w:color="auto"/>
              <w:left w:val="single" w:sz="4" w:space="0" w:color="auto"/>
              <w:righ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8,33%</w:t>
            </w:r>
          </w:p>
        </w:tc>
      </w:tr>
      <w:tr w:rsidR="009C7E99" w:rsidRPr="009552FD" w:rsidTr="004E1166">
        <w:trPr>
          <w:trHeight w:hRule="exact" w:val="283"/>
          <w:jc w:val="center"/>
        </w:trPr>
        <w:tc>
          <w:tcPr>
            <w:tcW w:w="1483"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b/>
                <w:bCs/>
                <w:sz w:val="24"/>
                <w:szCs w:val="24"/>
                <w:lang w:bidi="en-US"/>
              </w:rPr>
              <w:t>2013</w:t>
            </w:r>
          </w:p>
        </w:tc>
        <w:tc>
          <w:tcPr>
            <w:tcW w:w="2285"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6 589</w:t>
            </w:r>
          </w:p>
        </w:tc>
        <w:tc>
          <w:tcPr>
            <w:tcW w:w="2093"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78 994</w:t>
            </w:r>
          </w:p>
        </w:tc>
        <w:tc>
          <w:tcPr>
            <w:tcW w:w="2875" w:type="dxa"/>
            <w:tcBorders>
              <w:top w:val="single" w:sz="4" w:space="0" w:color="auto"/>
              <w:left w:val="single" w:sz="4" w:space="0" w:color="auto"/>
              <w:righ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8,34%</w:t>
            </w:r>
          </w:p>
        </w:tc>
      </w:tr>
      <w:tr w:rsidR="009C7E99" w:rsidRPr="009552FD" w:rsidTr="004E1166">
        <w:trPr>
          <w:trHeight w:hRule="exact" w:val="278"/>
          <w:jc w:val="center"/>
        </w:trPr>
        <w:tc>
          <w:tcPr>
            <w:tcW w:w="1483"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b/>
                <w:bCs/>
                <w:sz w:val="24"/>
                <w:szCs w:val="24"/>
                <w:lang w:bidi="en-US"/>
              </w:rPr>
              <w:t>2014</w:t>
            </w:r>
          </w:p>
        </w:tc>
        <w:tc>
          <w:tcPr>
            <w:tcW w:w="2285"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6 238</w:t>
            </w:r>
          </w:p>
        </w:tc>
        <w:tc>
          <w:tcPr>
            <w:tcW w:w="2093"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77 371</w:t>
            </w:r>
          </w:p>
        </w:tc>
        <w:tc>
          <w:tcPr>
            <w:tcW w:w="2875" w:type="dxa"/>
            <w:tcBorders>
              <w:top w:val="single" w:sz="4" w:space="0" w:color="auto"/>
              <w:left w:val="single" w:sz="4" w:space="0" w:color="auto"/>
              <w:righ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8,06%</w:t>
            </w:r>
          </w:p>
        </w:tc>
      </w:tr>
      <w:tr w:rsidR="009C7E99" w:rsidRPr="009552FD" w:rsidTr="004E1166">
        <w:trPr>
          <w:trHeight w:hRule="exact" w:val="288"/>
          <w:jc w:val="center"/>
        </w:trPr>
        <w:tc>
          <w:tcPr>
            <w:tcW w:w="1483"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b/>
                <w:bCs/>
                <w:sz w:val="24"/>
                <w:szCs w:val="24"/>
                <w:lang w:bidi="en-US"/>
              </w:rPr>
              <w:t>2015</w:t>
            </w:r>
          </w:p>
        </w:tc>
        <w:tc>
          <w:tcPr>
            <w:tcW w:w="2285"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4 162</w:t>
            </w:r>
          </w:p>
        </w:tc>
        <w:tc>
          <w:tcPr>
            <w:tcW w:w="2093"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70 836</w:t>
            </w:r>
          </w:p>
        </w:tc>
        <w:tc>
          <w:tcPr>
            <w:tcW w:w="2875" w:type="dxa"/>
            <w:tcBorders>
              <w:top w:val="single" w:sz="4" w:space="0" w:color="auto"/>
              <w:left w:val="single" w:sz="4" w:space="0" w:color="auto"/>
              <w:righ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5,88%</w:t>
            </w:r>
          </w:p>
        </w:tc>
      </w:tr>
      <w:tr w:rsidR="009C7E99" w:rsidRPr="009552FD" w:rsidTr="004E1166">
        <w:trPr>
          <w:trHeight w:hRule="exact" w:val="293"/>
          <w:jc w:val="center"/>
        </w:trPr>
        <w:tc>
          <w:tcPr>
            <w:tcW w:w="1483" w:type="dxa"/>
            <w:tcBorders>
              <w:top w:val="single" w:sz="4" w:space="0" w:color="auto"/>
              <w:left w:val="single" w:sz="4" w:space="0" w:color="auto"/>
            </w:tcBorders>
            <w:shd w:val="clear" w:color="auto" w:fill="auto"/>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b/>
                <w:bCs/>
                <w:sz w:val="24"/>
                <w:szCs w:val="24"/>
                <w:lang w:bidi="en-US"/>
              </w:rPr>
              <w:t>2016</w:t>
            </w:r>
          </w:p>
        </w:tc>
        <w:tc>
          <w:tcPr>
            <w:tcW w:w="2285" w:type="dxa"/>
            <w:tcBorders>
              <w:top w:val="single" w:sz="4" w:space="0" w:color="auto"/>
              <w:left w:val="single" w:sz="4" w:space="0" w:color="auto"/>
            </w:tcBorders>
            <w:shd w:val="clear" w:color="auto" w:fill="auto"/>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5 396</w:t>
            </w:r>
          </w:p>
        </w:tc>
        <w:tc>
          <w:tcPr>
            <w:tcW w:w="2093" w:type="dxa"/>
            <w:tcBorders>
              <w:top w:val="single" w:sz="4" w:space="0" w:color="auto"/>
              <w:left w:val="single" w:sz="4" w:space="0" w:color="auto"/>
            </w:tcBorders>
            <w:shd w:val="clear" w:color="auto" w:fill="auto"/>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71 528</w:t>
            </w:r>
          </w:p>
        </w:tc>
        <w:tc>
          <w:tcPr>
            <w:tcW w:w="2875" w:type="dxa"/>
            <w:tcBorders>
              <w:top w:val="single" w:sz="4" w:space="0" w:color="auto"/>
              <w:left w:val="single" w:sz="4" w:space="0" w:color="auto"/>
              <w:right w:val="single" w:sz="4" w:space="0" w:color="auto"/>
            </w:tcBorders>
            <w:shd w:val="clear" w:color="auto" w:fill="auto"/>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7,54%</w:t>
            </w:r>
          </w:p>
        </w:tc>
      </w:tr>
      <w:tr w:rsidR="009C7E99" w:rsidRPr="009552FD" w:rsidTr="004E1166">
        <w:trPr>
          <w:trHeight w:hRule="exact" w:val="278"/>
          <w:jc w:val="center"/>
        </w:trPr>
        <w:tc>
          <w:tcPr>
            <w:tcW w:w="1483"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b/>
                <w:bCs/>
                <w:sz w:val="24"/>
                <w:szCs w:val="24"/>
                <w:lang w:bidi="en-US"/>
              </w:rPr>
              <w:t>2017</w:t>
            </w:r>
          </w:p>
        </w:tc>
        <w:tc>
          <w:tcPr>
            <w:tcW w:w="2285"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7 239</w:t>
            </w:r>
          </w:p>
        </w:tc>
        <w:tc>
          <w:tcPr>
            <w:tcW w:w="2093"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73 822</w:t>
            </w:r>
          </w:p>
        </w:tc>
        <w:tc>
          <w:tcPr>
            <w:tcW w:w="2875" w:type="dxa"/>
            <w:tcBorders>
              <w:top w:val="single" w:sz="4" w:space="0" w:color="auto"/>
              <w:left w:val="single" w:sz="4" w:space="0" w:color="auto"/>
              <w:righ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9,8%</w:t>
            </w:r>
          </w:p>
        </w:tc>
      </w:tr>
      <w:tr w:rsidR="009C7E99" w:rsidRPr="009552FD" w:rsidTr="009C7E99">
        <w:trPr>
          <w:trHeight w:hRule="exact" w:val="278"/>
          <w:jc w:val="center"/>
        </w:trPr>
        <w:tc>
          <w:tcPr>
            <w:tcW w:w="1483" w:type="dxa"/>
            <w:tcBorders>
              <w:top w:val="single" w:sz="4" w:space="0" w:color="auto"/>
              <w:left w:val="single" w:sz="4" w:space="0" w:color="auto"/>
            </w:tcBorders>
            <w:shd w:val="clear" w:color="auto" w:fill="FFFFFF"/>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b/>
                <w:bCs/>
                <w:sz w:val="24"/>
                <w:szCs w:val="24"/>
                <w:lang w:bidi="en-US"/>
              </w:rPr>
              <w:t>2018</w:t>
            </w:r>
          </w:p>
        </w:tc>
        <w:tc>
          <w:tcPr>
            <w:tcW w:w="2285" w:type="dxa"/>
            <w:tcBorders>
              <w:top w:val="single" w:sz="4" w:space="0" w:color="auto"/>
              <w:left w:val="single" w:sz="4" w:space="0" w:color="auto"/>
            </w:tcBorders>
            <w:shd w:val="clear" w:color="auto" w:fill="FFFFFF"/>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7 360</w:t>
            </w:r>
          </w:p>
        </w:tc>
        <w:tc>
          <w:tcPr>
            <w:tcW w:w="2093" w:type="dxa"/>
            <w:tcBorders>
              <w:top w:val="single" w:sz="4" w:space="0" w:color="auto"/>
              <w:left w:val="single" w:sz="4" w:space="0" w:color="auto"/>
            </w:tcBorders>
            <w:shd w:val="clear" w:color="auto" w:fill="FFFFFF"/>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72 204</w:t>
            </w:r>
          </w:p>
        </w:tc>
        <w:tc>
          <w:tcPr>
            <w:tcW w:w="2875" w:type="dxa"/>
            <w:tcBorders>
              <w:top w:val="single" w:sz="4" w:space="0" w:color="auto"/>
              <w:left w:val="single" w:sz="4" w:space="0" w:color="auto"/>
              <w:right w:val="single" w:sz="4" w:space="0" w:color="auto"/>
            </w:tcBorders>
            <w:shd w:val="clear" w:color="auto" w:fill="FFFFFF"/>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10,19%</w:t>
            </w:r>
          </w:p>
        </w:tc>
      </w:tr>
      <w:tr w:rsidR="009C7E99" w:rsidRPr="009552FD" w:rsidTr="009C7E99">
        <w:trPr>
          <w:trHeight w:hRule="exact" w:val="312"/>
          <w:jc w:val="center"/>
        </w:trPr>
        <w:tc>
          <w:tcPr>
            <w:tcW w:w="1483" w:type="dxa"/>
            <w:tcBorders>
              <w:top w:val="single" w:sz="4" w:space="0" w:color="auto"/>
              <w:left w:val="single" w:sz="4" w:space="0" w:color="auto"/>
              <w:bottom w:val="single" w:sz="4" w:space="0" w:color="auto"/>
            </w:tcBorders>
            <w:shd w:val="clear" w:color="auto" w:fill="FFFFFF"/>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b/>
                <w:bCs/>
                <w:sz w:val="24"/>
                <w:szCs w:val="24"/>
                <w:lang w:bidi="en-US"/>
              </w:rPr>
              <w:t>2019</w:t>
            </w:r>
            <w:r w:rsidRPr="009552FD">
              <w:rPr>
                <w:rFonts w:eastAsia="Times New Roman" w:cs="Times New Roman"/>
                <w:b/>
                <w:bCs/>
                <w:sz w:val="24"/>
                <w:szCs w:val="24"/>
                <w:vertAlign w:val="superscript"/>
                <w:lang w:bidi="en-US"/>
              </w:rPr>
              <w:footnoteReference w:id="12"/>
            </w:r>
          </w:p>
        </w:tc>
        <w:tc>
          <w:tcPr>
            <w:tcW w:w="2285" w:type="dxa"/>
            <w:tcBorders>
              <w:top w:val="single" w:sz="4" w:space="0" w:color="auto"/>
              <w:left w:val="single" w:sz="4" w:space="0" w:color="auto"/>
              <w:bottom w:val="single" w:sz="4" w:space="0" w:color="auto"/>
            </w:tcBorders>
            <w:shd w:val="clear" w:color="auto" w:fill="FFFFFF"/>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8 520</w:t>
            </w:r>
          </w:p>
        </w:tc>
        <w:tc>
          <w:tcPr>
            <w:tcW w:w="2093" w:type="dxa"/>
            <w:tcBorders>
              <w:top w:val="single" w:sz="4" w:space="0" w:color="auto"/>
              <w:left w:val="single" w:sz="4" w:space="0" w:color="auto"/>
              <w:bottom w:val="single" w:sz="4" w:space="0" w:color="auto"/>
            </w:tcBorders>
            <w:shd w:val="clear" w:color="auto" w:fill="FFFFFF"/>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74 130</w:t>
            </w:r>
          </w:p>
        </w:tc>
        <w:tc>
          <w:tcPr>
            <w:tcW w:w="2875" w:type="dxa"/>
            <w:tcBorders>
              <w:top w:val="single" w:sz="4" w:space="0" w:color="auto"/>
              <w:left w:val="single" w:sz="4" w:space="0" w:color="auto"/>
              <w:bottom w:val="single" w:sz="4" w:space="0" w:color="auto"/>
              <w:right w:val="single" w:sz="4" w:space="0" w:color="auto"/>
            </w:tcBorders>
            <w:shd w:val="clear" w:color="auto" w:fill="FFFFFF"/>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11,49%</w:t>
            </w:r>
          </w:p>
        </w:tc>
      </w:tr>
    </w:tbl>
    <w:p w:rsidR="009C7E99" w:rsidRPr="009552FD" w:rsidRDefault="009C7E99" w:rsidP="007532E9">
      <w:pPr>
        <w:widowControl w:val="0"/>
        <w:numPr>
          <w:ilvl w:val="0"/>
          <w:numId w:val="9"/>
        </w:numPr>
        <w:tabs>
          <w:tab w:val="left" w:pos="404"/>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lastRenderedPageBreak/>
        <w:t>O nieskuteczności środków podejmowanych przez władze krajowe świadczy również praktyczne stosowanie tymczasowego aresztowania w ciągu ostatniego roku. Dane statystyczne zdają się sugerować, że problem ze stosowaniem tymczasowego aresztowania może się jeszcze bardziej pogłębić, gdyż w okresie jednego roku (grudzień 2018 – grudzień 2019) liczba osób tymczasowo aresztowanych wzrosła o ponad 1100.</w:t>
      </w:r>
    </w:p>
    <w:p w:rsidR="009C7E99" w:rsidRPr="007532E9" w:rsidRDefault="007532E9" w:rsidP="007532E9">
      <w:pPr>
        <w:keepNext/>
        <w:keepLines/>
        <w:widowControl w:val="0"/>
        <w:tabs>
          <w:tab w:val="left" w:pos="423"/>
        </w:tabs>
        <w:spacing w:before="120" w:after="0" w:line="240" w:lineRule="auto"/>
        <w:outlineLvl w:val="1"/>
        <w:rPr>
          <w:rFonts w:eastAsia="Times New Roman" w:cs="Times New Roman"/>
          <w:b/>
          <w:bCs/>
          <w:sz w:val="24"/>
          <w:szCs w:val="24"/>
          <w:lang w:bidi="en-US"/>
        </w:rPr>
      </w:pPr>
      <w:r>
        <w:rPr>
          <w:rFonts w:eastAsia="Times New Roman" w:cs="Times New Roman"/>
          <w:b/>
          <w:bCs/>
          <w:sz w:val="24"/>
          <w:szCs w:val="24"/>
          <w:lang w:bidi="en-US"/>
        </w:rPr>
        <w:t>III.</w:t>
      </w:r>
      <w:r w:rsidRPr="007532E9">
        <w:rPr>
          <w:rFonts w:eastAsia="Times New Roman" w:cs="Times New Roman"/>
          <w:b/>
          <w:bCs/>
          <w:sz w:val="24"/>
          <w:szCs w:val="24"/>
          <w:lang w:bidi="en-US"/>
        </w:rPr>
        <w:t xml:space="preserve">1.c. </w:t>
      </w:r>
      <w:r w:rsidR="009C7E99" w:rsidRPr="007532E9">
        <w:rPr>
          <w:rFonts w:eastAsia="Times New Roman" w:cs="Times New Roman"/>
          <w:b/>
          <w:bCs/>
          <w:sz w:val="24"/>
          <w:szCs w:val="24"/>
          <w:lang w:bidi="en-US"/>
        </w:rPr>
        <w:t>Liczba wniosków o przedłużenie tymczasowego aresztowania w toku postępowania przygotowawczego i ich skuteczność</w:t>
      </w:r>
    </w:p>
    <w:p w:rsidR="007532E9" w:rsidRPr="007532E9" w:rsidRDefault="007532E9" w:rsidP="007532E9">
      <w:pPr>
        <w:pStyle w:val="Akapitzlist"/>
        <w:keepNext/>
        <w:keepLines/>
        <w:widowControl w:val="0"/>
        <w:spacing w:before="120" w:after="0" w:line="240" w:lineRule="auto"/>
        <w:jc w:val="both"/>
        <w:outlineLvl w:val="1"/>
        <w:rPr>
          <w:rFonts w:eastAsia="Times New Roman" w:cs="Times New Roman"/>
          <w:b/>
          <w:bCs/>
          <w:sz w:val="24"/>
          <w:szCs w:val="24"/>
          <w:lang w:bidi="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19"/>
        <w:gridCol w:w="3288"/>
        <w:gridCol w:w="2218"/>
        <w:gridCol w:w="1949"/>
      </w:tblGrid>
      <w:tr w:rsidR="009C7E99" w:rsidRPr="007532E9" w:rsidTr="00B708A0">
        <w:trPr>
          <w:trHeight w:hRule="exact" w:val="1646"/>
          <w:jc w:val="center"/>
        </w:trPr>
        <w:tc>
          <w:tcPr>
            <w:tcW w:w="1219" w:type="dxa"/>
            <w:tcBorders>
              <w:top w:val="single" w:sz="4" w:space="0" w:color="auto"/>
              <w:left w:val="single" w:sz="4" w:space="0" w:color="auto"/>
            </w:tcBorders>
            <w:shd w:val="clear" w:color="auto" w:fill="FFFFFF"/>
          </w:tcPr>
          <w:p w:rsidR="007532E9" w:rsidRDefault="007532E9" w:rsidP="007532E9">
            <w:pPr>
              <w:widowControl w:val="0"/>
              <w:spacing w:after="0" w:line="240" w:lineRule="auto"/>
              <w:jc w:val="center"/>
              <w:rPr>
                <w:rFonts w:eastAsia="Times New Roman" w:cs="Times New Roman"/>
                <w:b/>
                <w:bCs/>
                <w:sz w:val="20"/>
                <w:szCs w:val="20"/>
                <w:lang w:bidi="en-US"/>
              </w:rPr>
            </w:pPr>
          </w:p>
          <w:p w:rsidR="009C7E99" w:rsidRPr="007532E9" w:rsidRDefault="009C7E99" w:rsidP="007532E9">
            <w:pPr>
              <w:widowControl w:val="0"/>
              <w:spacing w:after="0" w:line="240" w:lineRule="auto"/>
              <w:jc w:val="center"/>
              <w:rPr>
                <w:rFonts w:eastAsia="Times New Roman" w:cs="Times New Roman"/>
                <w:sz w:val="20"/>
                <w:szCs w:val="20"/>
                <w:lang w:bidi="en-US"/>
              </w:rPr>
            </w:pPr>
            <w:r w:rsidRPr="007532E9">
              <w:rPr>
                <w:rFonts w:eastAsia="Times New Roman" w:cs="Times New Roman"/>
                <w:b/>
                <w:bCs/>
                <w:sz w:val="20"/>
                <w:szCs w:val="20"/>
                <w:lang w:bidi="en-US"/>
              </w:rPr>
              <w:t>Rok</w:t>
            </w:r>
            <w:r w:rsidRPr="007532E9">
              <w:rPr>
                <w:rFonts w:eastAsia="Times New Roman" w:cs="Times New Roman"/>
                <w:b/>
                <w:bCs/>
                <w:sz w:val="20"/>
                <w:szCs w:val="20"/>
                <w:vertAlign w:val="superscript"/>
                <w:lang w:bidi="en-US"/>
              </w:rPr>
              <w:footnoteReference w:id="13"/>
            </w:r>
          </w:p>
        </w:tc>
        <w:tc>
          <w:tcPr>
            <w:tcW w:w="3288" w:type="dxa"/>
            <w:tcBorders>
              <w:top w:val="single" w:sz="4" w:space="0" w:color="auto"/>
              <w:left w:val="single" w:sz="4" w:space="0" w:color="auto"/>
            </w:tcBorders>
            <w:shd w:val="clear" w:color="auto" w:fill="FFFFFF"/>
          </w:tcPr>
          <w:p w:rsidR="007532E9" w:rsidRDefault="007532E9" w:rsidP="007532E9">
            <w:pPr>
              <w:widowControl w:val="0"/>
              <w:spacing w:after="0" w:line="240" w:lineRule="auto"/>
              <w:jc w:val="center"/>
              <w:rPr>
                <w:rFonts w:eastAsia="Times New Roman" w:cs="Times New Roman"/>
                <w:b/>
                <w:bCs/>
                <w:sz w:val="20"/>
                <w:szCs w:val="20"/>
                <w:lang w:bidi="en-US"/>
              </w:rPr>
            </w:pPr>
          </w:p>
          <w:p w:rsidR="009C7E99" w:rsidRPr="007532E9" w:rsidRDefault="009C7E99" w:rsidP="007532E9">
            <w:pPr>
              <w:widowControl w:val="0"/>
              <w:spacing w:after="0" w:line="240" w:lineRule="auto"/>
              <w:jc w:val="center"/>
              <w:rPr>
                <w:rFonts w:eastAsia="Times New Roman" w:cs="Times New Roman"/>
                <w:sz w:val="20"/>
                <w:szCs w:val="20"/>
                <w:lang w:bidi="en-US"/>
              </w:rPr>
            </w:pPr>
            <w:r w:rsidRPr="007532E9">
              <w:rPr>
                <w:rFonts w:eastAsia="Times New Roman" w:cs="Times New Roman"/>
                <w:b/>
                <w:bCs/>
                <w:sz w:val="20"/>
                <w:szCs w:val="20"/>
                <w:lang w:bidi="en-US"/>
              </w:rPr>
              <w:t>Wnioski o przedłużenie tymczasowego aresztowania (w toku postępowania przygotowawczego)</w:t>
            </w:r>
          </w:p>
        </w:tc>
        <w:tc>
          <w:tcPr>
            <w:tcW w:w="2218" w:type="dxa"/>
            <w:tcBorders>
              <w:top w:val="single" w:sz="4" w:space="0" w:color="auto"/>
              <w:left w:val="single" w:sz="4" w:space="0" w:color="auto"/>
            </w:tcBorders>
            <w:shd w:val="clear" w:color="auto" w:fill="FFFFFF"/>
          </w:tcPr>
          <w:p w:rsidR="007532E9" w:rsidRDefault="007532E9" w:rsidP="007532E9">
            <w:pPr>
              <w:widowControl w:val="0"/>
              <w:spacing w:after="0" w:line="240" w:lineRule="auto"/>
              <w:jc w:val="center"/>
              <w:rPr>
                <w:rFonts w:eastAsia="Times New Roman" w:cs="Times New Roman"/>
                <w:b/>
                <w:bCs/>
                <w:sz w:val="20"/>
                <w:szCs w:val="20"/>
                <w:lang w:bidi="en-US"/>
              </w:rPr>
            </w:pPr>
          </w:p>
          <w:p w:rsidR="009C7E99" w:rsidRPr="007532E9" w:rsidRDefault="009C7E99" w:rsidP="007532E9">
            <w:pPr>
              <w:widowControl w:val="0"/>
              <w:spacing w:after="0" w:line="240" w:lineRule="auto"/>
              <w:jc w:val="center"/>
              <w:rPr>
                <w:rFonts w:eastAsia="Times New Roman" w:cs="Times New Roman"/>
                <w:sz w:val="20"/>
                <w:szCs w:val="20"/>
                <w:lang w:bidi="en-US"/>
              </w:rPr>
            </w:pPr>
            <w:r w:rsidRPr="007532E9">
              <w:rPr>
                <w:rFonts w:eastAsia="Times New Roman" w:cs="Times New Roman"/>
                <w:b/>
                <w:bCs/>
                <w:sz w:val="20"/>
                <w:szCs w:val="20"/>
                <w:lang w:bidi="en-US"/>
              </w:rPr>
              <w:t>Uwzględnione wnioski o przedłużenie tymczasowego aresztowania</w:t>
            </w:r>
          </w:p>
        </w:tc>
        <w:tc>
          <w:tcPr>
            <w:tcW w:w="1949" w:type="dxa"/>
            <w:tcBorders>
              <w:top w:val="single" w:sz="4" w:space="0" w:color="auto"/>
              <w:left w:val="single" w:sz="4" w:space="0" w:color="auto"/>
              <w:right w:val="single" w:sz="4" w:space="0" w:color="auto"/>
            </w:tcBorders>
            <w:shd w:val="clear" w:color="auto" w:fill="FFFFFF"/>
            <w:vAlign w:val="bottom"/>
          </w:tcPr>
          <w:p w:rsidR="009C7E99" w:rsidRPr="007532E9" w:rsidRDefault="009C7E99" w:rsidP="007532E9">
            <w:pPr>
              <w:widowControl w:val="0"/>
              <w:spacing w:after="0" w:line="240" w:lineRule="auto"/>
              <w:jc w:val="center"/>
              <w:rPr>
                <w:rFonts w:eastAsia="Times New Roman" w:cs="Times New Roman"/>
                <w:sz w:val="20"/>
                <w:szCs w:val="20"/>
                <w:lang w:bidi="en-US"/>
              </w:rPr>
            </w:pPr>
            <w:r w:rsidRPr="007532E9">
              <w:rPr>
                <w:rFonts w:eastAsia="Times New Roman" w:cs="Times New Roman"/>
                <w:b/>
                <w:bCs/>
                <w:sz w:val="20"/>
                <w:szCs w:val="20"/>
                <w:lang w:bidi="en-US"/>
              </w:rPr>
              <w:t>Skuteczność wniosków o przedłużenie tymczasowego aresztowania (w procentach)</w:t>
            </w:r>
          </w:p>
        </w:tc>
      </w:tr>
      <w:tr w:rsidR="009C7E99" w:rsidRPr="009552FD" w:rsidTr="004E1166">
        <w:trPr>
          <w:trHeight w:hRule="exact" w:val="298"/>
          <w:jc w:val="center"/>
        </w:trPr>
        <w:tc>
          <w:tcPr>
            <w:tcW w:w="1219" w:type="dxa"/>
            <w:tcBorders>
              <w:top w:val="single" w:sz="4" w:space="0" w:color="auto"/>
              <w:left w:val="single" w:sz="4" w:space="0" w:color="auto"/>
            </w:tcBorders>
            <w:shd w:val="clear" w:color="auto" w:fill="auto"/>
            <w:vAlign w:val="bottom"/>
          </w:tcPr>
          <w:p w:rsidR="009C7E99" w:rsidRPr="007532E9" w:rsidRDefault="009C7E99" w:rsidP="007532E9">
            <w:pPr>
              <w:widowControl w:val="0"/>
              <w:spacing w:after="0" w:line="240" w:lineRule="auto"/>
              <w:jc w:val="center"/>
              <w:rPr>
                <w:rFonts w:eastAsia="Times New Roman" w:cs="Times New Roman"/>
                <w:sz w:val="24"/>
                <w:szCs w:val="24"/>
                <w:lang w:bidi="en-US"/>
              </w:rPr>
            </w:pPr>
            <w:r w:rsidRPr="007532E9">
              <w:rPr>
                <w:rFonts w:eastAsia="Times New Roman" w:cs="Times New Roman"/>
                <w:b/>
                <w:bCs/>
                <w:sz w:val="24"/>
                <w:szCs w:val="24"/>
                <w:lang w:bidi="en-US"/>
              </w:rPr>
              <w:t>2009</w:t>
            </w:r>
          </w:p>
        </w:tc>
        <w:tc>
          <w:tcPr>
            <w:tcW w:w="3288"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11 951</w:t>
            </w:r>
          </w:p>
        </w:tc>
        <w:tc>
          <w:tcPr>
            <w:tcW w:w="2218"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11 427</w:t>
            </w:r>
          </w:p>
        </w:tc>
        <w:tc>
          <w:tcPr>
            <w:tcW w:w="1949" w:type="dxa"/>
            <w:tcBorders>
              <w:top w:val="single" w:sz="4" w:space="0" w:color="auto"/>
              <w:left w:val="single" w:sz="4" w:space="0" w:color="auto"/>
              <w:right w:val="single" w:sz="4" w:space="0" w:color="auto"/>
            </w:tcBorders>
            <w:shd w:val="clear" w:color="auto" w:fill="auto"/>
            <w:vAlign w:val="bottom"/>
          </w:tcPr>
          <w:p w:rsidR="009C7E99" w:rsidRPr="009552FD" w:rsidRDefault="009C7E99" w:rsidP="007532E9">
            <w:pPr>
              <w:widowControl w:val="0"/>
              <w:spacing w:after="0" w:line="240" w:lineRule="auto"/>
              <w:ind w:left="1100"/>
              <w:jc w:val="center"/>
              <w:rPr>
                <w:rFonts w:eastAsia="Times New Roman" w:cs="Times New Roman"/>
                <w:sz w:val="24"/>
                <w:szCs w:val="24"/>
                <w:lang w:bidi="en-US"/>
              </w:rPr>
            </w:pPr>
            <w:r w:rsidRPr="009552FD">
              <w:rPr>
                <w:rFonts w:eastAsia="Times New Roman" w:cs="Times New Roman"/>
                <w:sz w:val="24"/>
                <w:szCs w:val="24"/>
                <w:lang w:bidi="en-US"/>
              </w:rPr>
              <w:t>95,61%</w:t>
            </w:r>
          </w:p>
        </w:tc>
      </w:tr>
      <w:tr w:rsidR="009C7E99" w:rsidRPr="009552FD" w:rsidTr="004E1166">
        <w:trPr>
          <w:trHeight w:hRule="exact" w:val="302"/>
          <w:jc w:val="center"/>
        </w:trPr>
        <w:tc>
          <w:tcPr>
            <w:tcW w:w="1219" w:type="dxa"/>
            <w:tcBorders>
              <w:top w:val="single" w:sz="4" w:space="0" w:color="auto"/>
              <w:left w:val="single" w:sz="4" w:space="0" w:color="auto"/>
            </w:tcBorders>
            <w:shd w:val="clear" w:color="auto" w:fill="auto"/>
            <w:vAlign w:val="bottom"/>
          </w:tcPr>
          <w:p w:rsidR="009C7E99" w:rsidRPr="007532E9" w:rsidRDefault="009C7E99" w:rsidP="007532E9">
            <w:pPr>
              <w:widowControl w:val="0"/>
              <w:spacing w:after="0" w:line="240" w:lineRule="auto"/>
              <w:jc w:val="center"/>
              <w:rPr>
                <w:rFonts w:eastAsia="Times New Roman" w:cs="Times New Roman"/>
                <w:sz w:val="24"/>
                <w:szCs w:val="24"/>
                <w:lang w:bidi="en-US"/>
              </w:rPr>
            </w:pPr>
            <w:r w:rsidRPr="007532E9">
              <w:rPr>
                <w:rFonts w:eastAsia="Times New Roman" w:cs="Times New Roman"/>
                <w:b/>
                <w:bCs/>
                <w:sz w:val="24"/>
                <w:szCs w:val="24"/>
                <w:lang w:bidi="en-US"/>
              </w:rPr>
              <w:t>2010</w:t>
            </w:r>
          </w:p>
        </w:tc>
        <w:tc>
          <w:tcPr>
            <w:tcW w:w="3288"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11 433</w:t>
            </w:r>
          </w:p>
        </w:tc>
        <w:tc>
          <w:tcPr>
            <w:tcW w:w="2218"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10 841</w:t>
            </w:r>
          </w:p>
        </w:tc>
        <w:tc>
          <w:tcPr>
            <w:tcW w:w="1949" w:type="dxa"/>
            <w:tcBorders>
              <w:top w:val="single" w:sz="4" w:space="0" w:color="auto"/>
              <w:left w:val="single" w:sz="4" w:space="0" w:color="auto"/>
              <w:right w:val="single" w:sz="4" w:space="0" w:color="auto"/>
            </w:tcBorders>
            <w:shd w:val="clear" w:color="auto" w:fill="auto"/>
            <w:vAlign w:val="bottom"/>
          </w:tcPr>
          <w:p w:rsidR="009C7E99" w:rsidRPr="009552FD" w:rsidRDefault="009C7E99" w:rsidP="007532E9">
            <w:pPr>
              <w:widowControl w:val="0"/>
              <w:spacing w:after="0" w:line="240" w:lineRule="auto"/>
              <w:ind w:left="1100"/>
              <w:jc w:val="center"/>
              <w:rPr>
                <w:rFonts w:eastAsia="Times New Roman" w:cs="Times New Roman"/>
                <w:sz w:val="24"/>
                <w:szCs w:val="24"/>
                <w:lang w:bidi="en-US"/>
              </w:rPr>
            </w:pPr>
            <w:r w:rsidRPr="009552FD">
              <w:rPr>
                <w:rFonts w:eastAsia="Times New Roman" w:cs="Times New Roman"/>
                <w:sz w:val="24"/>
                <w:szCs w:val="24"/>
                <w:lang w:bidi="en-US"/>
              </w:rPr>
              <w:t>94,82%</w:t>
            </w:r>
          </w:p>
        </w:tc>
      </w:tr>
      <w:tr w:rsidR="009C7E99" w:rsidRPr="009552FD" w:rsidTr="004E1166">
        <w:trPr>
          <w:trHeight w:hRule="exact" w:val="307"/>
          <w:jc w:val="center"/>
        </w:trPr>
        <w:tc>
          <w:tcPr>
            <w:tcW w:w="1219" w:type="dxa"/>
            <w:tcBorders>
              <w:top w:val="single" w:sz="4" w:space="0" w:color="auto"/>
              <w:left w:val="single" w:sz="4" w:space="0" w:color="auto"/>
            </w:tcBorders>
            <w:shd w:val="clear" w:color="auto" w:fill="auto"/>
            <w:vAlign w:val="bottom"/>
          </w:tcPr>
          <w:p w:rsidR="009C7E99" w:rsidRPr="007532E9" w:rsidRDefault="009C7E99" w:rsidP="007532E9">
            <w:pPr>
              <w:widowControl w:val="0"/>
              <w:spacing w:after="0" w:line="240" w:lineRule="auto"/>
              <w:jc w:val="center"/>
              <w:rPr>
                <w:rFonts w:eastAsia="Times New Roman" w:cs="Times New Roman"/>
                <w:sz w:val="24"/>
                <w:szCs w:val="24"/>
                <w:lang w:bidi="en-US"/>
              </w:rPr>
            </w:pPr>
            <w:r w:rsidRPr="007532E9">
              <w:rPr>
                <w:rFonts w:eastAsia="Times New Roman" w:cs="Times New Roman"/>
                <w:b/>
                <w:bCs/>
                <w:sz w:val="24"/>
                <w:szCs w:val="24"/>
                <w:lang w:bidi="en-US"/>
              </w:rPr>
              <w:t>2011</w:t>
            </w:r>
          </w:p>
        </w:tc>
        <w:tc>
          <w:tcPr>
            <w:tcW w:w="3288"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10 780</w:t>
            </w:r>
          </w:p>
        </w:tc>
        <w:tc>
          <w:tcPr>
            <w:tcW w:w="2218"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10 272</w:t>
            </w:r>
          </w:p>
        </w:tc>
        <w:tc>
          <w:tcPr>
            <w:tcW w:w="1949" w:type="dxa"/>
            <w:tcBorders>
              <w:top w:val="single" w:sz="4" w:space="0" w:color="auto"/>
              <w:left w:val="single" w:sz="4" w:space="0" w:color="auto"/>
              <w:right w:val="single" w:sz="4" w:space="0" w:color="auto"/>
            </w:tcBorders>
            <w:shd w:val="clear" w:color="auto" w:fill="auto"/>
            <w:vAlign w:val="bottom"/>
          </w:tcPr>
          <w:p w:rsidR="009C7E99" w:rsidRPr="009552FD" w:rsidRDefault="009C7E99" w:rsidP="007532E9">
            <w:pPr>
              <w:widowControl w:val="0"/>
              <w:spacing w:after="0" w:line="240" w:lineRule="auto"/>
              <w:ind w:left="1100"/>
              <w:jc w:val="center"/>
              <w:rPr>
                <w:rFonts w:eastAsia="Times New Roman" w:cs="Times New Roman"/>
                <w:sz w:val="24"/>
                <w:szCs w:val="24"/>
                <w:lang w:bidi="en-US"/>
              </w:rPr>
            </w:pPr>
            <w:r w:rsidRPr="009552FD">
              <w:rPr>
                <w:rFonts w:eastAsia="Times New Roman" w:cs="Times New Roman"/>
                <w:sz w:val="24"/>
                <w:szCs w:val="24"/>
                <w:lang w:bidi="en-US"/>
              </w:rPr>
              <w:t>95,29%</w:t>
            </w:r>
          </w:p>
        </w:tc>
      </w:tr>
      <w:tr w:rsidR="009C7E99" w:rsidRPr="009552FD" w:rsidTr="004E1166">
        <w:trPr>
          <w:trHeight w:hRule="exact" w:val="322"/>
          <w:jc w:val="center"/>
        </w:trPr>
        <w:tc>
          <w:tcPr>
            <w:tcW w:w="1219" w:type="dxa"/>
            <w:tcBorders>
              <w:top w:val="single" w:sz="4" w:space="0" w:color="auto"/>
              <w:left w:val="single" w:sz="4" w:space="0" w:color="auto"/>
            </w:tcBorders>
            <w:shd w:val="clear" w:color="auto" w:fill="auto"/>
            <w:vAlign w:val="bottom"/>
          </w:tcPr>
          <w:p w:rsidR="009C7E99" w:rsidRPr="007532E9" w:rsidRDefault="009C7E99" w:rsidP="007532E9">
            <w:pPr>
              <w:widowControl w:val="0"/>
              <w:spacing w:after="0" w:line="240" w:lineRule="auto"/>
              <w:jc w:val="center"/>
              <w:rPr>
                <w:rFonts w:eastAsia="Times New Roman" w:cs="Times New Roman"/>
                <w:sz w:val="24"/>
                <w:szCs w:val="24"/>
                <w:lang w:bidi="en-US"/>
              </w:rPr>
            </w:pPr>
            <w:r w:rsidRPr="007532E9">
              <w:rPr>
                <w:rFonts w:eastAsia="Times New Roman" w:cs="Times New Roman"/>
                <w:b/>
                <w:bCs/>
                <w:sz w:val="24"/>
                <w:szCs w:val="24"/>
                <w:lang w:bidi="en-US"/>
              </w:rPr>
              <w:t>2012</w:t>
            </w:r>
          </w:p>
        </w:tc>
        <w:tc>
          <w:tcPr>
            <w:tcW w:w="3288"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9 789</w:t>
            </w:r>
          </w:p>
        </w:tc>
        <w:tc>
          <w:tcPr>
            <w:tcW w:w="2218"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9 308</w:t>
            </w:r>
          </w:p>
        </w:tc>
        <w:tc>
          <w:tcPr>
            <w:tcW w:w="1949" w:type="dxa"/>
            <w:tcBorders>
              <w:top w:val="single" w:sz="4" w:space="0" w:color="auto"/>
              <w:left w:val="single" w:sz="4" w:space="0" w:color="auto"/>
              <w:right w:val="single" w:sz="4" w:space="0" w:color="auto"/>
            </w:tcBorders>
            <w:shd w:val="clear" w:color="auto" w:fill="auto"/>
            <w:vAlign w:val="bottom"/>
          </w:tcPr>
          <w:p w:rsidR="009C7E99" w:rsidRPr="009552FD" w:rsidRDefault="009C7E99" w:rsidP="007532E9">
            <w:pPr>
              <w:widowControl w:val="0"/>
              <w:spacing w:after="0" w:line="240" w:lineRule="auto"/>
              <w:ind w:left="1100"/>
              <w:jc w:val="center"/>
              <w:rPr>
                <w:rFonts w:eastAsia="Times New Roman" w:cs="Times New Roman"/>
                <w:sz w:val="24"/>
                <w:szCs w:val="24"/>
                <w:lang w:bidi="en-US"/>
              </w:rPr>
            </w:pPr>
            <w:r w:rsidRPr="009552FD">
              <w:rPr>
                <w:rFonts w:eastAsia="Times New Roman" w:cs="Times New Roman"/>
                <w:sz w:val="24"/>
                <w:szCs w:val="24"/>
                <w:lang w:bidi="en-US"/>
              </w:rPr>
              <w:t>95,08%</w:t>
            </w:r>
          </w:p>
        </w:tc>
      </w:tr>
      <w:tr w:rsidR="009C7E99" w:rsidRPr="009552FD" w:rsidTr="004E1166">
        <w:trPr>
          <w:trHeight w:hRule="exact" w:val="302"/>
          <w:jc w:val="center"/>
        </w:trPr>
        <w:tc>
          <w:tcPr>
            <w:tcW w:w="1219" w:type="dxa"/>
            <w:tcBorders>
              <w:top w:val="single" w:sz="4" w:space="0" w:color="auto"/>
              <w:left w:val="single" w:sz="4" w:space="0" w:color="auto"/>
            </w:tcBorders>
            <w:shd w:val="clear" w:color="auto" w:fill="auto"/>
            <w:vAlign w:val="bottom"/>
          </w:tcPr>
          <w:p w:rsidR="009C7E99" w:rsidRPr="007532E9" w:rsidRDefault="009C7E99" w:rsidP="007532E9">
            <w:pPr>
              <w:widowControl w:val="0"/>
              <w:spacing w:after="0" w:line="240" w:lineRule="auto"/>
              <w:jc w:val="center"/>
              <w:rPr>
                <w:rFonts w:eastAsia="Times New Roman" w:cs="Times New Roman"/>
                <w:sz w:val="24"/>
                <w:szCs w:val="24"/>
                <w:lang w:bidi="en-US"/>
              </w:rPr>
            </w:pPr>
            <w:r w:rsidRPr="007532E9">
              <w:rPr>
                <w:rFonts w:eastAsia="Times New Roman" w:cs="Times New Roman"/>
                <w:b/>
                <w:bCs/>
                <w:sz w:val="24"/>
                <w:szCs w:val="24"/>
                <w:lang w:bidi="en-US"/>
              </w:rPr>
              <w:t>2013</w:t>
            </w:r>
          </w:p>
        </w:tc>
        <w:tc>
          <w:tcPr>
            <w:tcW w:w="3288"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8 809</w:t>
            </w:r>
          </w:p>
        </w:tc>
        <w:tc>
          <w:tcPr>
            <w:tcW w:w="2218"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8 445</w:t>
            </w:r>
          </w:p>
        </w:tc>
        <w:tc>
          <w:tcPr>
            <w:tcW w:w="1949" w:type="dxa"/>
            <w:tcBorders>
              <w:top w:val="single" w:sz="4" w:space="0" w:color="auto"/>
              <w:left w:val="single" w:sz="4" w:space="0" w:color="auto"/>
              <w:right w:val="single" w:sz="4" w:space="0" w:color="auto"/>
            </w:tcBorders>
            <w:shd w:val="clear" w:color="auto" w:fill="auto"/>
            <w:vAlign w:val="bottom"/>
          </w:tcPr>
          <w:p w:rsidR="009C7E99" w:rsidRPr="009552FD" w:rsidRDefault="009C7E99" w:rsidP="007532E9">
            <w:pPr>
              <w:widowControl w:val="0"/>
              <w:spacing w:after="0" w:line="240" w:lineRule="auto"/>
              <w:ind w:left="1100"/>
              <w:jc w:val="center"/>
              <w:rPr>
                <w:rFonts w:eastAsia="Times New Roman" w:cs="Times New Roman"/>
                <w:sz w:val="24"/>
                <w:szCs w:val="24"/>
                <w:lang w:bidi="en-US"/>
              </w:rPr>
            </w:pPr>
            <w:r w:rsidRPr="009552FD">
              <w:rPr>
                <w:rFonts w:eastAsia="Times New Roman" w:cs="Times New Roman"/>
                <w:sz w:val="24"/>
                <w:szCs w:val="24"/>
                <w:lang w:bidi="en-US"/>
              </w:rPr>
              <w:t>95,86%</w:t>
            </w:r>
          </w:p>
        </w:tc>
      </w:tr>
      <w:tr w:rsidR="009C7E99" w:rsidRPr="009552FD" w:rsidTr="004E1166">
        <w:trPr>
          <w:trHeight w:hRule="exact" w:val="274"/>
          <w:jc w:val="center"/>
        </w:trPr>
        <w:tc>
          <w:tcPr>
            <w:tcW w:w="1219" w:type="dxa"/>
            <w:tcBorders>
              <w:top w:val="single" w:sz="4" w:space="0" w:color="auto"/>
              <w:left w:val="single" w:sz="4" w:space="0" w:color="auto"/>
            </w:tcBorders>
            <w:shd w:val="clear" w:color="auto" w:fill="auto"/>
            <w:vAlign w:val="bottom"/>
          </w:tcPr>
          <w:p w:rsidR="009C7E99" w:rsidRPr="007532E9" w:rsidRDefault="009C7E99" w:rsidP="007532E9">
            <w:pPr>
              <w:widowControl w:val="0"/>
              <w:spacing w:after="0" w:line="240" w:lineRule="auto"/>
              <w:jc w:val="center"/>
              <w:rPr>
                <w:rFonts w:eastAsia="Times New Roman" w:cs="Times New Roman"/>
                <w:sz w:val="24"/>
                <w:szCs w:val="24"/>
                <w:lang w:bidi="en-US"/>
              </w:rPr>
            </w:pPr>
            <w:r w:rsidRPr="007532E9">
              <w:rPr>
                <w:rFonts w:eastAsia="Times New Roman" w:cs="Times New Roman"/>
                <w:b/>
                <w:bCs/>
                <w:sz w:val="24"/>
                <w:szCs w:val="24"/>
                <w:lang w:bidi="en-US"/>
              </w:rPr>
              <w:t>2014</w:t>
            </w:r>
          </w:p>
        </w:tc>
        <w:tc>
          <w:tcPr>
            <w:tcW w:w="3288"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8 621</w:t>
            </w:r>
          </w:p>
        </w:tc>
        <w:tc>
          <w:tcPr>
            <w:tcW w:w="2218"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8 289</w:t>
            </w:r>
          </w:p>
        </w:tc>
        <w:tc>
          <w:tcPr>
            <w:tcW w:w="1949" w:type="dxa"/>
            <w:tcBorders>
              <w:top w:val="single" w:sz="4" w:space="0" w:color="auto"/>
              <w:left w:val="single" w:sz="4" w:space="0" w:color="auto"/>
              <w:right w:val="single" w:sz="4" w:space="0" w:color="auto"/>
            </w:tcBorders>
            <w:shd w:val="clear" w:color="auto" w:fill="auto"/>
            <w:vAlign w:val="bottom"/>
          </w:tcPr>
          <w:p w:rsidR="009C7E99" w:rsidRPr="009552FD" w:rsidRDefault="009C7E99" w:rsidP="007532E9">
            <w:pPr>
              <w:widowControl w:val="0"/>
              <w:spacing w:after="0" w:line="240" w:lineRule="auto"/>
              <w:ind w:left="1100"/>
              <w:jc w:val="center"/>
              <w:rPr>
                <w:rFonts w:eastAsia="Times New Roman" w:cs="Times New Roman"/>
                <w:sz w:val="24"/>
                <w:szCs w:val="24"/>
                <w:lang w:bidi="en-US"/>
              </w:rPr>
            </w:pPr>
            <w:r w:rsidRPr="009552FD">
              <w:rPr>
                <w:rFonts w:eastAsia="Times New Roman" w:cs="Times New Roman"/>
                <w:sz w:val="24"/>
                <w:szCs w:val="24"/>
                <w:lang w:bidi="en-US"/>
              </w:rPr>
              <w:t>96,14%</w:t>
            </w:r>
          </w:p>
        </w:tc>
      </w:tr>
      <w:tr w:rsidR="009C7E99" w:rsidRPr="009552FD" w:rsidTr="004E1166">
        <w:trPr>
          <w:trHeight w:hRule="exact" w:val="302"/>
          <w:jc w:val="center"/>
        </w:trPr>
        <w:tc>
          <w:tcPr>
            <w:tcW w:w="1219" w:type="dxa"/>
            <w:tcBorders>
              <w:top w:val="single" w:sz="4" w:space="0" w:color="auto"/>
              <w:left w:val="single" w:sz="4" w:space="0" w:color="auto"/>
            </w:tcBorders>
            <w:shd w:val="clear" w:color="auto" w:fill="auto"/>
            <w:vAlign w:val="bottom"/>
          </w:tcPr>
          <w:p w:rsidR="009C7E99" w:rsidRPr="007532E9" w:rsidRDefault="009C7E99" w:rsidP="007532E9">
            <w:pPr>
              <w:widowControl w:val="0"/>
              <w:spacing w:after="0" w:line="240" w:lineRule="auto"/>
              <w:jc w:val="center"/>
              <w:rPr>
                <w:rFonts w:eastAsia="Times New Roman" w:cs="Times New Roman"/>
                <w:sz w:val="24"/>
                <w:szCs w:val="24"/>
                <w:lang w:bidi="en-US"/>
              </w:rPr>
            </w:pPr>
            <w:r w:rsidRPr="007532E9">
              <w:rPr>
                <w:rFonts w:eastAsia="Times New Roman" w:cs="Times New Roman"/>
                <w:b/>
                <w:bCs/>
                <w:sz w:val="24"/>
                <w:szCs w:val="24"/>
                <w:lang w:bidi="en-US"/>
              </w:rPr>
              <w:t>2015</w:t>
            </w:r>
          </w:p>
        </w:tc>
        <w:tc>
          <w:tcPr>
            <w:tcW w:w="3288"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6 509</w:t>
            </w:r>
          </w:p>
        </w:tc>
        <w:tc>
          <w:tcPr>
            <w:tcW w:w="2218"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6 264</w:t>
            </w:r>
          </w:p>
        </w:tc>
        <w:tc>
          <w:tcPr>
            <w:tcW w:w="1949" w:type="dxa"/>
            <w:tcBorders>
              <w:top w:val="single" w:sz="4" w:space="0" w:color="auto"/>
              <w:left w:val="single" w:sz="4" w:space="0" w:color="auto"/>
              <w:right w:val="single" w:sz="4" w:space="0" w:color="auto"/>
            </w:tcBorders>
            <w:shd w:val="clear" w:color="auto" w:fill="auto"/>
            <w:vAlign w:val="bottom"/>
          </w:tcPr>
          <w:p w:rsidR="009C7E99" w:rsidRPr="009552FD" w:rsidRDefault="009C7E99" w:rsidP="007532E9">
            <w:pPr>
              <w:widowControl w:val="0"/>
              <w:spacing w:after="0" w:line="240" w:lineRule="auto"/>
              <w:ind w:left="1100"/>
              <w:jc w:val="center"/>
              <w:rPr>
                <w:rFonts w:eastAsia="Times New Roman" w:cs="Times New Roman"/>
                <w:sz w:val="24"/>
                <w:szCs w:val="24"/>
                <w:lang w:bidi="en-US"/>
              </w:rPr>
            </w:pPr>
            <w:r w:rsidRPr="009552FD">
              <w:rPr>
                <w:rFonts w:eastAsia="Times New Roman" w:cs="Times New Roman"/>
                <w:sz w:val="24"/>
                <w:szCs w:val="24"/>
                <w:lang w:bidi="en-US"/>
              </w:rPr>
              <w:t>96,23%</w:t>
            </w:r>
          </w:p>
        </w:tc>
      </w:tr>
      <w:tr w:rsidR="009C7E99" w:rsidRPr="009552FD" w:rsidTr="004E1166">
        <w:trPr>
          <w:trHeight w:hRule="exact" w:val="307"/>
          <w:jc w:val="center"/>
        </w:trPr>
        <w:tc>
          <w:tcPr>
            <w:tcW w:w="1219" w:type="dxa"/>
            <w:tcBorders>
              <w:top w:val="single" w:sz="4" w:space="0" w:color="auto"/>
              <w:left w:val="single" w:sz="4" w:space="0" w:color="auto"/>
            </w:tcBorders>
            <w:shd w:val="clear" w:color="auto" w:fill="auto"/>
            <w:vAlign w:val="bottom"/>
          </w:tcPr>
          <w:p w:rsidR="009C7E99" w:rsidRPr="007532E9" w:rsidRDefault="009C7E99" w:rsidP="007532E9">
            <w:pPr>
              <w:widowControl w:val="0"/>
              <w:spacing w:after="0" w:line="240" w:lineRule="auto"/>
              <w:jc w:val="center"/>
              <w:rPr>
                <w:rFonts w:eastAsia="Times New Roman" w:cs="Times New Roman"/>
                <w:sz w:val="24"/>
                <w:szCs w:val="24"/>
                <w:lang w:bidi="en-US"/>
              </w:rPr>
            </w:pPr>
            <w:r w:rsidRPr="007532E9">
              <w:rPr>
                <w:rFonts w:eastAsia="Times New Roman" w:cs="Times New Roman"/>
                <w:b/>
                <w:bCs/>
                <w:sz w:val="24"/>
                <w:szCs w:val="24"/>
                <w:lang w:bidi="en-US"/>
              </w:rPr>
              <w:t>2016</w:t>
            </w:r>
          </w:p>
        </w:tc>
        <w:tc>
          <w:tcPr>
            <w:tcW w:w="3288"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7 659</w:t>
            </w:r>
          </w:p>
        </w:tc>
        <w:tc>
          <w:tcPr>
            <w:tcW w:w="2218"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7 242</w:t>
            </w:r>
          </w:p>
        </w:tc>
        <w:tc>
          <w:tcPr>
            <w:tcW w:w="1949" w:type="dxa"/>
            <w:tcBorders>
              <w:top w:val="single" w:sz="4" w:space="0" w:color="auto"/>
              <w:left w:val="single" w:sz="4" w:space="0" w:color="auto"/>
              <w:right w:val="single" w:sz="4" w:space="0" w:color="auto"/>
            </w:tcBorders>
            <w:shd w:val="clear" w:color="auto" w:fill="auto"/>
            <w:vAlign w:val="bottom"/>
          </w:tcPr>
          <w:p w:rsidR="009C7E99" w:rsidRPr="009552FD" w:rsidRDefault="009C7E99" w:rsidP="007532E9">
            <w:pPr>
              <w:widowControl w:val="0"/>
              <w:spacing w:after="0" w:line="240" w:lineRule="auto"/>
              <w:ind w:left="1100"/>
              <w:jc w:val="center"/>
              <w:rPr>
                <w:rFonts w:eastAsia="Times New Roman" w:cs="Times New Roman"/>
                <w:sz w:val="24"/>
                <w:szCs w:val="24"/>
                <w:lang w:bidi="en-US"/>
              </w:rPr>
            </w:pPr>
            <w:r w:rsidRPr="009552FD">
              <w:rPr>
                <w:rFonts w:eastAsia="Times New Roman" w:cs="Times New Roman"/>
                <w:sz w:val="24"/>
                <w:szCs w:val="24"/>
                <w:lang w:bidi="en-US"/>
              </w:rPr>
              <w:t>95,55%</w:t>
            </w:r>
          </w:p>
        </w:tc>
      </w:tr>
      <w:tr w:rsidR="009C7E99" w:rsidRPr="009552FD" w:rsidTr="004E1166">
        <w:trPr>
          <w:trHeight w:hRule="exact" w:val="298"/>
          <w:jc w:val="center"/>
        </w:trPr>
        <w:tc>
          <w:tcPr>
            <w:tcW w:w="1219" w:type="dxa"/>
            <w:tcBorders>
              <w:top w:val="single" w:sz="4" w:space="0" w:color="auto"/>
              <w:left w:val="single" w:sz="4" w:space="0" w:color="auto"/>
            </w:tcBorders>
            <w:shd w:val="clear" w:color="auto" w:fill="auto"/>
            <w:vAlign w:val="bottom"/>
          </w:tcPr>
          <w:p w:rsidR="009C7E99" w:rsidRPr="007532E9" w:rsidRDefault="009C7E99" w:rsidP="007532E9">
            <w:pPr>
              <w:widowControl w:val="0"/>
              <w:spacing w:after="0" w:line="240" w:lineRule="auto"/>
              <w:jc w:val="center"/>
              <w:rPr>
                <w:rFonts w:eastAsia="Times New Roman" w:cs="Times New Roman"/>
                <w:sz w:val="24"/>
                <w:szCs w:val="24"/>
                <w:lang w:bidi="en-US"/>
              </w:rPr>
            </w:pPr>
            <w:r w:rsidRPr="007532E9">
              <w:rPr>
                <w:rFonts w:eastAsia="Times New Roman" w:cs="Times New Roman"/>
                <w:b/>
                <w:bCs/>
                <w:sz w:val="24"/>
                <w:szCs w:val="24"/>
                <w:lang w:bidi="en-US"/>
              </w:rPr>
              <w:t>2017</w:t>
            </w:r>
          </w:p>
        </w:tc>
        <w:tc>
          <w:tcPr>
            <w:tcW w:w="3288"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10 684</w:t>
            </w:r>
          </w:p>
        </w:tc>
        <w:tc>
          <w:tcPr>
            <w:tcW w:w="2218" w:type="dxa"/>
            <w:tcBorders>
              <w:top w:val="single" w:sz="4" w:space="0" w:color="auto"/>
              <w:left w:val="single" w:sz="4" w:space="0" w:color="auto"/>
            </w:tcBorders>
            <w:shd w:val="clear" w:color="auto" w:fill="auto"/>
            <w:vAlign w:val="bottom"/>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10 156</w:t>
            </w:r>
          </w:p>
        </w:tc>
        <w:tc>
          <w:tcPr>
            <w:tcW w:w="1949" w:type="dxa"/>
            <w:tcBorders>
              <w:top w:val="single" w:sz="4" w:space="0" w:color="auto"/>
              <w:left w:val="single" w:sz="4" w:space="0" w:color="auto"/>
              <w:right w:val="single" w:sz="4" w:space="0" w:color="auto"/>
            </w:tcBorders>
            <w:shd w:val="clear" w:color="auto" w:fill="auto"/>
            <w:vAlign w:val="bottom"/>
          </w:tcPr>
          <w:p w:rsidR="009C7E99" w:rsidRPr="009552FD" w:rsidRDefault="009C7E99" w:rsidP="007532E9">
            <w:pPr>
              <w:widowControl w:val="0"/>
              <w:spacing w:after="0" w:line="240" w:lineRule="auto"/>
              <w:ind w:left="1100"/>
              <w:jc w:val="center"/>
              <w:rPr>
                <w:rFonts w:eastAsia="Times New Roman" w:cs="Times New Roman"/>
                <w:sz w:val="24"/>
                <w:szCs w:val="24"/>
                <w:lang w:bidi="en-US"/>
              </w:rPr>
            </w:pPr>
            <w:r w:rsidRPr="009552FD">
              <w:rPr>
                <w:rFonts w:eastAsia="Times New Roman" w:cs="Times New Roman"/>
                <w:sz w:val="24"/>
                <w:szCs w:val="24"/>
                <w:lang w:bidi="en-US"/>
              </w:rPr>
              <w:t>95,06%</w:t>
            </w:r>
          </w:p>
        </w:tc>
      </w:tr>
      <w:tr w:rsidR="009C7E99" w:rsidRPr="009552FD" w:rsidTr="004E1166">
        <w:trPr>
          <w:trHeight w:hRule="exact" w:val="336"/>
          <w:jc w:val="center"/>
        </w:trPr>
        <w:tc>
          <w:tcPr>
            <w:tcW w:w="1219" w:type="dxa"/>
            <w:tcBorders>
              <w:top w:val="single" w:sz="4" w:space="0" w:color="auto"/>
              <w:left w:val="single" w:sz="4" w:space="0" w:color="auto"/>
              <w:bottom w:val="single" w:sz="4" w:space="0" w:color="auto"/>
            </w:tcBorders>
            <w:shd w:val="clear" w:color="auto" w:fill="auto"/>
          </w:tcPr>
          <w:p w:rsidR="009C7E99" w:rsidRPr="007532E9" w:rsidRDefault="009C7E99" w:rsidP="007532E9">
            <w:pPr>
              <w:widowControl w:val="0"/>
              <w:spacing w:after="0" w:line="240" w:lineRule="auto"/>
              <w:jc w:val="center"/>
              <w:rPr>
                <w:rFonts w:eastAsia="Times New Roman" w:cs="Times New Roman"/>
                <w:sz w:val="24"/>
                <w:szCs w:val="24"/>
                <w:lang w:bidi="en-US"/>
              </w:rPr>
            </w:pPr>
            <w:r w:rsidRPr="007532E9">
              <w:rPr>
                <w:rFonts w:eastAsia="Times New Roman" w:cs="Times New Roman"/>
                <w:b/>
                <w:bCs/>
                <w:sz w:val="24"/>
                <w:szCs w:val="24"/>
                <w:lang w:bidi="en-US"/>
              </w:rPr>
              <w:t>2018</w:t>
            </w:r>
          </w:p>
        </w:tc>
        <w:tc>
          <w:tcPr>
            <w:tcW w:w="3288" w:type="dxa"/>
            <w:tcBorders>
              <w:top w:val="single" w:sz="4" w:space="0" w:color="auto"/>
              <w:left w:val="single" w:sz="4" w:space="0" w:color="auto"/>
              <w:bottom w:val="single" w:sz="4" w:space="0" w:color="auto"/>
            </w:tcBorders>
            <w:shd w:val="clear" w:color="auto" w:fill="auto"/>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12 841</w:t>
            </w:r>
          </w:p>
        </w:tc>
        <w:tc>
          <w:tcPr>
            <w:tcW w:w="2218" w:type="dxa"/>
            <w:tcBorders>
              <w:top w:val="single" w:sz="4" w:space="0" w:color="auto"/>
              <w:left w:val="single" w:sz="4" w:space="0" w:color="auto"/>
              <w:bottom w:val="single" w:sz="4" w:space="0" w:color="auto"/>
            </w:tcBorders>
            <w:shd w:val="clear" w:color="auto" w:fill="auto"/>
          </w:tcPr>
          <w:p w:rsidR="009C7E99" w:rsidRPr="009552FD" w:rsidRDefault="009C7E99" w:rsidP="007532E9">
            <w:pPr>
              <w:widowControl w:val="0"/>
              <w:spacing w:after="0" w:line="240" w:lineRule="auto"/>
              <w:jc w:val="center"/>
              <w:rPr>
                <w:rFonts w:eastAsia="Times New Roman" w:cs="Times New Roman"/>
                <w:sz w:val="24"/>
                <w:szCs w:val="24"/>
                <w:lang w:bidi="en-US"/>
              </w:rPr>
            </w:pPr>
            <w:r w:rsidRPr="009552FD">
              <w:rPr>
                <w:rFonts w:eastAsia="Times New Roman" w:cs="Times New Roman"/>
                <w:sz w:val="24"/>
                <w:szCs w:val="24"/>
                <w:lang w:bidi="en-US"/>
              </w:rPr>
              <w:t>12 189</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9C7E99" w:rsidRPr="009552FD" w:rsidRDefault="009C7E99" w:rsidP="007532E9">
            <w:pPr>
              <w:widowControl w:val="0"/>
              <w:spacing w:after="0" w:line="240" w:lineRule="auto"/>
              <w:ind w:left="1100"/>
              <w:jc w:val="center"/>
              <w:rPr>
                <w:rFonts w:eastAsia="Times New Roman" w:cs="Times New Roman"/>
                <w:sz w:val="24"/>
                <w:szCs w:val="24"/>
                <w:lang w:bidi="en-US"/>
              </w:rPr>
            </w:pPr>
            <w:r w:rsidRPr="009552FD">
              <w:rPr>
                <w:rFonts w:eastAsia="Times New Roman" w:cs="Times New Roman"/>
                <w:sz w:val="24"/>
                <w:szCs w:val="24"/>
                <w:lang w:bidi="en-US"/>
              </w:rPr>
              <w:t>94,92%</w:t>
            </w:r>
          </w:p>
        </w:tc>
      </w:tr>
    </w:tbl>
    <w:p w:rsidR="009C7E99" w:rsidRPr="009552FD" w:rsidRDefault="009C7E99" w:rsidP="007532E9">
      <w:pPr>
        <w:widowControl w:val="0"/>
        <w:spacing w:after="239" w:line="1" w:lineRule="exact"/>
        <w:jc w:val="center"/>
        <w:rPr>
          <w:rFonts w:eastAsia="Arial Unicode MS" w:cs="Arial Unicode MS"/>
          <w:color w:val="000000"/>
          <w:sz w:val="24"/>
          <w:szCs w:val="24"/>
          <w:lang w:bidi="en-US"/>
        </w:rPr>
      </w:pPr>
    </w:p>
    <w:p w:rsidR="009C7E99" w:rsidRPr="009552FD" w:rsidRDefault="009C7E99" w:rsidP="007532E9">
      <w:pPr>
        <w:widowControl w:val="0"/>
        <w:numPr>
          <w:ilvl w:val="0"/>
          <w:numId w:val="9"/>
        </w:numPr>
        <w:tabs>
          <w:tab w:val="left" w:pos="404"/>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Od 2016 r. znacznie wzrosła liczba wniosków o przedłużenie tymczasowego aresztowania składanych w toku postępowania przygotowawczego. W latach 2015–2018 liczba ta wzrosła niemal dwukrotnie. Jednocześnie skuteczność wniosków o przedłużenie tymczasowego aresztowania (na poziomie ok. 95%) jest nadal wysoka.</w:t>
      </w:r>
    </w:p>
    <w:p w:rsidR="009C7E99" w:rsidRPr="009552FD" w:rsidRDefault="0045422F" w:rsidP="0045422F">
      <w:pPr>
        <w:keepNext/>
        <w:keepLines/>
        <w:widowControl w:val="0"/>
        <w:spacing w:before="120" w:after="0" w:line="240" w:lineRule="auto"/>
        <w:jc w:val="both"/>
        <w:outlineLvl w:val="1"/>
        <w:rPr>
          <w:rFonts w:eastAsia="Times New Roman" w:cs="Times New Roman"/>
          <w:b/>
          <w:bCs/>
          <w:sz w:val="24"/>
          <w:szCs w:val="24"/>
          <w:lang w:bidi="en-US"/>
        </w:rPr>
      </w:pPr>
      <w:r>
        <w:rPr>
          <w:rFonts w:eastAsia="Times New Roman" w:cs="Times New Roman"/>
          <w:b/>
          <w:bCs/>
          <w:sz w:val="24"/>
          <w:szCs w:val="24"/>
          <w:lang w:bidi="en-US"/>
        </w:rPr>
        <w:t xml:space="preserve">III.1.d. </w:t>
      </w:r>
      <w:r w:rsidR="009C7E99" w:rsidRPr="009552FD">
        <w:rPr>
          <w:rFonts w:eastAsia="Times New Roman" w:cs="Times New Roman"/>
          <w:b/>
          <w:bCs/>
          <w:sz w:val="24"/>
          <w:szCs w:val="24"/>
          <w:lang w:bidi="en-US"/>
        </w:rPr>
        <w:t>Liczba osób tymczasowo aresztowanych przez okres ponad dwóch lat</w:t>
      </w:r>
    </w:p>
    <w:p w:rsidR="009C7E99" w:rsidRPr="009552FD" w:rsidRDefault="009C7E99" w:rsidP="007532E9">
      <w:pPr>
        <w:widowControl w:val="0"/>
        <w:numPr>
          <w:ilvl w:val="0"/>
          <w:numId w:val="9"/>
        </w:numPr>
        <w:tabs>
          <w:tab w:val="left" w:pos="404"/>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 xml:space="preserve">W wyroku w sprawie </w:t>
      </w:r>
      <w:r w:rsidRPr="009552FD">
        <w:rPr>
          <w:rFonts w:eastAsia="Times New Roman" w:cs="Times New Roman"/>
          <w:i/>
          <w:iCs/>
          <w:sz w:val="24"/>
          <w:szCs w:val="24"/>
          <w:lang w:bidi="en-US"/>
        </w:rPr>
        <w:t xml:space="preserve">Mierzejewski </w:t>
      </w:r>
      <w:r w:rsidRPr="009552FD">
        <w:rPr>
          <w:rFonts w:eastAsia="Times New Roman" w:cs="Times New Roman"/>
          <w:sz w:val="24"/>
          <w:szCs w:val="24"/>
          <w:lang w:bidi="en-US"/>
        </w:rPr>
        <w:t>ETPCz stwierdził naruszenie art. 5 § 3 Konwencji właśnie ze względu na długość okresu tymczasowego aresztowania. Przewlekłość to również zarzut,</w:t>
      </w:r>
      <w:r w:rsidR="007532E9">
        <w:rPr>
          <w:rFonts w:eastAsia="Times New Roman" w:cs="Times New Roman"/>
          <w:sz w:val="24"/>
          <w:szCs w:val="24"/>
          <w:lang w:bidi="en-US"/>
        </w:rPr>
        <w:t xml:space="preserve"> </w:t>
      </w:r>
      <w:r w:rsidRPr="009552FD">
        <w:rPr>
          <w:rFonts w:eastAsia="Times New Roman" w:cs="Times New Roman"/>
          <w:sz w:val="24"/>
          <w:szCs w:val="24"/>
          <w:lang w:bidi="en-US"/>
        </w:rPr>
        <w:t>który jest jednym z najczęściej podnoszonych w skargach trafiających z Polski do Europejskiego Trybunału Praw Człowieka. Z tego powodu HFPC jest zdania, że Komitet powinien zwrócić szczególną uwagę na problem przewlekłości tymczasowego aresztowania (zarówno z perspektywy praktyki organów wymiaru sprawiedliwości w sprawach karnych, jak i działań legislacyjnych).</w:t>
      </w:r>
    </w:p>
    <w:p w:rsidR="009C7E99" w:rsidRPr="009552FD" w:rsidRDefault="009C7E99" w:rsidP="007532E9">
      <w:pPr>
        <w:widowControl w:val="0"/>
        <w:numPr>
          <w:ilvl w:val="0"/>
          <w:numId w:val="9"/>
        </w:numPr>
        <w:tabs>
          <w:tab w:val="left" w:pos="404"/>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 xml:space="preserve">W Raporcie z działań rząd wskazuje, że tymczasowe aresztowanie przekraczające okres dwóch lat w toku postępowania przygotowawczego zastosowano wyłącznie wobec 18 osób. Co istotne, chociaż liczba ta nie wydaje się wysoka w porównaniu z ogólną liczbą tymczasowo </w:t>
      </w:r>
      <w:r w:rsidRPr="009552FD">
        <w:rPr>
          <w:rFonts w:eastAsia="Times New Roman" w:cs="Times New Roman"/>
          <w:sz w:val="24"/>
          <w:szCs w:val="24"/>
          <w:lang w:bidi="en-US"/>
        </w:rPr>
        <w:lastRenderedPageBreak/>
        <w:t>aresztowanych, to jednak jest niepokojąca. Główne przyczyny tej dychotomii są następujące:</w:t>
      </w:r>
    </w:p>
    <w:p w:rsidR="009C7E99" w:rsidRPr="009552FD" w:rsidRDefault="009C7E99" w:rsidP="00D24F7A">
      <w:pPr>
        <w:widowControl w:val="0"/>
        <w:numPr>
          <w:ilvl w:val="0"/>
          <w:numId w:val="10"/>
        </w:numPr>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W ciągu ostatnich dwóch lat gwałtownie wzrosła liczba osób tymczasowo aresztowanych przez okres ponad dwóch lat na etapie postępowania przygotowawczego (z 2 na koniec 2013 i 2014 r. do 18 na koniec 2018 r., co stanowi dziewięciokrotny wzrost).</w:t>
      </w:r>
    </w:p>
    <w:p w:rsidR="009C7E99" w:rsidRPr="009552FD" w:rsidRDefault="009C7E99" w:rsidP="00D24F7A">
      <w:pPr>
        <w:widowControl w:val="0"/>
        <w:numPr>
          <w:ilvl w:val="0"/>
          <w:numId w:val="10"/>
        </w:numPr>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Jednocześnie nastąpił wzrost współczynnika osób tymczasowo aresztowanych powyżej dwóch lat w stosunku do ogółu tymczasowo aresztowanych w toku postępowania przygotowawczego (0,43% w 2018 r. w porównaniu do zaledwie 0,09% w 2016 r.).</w:t>
      </w:r>
    </w:p>
    <w:p w:rsidR="009C7E99" w:rsidRPr="009552FD" w:rsidRDefault="009C7E99" w:rsidP="00D24F7A">
      <w:pPr>
        <w:widowControl w:val="0"/>
        <w:numPr>
          <w:ilvl w:val="0"/>
          <w:numId w:val="10"/>
        </w:numPr>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Można spodziewać się utrzymania tendencji wzrostowej, gdyż nastąpił również wzrost liczby osób tymczasowo aresztowanych na okres od 1 roku do 2 lat (z 38 w 2016 r. do 161 w 2018 r., w toku postępowania przygotowawczego, z 155 w 2016 r. do 255 w 2018 r., w postępowaniach przed sądami rejonowymi oraz z 490 w 2016 r. do 727 w 2018 r. w postępowaniach przed sądami okręgowymi).</w:t>
      </w:r>
    </w:p>
    <w:p w:rsidR="009C7E99" w:rsidRPr="009552FD" w:rsidRDefault="009C7E99" w:rsidP="007532E9">
      <w:pPr>
        <w:widowControl w:val="0"/>
        <w:spacing w:before="120" w:after="0" w:line="240" w:lineRule="auto"/>
        <w:ind w:firstLine="20"/>
        <w:jc w:val="both"/>
        <w:rPr>
          <w:rFonts w:eastAsia="Times New Roman" w:cs="Times New Roman"/>
          <w:sz w:val="24"/>
          <w:szCs w:val="24"/>
          <w:lang w:bidi="en-US"/>
        </w:rPr>
      </w:pPr>
    </w:p>
    <w:p w:rsidR="009C7E99" w:rsidRPr="009552FD" w:rsidRDefault="009C7E99" w:rsidP="009C7E99">
      <w:pPr>
        <w:widowControl w:val="0"/>
        <w:spacing w:after="0" w:line="252" w:lineRule="auto"/>
        <w:ind w:left="1080"/>
        <w:jc w:val="both"/>
        <w:rPr>
          <w:rFonts w:eastAsia="Times New Roman" w:cs="Times New Roman"/>
          <w:sz w:val="24"/>
          <w:szCs w:val="24"/>
          <w:lang w:bidi="en-US"/>
        </w:rPr>
      </w:pPr>
    </w:p>
    <w:tbl>
      <w:tblPr>
        <w:tblOverlap w:val="never"/>
        <w:tblW w:w="9512" w:type="dxa"/>
        <w:jc w:val="center"/>
        <w:tblLayout w:type="fixed"/>
        <w:tblCellMar>
          <w:left w:w="10" w:type="dxa"/>
          <w:right w:w="10" w:type="dxa"/>
        </w:tblCellMar>
        <w:tblLook w:val="0000" w:firstRow="0" w:lastRow="0" w:firstColumn="0" w:lastColumn="0" w:noHBand="0" w:noVBand="0"/>
      </w:tblPr>
      <w:tblGrid>
        <w:gridCol w:w="1413"/>
        <w:gridCol w:w="657"/>
        <w:gridCol w:w="734"/>
        <w:gridCol w:w="744"/>
        <w:gridCol w:w="730"/>
        <w:gridCol w:w="749"/>
        <w:gridCol w:w="730"/>
        <w:gridCol w:w="749"/>
        <w:gridCol w:w="730"/>
        <w:gridCol w:w="749"/>
        <w:gridCol w:w="730"/>
        <w:gridCol w:w="797"/>
      </w:tblGrid>
      <w:tr w:rsidR="009C7E99" w:rsidRPr="0045422F" w:rsidTr="00B708A0">
        <w:trPr>
          <w:trHeight w:hRule="exact" w:val="437"/>
          <w:jc w:val="center"/>
        </w:trPr>
        <w:tc>
          <w:tcPr>
            <w:tcW w:w="2070" w:type="dxa"/>
            <w:gridSpan w:val="2"/>
            <w:tcBorders>
              <w:top w:val="single" w:sz="4" w:space="0" w:color="auto"/>
              <w:left w:val="single" w:sz="4" w:space="0" w:color="auto"/>
            </w:tcBorders>
            <w:shd w:val="clear" w:color="auto" w:fill="FFFFFF"/>
          </w:tcPr>
          <w:p w:rsidR="009C7E99" w:rsidRPr="0045422F" w:rsidRDefault="009C7E99" w:rsidP="0045422F">
            <w:pPr>
              <w:widowControl w:val="0"/>
              <w:spacing w:after="0" w:line="240" w:lineRule="auto"/>
              <w:jc w:val="center"/>
              <w:rPr>
                <w:rFonts w:eastAsia="Times New Roman" w:cs="Times New Roman"/>
                <w:sz w:val="20"/>
                <w:szCs w:val="20"/>
                <w:lang w:bidi="en-US"/>
              </w:rPr>
            </w:pPr>
            <w:r w:rsidRPr="0045422F">
              <w:rPr>
                <w:rFonts w:eastAsia="Times New Roman" w:cs="Times New Roman"/>
                <w:b/>
                <w:bCs/>
                <w:sz w:val="20"/>
                <w:szCs w:val="20"/>
                <w:lang w:bidi="en-US"/>
              </w:rPr>
              <w:t>Rok</w:t>
            </w:r>
            <w:r w:rsidRPr="0045422F">
              <w:rPr>
                <w:rFonts w:eastAsia="Times New Roman" w:cs="Times New Roman"/>
                <w:b/>
                <w:bCs/>
                <w:sz w:val="20"/>
                <w:szCs w:val="20"/>
                <w:vertAlign w:val="superscript"/>
                <w:lang w:bidi="en-US"/>
              </w:rPr>
              <w:footnoteReference w:id="14"/>
            </w:r>
          </w:p>
        </w:tc>
        <w:tc>
          <w:tcPr>
            <w:tcW w:w="734" w:type="dxa"/>
            <w:tcBorders>
              <w:top w:val="single" w:sz="4" w:space="0" w:color="auto"/>
              <w:left w:val="single" w:sz="4" w:space="0" w:color="auto"/>
            </w:tcBorders>
            <w:shd w:val="clear" w:color="auto" w:fill="FFFFFF"/>
          </w:tcPr>
          <w:p w:rsidR="009C7E99" w:rsidRPr="0045422F" w:rsidRDefault="009C7E99" w:rsidP="0045422F">
            <w:pPr>
              <w:widowControl w:val="0"/>
              <w:spacing w:after="0" w:line="240" w:lineRule="auto"/>
              <w:rPr>
                <w:rFonts w:eastAsia="Times New Roman" w:cs="Times New Roman"/>
                <w:sz w:val="20"/>
                <w:szCs w:val="20"/>
                <w:lang w:bidi="en-US"/>
              </w:rPr>
            </w:pPr>
            <w:r w:rsidRPr="0045422F">
              <w:rPr>
                <w:rFonts w:eastAsia="Times New Roman" w:cs="Times New Roman"/>
                <w:b/>
                <w:bCs/>
                <w:sz w:val="20"/>
                <w:szCs w:val="20"/>
                <w:lang w:bidi="en-US"/>
              </w:rPr>
              <w:t>2009</w:t>
            </w:r>
          </w:p>
        </w:tc>
        <w:tc>
          <w:tcPr>
            <w:tcW w:w="744" w:type="dxa"/>
            <w:tcBorders>
              <w:top w:val="single" w:sz="4" w:space="0" w:color="auto"/>
              <w:left w:val="single" w:sz="4" w:space="0" w:color="auto"/>
            </w:tcBorders>
            <w:shd w:val="clear" w:color="auto" w:fill="FFFFFF"/>
          </w:tcPr>
          <w:p w:rsidR="009C7E99" w:rsidRPr="0045422F" w:rsidRDefault="009C7E99" w:rsidP="0045422F">
            <w:pPr>
              <w:widowControl w:val="0"/>
              <w:spacing w:after="0" w:line="240" w:lineRule="auto"/>
              <w:rPr>
                <w:rFonts w:eastAsia="Times New Roman" w:cs="Times New Roman"/>
                <w:sz w:val="20"/>
                <w:szCs w:val="20"/>
                <w:lang w:bidi="en-US"/>
              </w:rPr>
            </w:pPr>
            <w:r w:rsidRPr="0045422F">
              <w:rPr>
                <w:rFonts w:eastAsia="Times New Roman" w:cs="Times New Roman"/>
                <w:b/>
                <w:bCs/>
                <w:sz w:val="20"/>
                <w:szCs w:val="20"/>
                <w:lang w:bidi="en-US"/>
              </w:rPr>
              <w:t>2010</w:t>
            </w:r>
          </w:p>
        </w:tc>
        <w:tc>
          <w:tcPr>
            <w:tcW w:w="730" w:type="dxa"/>
            <w:tcBorders>
              <w:top w:val="single" w:sz="4" w:space="0" w:color="auto"/>
              <w:left w:val="single" w:sz="4" w:space="0" w:color="auto"/>
            </w:tcBorders>
            <w:shd w:val="clear" w:color="auto" w:fill="FFFFFF"/>
          </w:tcPr>
          <w:p w:rsidR="009C7E99" w:rsidRPr="0045422F" w:rsidRDefault="009C7E99" w:rsidP="0045422F">
            <w:pPr>
              <w:widowControl w:val="0"/>
              <w:spacing w:after="0" w:line="240" w:lineRule="auto"/>
              <w:rPr>
                <w:rFonts w:eastAsia="Times New Roman" w:cs="Times New Roman"/>
                <w:sz w:val="20"/>
                <w:szCs w:val="20"/>
                <w:lang w:bidi="en-US"/>
              </w:rPr>
            </w:pPr>
            <w:r w:rsidRPr="0045422F">
              <w:rPr>
                <w:rFonts w:eastAsia="Times New Roman" w:cs="Times New Roman"/>
                <w:b/>
                <w:bCs/>
                <w:sz w:val="20"/>
                <w:szCs w:val="20"/>
                <w:lang w:bidi="en-US"/>
              </w:rPr>
              <w:t>2011</w:t>
            </w:r>
          </w:p>
        </w:tc>
        <w:tc>
          <w:tcPr>
            <w:tcW w:w="749" w:type="dxa"/>
            <w:tcBorders>
              <w:top w:val="single" w:sz="4" w:space="0" w:color="auto"/>
              <w:left w:val="single" w:sz="4" w:space="0" w:color="auto"/>
            </w:tcBorders>
            <w:shd w:val="clear" w:color="auto" w:fill="FFFFFF"/>
          </w:tcPr>
          <w:p w:rsidR="009C7E99" w:rsidRPr="0045422F" w:rsidRDefault="009C7E99" w:rsidP="0045422F">
            <w:pPr>
              <w:widowControl w:val="0"/>
              <w:spacing w:after="0" w:line="240" w:lineRule="auto"/>
              <w:rPr>
                <w:rFonts w:eastAsia="Times New Roman" w:cs="Times New Roman"/>
                <w:sz w:val="20"/>
                <w:szCs w:val="20"/>
                <w:lang w:bidi="en-US"/>
              </w:rPr>
            </w:pPr>
            <w:r w:rsidRPr="0045422F">
              <w:rPr>
                <w:rFonts w:eastAsia="Times New Roman" w:cs="Times New Roman"/>
                <w:b/>
                <w:bCs/>
                <w:sz w:val="20"/>
                <w:szCs w:val="20"/>
                <w:lang w:bidi="en-US"/>
              </w:rPr>
              <w:t>2012</w:t>
            </w:r>
          </w:p>
        </w:tc>
        <w:tc>
          <w:tcPr>
            <w:tcW w:w="730" w:type="dxa"/>
            <w:tcBorders>
              <w:top w:val="single" w:sz="4" w:space="0" w:color="auto"/>
              <w:left w:val="single" w:sz="4" w:space="0" w:color="auto"/>
            </w:tcBorders>
            <w:shd w:val="clear" w:color="auto" w:fill="FFFFFF"/>
          </w:tcPr>
          <w:p w:rsidR="009C7E99" w:rsidRPr="0045422F" w:rsidRDefault="009C7E99" w:rsidP="0045422F">
            <w:pPr>
              <w:widowControl w:val="0"/>
              <w:spacing w:after="0" w:line="240" w:lineRule="auto"/>
              <w:rPr>
                <w:rFonts w:eastAsia="Times New Roman" w:cs="Times New Roman"/>
                <w:sz w:val="20"/>
                <w:szCs w:val="20"/>
                <w:lang w:bidi="en-US"/>
              </w:rPr>
            </w:pPr>
            <w:r w:rsidRPr="0045422F">
              <w:rPr>
                <w:rFonts w:eastAsia="Times New Roman" w:cs="Times New Roman"/>
                <w:b/>
                <w:bCs/>
                <w:sz w:val="20"/>
                <w:szCs w:val="20"/>
                <w:lang w:bidi="en-US"/>
              </w:rPr>
              <w:t>2013</w:t>
            </w:r>
          </w:p>
        </w:tc>
        <w:tc>
          <w:tcPr>
            <w:tcW w:w="749" w:type="dxa"/>
            <w:tcBorders>
              <w:top w:val="single" w:sz="4" w:space="0" w:color="auto"/>
              <w:left w:val="single" w:sz="4" w:space="0" w:color="auto"/>
            </w:tcBorders>
            <w:shd w:val="clear" w:color="auto" w:fill="FFFFFF"/>
          </w:tcPr>
          <w:p w:rsidR="009C7E99" w:rsidRPr="0045422F" w:rsidRDefault="009C7E99" w:rsidP="0045422F">
            <w:pPr>
              <w:widowControl w:val="0"/>
              <w:spacing w:after="0" w:line="240" w:lineRule="auto"/>
              <w:jc w:val="center"/>
              <w:rPr>
                <w:rFonts w:eastAsia="Times New Roman" w:cs="Times New Roman"/>
                <w:sz w:val="20"/>
                <w:szCs w:val="20"/>
                <w:lang w:bidi="en-US"/>
              </w:rPr>
            </w:pPr>
            <w:r w:rsidRPr="0045422F">
              <w:rPr>
                <w:rFonts w:eastAsia="Times New Roman" w:cs="Times New Roman"/>
                <w:b/>
                <w:bCs/>
                <w:sz w:val="20"/>
                <w:szCs w:val="20"/>
                <w:lang w:bidi="en-US"/>
              </w:rPr>
              <w:t>2014</w:t>
            </w:r>
          </w:p>
        </w:tc>
        <w:tc>
          <w:tcPr>
            <w:tcW w:w="730" w:type="dxa"/>
            <w:tcBorders>
              <w:top w:val="single" w:sz="4" w:space="0" w:color="auto"/>
              <w:left w:val="single" w:sz="4" w:space="0" w:color="auto"/>
            </w:tcBorders>
            <w:shd w:val="clear" w:color="auto" w:fill="FFFFFF"/>
          </w:tcPr>
          <w:p w:rsidR="009C7E99" w:rsidRPr="0045422F" w:rsidRDefault="009C7E99" w:rsidP="0045422F">
            <w:pPr>
              <w:widowControl w:val="0"/>
              <w:spacing w:after="0" w:line="240" w:lineRule="auto"/>
              <w:rPr>
                <w:rFonts w:eastAsia="Times New Roman" w:cs="Times New Roman"/>
                <w:sz w:val="20"/>
                <w:szCs w:val="20"/>
                <w:lang w:bidi="en-US"/>
              </w:rPr>
            </w:pPr>
            <w:r w:rsidRPr="0045422F">
              <w:rPr>
                <w:rFonts w:eastAsia="Times New Roman" w:cs="Times New Roman"/>
                <w:b/>
                <w:bCs/>
                <w:sz w:val="20"/>
                <w:szCs w:val="20"/>
                <w:lang w:bidi="en-US"/>
              </w:rPr>
              <w:t>2015</w:t>
            </w:r>
          </w:p>
        </w:tc>
        <w:tc>
          <w:tcPr>
            <w:tcW w:w="749" w:type="dxa"/>
            <w:tcBorders>
              <w:top w:val="single" w:sz="4" w:space="0" w:color="auto"/>
              <w:left w:val="single" w:sz="4" w:space="0" w:color="auto"/>
            </w:tcBorders>
            <w:shd w:val="clear" w:color="auto" w:fill="FFFFFF"/>
          </w:tcPr>
          <w:p w:rsidR="009C7E99" w:rsidRPr="0045422F" w:rsidRDefault="009C7E99" w:rsidP="0045422F">
            <w:pPr>
              <w:widowControl w:val="0"/>
              <w:spacing w:after="0" w:line="240" w:lineRule="auto"/>
              <w:rPr>
                <w:rFonts w:eastAsia="Times New Roman" w:cs="Times New Roman"/>
                <w:sz w:val="20"/>
                <w:szCs w:val="20"/>
                <w:lang w:bidi="en-US"/>
              </w:rPr>
            </w:pPr>
            <w:r w:rsidRPr="0045422F">
              <w:rPr>
                <w:rFonts w:eastAsia="Times New Roman" w:cs="Times New Roman"/>
                <w:b/>
                <w:bCs/>
                <w:sz w:val="20"/>
                <w:szCs w:val="20"/>
                <w:lang w:bidi="en-US"/>
              </w:rPr>
              <w:t>2016</w:t>
            </w:r>
          </w:p>
        </w:tc>
        <w:tc>
          <w:tcPr>
            <w:tcW w:w="730" w:type="dxa"/>
            <w:tcBorders>
              <w:top w:val="single" w:sz="4" w:space="0" w:color="auto"/>
              <w:left w:val="single" w:sz="4" w:space="0" w:color="auto"/>
            </w:tcBorders>
            <w:shd w:val="clear" w:color="auto" w:fill="FFFFFF"/>
          </w:tcPr>
          <w:p w:rsidR="009C7E99" w:rsidRPr="0045422F" w:rsidRDefault="009C7E99" w:rsidP="0045422F">
            <w:pPr>
              <w:widowControl w:val="0"/>
              <w:spacing w:after="0" w:line="240" w:lineRule="auto"/>
              <w:rPr>
                <w:rFonts w:eastAsia="Times New Roman" w:cs="Times New Roman"/>
                <w:sz w:val="20"/>
                <w:szCs w:val="20"/>
                <w:lang w:bidi="en-US"/>
              </w:rPr>
            </w:pPr>
            <w:r w:rsidRPr="0045422F">
              <w:rPr>
                <w:rFonts w:eastAsia="Times New Roman" w:cs="Times New Roman"/>
                <w:b/>
                <w:bCs/>
                <w:sz w:val="20"/>
                <w:szCs w:val="20"/>
                <w:lang w:bidi="en-US"/>
              </w:rPr>
              <w:t>2017</w:t>
            </w:r>
          </w:p>
        </w:tc>
        <w:tc>
          <w:tcPr>
            <w:tcW w:w="797" w:type="dxa"/>
            <w:tcBorders>
              <w:top w:val="single" w:sz="4" w:space="0" w:color="auto"/>
              <w:left w:val="single" w:sz="4" w:space="0" w:color="auto"/>
              <w:right w:val="single" w:sz="4" w:space="0" w:color="auto"/>
            </w:tcBorders>
            <w:shd w:val="clear" w:color="auto" w:fill="FFFFFF"/>
          </w:tcPr>
          <w:p w:rsidR="009C7E99" w:rsidRPr="0045422F" w:rsidRDefault="009C7E99" w:rsidP="0045422F">
            <w:pPr>
              <w:widowControl w:val="0"/>
              <w:spacing w:after="0" w:line="240" w:lineRule="auto"/>
              <w:ind w:firstLine="140"/>
              <w:rPr>
                <w:rFonts w:eastAsia="Times New Roman" w:cs="Times New Roman"/>
                <w:sz w:val="20"/>
                <w:szCs w:val="20"/>
                <w:lang w:bidi="en-US"/>
              </w:rPr>
            </w:pPr>
            <w:r w:rsidRPr="0045422F">
              <w:rPr>
                <w:rFonts w:eastAsia="Times New Roman" w:cs="Times New Roman"/>
                <w:b/>
                <w:bCs/>
                <w:sz w:val="20"/>
                <w:szCs w:val="20"/>
                <w:lang w:bidi="en-US"/>
              </w:rPr>
              <w:t>2018</w:t>
            </w:r>
          </w:p>
        </w:tc>
      </w:tr>
      <w:tr w:rsidR="009C7E99" w:rsidRPr="0045422F" w:rsidTr="00B708A0">
        <w:trPr>
          <w:trHeight w:hRule="exact" w:val="817"/>
          <w:jc w:val="center"/>
        </w:trPr>
        <w:tc>
          <w:tcPr>
            <w:tcW w:w="1413" w:type="dxa"/>
            <w:vMerge w:val="restart"/>
            <w:tcBorders>
              <w:top w:val="single" w:sz="4" w:space="0" w:color="auto"/>
              <w:left w:val="single" w:sz="4" w:space="0" w:color="auto"/>
            </w:tcBorders>
            <w:shd w:val="clear" w:color="auto" w:fill="FFFFFF"/>
          </w:tcPr>
          <w:p w:rsidR="009C7E99" w:rsidRPr="0045422F" w:rsidRDefault="009C7E99" w:rsidP="0045422F">
            <w:pPr>
              <w:widowControl w:val="0"/>
              <w:spacing w:after="0" w:line="240" w:lineRule="auto"/>
              <w:rPr>
                <w:rFonts w:eastAsia="Times New Roman" w:cs="Times New Roman"/>
                <w:sz w:val="20"/>
                <w:szCs w:val="20"/>
                <w:lang w:bidi="en-US"/>
              </w:rPr>
            </w:pPr>
            <w:r w:rsidRPr="0045422F">
              <w:rPr>
                <w:rFonts w:eastAsia="Times New Roman" w:cs="Times New Roman"/>
                <w:b/>
                <w:bCs/>
                <w:sz w:val="20"/>
                <w:szCs w:val="20"/>
                <w:lang w:bidi="en-US"/>
              </w:rPr>
              <w:t>Postępowanie przygotowawcze</w:t>
            </w:r>
          </w:p>
        </w:tc>
        <w:tc>
          <w:tcPr>
            <w:tcW w:w="657" w:type="dxa"/>
            <w:tcBorders>
              <w:top w:val="single" w:sz="4" w:space="0" w:color="auto"/>
              <w:left w:val="single" w:sz="4" w:space="0" w:color="auto"/>
            </w:tcBorders>
            <w:shd w:val="clear" w:color="auto" w:fill="FFFFFF"/>
          </w:tcPr>
          <w:p w:rsidR="009C7E99" w:rsidRPr="0045422F" w:rsidRDefault="009C7E99" w:rsidP="0045422F">
            <w:pPr>
              <w:widowControl w:val="0"/>
              <w:spacing w:after="0" w:line="240" w:lineRule="auto"/>
              <w:rPr>
                <w:rFonts w:eastAsia="Times New Roman" w:cs="Times New Roman"/>
                <w:sz w:val="20"/>
                <w:szCs w:val="20"/>
                <w:lang w:bidi="en-US"/>
              </w:rPr>
            </w:pPr>
            <w:r w:rsidRPr="0045422F">
              <w:rPr>
                <w:rFonts w:eastAsia="Times New Roman" w:cs="Times New Roman"/>
                <w:b/>
                <w:bCs/>
                <w:sz w:val="20"/>
                <w:szCs w:val="20"/>
                <w:lang w:bidi="en-US"/>
              </w:rPr>
              <w:t>od 1 roku do 2 lat</w:t>
            </w:r>
          </w:p>
        </w:tc>
        <w:tc>
          <w:tcPr>
            <w:tcW w:w="734"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jc w:val="center"/>
              <w:rPr>
                <w:rFonts w:eastAsia="Times New Roman" w:cs="Times New Roman"/>
                <w:sz w:val="20"/>
                <w:szCs w:val="20"/>
                <w:lang w:bidi="en-US"/>
              </w:rPr>
            </w:pPr>
            <w:r w:rsidRPr="0045422F">
              <w:rPr>
                <w:rFonts w:eastAsia="Times New Roman" w:cs="Times New Roman"/>
                <w:sz w:val="20"/>
                <w:szCs w:val="20"/>
                <w:lang w:bidi="en-US"/>
              </w:rPr>
              <w:t>62</w:t>
            </w:r>
          </w:p>
        </w:tc>
        <w:tc>
          <w:tcPr>
            <w:tcW w:w="744"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jc w:val="center"/>
              <w:rPr>
                <w:rFonts w:eastAsia="Times New Roman" w:cs="Times New Roman"/>
                <w:sz w:val="20"/>
                <w:szCs w:val="20"/>
                <w:lang w:bidi="en-US"/>
              </w:rPr>
            </w:pPr>
            <w:r w:rsidRPr="0045422F">
              <w:rPr>
                <w:rFonts w:eastAsia="Times New Roman" w:cs="Times New Roman"/>
                <w:sz w:val="20"/>
                <w:szCs w:val="20"/>
                <w:lang w:bidi="en-US"/>
              </w:rPr>
              <w:t>64</w:t>
            </w:r>
          </w:p>
        </w:tc>
        <w:tc>
          <w:tcPr>
            <w:tcW w:w="730"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ind w:firstLine="220"/>
              <w:rPr>
                <w:rFonts w:eastAsia="Times New Roman" w:cs="Times New Roman"/>
                <w:sz w:val="20"/>
                <w:szCs w:val="20"/>
                <w:lang w:bidi="en-US"/>
              </w:rPr>
            </w:pPr>
            <w:r w:rsidRPr="0045422F">
              <w:rPr>
                <w:rFonts w:eastAsia="Times New Roman" w:cs="Times New Roman"/>
                <w:sz w:val="20"/>
                <w:szCs w:val="20"/>
                <w:lang w:bidi="en-US"/>
              </w:rPr>
              <w:t>30</w:t>
            </w:r>
          </w:p>
        </w:tc>
        <w:tc>
          <w:tcPr>
            <w:tcW w:w="749"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jc w:val="center"/>
              <w:rPr>
                <w:rFonts w:eastAsia="Times New Roman" w:cs="Times New Roman"/>
                <w:sz w:val="20"/>
                <w:szCs w:val="20"/>
                <w:lang w:bidi="en-US"/>
              </w:rPr>
            </w:pPr>
            <w:r w:rsidRPr="0045422F">
              <w:rPr>
                <w:rFonts w:eastAsia="Times New Roman" w:cs="Times New Roman"/>
                <w:sz w:val="20"/>
                <w:szCs w:val="20"/>
                <w:lang w:bidi="en-US"/>
              </w:rPr>
              <w:t>47</w:t>
            </w:r>
          </w:p>
        </w:tc>
        <w:tc>
          <w:tcPr>
            <w:tcW w:w="730"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ind w:firstLine="220"/>
              <w:rPr>
                <w:rFonts w:eastAsia="Times New Roman" w:cs="Times New Roman"/>
                <w:sz w:val="20"/>
                <w:szCs w:val="20"/>
                <w:lang w:bidi="en-US"/>
              </w:rPr>
            </w:pPr>
            <w:r w:rsidRPr="0045422F">
              <w:rPr>
                <w:rFonts w:eastAsia="Times New Roman" w:cs="Times New Roman"/>
                <w:sz w:val="20"/>
                <w:szCs w:val="20"/>
                <w:lang w:bidi="en-US"/>
              </w:rPr>
              <w:t>39</w:t>
            </w:r>
          </w:p>
        </w:tc>
        <w:tc>
          <w:tcPr>
            <w:tcW w:w="749"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ind w:right="260"/>
              <w:jc w:val="right"/>
              <w:rPr>
                <w:rFonts w:eastAsia="Times New Roman" w:cs="Times New Roman"/>
                <w:sz w:val="20"/>
                <w:szCs w:val="20"/>
                <w:lang w:bidi="en-US"/>
              </w:rPr>
            </w:pPr>
            <w:r w:rsidRPr="0045422F">
              <w:rPr>
                <w:rFonts w:eastAsia="Times New Roman" w:cs="Times New Roman"/>
                <w:sz w:val="20"/>
                <w:szCs w:val="20"/>
                <w:lang w:bidi="en-US"/>
              </w:rPr>
              <w:t>41</w:t>
            </w:r>
          </w:p>
        </w:tc>
        <w:tc>
          <w:tcPr>
            <w:tcW w:w="730"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jc w:val="center"/>
              <w:rPr>
                <w:rFonts w:eastAsia="Times New Roman" w:cs="Times New Roman"/>
                <w:sz w:val="20"/>
                <w:szCs w:val="20"/>
                <w:lang w:bidi="en-US"/>
              </w:rPr>
            </w:pPr>
            <w:r w:rsidRPr="0045422F">
              <w:rPr>
                <w:rFonts w:eastAsia="Times New Roman" w:cs="Times New Roman"/>
                <w:sz w:val="20"/>
                <w:szCs w:val="20"/>
                <w:lang w:bidi="en-US"/>
              </w:rPr>
              <w:t>39</w:t>
            </w:r>
          </w:p>
        </w:tc>
        <w:tc>
          <w:tcPr>
            <w:tcW w:w="749"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ind w:right="240"/>
              <w:jc w:val="right"/>
              <w:rPr>
                <w:rFonts w:eastAsia="Times New Roman" w:cs="Times New Roman"/>
                <w:sz w:val="20"/>
                <w:szCs w:val="20"/>
                <w:lang w:bidi="en-US"/>
              </w:rPr>
            </w:pPr>
            <w:r w:rsidRPr="0045422F">
              <w:rPr>
                <w:rFonts w:eastAsia="Times New Roman" w:cs="Times New Roman"/>
                <w:sz w:val="20"/>
                <w:szCs w:val="20"/>
                <w:lang w:bidi="en-US"/>
              </w:rPr>
              <w:t>38</w:t>
            </w:r>
          </w:p>
        </w:tc>
        <w:tc>
          <w:tcPr>
            <w:tcW w:w="730"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ind w:firstLine="240"/>
              <w:rPr>
                <w:rFonts w:eastAsia="Times New Roman" w:cs="Times New Roman"/>
                <w:sz w:val="20"/>
                <w:szCs w:val="20"/>
                <w:lang w:bidi="en-US"/>
              </w:rPr>
            </w:pPr>
            <w:r w:rsidRPr="0045422F">
              <w:rPr>
                <w:rFonts w:eastAsia="Times New Roman" w:cs="Times New Roman"/>
                <w:sz w:val="20"/>
                <w:szCs w:val="20"/>
                <w:lang w:bidi="en-US"/>
              </w:rPr>
              <w:t>96</w:t>
            </w:r>
          </w:p>
        </w:tc>
        <w:tc>
          <w:tcPr>
            <w:tcW w:w="797" w:type="dxa"/>
            <w:tcBorders>
              <w:top w:val="single" w:sz="4" w:space="0" w:color="auto"/>
              <w:left w:val="single" w:sz="4" w:space="0" w:color="auto"/>
              <w:right w:val="single" w:sz="4" w:space="0" w:color="auto"/>
            </w:tcBorders>
            <w:shd w:val="clear" w:color="auto" w:fill="FFFFFF"/>
            <w:vAlign w:val="center"/>
          </w:tcPr>
          <w:p w:rsidR="009C7E99" w:rsidRPr="0045422F" w:rsidRDefault="009C7E99" w:rsidP="0045422F">
            <w:pPr>
              <w:widowControl w:val="0"/>
              <w:spacing w:after="0" w:line="240" w:lineRule="auto"/>
              <w:ind w:right="240"/>
              <w:jc w:val="right"/>
              <w:rPr>
                <w:rFonts w:eastAsia="Times New Roman" w:cs="Times New Roman"/>
                <w:sz w:val="20"/>
                <w:szCs w:val="20"/>
                <w:lang w:bidi="en-US"/>
              </w:rPr>
            </w:pPr>
            <w:r w:rsidRPr="0045422F">
              <w:rPr>
                <w:rFonts w:eastAsia="Times New Roman" w:cs="Times New Roman"/>
                <w:sz w:val="20"/>
                <w:szCs w:val="20"/>
                <w:lang w:bidi="en-US"/>
              </w:rPr>
              <w:t>161</w:t>
            </w:r>
          </w:p>
        </w:tc>
      </w:tr>
      <w:tr w:rsidR="009C7E99" w:rsidRPr="0045422F" w:rsidTr="00B708A0">
        <w:trPr>
          <w:trHeight w:hRule="exact" w:val="955"/>
          <w:jc w:val="center"/>
        </w:trPr>
        <w:tc>
          <w:tcPr>
            <w:tcW w:w="1413" w:type="dxa"/>
            <w:vMerge/>
            <w:tcBorders>
              <w:left w:val="single" w:sz="4" w:space="0" w:color="auto"/>
            </w:tcBorders>
            <w:shd w:val="clear" w:color="auto" w:fill="FFFFFF"/>
          </w:tcPr>
          <w:p w:rsidR="009C7E99" w:rsidRPr="0045422F" w:rsidRDefault="009C7E99" w:rsidP="0045422F">
            <w:pPr>
              <w:widowControl w:val="0"/>
              <w:spacing w:after="0" w:line="240" w:lineRule="auto"/>
              <w:rPr>
                <w:rFonts w:eastAsia="Arial Unicode MS" w:cs="Arial Unicode MS"/>
                <w:color w:val="000000"/>
                <w:sz w:val="20"/>
                <w:szCs w:val="20"/>
                <w:lang w:bidi="en-US"/>
              </w:rPr>
            </w:pPr>
          </w:p>
        </w:tc>
        <w:tc>
          <w:tcPr>
            <w:tcW w:w="657" w:type="dxa"/>
            <w:tcBorders>
              <w:top w:val="single" w:sz="4" w:space="0" w:color="auto"/>
              <w:left w:val="single" w:sz="4" w:space="0" w:color="auto"/>
            </w:tcBorders>
            <w:shd w:val="clear" w:color="auto" w:fill="FFFFFF"/>
          </w:tcPr>
          <w:p w:rsidR="009C7E99" w:rsidRPr="0045422F" w:rsidRDefault="009C7E99" w:rsidP="0045422F">
            <w:pPr>
              <w:widowControl w:val="0"/>
              <w:spacing w:after="0" w:line="240" w:lineRule="auto"/>
              <w:rPr>
                <w:rFonts w:eastAsia="Times New Roman" w:cs="Times New Roman"/>
                <w:sz w:val="20"/>
                <w:szCs w:val="20"/>
                <w:lang w:bidi="en-US"/>
              </w:rPr>
            </w:pPr>
            <w:r w:rsidRPr="0045422F">
              <w:rPr>
                <w:rFonts w:eastAsia="Times New Roman" w:cs="Times New Roman"/>
                <w:b/>
                <w:bCs/>
                <w:sz w:val="20"/>
                <w:szCs w:val="20"/>
                <w:lang w:bidi="en-US"/>
              </w:rPr>
              <w:t>ponad 2 lata</w:t>
            </w:r>
          </w:p>
        </w:tc>
        <w:tc>
          <w:tcPr>
            <w:tcW w:w="734"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ind w:firstLine="320"/>
              <w:rPr>
                <w:rFonts w:eastAsia="Times New Roman" w:cs="Times New Roman"/>
                <w:sz w:val="20"/>
                <w:szCs w:val="20"/>
                <w:lang w:bidi="en-US"/>
              </w:rPr>
            </w:pPr>
            <w:r w:rsidRPr="0045422F">
              <w:rPr>
                <w:rFonts w:eastAsia="Times New Roman" w:cs="Times New Roman"/>
                <w:sz w:val="20"/>
                <w:szCs w:val="20"/>
                <w:lang w:bidi="en-US"/>
              </w:rPr>
              <w:t>1</w:t>
            </w:r>
          </w:p>
        </w:tc>
        <w:tc>
          <w:tcPr>
            <w:tcW w:w="744"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ind w:firstLine="300"/>
              <w:rPr>
                <w:rFonts w:eastAsia="Times New Roman" w:cs="Times New Roman"/>
                <w:sz w:val="20"/>
                <w:szCs w:val="20"/>
                <w:lang w:bidi="en-US"/>
              </w:rPr>
            </w:pPr>
            <w:r w:rsidRPr="0045422F">
              <w:rPr>
                <w:rFonts w:eastAsia="Times New Roman" w:cs="Times New Roman"/>
                <w:sz w:val="20"/>
                <w:szCs w:val="20"/>
                <w:lang w:bidi="en-US"/>
              </w:rPr>
              <w:t>2</w:t>
            </w:r>
          </w:p>
        </w:tc>
        <w:tc>
          <w:tcPr>
            <w:tcW w:w="730"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ind w:firstLine="300"/>
              <w:rPr>
                <w:rFonts w:eastAsia="Times New Roman" w:cs="Times New Roman"/>
                <w:sz w:val="20"/>
                <w:szCs w:val="20"/>
                <w:lang w:bidi="en-US"/>
              </w:rPr>
            </w:pPr>
            <w:r w:rsidRPr="0045422F">
              <w:rPr>
                <w:rFonts w:eastAsia="Times New Roman" w:cs="Times New Roman"/>
                <w:sz w:val="20"/>
                <w:szCs w:val="20"/>
                <w:lang w:bidi="en-US"/>
              </w:rPr>
              <w:t>0</w:t>
            </w:r>
          </w:p>
        </w:tc>
        <w:tc>
          <w:tcPr>
            <w:tcW w:w="749"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ind w:firstLine="300"/>
              <w:rPr>
                <w:rFonts w:eastAsia="Times New Roman" w:cs="Times New Roman"/>
                <w:sz w:val="20"/>
                <w:szCs w:val="20"/>
                <w:lang w:bidi="en-US"/>
              </w:rPr>
            </w:pPr>
            <w:r w:rsidRPr="0045422F">
              <w:rPr>
                <w:rFonts w:eastAsia="Times New Roman" w:cs="Times New Roman"/>
                <w:sz w:val="20"/>
                <w:szCs w:val="20"/>
                <w:lang w:bidi="en-US"/>
              </w:rPr>
              <w:t>0</w:t>
            </w:r>
          </w:p>
        </w:tc>
        <w:tc>
          <w:tcPr>
            <w:tcW w:w="730"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ind w:firstLine="280"/>
              <w:rPr>
                <w:rFonts w:eastAsia="Times New Roman" w:cs="Times New Roman"/>
                <w:sz w:val="20"/>
                <w:szCs w:val="20"/>
                <w:lang w:bidi="en-US"/>
              </w:rPr>
            </w:pPr>
            <w:r w:rsidRPr="0045422F">
              <w:rPr>
                <w:rFonts w:eastAsia="Times New Roman" w:cs="Times New Roman"/>
                <w:sz w:val="20"/>
                <w:szCs w:val="20"/>
                <w:lang w:bidi="en-US"/>
              </w:rPr>
              <w:t>2</w:t>
            </w:r>
          </w:p>
        </w:tc>
        <w:tc>
          <w:tcPr>
            <w:tcW w:w="749"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ind w:firstLine="300"/>
              <w:rPr>
                <w:rFonts w:eastAsia="Times New Roman" w:cs="Times New Roman"/>
                <w:sz w:val="20"/>
                <w:szCs w:val="20"/>
                <w:lang w:bidi="en-US"/>
              </w:rPr>
            </w:pPr>
            <w:r w:rsidRPr="0045422F">
              <w:rPr>
                <w:rFonts w:eastAsia="Times New Roman" w:cs="Times New Roman"/>
                <w:sz w:val="20"/>
                <w:szCs w:val="20"/>
                <w:lang w:bidi="en-US"/>
              </w:rPr>
              <w:t>2</w:t>
            </w:r>
          </w:p>
        </w:tc>
        <w:tc>
          <w:tcPr>
            <w:tcW w:w="730"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ind w:firstLine="300"/>
              <w:rPr>
                <w:rFonts w:eastAsia="Times New Roman" w:cs="Times New Roman"/>
                <w:sz w:val="20"/>
                <w:szCs w:val="20"/>
                <w:lang w:bidi="en-US"/>
              </w:rPr>
            </w:pPr>
            <w:r w:rsidRPr="0045422F">
              <w:rPr>
                <w:rFonts w:eastAsia="Times New Roman" w:cs="Times New Roman"/>
                <w:sz w:val="20"/>
                <w:szCs w:val="20"/>
                <w:lang w:bidi="en-US"/>
              </w:rPr>
              <w:t>5</w:t>
            </w:r>
          </w:p>
        </w:tc>
        <w:tc>
          <w:tcPr>
            <w:tcW w:w="749"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ind w:firstLine="300"/>
              <w:rPr>
                <w:rFonts w:eastAsia="Times New Roman" w:cs="Times New Roman"/>
                <w:sz w:val="20"/>
                <w:szCs w:val="20"/>
                <w:lang w:bidi="en-US"/>
              </w:rPr>
            </w:pPr>
            <w:r w:rsidRPr="0045422F">
              <w:rPr>
                <w:rFonts w:eastAsia="Times New Roman" w:cs="Times New Roman"/>
                <w:sz w:val="20"/>
                <w:szCs w:val="20"/>
                <w:lang w:bidi="en-US"/>
              </w:rPr>
              <w:t>3</w:t>
            </w:r>
          </w:p>
        </w:tc>
        <w:tc>
          <w:tcPr>
            <w:tcW w:w="730"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ind w:firstLine="300"/>
              <w:rPr>
                <w:rFonts w:eastAsia="Times New Roman" w:cs="Times New Roman"/>
                <w:sz w:val="20"/>
                <w:szCs w:val="20"/>
                <w:lang w:bidi="en-US"/>
              </w:rPr>
            </w:pPr>
            <w:r w:rsidRPr="0045422F">
              <w:rPr>
                <w:rFonts w:eastAsia="Times New Roman" w:cs="Times New Roman"/>
                <w:sz w:val="20"/>
                <w:szCs w:val="20"/>
                <w:lang w:bidi="en-US"/>
              </w:rPr>
              <w:t>7</w:t>
            </w:r>
          </w:p>
        </w:tc>
        <w:tc>
          <w:tcPr>
            <w:tcW w:w="797" w:type="dxa"/>
            <w:tcBorders>
              <w:top w:val="single" w:sz="4" w:space="0" w:color="auto"/>
              <w:left w:val="single" w:sz="4" w:space="0" w:color="auto"/>
              <w:right w:val="single" w:sz="4" w:space="0" w:color="auto"/>
            </w:tcBorders>
            <w:shd w:val="clear" w:color="auto" w:fill="FFFFFF"/>
            <w:vAlign w:val="center"/>
          </w:tcPr>
          <w:p w:rsidR="009C7E99" w:rsidRPr="0045422F" w:rsidRDefault="009C7E99" w:rsidP="0045422F">
            <w:pPr>
              <w:widowControl w:val="0"/>
              <w:spacing w:after="0" w:line="240" w:lineRule="auto"/>
              <w:ind w:right="240"/>
              <w:jc w:val="right"/>
              <w:rPr>
                <w:rFonts w:eastAsia="Times New Roman" w:cs="Times New Roman"/>
                <w:sz w:val="20"/>
                <w:szCs w:val="20"/>
                <w:lang w:bidi="en-US"/>
              </w:rPr>
            </w:pPr>
            <w:r w:rsidRPr="0045422F">
              <w:rPr>
                <w:rFonts w:eastAsia="Times New Roman" w:cs="Times New Roman"/>
                <w:sz w:val="20"/>
                <w:szCs w:val="20"/>
                <w:lang w:bidi="en-US"/>
              </w:rPr>
              <w:t>18</w:t>
            </w:r>
          </w:p>
        </w:tc>
      </w:tr>
      <w:tr w:rsidR="009C7E99" w:rsidRPr="0045422F" w:rsidTr="00D06488">
        <w:trPr>
          <w:trHeight w:hRule="exact" w:val="882"/>
          <w:jc w:val="center"/>
        </w:trPr>
        <w:tc>
          <w:tcPr>
            <w:tcW w:w="1413" w:type="dxa"/>
            <w:vMerge w:val="restart"/>
            <w:tcBorders>
              <w:top w:val="single" w:sz="4" w:space="0" w:color="auto"/>
              <w:left w:val="single" w:sz="4" w:space="0" w:color="auto"/>
            </w:tcBorders>
            <w:shd w:val="clear" w:color="auto" w:fill="auto"/>
          </w:tcPr>
          <w:p w:rsidR="009C7E99" w:rsidRPr="0045422F" w:rsidRDefault="009C7E99" w:rsidP="0045422F">
            <w:pPr>
              <w:widowControl w:val="0"/>
              <w:spacing w:after="0" w:line="240" w:lineRule="auto"/>
              <w:rPr>
                <w:rFonts w:eastAsia="Times New Roman" w:cs="Times New Roman"/>
                <w:sz w:val="20"/>
                <w:szCs w:val="20"/>
                <w:lang w:bidi="en-US"/>
              </w:rPr>
            </w:pPr>
            <w:r w:rsidRPr="0045422F">
              <w:rPr>
                <w:rFonts w:eastAsia="Times New Roman" w:cs="Times New Roman"/>
                <w:b/>
                <w:bCs/>
                <w:sz w:val="20"/>
                <w:szCs w:val="20"/>
                <w:lang w:bidi="en-US"/>
              </w:rPr>
              <w:t>Sądy rejonowe</w:t>
            </w:r>
          </w:p>
        </w:tc>
        <w:tc>
          <w:tcPr>
            <w:tcW w:w="657" w:type="dxa"/>
            <w:tcBorders>
              <w:top w:val="single" w:sz="4" w:space="0" w:color="auto"/>
              <w:left w:val="single" w:sz="4" w:space="0" w:color="auto"/>
            </w:tcBorders>
            <w:shd w:val="clear" w:color="auto" w:fill="auto"/>
          </w:tcPr>
          <w:p w:rsidR="009C7E99" w:rsidRPr="0045422F" w:rsidRDefault="009C7E99" w:rsidP="0045422F">
            <w:pPr>
              <w:widowControl w:val="0"/>
              <w:spacing w:after="0" w:line="240" w:lineRule="auto"/>
              <w:rPr>
                <w:rFonts w:eastAsia="Times New Roman" w:cs="Times New Roman"/>
                <w:sz w:val="20"/>
                <w:szCs w:val="20"/>
                <w:lang w:bidi="en-US"/>
              </w:rPr>
            </w:pPr>
            <w:r w:rsidRPr="0045422F">
              <w:rPr>
                <w:rFonts w:eastAsia="Times New Roman" w:cs="Times New Roman"/>
                <w:b/>
                <w:bCs/>
                <w:sz w:val="20"/>
                <w:szCs w:val="20"/>
                <w:lang w:bidi="en-US"/>
              </w:rPr>
              <w:t>od 1 roku do 2 lat</w:t>
            </w:r>
          </w:p>
        </w:tc>
        <w:tc>
          <w:tcPr>
            <w:tcW w:w="734" w:type="dxa"/>
            <w:tcBorders>
              <w:top w:val="single" w:sz="4" w:space="0" w:color="auto"/>
              <w:left w:val="single" w:sz="4" w:space="0" w:color="auto"/>
            </w:tcBorders>
            <w:shd w:val="clear" w:color="auto" w:fill="auto"/>
            <w:vAlign w:val="center"/>
          </w:tcPr>
          <w:p w:rsidR="009C7E99" w:rsidRPr="0045422F" w:rsidRDefault="009C7E99" w:rsidP="0045422F">
            <w:pPr>
              <w:widowControl w:val="0"/>
              <w:spacing w:after="0" w:line="240" w:lineRule="auto"/>
              <w:ind w:firstLine="240"/>
              <w:rPr>
                <w:rFonts w:eastAsia="Times New Roman" w:cs="Times New Roman"/>
                <w:sz w:val="20"/>
                <w:szCs w:val="20"/>
                <w:lang w:bidi="en-US"/>
              </w:rPr>
            </w:pPr>
            <w:r w:rsidRPr="0045422F">
              <w:rPr>
                <w:rFonts w:eastAsia="Times New Roman" w:cs="Times New Roman"/>
                <w:sz w:val="20"/>
                <w:szCs w:val="20"/>
                <w:lang w:bidi="en-US"/>
              </w:rPr>
              <w:t>393</w:t>
            </w:r>
          </w:p>
        </w:tc>
        <w:tc>
          <w:tcPr>
            <w:tcW w:w="744" w:type="dxa"/>
            <w:tcBorders>
              <w:top w:val="single" w:sz="4" w:space="0" w:color="auto"/>
              <w:left w:val="single" w:sz="4" w:space="0" w:color="auto"/>
            </w:tcBorders>
            <w:shd w:val="clear" w:color="auto" w:fill="auto"/>
            <w:vAlign w:val="center"/>
          </w:tcPr>
          <w:p w:rsidR="009C7E99" w:rsidRPr="0045422F" w:rsidRDefault="009C7E99" w:rsidP="0045422F">
            <w:pPr>
              <w:widowControl w:val="0"/>
              <w:spacing w:after="0" w:line="240" w:lineRule="auto"/>
              <w:ind w:firstLine="240"/>
              <w:rPr>
                <w:rFonts w:eastAsia="Times New Roman" w:cs="Times New Roman"/>
                <w:sz w:val="20"/>
                <w:szCs w:val="20"/>
                <w:lang w:bidi="en-US"/>
              </w:rPr>
            </w:pPr>
            <w:r w:rsidRPr="0045422F">
              <w:rPr>
                <w:rFonts w:eastAsia="Times New Roman" w:cs="Times New Roman"/>
                <w:sz w:val="20"/>
                <w:szCs w:val="20"/>
                <w:lang w:bidi="en-US"/>
              </w:rPr>
              <w:t>362</w:t>
            </w:r>
          </w:p>
        </w:tc>
        <w:tc>
          <w:tcPr>
            <w:tcW w:w="730" w:type="dxa"/>
            <w:tcBorders>
              <w:top w:val="single" w:sz="4" w:space="0" w:color="auto"/>
              <w:left w:val="single" w:sz="4" w:space="0" w:color="auto"/>
            </w:tcBorders>
            <w:shd w:val="clear" w:color="auto" w:fill="auto"/>
            <w:vAlign w:val="center"/>
          </w:tcPr>
          <w:p w:rsidR="009C7E99" w:rsidRPr="0045422F" w:rsidRDefault="009C7E99" w:rsidP="0045422F">
            <w:pPr>
              <w:widowControl w:val="0"/>
              <w:spacing w:after="0" w:line="240" w:lineRule="auto"/>
              <w:ind w:firstLine="300"/>
              <w:rPr>
                <w:rFonts w:eastAsia="Times New Roman" w:cs="Times New Roman"/>
                <w:sz w:val="20"/>
                <w:szCs w:val="20"/>
                <w:lang w:bidi="en-US"/>
              </w:rPr>
            </w:pPr>
            <w:r w:rsidRPr="0045422F">
              <w:rPr>
                <w:rFonts w:eastAsia="Times New Roman" w:cs="Times New Roman"/>
                <w:sz w:val="20"/>
                <w:szCs w:val="20"/>
                <w:lang w:bidi="en-US"/>
              </w:rPr>
              <w:t>389</w:t>
            </w:r>
          </w:p>
        </w:tc>
        <w:tc>
          <w:tcPr>
            <w:tcW w:w="749" w:type="dxa"/>
            <w:tcBorders>
              <w:top w:val="single" w:sz="4" w:space="0" w:color="auto"/>
              <w:left w:val="single" w:sz="4" w:space="0" w:color="auto"/>
            </w:tcBorders>
            <w:shd w:val="clear" w:color="auto" w:fill="auto"/>
            <w:vAlign w:val="center"/>
          </w:tcPr>
          <w:p w:rsidR="009C7E99" w:rsidRPr="0045422F" w:rsidRDefault="009C7E99" w:rsidP="0045422F">
            <w:pPr>
              <w:widowControl w:val="0"/>
              <w:spacing w:after="0" w:line="240" w:lineRule="auto"/>
              <w:ind w:firstLine="300"/>
              <w:rPr>
                <w:rFonts w:eastAsia="Times New Roman" w:cs="Times New Roman"/>
                <w:sz w:val="20"/>
                <w:szCs w:val="20"/>
                <w:lang w:bidi="en-US"/>
              </w:rPr>
            </w:pPr>
            <w:r w:rsidRPr="0045422F">
              <w:rPr>
                <w:rFonts w:eastAsia="Times New Roman" w:cs="Times New Roman"/>
                <w:sz w:val="20"/>
                <w:szCs w:val="20"/>
                <w:lang w:bidi="en-US"/>
              </w:rPr>
              <w:t>317</w:t>
            </w:r>
          </w:p>
        </w:tc>
        <w:tc>
          <w:tcPr>
            <w:tcW w:w="730" w:type="dxa"/>
            <w:tcBorders>
              <w:top w:val="single" w:sz="4" w:space="0" w:color="auto"/>
              <w:left w:val="single" w:sz="4" w:space="0" w:color="auto"/>
            </w:tcBorders>
            <w:shd w:val="clear" w:color="auto" w:fill="auto"/>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319</w:t>
            </w:r>
          </w:p>
        </w:tc>
        <w:tc>
          <w:tcPr>
            <w:tcW w:w="749" w:type="dxa"/>
            <w:tcBorders>
              <w:top w:val="single" w:sz="4" w:space="0" w:color="auto"/>
              <w:left w:val="single" w:sz="4" w:space="0" w:color="auto"/>
            </w:tcBorders>
            <w:shd w:val="clear" w:color="auto" w:fill="auto"/>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295</w:t>
            </w:r>
          </w:p>
        </w:tc>
        <w:tc>
          <w:tcPr>
            <w:tcW w:w="730" w:type="dxa"/>
            <w:tcBorders>
              <w:top w:val="single" w:sz="4" w:space="0" w:color="auto"/>
              <w:left w:val="single" w:sz="4" w:space="0" w:color="auto"/>
            </w:tcBorders>
            <w:shd w:val="clear" w:color="auto" w:fill="auto"/>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231</w:t>
            </w:r>
          </w:p>
        </w:tc>
        <w:tc>
          <w:tcPr>
            <w:tcW w:w="749" w:type="dxa"/>
            <w:tcBorders>
              <w:top w:val="single" w:sz="4" w:space="0" w:color="auto"/>
              <w:left w:val="single" w:sz="4" w:space="0" w:color="auto"/>
            </w:tcBorders>
            <w:shd w:val="clear" w:color="auto" w:fill="auto"/>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155</w:t>
            </w:r>
          </w:p>
        </w:tc>
        <w:tc>
          <w:tcPr>
            <w:tcW w:w="730" w:type="dxa"/>
            <w:tcBorders>
              <w:top w:val="single" w:sz="4" w:space="0" w:color="auto"/>
              <w:left w:val="single" w:sz="4" w:space="0" w:color="auto"/>
            </w:tcBorders>
            <w:shd w:val="clear" w:color="auto" w:fill="auto"/>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258</w:t>
            </w:r>
          </w:p>
        </w:tc>
        <w:tc>
          <w:tcPr>
            <w:tcW w:w="797" w:type="dxa"/>
            <w:tcBorders>
              <w:top w:val="single" w:sz="4" w:space="0" w:color="auto"/>
              <w:left w:val="single" w:sz="4" w:space="0" w:color="auto"/>
              <w:right w:val="single" w:sz="4" w:space="0" w:color="auto"/>
            </w:tcBorders>
            <w:shd w:val="clear" w:color="auto" w:fill="auto"/>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250</w:t>
            </w:r>
          </w:p>
        </w:tc>
      </w:tr>
      <w:tr w:rsidR="009C7E99" w:rsidRPr="0045422F" w:rsidTr="00D06488">
        <w:trPr>
          <w:trHeight w:hRule="exact" w:val="806"/>
          <w:jc w:val="center"/>
        </w:trPr>
        <w:tc>
          <w:tcPr>
            <w:tcW w:w="1413" w:type="dxa"/>
            <w:vMerge/>
            <w:tcBorders>
              <w:left w:val="single" w:sz="4" w:space="0" w:color="auto"/>
            </w:tcBorders>
            <w:shd w:val="clear" w:color="auto" w:fill="auto"/>
          </w:tcPr>
          <w:p w:rsidR="009C7E99" w:rsidRPr="0045422F" w:rsidRDefault="009C7E99" w:rsidP="0045422F">
            <w:pPr>
              <w:widowControl w:val="0"/>
              <w:spacing w:after="0" w:line="240" w:lineRule="auto"/>
              <w:rPr>
                <w:rFonts w:eastAsia="Arial Unicode MS" w:cs="Arial Unicode MS"/>
                <w:color w:val="000000"/>
                <w:sz w:val="20"/>
                <w:szCs w:val="20"/>
                <w:lang w:bidi="en-US"/>
              </w:rPr>
            </w:pPr>
          </w:p>
        </w:tc>
        <w:tc>
          <w:tcPr>
            <w:tcW w:w="657" w:type="dxa"/>
            <w:tcBorders>
              <w:top w:val="single" w:sz="4" w:space="0" w:color="auto"/>
              <w:left w:val="single" w:sz="4" w:space="0" w:color="auto"/>
            </w:tcBorders>
            <w:shd w:val="clear" w:color="auto" w:fill="auto"/>
          </w:tcPr>
          <w:p w:rsidR="009C7E99" w:rsidRPr="0045422F" w:rsidRDefault="009C7E99" w:rsidP="0045422F">
            <w:pPr>
              <w:widowControl w:val="0"/>
              <w:spacing w:after="0" w:line="240" w:lineRule="auto"/>
              <w:rPr>
                <w:rFonts w:eastAsia="Times New Roman" w:cs="Times New Roman"/>
                <w:sz w:val="20"/>
                <w:szCs w:val="20"/>
                <w:lang w:bidi="en-US"/>
              </w:rPr>
            </w:pPr>
            <w:r w:rsidRPr="0045422F">
              <w:rPr>
                <w:rFonts w:eastAsia="Times New Roman" w:cs="Times New Roman"/>
                <w:b/>
                <w:bCs/>
                <w:sz w:val="20"/>
                <w:szCs w:val="20"/>
                <w:lang w:bidi="en-US"/>
              </w:rPr>
              <w:t>ponad 2 lata</w:t>
            </w:r>
          </w:p>
        </w:tc>
        <w:tc>
          <w:tcPr>
            <w:tcW w:w="734" w:type="dxa"/>
            <w:tcBorders>
              <w:top w:val="single" w:sz="4" w:space="0" w:color="auto"/>
              <w:left w:val="single" w:sz="4" w:space="0" w:color="auto"/>
            </w:tcBorders>
            <w:shd w:val="clear" w:color="auto" w:fill="auto"/>
            <w:vAlign w:val="center"/>
          </w:tcPr>
          <w:p w:rsidR="009C7E99" w:rsidRPr="0045422F" w:rsidRDefault="009C7E99" w:rsidP="0045422F">
            <w:pPr>
              <w:widowControl w:val="0"/>
              <w:spacing w:after="0" w:line="240" w:lineRule="auto"/>
              <w:ind w:firstLine="400"/>
              <w:rPr>
                <w:rFonts w:eastAsia="Times New Roman" w:cs="Times New Roman"/>
                <w:sz w:val="20"/>
                <w:szCs w:val="20"/>
                <w:lang w:bidi="en-US"/>
              </w:rPr>
            </w:pPr>
            <w:r w:rsidRPr="0045422F">
              <w:rPr>
                <w:rFonts w:eastAsia="Times New Roman" w:cs="Times New Roman"/>
                <w:sz w:val="20"/>
                <w:szCs w:val="20"/>
                <w:lang w:bidi="en-US"/>
              </w:rPr>
              <w:t>74</w:t>
            </w:r>
          </w:p>
        </w:tc>
        <w:tc>
          <w:tcPr>
            <w:tcW w:w="744" w:type="dxa"/>
            <w:tcBorders>
              <w:top w:val="single" w:sz="4" w:space="0" w:color="auto"/>
              <w:left w:val="single" w:sz="4" w:space="0" w:color="auto"/>
            </w:tcBorders>
            <w:shd w:val="clear" w:color="auto" w:fill="auto"/>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60</w:t>
            </w:r>
          </w:p>
        </w:tc>
        <w:tc>
          <w:tcPr>
            <w:tcW w:w="730" w:type="dxa"/>
            <w:tcBorders>
              <w:top w:val="single" w:sz="4" w:space="0" w:color="auto"/>
              <w:left w:val="single" w:sz="4" w:space="0" w:color="auto"/>
            </w:tcBorders>
            <w:shd w:val="clear" w:color="auto" w:fill="auto"/>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42</w:t>
            </w:r>
          </w:p>
        </w:tc>
        <w:tc>
          <w:tcPr>
            <w:tcW w:w="749" w:type="dxa"/>
            <w:tcBorders>
              <w:top w:val="single" w:sz="4" w:space="0" w:color="auto"/>
              <w:left w:val="single" w:sz="4" w:space="0" w:color="auto"/>
            </w:tcBorders>
            <w:shd w:val="clear" w:color="auto" w:fill="auto"/>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38</w:t>
            </w:r>
          </w:p>
        </w:tc>
        <w:tc>
          <w:tcPr>
            <w:tcW w:w="730" w:type="dxa"/>
            <w:tcBorders>
              <w:top w:val="single" w:sz="4" w:space="0" w:color="auto"/>
              <w:left w:val="single" w:sz="4" w:space="0" w:color="auto"/>
            </w:tcBorders>
            <w:shd w:val="clear" w:color="auto" w:fill="auto"/>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28</w:t>
            </w:r>
          </w:p>
        </w:tc>
        <w:tc>
          <w:tcPr>
            <w:tcW w:w="749" w:type="dxa"/>
            <w:tcBorders>
              <w:top w:val="single" w:sz="4" w:space="0" w:color="auto"/>
              <w:left w:val="single" w:sz="4" w:space="0" w:color="auto"/>
            </w:tcBorders>
            <w:shd w:val="clear" w:color="auto" w:fill="auto"/>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44</w:t>
            </w:r>
          </w:p>
        </w:tc>
        <w:tc>
          <w:tcPr>
            <w:tcW w:w="730" w:type="dxa"/>
            <w:tcBorders>
              <w:top w:val="single" w:sz="4" w:space="0" w:color="auto"/>
              <w:left w:val="single" w:sz="4" w:space="0" w:color="auto"/>
            </w:tcBorders>
            <w:shd w:val="clear" w:color="auto" w:fill="auto"/>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28</w:t>
            </w:r>
          </w:p>
        </w:tc>
        <w:tc>
          <w:tcPr>
            <w:tcW w:w="749" w:type="dxa"/>
            <w:tcBorders>
              <w:top w:val="single" w:sz="4" w:space="0" w:color="auto"/>
              <w:left w:val="single" w:sz="4" w:space="0" w:color="auto"/>
            </w:tcBorders>
            <w:shd w:val="clear" w:color="auto" w:fill="auto"/>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15</w:t>
            </w:r>
          </w:p>
        </w:tc>
        <w:tc>
          <w:tcPr>
            <w:tcW w:w="730" w:type="dxa"/>
            <w:tcBorders>
              <w:top w:val="single" w:sz="4" w:space="0" w:color="auto"/>
              <w:left w:val="single" w:sz="4" w:space="0" w:color="auto"/>
            </w:tcBorders>
            <w:shd w:val="clear" w:color="auto" w:fill="auto"/>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15</w:t>
            </w:r>
          </w:p>
        </w:tc>
        <w:tc>
          <w:tcPr>
            <w:tcW w:w="797" w:type="dxa"/>
            <w:tcBorders>
              <w:top w:val="single" w:sz="4" w:space="0" w:color="auto"/>
              <w:left w:val="single" w:sz="4" w:space="0" w:color="auto"/>
              <w:right w:val="single" w:sz="4" w:space="0" w:color="auto"/>
            </w:tcBorders>
            <w:shd w:val="clear" w:color="auto" w:fill="auto"/>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22</w:t>
            </w:r>
          </w:p>
        </w:tc>
      </w:tr>
      <w:tr w:rsidR="009C7E99" w:rsidRPr="0045422F" w:rsidTr="00B708A0">
        <w:trPr>
          <w:trHeight w:hRule="exact" w:val="893"/>
          <w:jc w:val="center"/>
        </w:trPr>
        <w:tc>
          <w:tcPr>
            <w:tcW w:w="1413" w:type="dxa"/>
            <w:vMerge w:val="restart"/>
            <w:tcBorders>
              <w:top w:val="single" w:sz="4" w:space="0" w:color="auto"/>
              <w:left w:val="single" w:sz="4" w:space="0" w:color="auto"/>
            </w:tcBorders>
            <w:shd w:val="clear" w:color="auto" w:fill="FFFFFF"/>
          </w:tcPr>
          <w:p w:rsidR="009C7E99" w:rsidRPr="0045422F" w:rsidRDefault="009C7E99" w:rsidP="0045422F">
            <w:pPr>
              <w:widowControl w:val="0"/>
              <w:spacing w:after="0" w:line="240" w:lineRule="auto"/>
              <w:rPr>
                <w:rFonts w:eastAsia="Times New Roman" w:cs="Times New Roman"/>
                <w:sz w:val="20"/>
                <w:szCs w:val="20"/>
                <w:lang w:bidi="en-US"/>
              </w:rPr>
            </w:pPr>
            <w:r w:rsidRPr="0045422F">
              <w:rPr>
                <w:rFonts w:eastAsia="Times New Roman" w:cs="Times New Roman"/>
                <w:b/>
                <w:bCs/>
                <w:sz w:val="20"/>
                <w:szCs w:val="20"/>
                <w:lang w:bidi="en-US"/>
              </w:rPr>
              <w:t>Sądy okręgowe</w:t>
            </w:r>
          </w:p>
        </w:tc>
        <w:tc>
          <w:tcPr>
            <w:tcW w:w="657" w:type="dxa"/>
            <w:tcBorders>
              <w:top w:val="single" w:sz="4" w:space="0" w:color="auto"/>
              <w:left w:val="single" w:sz="4" w:space="0" w:color="auto"/>
            </w:tcBorders>
            <w:shd w:val="clear" w:color="auto" w:fill="FFFFFF"/>
          </w:tcPr>
          <w:p w:rsidR="009C7E99" w:rsidRPr="0045422F" w:rsidRDefault="009C7E99" w:rsidP="0045422F">
            <w:pPr>
              <w:widowControl w:val="0"/>
              <w:spacing w:after="0" w:line="240" w:lineRule="auto"/>
              <w:rPr>
                <w:rFonts w:eastAsia="Times New Roman" w:cs="Times New Roman"/>
                <w:sz w:val="20"/>
                <w:szCs w:val="20"/>
                <w:lang w:bidi="en-US"/>
              </w:rPr>
            </w:pPr>
            <w:r w:rsidRPr="0045422F">
              <w:rPr>
                <w:rFonts w:eastAsia="Times New Roman" w:cs="Times New Roman"/>
                <w:b/>
                <w:bCs/>
                <w:sz w:val="20"/>
                <w:szCs w:val="20"/>
                <w:lang w:bidi="en-US"/>
              </w:rPr>
              <w:t>od 1 roku do 2 lat</w:t>
            </w:r>
          </w:p>
        </w:tc>
        <w:tc>
          <w:tcPr>
            <w:tcW w:w="734"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rPr>
                <w:rFonts w:eastAsia="Times New Roman" w:cs="Times New Roman"/>
                <w:sz w:val="20"/>
                <w:szCs w:val="20"/>
                <w:lang w:bidi="en-US"/>
              </w:rPr>
            </w:pPr>
            <w:r w:rsidRPr="0045422F">
              <w:rPr>
                <w:rFonts w:eastAsia="Times New Roman" w:cs="Times New Roman"/>
                <w:sz w:val="20"/>
                <w:szCs w:val="20"/>
                <w:lang w:bidi="en-US"/>
              </w:rPr>
              <w:t>1 194</w:t>
            </w:r>
          </w:p>
        </w:tc>
        <w:tc>
          <w:tcPr>
            <w:tcW w:w="744"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rPr>
                <w:rFonts w:eastAsia="Times New Roman" w:cs="Times New Roman"/>
                <w:sz w:val="20"/>
                <w:szCs w:val="20"/>
                <w:lang w:bidi="en-US"/>
              </w:rPr>
            </w:pPr>
            <w:r w:rsidRPr="0045422F">
              <w:rPr>
                <w:rFonts w:eastAsia="Times New Roman" w:cs="Times New Roman"/>
                <w:sz w:val="20"/>
                <w:szCs w:val="20"/>
                <w:lang w:bidi="en-US"/>
              </w:rPr>
              <w:t>1 123</w:t>
            </w:r>
          </w:p>
        </w:tc>
        <w:tc>
          <w:tcPr>
            <w:tcW w:w="730"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rPr>
                <w:rFonts w:eastAsia="Times New Roman" w:cs="Times New Roman"/>
                <w:sz w:val="20"/>
                <w:szCs w:val="20"/>
                <w:lang w:bidi="en-US"/>
              </w:rPr>
            </w:pPr>
            <w:r w:rsidRPr="0045422F">
              <w:rPr>
                <w:rFonts w:eastAsia="Times New Roman" w:cs="Times New Roman"/>
                <w:sz w:val="20"/>
                <w:szCs w:val="20"/>
                <w:lang w:bidi="en-US"/>
              </w:rPr>
              <w:t>1 068</w:t>
            </w:r>
          </w:p>
        </w:tc>
        <w:tc>
          <w:tcPr>
            <w:tcW w:w="749"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ind w:firstLine="300"/>
              <w:rPr>
                <w:rFonts w:eastAsia="Times New Roman" w:cs="Times New Roman"/>
                <w:sz w:val="20"/>
                <w:szCs w:val="20"/>
                <w:lang w:bidi="en-US"/>
              </w:rPr>
            </w:pPr>
            <w:r w:rsidRPr="0045422F">
              <w:rPr>
                <w:rFonts w:eastAsia="Times New Roman" w:cs="Times New Roman"/>
                <w:sz w:val="20"/>
                <w:szCs w:val="20"/>
                <w:lang w:bidi="en-US"/>
              </w:rPr>
              <w:t>941</w:t>
            </w:r>
          </w:p>
        </w:tc>
        <w:tc>
          <w:tcPr>
            <w:tcW w:w="730"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812</w:t>
            </w:r>
          </w:p>
        </w:tc>
        <w:tc>
          <w:tcPr>
            <w:tcW w:w="749"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719</w:t>
            </w:r>
          </w:p>
        </w:tc>
        <w:tc>
          <w:tcPr>
            <w:tcW w:w="730"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553</w:t>
            </w:r>
          </w:p>
        </w:tc>
        <w:tc>
          <w:tcPr>
            <w:tcW w:w="749"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490</w:t>
            </w:r>
          </w:p>
        </w:tc>
        <w:tc>
          <w:tcPr>
            <w:tcW w:w="730" w:type="dxa"/>
            <w:tcBorders>
              <w:top w:val="single" w:sz="4" w:space="0" w:color="auto"/>
              <w:left w:val="single" w:sz="4" w:space="0" w:color="auto"/>
            </w:tcBorders>
            <w:shd w:val="clear" w:color="auto" w:fill="FFFFFF"/>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643</w:t>
            </w:r>
          </w:p>
        </w:tc>
        <w:tc>
          <w:tcPr>
            <w:tcW w:w="797" w:type="dxa"/>
            <w:tcBorders>
              <w:top w:val="single" w:sz="4" w:space="0" w:color="auto"/>
              <w:left w:val="single" w:sz="4" w:space="0" w:color="auto"/>
              <w:right w:val="single" w:sz="4" w:space="0" w:color="auto"/>
            </w:tcBorders>
            <w:shd w:val="clear" w:color="auto" w:fill="FFFFFF"/>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727</w:t>
            </w:r>
          </w:p>
        </w:tc>
      </w:tr>
      <w:tr w:rsidR="009C7E99" w:rsidRPr="0045422F" w:rsidTr="00B708A0">
        <w:trPr>
          <w:trHeight w:hRule="exact" w:val="821"/>
          <w:jc w:val="center"/>
        </w:trPr>
        <w:tc>
          <w:tcPr>
            <w:tcW w:w="1413" w:type="dxa"/>
            <w:vMerge/>
            <w:tcBorders>
              <w:left w:val="single" w:sz="4" w:space="0" w:color="auto"/>
              <w:bottom w:val="single" w:sz="4" w:space="0" w:color="auto"/>
            </w:tcBorders>
            <w:shd w:val="clear" w:color="auto" w:fill="FFFFFF"/>
          </w:tcPr>
          <w:p w:rsidR="009C7E99" w:rsidRPr="0045422F" w:rsidRDefault="009C7E99" w:rsidP="0045422F">
            <w:pPr>
              <w:widowControl w:val="0"/>
              <w:spacing w:after="0" w:line="240" w:lineRule="auto"/>
              <w:rPr>
                <w:rFonts w:eastAsia="Arial Unicode MS" w:cs="Arial Unicode MS"/>
                <w:color w:val="000000"/>
                <w:sz w:val="20"/>
                <w:szCs w:val="20"/>
                <w:lang w:bidi="en-US"/>
              </w:rPr>
            </w:pPr>
          </w:p>
        </w:tc>
        <w:tc>
          <w:tcPr>
            <w:tcW w:w="657" w:type="dxa"/>
            <w:tcBorders>
              <w:top w:val="single" w:sz="4" w:space="0" w:color="auto"/>
              <w:left w:val="single" w:sz="4" w:space="0" w:color="auto"/>
              <w:bottom w:val="single" w:sz="4" w:space="0" w:color="auto"/>
            </w:tcBorders>
            <w:shd w:val="clear" w:color="auto" w:fill="FFFFFF"/>
          </w:tcPr>
          <w:p w:rsidR="009C7E99" w:rsidRPr="0045422F" w:rsidRDefault="009C7E99" w:rsidP="0045422F">
            <w:pPr>
              <w:widowControl w:val="0"/>
              <w:spacing w:after="0" w:line="240" w:lineRule="auto"/>
              <w:rPr>
                <w:rFonts w:eastAsia="Times New Roman" w:cs="Times New Roman"/>
                <w:sz w:val="20"/>
                <w:szCs w:val="20"/>
                <w:lang w:bidi="en-US"/>
              </w:rPr>
            </w:pPr>
            <w:r w:rsidRPr="0045422F">
              <w:rPr>
                <w:rFonts w:eastAsia="Times New Roman" w:cs="Times New Roman"/>
                <w:b/>
                <w:bCs/>
                <w:sz w:val="20"/>
                <w:szCs w:val="20"/>
                <w:lang w:bidi="en-US"/>
              </w:rPr>
              <w:t>ponad 2 lata</w:t>
            </w:r>
          </w:p>
        </w:tc>
        <w:tc>
          <w:tcPr>
            <w:tcW w:w="734" w:type="dxa"/>
            <w:tcBorders>
              <w:top w:val="single" w:sz="4" w:space="0" w:color="auto"/>
              <w:left w:val="single" w:sz="4" w:space="0" w:color="auto"/>
              <w:bottom w:val="single" w:sz="4" w:space="0" w:color="auto"/>
            </w:tcBorders>
            <w:shd w:val="clear" w:color="auto" w:fill="FFFFFF"/>
            <w:vAlign w:val="center"/>
          </w:tcPr>
          <w:p w:rsidR="009C7E99" w:rsidRPr="0045422F" w:rsidRDefault="009C7E99" w:rsidP="0045422F">
            <w:pPr>
              <w:widowControl w:val="0"/>
              <w:spacing w:after="0" w:line="240" w:lineRule="auto"/>
              <w:ind w:firstLine="320"/>
              <w:rPr>
                <w:rFonts w:eastAsia="Times New Roman" w:cs="Times New Roman"/>
                <w:sz w:val="20"/>
                <w:szCs w:val="20"/>
                <w:lang w:bidi="en-US"/>
              </w:rPr>
            </w:pPr>
            <w:r w:rsidRPr="0045422F">
              <w:rPr>
                <w:rFonts w:eastAsia="Times New Roman" w:cs="Times New Roman"/>
                <w:sz w:val="20"/>
                <w:szCs w:val="20"/>
                <w:lang w:bidi="en-US"/>
              </w:rPr>
              <w:t>683</w:t>
            </w:r>
          </w:p>
        </w:tc>
        <w:tc>
          <w:tcPr>
            <w:tcW w:w="744" w:type="dxa"/>
            <w:tcBorders>
              <w:top w:val="single" w:sz="4" w:space="0" w:color="auto"/>
              <w:left w:val="single" w:sz="4" w:space="0" w:color="auto"/>
              <w:bottom w:val="single" w:sz="4" w:space="0" w:color="auto"/>
            </w:tcBorders>
            <w:shd w:val="clear" w:color="auto" w:fill="FFFFFF"/>
            <w:vAlign w:val="center"/>
          </w:tcPr>
          <w:p w:rsidR="009C7E99" w:rsidRPr="0045422F" w:rsidRDefault="009C7E99" w:rsidP="0045422F">
            <w:pPr>
              <w:widowControl w:val="0"/>
              <w:spacing w:after="0" w:line="240" w:lineRule="auto"/>
              <w:ind w:firstLine="300"/>
              <w:rPr>
                <w:rFonts w:eastAsia="Times New Roman" w:cs="Times New Roman"/>
                <w:sz w:val="20"/>
                <w:szCs w:val="20"/>
                <w:lang w:bidi="en-US"/>
              </w:rPr>
            </w:pPr>
            <w:r w:rsidRPr="0045422F">
              <w:rPr>
                <w:rFonts w:eastAsia="Times New Roman" w:cs="Times New Roman"/>
                <w:sz w:val="20"/>
                <w:szCs w:val="20"/>
                <w:lang w:bidi="en-US"/>
              </w:rPr>
              <w:t>604</w:t>
            </w:r>
          </w:p>
        </w:tc>
        <w:tc>
          <w:tcPr>
            <w:tcW w:w="730" w:type="dxa"/>
            <w:tcBorders>
              <w:top w:val="single" w:sz="4" w:space="0" w:color="auto"/>
              <w:left w:val="single" w:sz="4" w:space="0" w:color="auto"/>
              <w:bottom w:val="single" w:sz="4" w:space="0" w:color="auto"/>
            </w:tcBorders>
            <w:shd w:val="clear" w:color="auto" w:fill="FFFFFF"/>
            <w:vAlign w:val="center"/>
          </w:tcPr>
          <w:p w:rsidR="009C7E99" w:rsidRPr="0045422F" w:rsidRDefault="009C7E99" w:rsidP="0045422F">
            <w:pPr>
              <w:widowControl w:val="0"/>
              <w:spacing w:after="0" w:line="240" w:lineRule="auto"/>
              <w:ind w:firstLine="300"/>
              <w:rPr>
                <w:rFonts w:eastAsia="Times New Roman" w:cs="Times New Roman"/>
                <w:sz w:val="20"/>
                <w:szCs w:val="20"/>
                <w:lang w:bidi="en-US"/>
              </w:rPr>
            </w:pPr>
            <w:r w:rsidRPr="0045422F">
              <w:rPr>
                <w:rFonts w:eastAsia="Times New Roman" w:cs="Times New Roman"/>
                <w:sz w:val="20"/>
                <w:szCs w:val="20"/>
                <w:lang w:bidi="en-US"/>
              </w:rPr>
              <w:t>589</w:t>
            </w:r>
          </w:p>
        </w:tc>
        <w:tc>
          <w:tcPr>
            <w:tcW w:w="749" w:type="dxa"/>
            <w:tcBorders>
              <w:top w:val="single" w:sz="4" w:space="0" w:color="auto"/>
              <w:left w:val="single" w:sz="4" w:space="0" w:color="auto"/>
              <w:bottom w:val="single" w:sz="4" w:space="0" w:color="auto"/>
            </w:tcBorders>
            <w:shd w:val="clear" w:color="auto" w:fill="FFFFFF"/>
            <w:vAlign w:val="center"/>
          </w:tcPr>
          <w:p w:rsidR="009C7E99" w:rsidRPr="0045422F" w:rsidRDefault="009C7E99" w:rsidP="0045422F">
            <w:pPr>
              <w:widowControl w:val="0"/>
              <w:spacing w:after="0" w:line="240" w:lineRule="auto"/>
              <w:ind w:firstLine="300"/>
              <w:rPr>
                <w:rFonts w:eastAsia="Times New Roman" w:cs="Times New Roman"/>
                <w:sz w:val="20"/>
                <w:szCs w:val="20"/>
                <w:lang w:bidi="en-US"/>
              </w:rPr>
            </w:pPr>
            <w:r w:rsidRPr="0045422F">
              <w:rPr>
                <w:rFonts w:eastAsia="Times New Roman" w:cs="Times New Roman"/>
                <w:sz w:val="20"/>
                <w:szCs w:val="20"/>
                <w:lang w:bidi="en-US"/>
              </w:rPr>
              <w:t>454</w:t>
            </w:r>
          </w:p>
        </w:tc>
        <w:tc>
          <w:tcPr>
            <w:tcW w:w="730" w:type="dxa"/>
            <w:tcBorders>
              <w:top w:val="single" w:sz="4" w:space="0" w:color="auto"/>
              <w:left w:val="single" w:sz="4" w:space="0" w:color="auto"/>
              <w:bottom w:val="single" w:sz="4" w:space="0" w:color="auto"/>
            </w:tcBorders>
            <w:shd w:val="clear" w:color="auto" w:fill="FFFFFF"/>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383</w:t>
            </w:r>
          </w:p>
        </w:tc>
        <w:tc>
          <w:tcPr>
            <w:tcW w:w="749" w:type="dxa"/>
            <w:tcBorders>
              <w:top w:val="single" w:sz="4" w:space="0" w:color="auto"/>
              <w:left w:val="single" w:sz="4" w:space="0" w:color="auto"/>
              <w:bottom w:val="single" w:sz="4" w:space="0" w:color="auto"/>
            </w:tcBorders>
            <w:shd w:val="clear" w:color="auto" w:fill="FFFFFF"/>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370</w:t>
            </w:r>
          </w:p>
        </w:tc>
        <w:tc>
          <w:tcPr>
            <w:tcW w:w="730" w:type="dxa"/>
            <w:tcBorders>
              <w:top w:val="single" w:sz="4" w:space="0" w:color="auto"/>
              <w:left w:val="single" w:sz="4" w:space="0" w:color="auto"/>
              <w:bottom w:val="single" w:sz="4" w:space="0" w:color="auto"/>
            </w:tcBorders>
            <w:shd w:val="clear" w:color="auto" w:fill="FFFFFF"/>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276</w:t>
            </w:r>
          </w:p>
        </w:tc>
        <w:tc>
          <w:tcPr>
            <w:tcW w:w="749" w:type="dxa"/>
            <w:tcBorders>
              <w:top w:val="single" w:sz="4" w:space="0" w:color="auto"/>
              <w:left w:val="single" w:sz="4" w:space="0" w:color="auto"/>
              <w:bottom w:val="single" w:sz="4" w:space="0" w:color="auto"/>
            </w:tcBorders>
            <w:shd w:val="clear" w:color="auto" w:fill="FFFFFF"/>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242</w:t>
            </w:r>
          </w:p>
        </w:tc>
        <w:tc>
          <w:tcPr>
            <w:tcW w:w="730" w:type="dxa"/>
            <w:tcBorders>
              <w:top w:val="single" w:sz="4" w:space="0" w:color="auto"/>
              <w:left w:val="single" w:sz="4" w:space="0" w:color="auto"/>
              <w:bottom w:val="single" w:sz="4" w:space="0" w:color="auto"/>
            </w:tcBorders>
            <w:shd w:val="clear" w:color="auto" w:fill="FFFFFF"/>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221</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C7E99" w:rsidRPr="0045422F" w:rsidRDefault="009C7E99" w:rsidP="0045422F">
            <w:pPr>
              <w:widowControl w:val="0"/>
              <w:spacing w:after="0" w:line="240" w:lineRule="auto"/>
              <w:jc w:val="right"/>
              <w:rPr>
                <w:rFonts w:eastAsia="Times New Roman" w:cs="Times New Roman"/>
                <w:sz w:val="20"/>
                <w:szCs w:val="20"/>
                <w:lang w:bidi="en-US"/>
              </w:rPr>
            </w:pPr>
            <w:r w:rsidRPr="0045422F">
              <w:rPr>
                <w:rFonts w:eastAsia="Times New Roman" w:cs="Times New Roman"/>
                <w:sz w:val="20"/>
                <w:szCs w:val="20"/>
                <w:lang w:bidi="en-US"/>
              </w:rPr>
              <w:t>261</w:t>
            </w:r>
          </w:p>
        </w:tc>
      </w:tr>
    </w:tbl>
    <w:p w:rsidR="009C7E99" w:rsidRPr="009552FD" w:rsidRDefault="009C7E99" w:rsidP="0045422F">
      <w:pPr>
        <w:widowControl w:val="0"/>
        <w:spacing w:before="120" w:after="0" w:line="240" w:lineRule="auto"/>
        <w:rPr>
          <w:rFonts w:eastAsia="Arial Unicode MS" w:cs="Arial Unicode MS"/>
          <w:color w:val="000000"/>
          <w:sz w:val="24"/>
          <w:szCs w:val="24"/>
          <w:lang w:bidi="en-US"/>
        </w:rPr>
      </w:pPr>
    </w:p>
    <w:p w:rsidR="009C7E99" w:rsidRPr="009552FD" w:rsidRDefault="009C7E99" w:rsidP="0045422F">
      <w:pPr>
        <w:spacing w:before="120" w:after="0" w:line="240" w:lineRule="auto"/>
        <w:jc w:val="center"/>
        <w:rPr>
          <w:rFonts w:eastAsia="Times New Roman" w:cs="Times New Roman"/>
          <w:sz w:val="24"/>
          <w:szCs w:val="24"/>
          <w:lang w:bidi="en-US"/>
        </w:rPr>
      </w:pPr>
      <w:r w:rsidRPr="009552FD">
        <w:rPr>
          <w:rFonts w:eastAsia="Times New Roman" w:cs="Times New Roman"/>
          <w:sz w:val="24"/>
          <w:szCs w:val="24"/>
          <w:lang w:bidi="en-US"/>
        </w:rPr>
        <w:t>Liczba osób tymczasowo aresztowanych na okres ponad 2 lat – postępowanie przygotowawcze</w:t>
      </w:r>
      <w:r w:rsidRPr="009552FD">
        <w:rPr>
          <w:rFonts w:eastAsia="Times New Roman" w:cs="Times New Roman"/>
          <w:sz w:val="24"/>
          <w:szCs w:val="24"/>
          <w:vertAlign w:val="superscript"/>
          <w:lang w:bidi="en-US"/>
        </w:rPr>
        <w:footnoteReference w:id="15"/>
      </w:r>
    </w:p>
    <w:p w:rsidR="009C7E99" w:rsidRPr="009552FD" w:rsidRDefault="009C7E99" w:rsidP="009C7E99">
      <w:pPr>
        <w:widowControl w:val="0"/>
        <w:spacing w:after="0" w:line="240" w:lineRule="auto"/>
        <w:jc w:val="center"/>
        <w:rPr>
          <w:rFonts w:eastAsia="Arial Unicode MS" w:cs="Arial Unicode MS"/>
          <w:color w:val="000000"/>
          <w:sz w:val="24"/>
          <w:szCs w:val="24"/>
          <w:lang w:bidi="en-US"/>
        </w:rPr>
      </w:pPr>
      <w:r w:rsidRPr="009552FD">
        <w:rPr>
          <w:rFonts w:eastAsia="Arial Unicode MS" w:cs="Arial Unicode MS"/>
          <w:noProof/>
          <w:color w:val="000000"/>
          <w:sz w:val="24"/>
          <w:szCs w:val="24"/>
          <w:lang w:eastAsia="pl-PL"/>
        </w:rPr>
        <w:lastRenderedPageBreak/>
        <w:drawing>
          <wp:inline distT="0" distB="0" distL="0" distR="0" wp14:anchorId="5C0E16AD" wp14:editId="2388D878">
            <wp:extent cx="4858385" cy="128016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4858385" cy="1280160"/>
                    </a:xfrm>
                    <a:prstGeom prst="rect">
                      <a:avLst/>
                    </a:prstGeom>
                  </pic:spPr>
                </pic:pic>
              </a:graphicData>
            </a:graphic>
          </wp:inline>
        </w:drawing>
      </w:r>
    </w:p>
    <w:p w:rsidR="009C7E99" w:rsidRPr="009552FD" w:rsidRDefault="009C7E99" w:rsidP="0045422F">
      <w:pPr>
        <w:widowControl w:val="0"/>
        <w:spacing w:before="120" w:after="0" w:line="240" w:lineRule="auto"/>
        <w:rPr>
          <w:rFonts w:eastAsia="Arial Unicode MS" w:cs="Arial Unicode MS"/>
          <w:color w:val="000000"/>
          <w:sz w:val="24"/>
          <w:szCs w:val="24"/>
          <w:lang w:bidi="en-US"/>
        </w:rPr>
      </w:pPr>
    </w:p>
    <w:p w:rsidR="009C7E99" w:rsidRPr="009552FD" w:rsidRDefault="009C7E99" w:rsidP="0045422F">
      <w:pPr>
        <w:widowControl w:val="0"/>
        <w:numPr>
          <w:ilvl w:val="0"/>
          <w:numId w:val="9"/>
        </w:numPr>
        <w:tabs>
          <w:tab w:val="left" w:pos="404"/>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W Raporcie z działań rząd wskazuje, co następuje:</w:t>
      </w:r>
    </w:p>
    <w:p w:rsidR="009C7E99" w:rsidRPr="0045422F" w:rsidRDefault="009C7E99" w:rsidP="0045422F">
      <w:pPr>
        <w:widowControl w:val="0"/>
        <w:spacing w:before="120" w:after="0" w:line="240" w:lineRule="auto"/>
        <w:ind w:firstLine="20"/>
        <w:jc w:val="both"/>
        <w:rPr>
          <w:rFonts w:eastAsia="Times New Roman" w:cs="Times New Roman"/>
          <w:sz w:val="24"/>
          <w:szCs w:val="24"/>
          <w:lang w:bidi="en-US"/>
        </w:rPr>
      </w:pPr>
      <w:r w:rsidRPr="0045422F">
        <w:rPr>
          <w:rFonts w:eastAsia="Times New Roman" w:cs="Times New Roman"/>
          <w:iCs/>
          <w:sz w:val="24"/>
          <w:szCs w:val="24"/>
          <w:lang w:bidi="en-US"/>
        </w:rPr>
        <w:t>„Do końca I półrocza 2019 r. w sprawach toczących się przed sądami rejonowymi tymczasowe aresztowanie zastosowano wobec 3013 osób, w tym na okres ponad 2 lata wobec 38 osób. W sprawach toczących się przed sądami okręgowymi tymczasowe aresztowanie zastosowano wobec 2124 osób, w tym na okres ponad 2 lata wobec 322 osób.</w:t>
      </w:r>
    </w:p>
    <w:p w:rsidR="009C7E99" w:rsidRPr="0045422F" w:rsidRDefault="009C7E99" w:rsidP="0045422F">
      <w:pPr>
        <w:widowControl w:val="0"/>
        <w:spacing w:before="120" w:after="0" w:line="240" w:lineRule="auto"/>
        <w:ind w:firstLine="20"/>
        <w:jc w:val="both"/>
        <w:rPr>
          <w:rFonts w:eastAsia="Times New Roman" w:cs="Times New Roman"/>
          <w:iCs/>
          <w:sz w:val="24"/>
          <w:szCs w:val="24"/>
          <w:lang w:bidi="en-US"/>
        </w:rPr>
      </w:pPr>
      <w:r w:rsidRPr="0045422F">
        <w:rPr>
          <w:rFonts w:eastAsia="Times New Roman" w:cs="Times New Roman"/>
          <w:iCs/>
          <w:sz w:val="24"/>
          <w:szCs w:val="24"/>
          <w:lang w:bidi="en-US"/>
        </w:rPr>
        <w:t>Do końca 2018 r. w sprawach toczących się przed sądami rejonowymi tymczasowe aresztowanie zastosowano wobec 2603 osób, w tym na okres ponad 2 lata wobec 22 osób. W sprawach toczących się przed sądami okręgowymi tymczasowe aresztowanie zastosowano wobec 2062 osób, w tym na okres ponad 2 lata wobec 261 osób”.</w:t>
      </w:r>
    </w:p>
    <w:p w:rsidR="009C7E99" w:rsidRPr="009552FD" w:rsidRDefault="009C7E99" w:rsidP="0045422F">
      <w:pPr>
        <w:widowControl w:val="0"/>
        <w:spacing w:before="120" w:after="0" w:line="240" w:lineRule="auto"/>
        <w:ind w:left="1060" w:firstLine="20"/>
        <w:jc w:val="center"/>
        <w:rPr>
          <w:rFonts w:eastAsia="Times New Roman" w:cs="Times New Roman"/>
          <w:sz w:val="24"/>
          <w:szCs w:val="24"/>
          <w:lang w:bidi="en-US"/>
        </w:rPr>
      </w:pPr>
      <w:r w:rsidRPr="009552FD">
        <w:rPr>
          <w:rFonts w:eastAsia="Times New Roman" w:cs="Times New Roman"/>
          <w:sz w:val="24"/>
          <w:szCs w:val="24"/>
          <w:lang w:bidi="en-US"/>
        </w:rPr>
        <w:t>Liczba osób tymczasowo aresztowanych na okres ponad 2 lata –</w:t>
      </w:r>
    </w:p>
    <w:p w:rsidR="009C7E99" w:rsidRPr="009552FD" w:rsidRDefault="009C7E99" w:rsidP="009C7E99">
      <w:pPr>
        <w:widowControl w:val="0"/>
        <w:spacing w:after="0" w:line="252" w:lineRule="auto"/>
        <w:ind w:left="1060" w:firstLine="20"/>
        <w:jc w:val="center"/>
        <w:rPr>
          <w:rFonts w:eastAsia="Times New Roman" w:cs="Times New Roman"/>
          <w:sz w:val="24"/>
          <w:szCs w:val="24"/>
          <w:lang w:bidi="en-US"/>
        </w:rPr>
      </w:pPr>
      <w:r w:rsidRPr="009552FD">
        <w:rPr>
          <w:rFonts w:eastAsia="Times New Roman" w:cs="Times New Roman"/>
          <w:noProof/>
          <w:sz w:val="24"/>
          <w:szCs w:val="24"/>
          <w:lang w:eastAsia="pl-PL"/>
        </w:rPr>
        <w:drawing>
          <wp:anchor distT="0" distB="0" distL="114300" distR="114300" simplePos="0" relativeHeight="251665408" behindDoc="1" locked="0" layoutInCell="1" allowOverlap="1" wp14:anchorId="53E54377" wp14:editId="1D5A1E33">
            <wp:simplePos x="0" y="0"/>
            <wp:positionH relativeFrom="column">
              <wp:posOffset>444500</wp:posOffset>
            </wp:positionH>
            <wp:positionV relativeFrom="paragraph">
              <wp:posOffset>410845</wp:posOffset>
            </wp:positionV>
            <wp:extent cx="5106035" cy="1543050"/>
            <wp:effectExtent l="0" t="0" r="0" b="0"/>
            <wp:wrapTight wrapText="bothSides">
              <wp:wrapPolygon edited="0">
                <wp:start x="0" y="0"/>
                <wp:lineTo x="0" y="21333"/>
                <wp:lineTo x="21517" y="21333"/>
                <wp:lineTo x="21517"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a MS.png"/>
                    <pic:cNvPicPr/>
                  </pic:nvPicPr>
                  <pic:blipFill>
                    <a:blip r:embed="rId9">
                      <a:extLst>
                        <a:ext uri="{28A0092B-C50C-407E-A947-70E740481C1C}">
                          <a14:useLocalDpi xmlns:a14="http://schemas.microsoft.com/office/drawing/2010/main" val="0"/>
                        </a:ext>
                      </a:extLst>
                    </a:blip>
                    <a:stretch>
                      <a:fillRect/>
                    </a:stretch>
                  </pic:blipFill>
                  <pic:spPr>
                    <a:xfrm>
                      <a:off x="0" y="0"/>
                      <a:ext cx="5106035" cy="1543050"/>
                    </a:xfrm>
                    <a:prstGeom prst="rect">
                      <a:avLst/>
                    </a:prstGeom>
                  </pic:spPr>
                </pic:pic>
              </a:graphicData>
            </a:graphic>
          </wp:anchor>
        </w:drawing>
      </w:r>
      <w:r w:rsidRPr="009552FD">
        <w:rPr>
          <w:rFonts w:eastAsia="Times New Roman" w:cs="Times New Roman"/>
          <w:sz w:val="24"/>
          <w:szCs w:val="24"/>
          <w:lang w:bidi="en-US"/>
        </w:rPr>
        <w:t>sądy rejonowe</w:t>
      </w:r>
      <w:r w:rsidRPr="009552FD">
        <w:rPr>
          <w:rFonts w:eastAsia="Times New Roman" w:cs="Times New Roman"/>
          <w:sz w:val="24"/>
          <w:szCs w:val="24"/>
          <w:vertAlign w:val="superscript"/>
          <w:lang w:bidi="en-US"/>
        </w:rPr>
        <w:footnoteReference w:id="16"/>
      </w:r>
    </w:p>
    <w:p w:rsidR="009C7E99" w:rsidRPr="009552FD" w:rsidRDefault="009C7E99" w:rsidP="00B708A0">
      <w:pPr>
        <w:pStyle w:val="Nagwek1"/>
        <w:rPr>
          <w:rFonts w:asciiTheme="minorHAnsi" w:eastAsia="Times New Roman" w:hAnsiTheme="minorHAnsi" w:cs="Times New Roman"/>
          <w:sz w:val="24"/>
          <w:szCs w:val="24"/>
          <w:lang w:bidi="en-US"/>
        </w:rPr>
      </w:pPr>
    </w:p>
    <w:p w:rsidR="009C7E99" w:rsidRPr="009552FD" w:rsidRDefault="009C7E99" w:rsidP="009C7E99">
      <w:pPr>
        <w:keepNext/>
        <w:keepLines/>
        <w:widowControl w:val="0"/>
        <w:spacing w:after="60" w:line="240" w:lineRule="auto"/>
        <w:ind w:left="2080"/>
        <w:outlineLvl w:val="0"/>
        <w:rPr>
          <w:rFonts w:eastAsia="Times New Roman" w:cs="Times New Roman"/>
          <w:sz w:val="24"/>
          <w:szCs w:val="24"/>
          <w:lang w:bidi="en-US"/>
        </w:rPr>
      </w:pPr>
    </w:p>
    <w:p w:rsidR="00B708A0" w:rsidRPr="009552FD" w:rsidRDefault="00B708A0" w:rsidP="00B708A0">
      <w:pPr>
        <w:rPr>
          <w:rFonts w:eastAsia="Times New Roman" w:cs="Times New Roman"/>
          <w:sz w:val="24"/>
          <w:szCs w:val="24"/>
          <w:lang w:bidi="en-US"/>
        </w:rPr>
      </w:pPr>
    </w:p>
    <w:p w:rsidR="009C7E99" w:rsidRPr="009552FD" w:rsidRDefault="009C7E99" w:rsidP="00B708A0">
      <w:pPr>
        <w:jc w:val="center"/>
        <w:rPr>
          <w:rFonts w:eastAsia="Times New Roman" w:cs="Times New Roman"/>
          <w:sz w:val="24"/>
          <w:szCs w:val="24"/>
          <w:lang w:bidi="en-US"/>
        </w:rPr>
      </w:pPr>
      <w:r w:rsidRPr="009552FD">
        <w:rPr>
          <w:rFonts w:eastAsia="Times New Roman" w:cs="Times New Roman"/>
          <w:sz w:val="24"/>
          <w:szCs w:val="24"/>
          <w:lang w:bidi="en-US"/>
        </w:rPr>
        <w:t>Liczba osób tymczasowo aresztowanych na okres ponad 2 lat –</w:t>
      </w:r>
      <w:r w:rsidR="00B708A0" w:rsidRPr="009552FD">
        <w:rPr>
          <w:rFonts w:eastAsia="Times New Roman" w:cs="Times New Roman"/>
          <w:sz w:val="24"/>
          <w:szCs w:val="24"/>
          <w:lang w:bidi="en-US"/>
        </w:rPr>
        <w:t xml:space="preserve"> </w:t>
      </w:r>
      <w:r w:rsidRPr="009552FD">
        <w:rPr>
          <w:rFonts w:eastAsia="Times New Roman" w:cs="Times New Roman"/>
          <w:sz w:val="24"/>
          <w:szCs w:val="24"/>
          <w:lang w:bidi="en-US"/>
        </w:rPr>
        <w:t>sądy okręgowe</w:t>
      </w:r>
      <w:r w:rsidRPr="009552FD">
        <w:rPr>
          <w:rFonts w:eastAsia="Times New Roman" w:cs="Times New Roman"/>
          <w:sz w:val="24"/>
          <w:szCs w:val="24"/>
          <w:vertAlign w:val="superscript"/>
          <w:lang w:bidi="en-US"/>
        </w:rPr>
        <w:footnoteReference w:id="17"/>
      </w:r>
    </w:p>
    <w:p w:rsidR="009C7E99" w:rsidRPr="009552FD" w:rsidRDefault="009C7E99" w:rsidP="009C7E99">
      <w:pPr>
        <w:keepNext/>
        <w:keepLines/>
        <w:widowControl w:val="0"/>
        <w:spacing w:after="60" w:line="240" w:lineRule="auto"/>
        <w:ind w:left="1134"/>
        <w:jc w:val="center"/>
        <w:outlineLvl w:val="0"/>
        <w:rPr>
          <w:rFonts w:eastAsia="Times New Roman" w:cs="Times New Roman"/>
          <w:sz w:val="24"/>
          <w:szCs w:val="24"/>
          <w:lang w:bidi="en-US"/>
        </w:rPr>
      </w:pPr>
    </w:p>
    <w:p w:rsidR="009C7E99" w:rsidRPr="009552FD" w:rsidRDefault="009C7E99" w:rsidP="009C7E99">
      <w:pPr>
        <w:keepNext/>
        <w:keepLines/>
        <w:widowControl w:val="0"/>
        <w:spacing w:after="60" w:line="240" w:lineRule="auto"/>
        <w:ind w:left="1134"/>
        <w:jc w:val="center"/>
        <w:outlineLvl w:val="0"/>
        <w:rPr>
          <w:rFonts w:eastAsia="Times New Roman" w:cs="Times New Roman"/>
          <w:sz w:val="24"/>
          <w:szCs w:val="24"/>
          <w:lang w:bidi="en-US"/>
        </w:rPr>
      </w:pPr>
    </w:p>
    <w:p w:rsidR="009C7E99" w:rsidRPr="009552FD" w:rsidRDefault="009C7E99" w:rsidP="009C7E99">
      <w:pPr>
        <w:keepNext/>
        <w:keepLines/>
        <w:widowControl w:val="0"/>
        <w:spacing w:after="60" w:line="240" w:lineRule="auto"/>
        <w:ind w:left="1134"/>
        <w:jc w:val="center"/>
        <w:outlineLvl w:val="0"/>
        <w:rPr>
          <w:rFonts w:eastAsia="Times New Roman" w:cs="Times New Roman"/>
          <w:sz w:val="24"/>
          <w:szCs w:val="24"/>
          <w:lang w:bidi="en-US"/>
        </w:rPr>
      </w:pPr>
    </w:p>
    <w:p w:rsidR="009C7E99" w:rsidRPr="009552FD" w:rsidRDefault="009C7E99" w:rsidP="009C7E99">
      <w:pPr>
        <w:widowControl w:val="0"/>
        <w:spacing w:after="0" w:line="240" w:lineRule="auto"/>
        <w:jc w:val="center"/>
        <w:rPr>
          <w:rFonts w:eastAsia="Arial Unicode MS" w:cs="Arial Unicode MS"/>
          <w:color w:val="000000"/>
          <w:sz w:val="24"/>
          <w:szCs w:val="24"/>
          <w:lang w:bidi="en-US"/>
        </w:rPr>
      </w:pPr>
    </w:p>
    <w:p w:rsidR="009C7E99" w:rsidRPr="009552FD" w:rsidRDefault="009C7E99" w:rsidP="009C7E99">
      <w:pPr>
        <w:widowControl w:val="0"/>
        <w:spacing w:after="599" w:line="1" w:lineRule="exact"/>
        <w:rPr>
          <w:rFonts w:eastAsia="Arial Unicode MS" w:cs="Arial Unicode MS"/>
          <w:color w:val="000000"/>
          <w:sz w:val="24"/>
          <w:szCs w:val="24"/>
          <w:lang w:bidi="en-US"/>
        </w:rPr>
      </w:pPr>
      <w:r w:rsidRPr="009552FD">
        <w:rPr>
          <w:rFonts w:eastAsia="Arial Unicode MS" w:cs="Arial Unicode MS"/>
          <w:noProof/>
          <w:color w:val="000000"/>
          <w:sz w:val="24"/>
          <w:szCs w:val="24"/>
          <w:lang w:eastAsia="pl-PL"/>
        </w:rPr>
        <w:lastRenderedPageBreak/>
        <w:drawing>
          <wp:anchor distT="0" distB="0" distL="114300" distR="114300" simplePos="0" relativeHeight="251666432" behindDoc="1" locked="0" layoutInCell="1" allowOverlap="1" wp14:anchorId="25454892" wp14:editId="6DFDCBCC">
            <wp:simplePos x="0" y="0"/>
            <wp:positionH relativeFrom="column">
              <wp:posOffset>532130</wp:posOffset>
            </wp:positionH>
            <wp:positionV relativeFrom="paragraph">
              <wp:posOffset>-474980</wp:posOffset>
            </wp:positionV>
            <wp:extent cx="5106035" cy="1685925"/>
            <wp:effectExtent l="0" t="0" r="0" b="9525"/>
            <wp:wrapTight wrapText="bothSides">
              <wp:wrapPolygon edited="0">
                <wp:start x="0" y="0"/>
                <wp:lineTo x="0" y="21478"/>
                <wp:lineTo x="21517" y="21478"/>
                <wp:lineTo x="21517"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a MS2.png"/>
                    <pic:cNvPicPr/>
                  </pic:nvPicPr>
                  <pic:blipFill>
                    <a:blip r:embed="rId10">
                      <a:extLst>
                        <a:ext uri="{28A0092B-C50C-407E-A947-70E740481C1C}">
                          <a14:useLocalDpi xmlns:a14="http://schemas.microsoft.com/office/drawing/2010/main" val="0"/>
                        </a:ext>
                      </a:extLst>
                    </a:blip>
                    <a:stretch>
                      <a:fillRect/>
                    </a:stretch>
                  </pic:blipFill>
                  <pic:spPr>
                    <a:xfrm>
                      <a:off x="0" y="0"/>
                      <a:ext cx="5106035" cy="1685925"/>
                    </a:xfrm>
                    <a:prstGeom prst="rect">
                      <a:avLst/>
                    </a:prstGeom>
                  </pic:spPr>
                </pic:pic>
              </a:graphicData>
            </a:graphic>
          </wp:anchor>
        </w:drawing>
      </w:r>
    </w:p>
    <w:p w:rsidR="0045422F" w:rsidRDefault="0045422F" w:rsidP="0045422F">
      <w:pPr>
        <w:widowControl w:val="0"/>
        <w:tabs>
          <w:tab w:val="left" w:pos="404"/>
        </w:tabs>
        <w:spacing w:before="120" w:after="0" w:line="240" w:lineRule="auto"/>
        <w:jc w:val="both"/>
        <w:rPr>
          <w:rFonts w:eastAsia="Times New Roman" w:cs="Times New Roman"/>
          <w:sz w:val="24"/>
          <w:szCs w:val="24"/>
          <w:lang w:bidi="en-US"/>
        </w:rPr>
      </w:pPr>
    </w:p>
    <w:p w:rsidR="009C7E99" w:rsidRPr="009552FD" w:rsidRDefault="009C7E99" w:rsidP="0045422F">
      <w:pPr>
        <w:widowControl w:val="0"/>
        <w:numPr>
          <w:ilvl w:val="0"/>
          <w:numId w:val="9"/>
        </w:numPr>
        <w:tabs>
          <w:tab w:val="left" w:pos="404"/>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 xml:space="preserve">Zestawienie danych statystycznych przedstawione przez rząd powinno samo w sobie skłonić Komitet do dalszego sprawowania nadzoru nad wykonaniem wyroku w sprawie </w:t>
      </w:r>
      <w:r w:rsidRPr="009552FD">
        <w:rPr>
          <w:rFonts w:eastAsia="Times New Roman" w:cs="Times New Roman"/>
          <w:i/>
          <w:iCs/>
          <w:sz w:val="24"/>
          <w:szCs w:val="24"/>
          <w:lang w:bidi="en-US"/>
        </w:rPr>
        <w:t>Mierzejewski</w:t>
      </w:r>
      <w:r w:rsidRPr="009552FD">
        <w:rPr>
          <w:rFonts w:eastAsia="Times New Roman" w:cs="Times New Roman"/>
          <w:sz w:val="24"/>
          <w:szCs w:val="24"/>
          <w:lang w:bidi="en-US"/>
        </w:rPr>
        <w:t>. Dane te wskazują bowiem na stopniowy wzrost liczby osób tymczasowo aresztowanych na okres ponad 2 lat w toku postępowań przygotowawczych prowadzonych przed sądami rejonowymi i okręgowymi. Wzrost ten jest widoczny, zwłaszcza gdy porówna się dane z końca 2018 r. z danymi z połowy 2019 r. Z powyższych informacji wynika, że tendencja ta utrzymuje się od 2017 r.</w:t>
      </w:r>
    </w:p>
    <w:p w:rsidR="009C7E99" w:rsidRPr="0045422F" w:rsidRDefault="009C7E99" w:rsidP="0045422F">
      <w:pPr>
        <w:widowControl w:val="0"/>
        <w:numPr>
          <w:ilvl w:val="0"/>
          <w:numId w:val="9"/>
        </w:numPr>
        <w:tabs>
          <w:tab w:val="left" w:pos="404"/>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 xml:space="preserve">Fundacja Court Watch Polska w swoim raporcie również zwróciła uwagę na wagę problemu przewlekłości tymczasowego aresztowania, stwierdzając, że: </w:t>
      </w:r>
      <w:r w:rsidRPr="0045422F">
        <w:rPr>
          <w:rFonts w:eastAsia="Times New Roman" w:cs="Times New Roman"/>
          <w:iCs/>
          <w:sz w:val="24"/>
          <w:szCs w:val="24"/>
          <w:lang w:bidi="en-US"/>
        </w:rPr>
        <w:t>„Średni czas tymczasowego aresztowania trwającego do zakończenia postępowania sądowego prawomocnym wyrokiem, który wynika z analizy udostępnionych nam akt wynosi 439 dni w sprawach, w których właściwy rzeczowo był sąd okręgowy i 223 dni dla spraw, które zawisły przed sądami rejonowymi. Najdłuższy czas oczekiwania w areszcie na prawomocny wyrok, który badaliśmy to 43 miesiące (ponad 3 lata). Nie mieliśmy jednak dostępu do spraw, które w połowie 2019 r. były nadal w toku. Można więc domniemywać, że w rzeczywistości średnia długość stosowania tymczasowego aresztowania może być w Polsce dłuższa i z pewnością w ostatnich latach rośnie”</w:t>
      </w:r>
      <w:r w:rsidRPr="0045422F">
        <w:rPr>
          <w:rFonts w:eastAsia="Times New Roman" w:cs="Times New Roman"/>
          <w:iCs/>
          <w:sz w:val="24"/>
          <w:szCs w:val="24"/>
          <w:vertAlign w:val="superscript"/>
          <w:lang w:bidi="en-US"/>
        </w:rPr>
        <w:footnoteReference w:id="18"/>
      </w:r>
      <w:r w:rsidRPr="0045422F">
        <w:rPr>
          <w:rFonts w:eastAsia="Times New Roman" w:cs="Times New Roman"/>
          <w:iCs/>
          <w:sz w:val="24"/>
          <w:szCs w:val="24"/>
          <w:lang w:bidi="en-US"/>
        </w:rPr>
        <w:t>.</w:t>
      </w:r>
    </w:p>
    <w:p w:rsidR="009C7E99" w:rsidRPr="0045422F" w:rsidRDefault="009C7E99" w:rsidP="0045422F">
      <w:pPr>
        <w:widowControl w:val="0"/>
        <w:numPr>
          <w:ilvl w:val="0"/>
          <w:numId w:val="9"/>
        </w:numPr>
        <w:tabs>
          <w:tab w:val="left" w:pos="404"/>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 xml:space="preserve">Na koniec warto również zauważyć, że ustawodawca nie odniósł się jeszcze w należyty sposób do kwestii przewlekłości tymczasowego aresztowania. Władza ustawodawcza nie przeprowadziła żadnych reform pomimo upływu ponad 7 lat od dnia wydania wyroku </w:t>
      </w:r>
      <w:r w:rsidRPr="0045422F">
        <w:rPr>
          <w:rFonts w:eastAsia="Times New Roman" w:cs="Times New Roman"/>
          <w:sz w:val="24"/>
          <w:szCs w:val="24"/>
          <w:lang w:bidi="en-US"/>
        </w:rPr>
        <w:t xml:space="preserve">Trybunału Konstytucyjnego z dnia 20 listopada 2012 r. (nr SK 3/12) o następującej treści: </w:t>
      </w:r>
      <w:r w:rsidRPr="0045422F">
        <w:rPr>
          <w:rFonts w:eastAsia="Times New Roman" w:cs="Times New Roman"/>
          <w:iCs/>
          <w:sz w:val="24"/>
          <w:szCs w:val="24"/>
          <w:lang w:bidi="en-US"/>
        </w:rPr>
        <w:t>„Art. 263 § 7 Kodeks postępowania karnego (...) w zakresie, w jakim nie określa jednoznacznie przesłanek przedłużenia tymczasowego aresztowania po wydaniu przez sąd pierwszej instancji pierwszego wyroku w sprawie, jest niezgodny z art. 41 ust. 1 w związku z art. 31 ust. 3 oraz art. 40 w związku z art. 41 ust. 4 Konstytucji. ”</w:t>
      </w:r>
    </w:p>
    <w:p w:rsidR="009C7E99" w:rsidRPr="0045422F" w:rsidRDefault="009C7E99" w:rsidP="0045422F">
      <w:pPr>
        <w:pStyle w:val="Akapitzlist"/>
        <w:keepNext/>
        <w:keepLines/>
        <w:widowControl w:val="0"/>
        <w:numPr>
          <w:ilvl w:val="0"/>
          <w:numId w:val="8"/>
        </w:numPr>
        <w:tabs>
          <w:tab w:val="left" w:pos="1253"/>
        </w:tabs>
        <w:spacing w:before="120" w:after="0" w:line="240" w:lineRule="auto"/>
        <w:jc w:val="both"/>
        <w:outlineLvl w:val="1"/>
        <w:rPr>
          <w:rFonts w:eastAsia="Times New Roman" w:cs="Times New Roman"/>
          <w:b/>
          <w:bCs/>
          <w:sz w:val="24"/>
          <w:szCs w:val="24"/>
          <w:lang w:bidi="en-US"/>
        </w:rPr>
      </w:pPr>
      <w:r w:rsidRPr="0045422F">
        <w:rPr>
          <w:rFonts w:eastAsia="Times New Roman" w:cs="Times New Roman"/>
          <w:b/>
          <w:bCs/>
          <w:sz w:val="24"/>
          <w:szCs w:val="24"/>
          <w:lang w:bidi="en-US"/>
        </w:rPr>
        <w:t>Zalecenia</w:t>
      </w:r>
    </w:p>
    <w:p w:rsidR="0045422F" w:rsidRDefault="009C7E99" w:rsidP="0045422F">
      <w:pPr>
        <w:widowControl w:val="0"/>
        <w:numPr>
          <w:ilvl w:val="0"/>
          <w:numId w:val="9"/>
        </w:numPr>
        <w:tabs>
          <w:tab w:val="left" w:pos="404"/>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Mając na uwadze powyższe argumenty, HFPC zwraca się do Komitetu Ministrów z wnioskiem o dalsze sprawowanie nadzoru nad wykonaniem wyroku w sprawie</w:t>
      </w:r>
      <w:r w:rsidR="0045422F">
        <w:rPr>
          <w:rFonts w:eastAsia="Times New Roman" w:cs="Times New Roman"/>
          <w:i/>
          <w:iCs/>
          <w:sz w:val="24"/>
          <w:szCs w:val="24"/>
          <w:lang w:bidi="en-US"/>
        </w:rPr>
        <w:t xml:space="preserve"> Mierzejewski p.</w:t>
      </w:r>
      <w:r w:rsidRPr="009552FD">
        <w:rPr>
          <w:rFonts w:eastAsia="Times New Roman" w:cs="Times New Roman"/>
          <w:i/>
          <w:iCs/>
          <w:sz w:val="24"/>
          <w:szCs w:val="24"/>
          <w:lang w:bidi="en-US"/>
        </w:rPr>
        <w:t xml:space="preserve"> Polsce</w:t>
      </w:r>
      <w:r w:rsidRPr="009552FD">
        <w:rPr>
          <w:rFonts w:eastAsia="Times New Roman" w:cs="Times New Roman"/>
          <w:sz w:val="24"/>
          <w:szCs w:val="24"/>
          <w:lang w:bidi="en-US"/>
        </w:rPr>
        <w:t xml:space="preserve">. W naszej ocenie podjęte działania nie przyniosły oczekiwanych rezultatów. Tym samym przyjęte środki nie mogły być wystarczające do stwierdzenia, że Polska wypełniła swoje zobowiązania wynikające z art. 46 ust. 1 Konwencji. Z tego względu twierdzimy, że nie należy kończyć rozpatrywania sprawy </w:t>
      </w:r>
      <w:r w:rsidRPr="009552FD">
        <w:rPr>
          <w:rFonts w:eastAsia="Times New Roman" w:cs="Times New Roman"/>
          <w:i/>
          <w:iCs/>
          <w:sz w:val="24"/>
          <w:szCs w:val="24"/>
          <w:lang w:bidi="en-US"/>
        </w:rPr>
        <w:t>Mierzejewski</w:t>
      </w:r>
      <w:r w:rsidRPr="009552FD">
        <w:rPr>
          <w:rFonts w:eastAsia="Times New Roman" w:cs="Times New Roman"/>
          <w:sz w:val="24"/>
          <w:szCs w:val="24"/>
          <w:lang w:bidi="en-US"/>
        </w:rPr>
        <w:t xml:space="preserve">, gdyż problem systemowy leżący u podstaw </w:t>
      </w:r>
      <w:r w:rsidRPr="009552FD">
        <w:rPr>
          <w:rFonts w:eastAsia="Times New Roman" w:cs="Times New Roman"/>
          <w:sz w:val="24"/>
          <w:szCs w:val="24"/>
          <w:lang w:bidi="en-US"/>
        </w:rPr>
        <w:lastRenderedPageBreak/>
        <w:t>naruszenia praw człowieka wciąż nie został w pełni rozwiązany.</w:t>
      </w:r>
    </w:p>
    <w:p w:rsidR="009C7E99" w:rsidRPr="0045422F" w:rsidRDefault="0045422F" w:rsidP="0045422F">
      <w:pPr>
        <w:widowControl w:val="0"/>
        <w:tabs>
          <w:tab w:val="left" w:pos="404"/>
        </w:tabs>
        <w:spacing w:before="120" w:after="0" w:line="240" w:lineRule="auto"/>
        <w:jc w:val="both"/>
        <w:rPr>
          <w:rFonts w:eastAsia="Times New Roman" w:cs="Times New Roman"/>
          <w:b/>
          <w:sz w:val="24"/>
          <w:szCs w:val="24"/>
          <w:lang w:bidi="en-US"/>
        </w:rPr>
      </w:pPr>
      <w:r w:rsidRPr="0045422F">
        <w:rPr>
          <w:rFonts w:eastAsia="Times New Roman" w:cs="Times New Roman"/>
          <w:b/>
          <w:sz w:val="24"/>
          <w:szCs w:val="24"/>
          <w:lang w:bidi="en-US"/>
        </w:rPr>
        <w:t>IV.1.</w:t>
      </w:r>
      <w:r w:rsidR="00AB13E6">
        <w:rPr>
          <w:rFonts w:eastAsia="Times New Roman" w:cs="Times New Roman"/>
          <w:b/>
          <w:sz w:val="24"/>
          <w:szCs w:val="24"/>
          <w:lang w:bidi="en-US"/>
        </w:rPr>
        <w:t xml:space="preserve"> </w:t>
      </w:r>
      <w:r w:rsidR="009C7E99" w:rsidRPr="0045422F">
        <w:rPr>
          <w:rFonts w:eastAsia="Times New Roman" w:cs="Times New Roman"/>
          <w:b/>
          <w:bCs/>
          <w:sz w:val="24"/>
          <w:szCs w:val="24"/>
          <w:lang w:bidi="en-US"/>
        </w:rPr>
        <w:t>Zalecenia dla Komitetu Ministrów Rady Europy</w:t>
      </w:r>
    </w:p>
    <w:p w:rsidR="009C7E99" w:rsidRPr="00AB13E6" w:rsidRDefault="009C7E99" w:rsidP="00AB13E6">
      <w:pPr>
        <w:widowControl w:val="0"/>
        <w:numPr>
          <w:ilvl w:val="0"/>
          <w:numId w:val="9"/>
        </w:numPr>
        <w:tabs>
          <w:tab w:val="left" w:pos="404"/>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 xml:space="preserve">HFPC uprzejmie zaleca, aby Komitet Ministrów Rady Europy rozważył zwrócenie się do </w:t>
      </w:r>
      <w:r w:rsidRPr="00AB13E6">
        <w:rPr>
          <w:rFonts w:eastAsia="Times New Roman" w:cs="Times New Roman"/>
          <w:sz w:val="24"/>
          <w:szCs w:val="24"/>
          <w:lang w:bidi="en-US"/>
        </w:rPr>
        <w:t>rządu z następującymi pytaniami:</w:t>
      </w:r>
    </w:p>
    <w:p w:rsidR="009C7E99" w:rsidRPr="00AB13E6" w:rsidRDefault="009C7E99" w:rsidP="00987EB2">
      <w:pPr>
        <w:pStyle w:val="Akapitzlist"/>
        <w:numPr>
          <w:ilvl w:val="0"/>
          <w:numId w:val="44"/>
        </w:numPr>
        <w:spacing w:before="120" w:after="0" w:line="240" w:lineRule="auto"/>
        <w:ind w:left="567" w:hanging="279"/>
        <w:jc w:val="both"/>
        <w:rPr>
          <w:sz w:val="24"/>
          <w:szCs w:val="24"/>
        </w:rPr>
      </w:pPr>
      <w:r w:rsidRPr="00AB13E6">
        <w:rPr>
          <w:sz w:val="24"/>
          <w:szCs w:val="24"/>
        </w:rPr>
        <w:t>Ile godzin lekcyjnych w programach kursów doskonalenia zawodowego dla sędziów poświęcono na stosowanie tymczasowego aresztowania?</w:t>
      </w:r>
    </w:p>
    <w:p w:rsidR="009C7E99" w:rsidRPr="00AB13E6" w:rsidRDefault="009C7E99" w:rsidP="00987EB2">
      <w:pPr>
        <w:pStyle w:val="Akapitzlist"/>
        <w:numPr>
          <w:ilvl w:val="0"/>
          <w:numId w:val="44"/>
        </w:numPr>
        <w:spacing w:before="120" w:after="0" w:line="240" w:lineRule="auto"/>
        <w:ind w:left="567" w:hanging="279"/>
        <w:jc w:val="both"/>
        <w:rPr>
          <w:sz w:val="24"/>
          <w:szCs w:val="24"/>
        </w:rPr>
      </w:pPr>
      <w:r w:rsidRPr="00AB13E6">
        <w:rPr>
          <w:sz w:val="24"/>
          <w:szCs w:val="24"/>
        </w:rPr>
        <w:t>Jakie kursy kształcenia zawodowego dla prokuratorów w zakresie stosowania tymczasowego aresztowania zostały przeprowadzone?</w:t>
      </w:r>
    </w:p>
    <w:p w:rsidR="009C7E99" w:rsidRPr="00AB13E6" w:rsidRDefault="009C7E99" w:rsidP="00987EB2">
      <w:pPr>
        <w:pStyle w:val="Akapitzlist"/>
        <w:numPr>
          <w:ilvl w:val="0"/>
          <w:numId w:val="44"/>
        </w:numPr>
        <w:spacing w:before="120" w:after="0" w:line="240" w:lineRule="auto"/>
        <w:ind w:left="567" w:hanging="279"/>
        <w:jc w:val="both"/>
        <w:rPr>
          <w:sz w:val="24"/>
          <w:szCs w:val="24"/>
        </w:rPr>
      </w:pPr>
      <w:r w:rsidRPr="00AB13E6">
        <w:rPr>
          <w:sz w:val="24"/>
          <w:szCs w:val="24"/>
        </w:rPr>
        <w:t>Jakie działania podjęli koordynatorzy ds. współpracy międzynarodowej i praw człowieka w celu promowania odpowiednich standardów Konwencji na poziomie sądów regionalnych?</w:t>
      </w:r>
    </w:p>
    <w:p w:rsidR="009C7E99" w:rsidRPr="00AB13E6" w:rsidRDefault="009C7E99" w:rsidP="00987EB2">
      <w:pPr>
        <w:pStyle w:val="Akapitzlist"/>
        <w:numPr>
          <w:ilvl w:val="0"/>
          <w:numId w:val="44"/>
        </w:numPr>
        <w:spacing w:before="120" w:after="0" w:line="240" w:lineRule="auto"/>
        <w:ind w:left="567" w:hanging="279"/>
        <w:jc w:val="both"/>
        <w:rPr>
          <w:sz w:val="24"/>
          <w:szCs w:val="24"/>
        </w:rPr>
      </w:pPr>
      <w:r w:rsidRPr="00AB13E6">
        <w:rPr>
          <w:sz w:val="24"/>
          <w:szCs w:val="24"/>
        </w:rPr>
        <w:t>Czy podjęto prace nad opracowaniem wytycznych dla prokuratorów dotyczących składania wniosków o zastosowanie tymczasowego aresztowania?</w:t>
      </w:r>
    </w:p>
    <w:p w:rsidR="009C7E99" w:rsidRPr="009552FD" w:rsidRDefault="009C7E99" w:rsidP="0045422F">
      <w:pPr>
        <w:widowControl w:val="0"/>
        <w:tabs>
          <w:tab w:val="left" w:pos="404"/>
        </w:tabs>
        <w:spacing w:before="120" w:after="0" w:line="240" w:lineRule="auto"/>
        <w:jc w:val="both"/>
        <w:rPr>
          <w:rFonts w:eastAsia="Times New Roman" w:cs="Times New Roman"/>
          <w:b/>
          <w:bCs/>
          <w:sz w:val="24"/>
          <w:szCs w:val="24"/>
          <w:lang w:bidi="en-US"/>
        </w:rPr>
      </w:pPr>
      <w:r w:rsidRPr="009552FD">
        <w:rPr>
          <w:rFonts w:eastAsia="Times New Roman" w:cs="Times New Roman"/>
          <w:b/>
          <w:bCs/>
          <w:sz w:val="24"/>
          <w:szCs w:val="24"/>
          <w:lang w:bidi="en-US"/>
        </w:rPr>
        <w:t>IV. 2. Zalecenia dla ustawodawcy</w:t>
      </w:r>
    </w:p>
    <w:p w:rsidR="009C7E99" w:rsidRPr="009552FD" w:rsidRDefault="009C7E99" w:rsidP="0045422F">
      <w:pPr>
        <w:widowControl w:val="0"/>
        <w:numPr>
          <w:ilvl w:val="0"/>
          <w:numId w:val="9"/>
        </w:numPr>
        <w:tabs>
          <w:tab w:val="left" w:pos="404"/>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 xml:space="preserve">Fundacja uważa, że szczegółowe zalecenia dla ustawodawcy zawarte w jej uwagach w sprawie </w:t>
      </w:r>
      <w:r w:rsidRPr="009552FD">
        <w:rPr>
          <w:rFonts w:eastAsia="Times New Roman" w:cs="Times New Roman"/>
          <w:i/>
          <w:iCs/>
          <w:sz w:val="24"/>
          <w:szCs w:val="24"/>
          <w:lang w:bidi="en-US"/>
        </w:rPr>
        <w:t>Burża p</w:t>
      </w:r>
      <w:r w:rsidR="0045422F">
        <w:rPr>
          <w:rFonts w:eastAsia="Times New Roman" w:cs="Times New Roman"/>
          <w:i/>
          <w:iCs/>
          <w:sz w:val="24"/>
          <w:szCs w:val="24"/>
          <w:lang w:bidi="en-US"/>
        </w:rPr>
        <w:t>.</w:t>
      </w:r>
      <w:r w:rsidRPr="009552FD">
        <w:rPr>
          <w:rFonts w:eastAsia="Times New Roman" w:cs="Times New Roman"/>
          <w:i/>
          <w:iCs/>
          <w:sz w:val="24"/>
          <w:szCs w:val="24"/>
          <w:lang w:bidi="en-US"/>
        </w:rPr>
        <w:t xml:space="preserve"> Polsce</w:t>
      </w:r>
      <w:r w:rsidRPr="009552FD">
        <w:rPr>
          <w:rFonts w:eastAsia="Times New Roman" w:cs="Times New Roman"/>
          <w:sz w:val="24"/>
          <w:szCs w:val="24"/>
          <w:lang w:bidi="en-US"/>
        </w:rPr>
        <w:t xml:space="preserve"> mają pełne zastosowanie do przedmiotowej sprawy. Na nasze stanowisko nie mają wpływu argumenty podniesione przez rząd w odpowiedzi przedstawionej we wrześniu 2019 r.</w:t>
      </w:r>
    </w:p>
    <w:p w:rsidR="009C7E99" w:rsidRPr="009552FD" w:rsidRDefault="009C7E99" w:rsidP="0045422F">
      <w:pPr>
        <w:widowControl w:val="0"/>
        <w:numPr>
          <w:ilvl w:val="0"/>
          <w:numId w:val="9"/>
        </w:numPr>
        <w:tabs>
          <w:tab w:val="left" w:pos="404"/>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Fundacja nie podziela stanowiska rządu, zgodnie z którym nie ma uzasadnionej potrzeby wprowadzania zmian legislacyjnych mających na celu ograniczenie stosowania tymczasowego aresztowania. Analiza powyższych danych powinna skłaniać do wniosku, że dyskusja na temat zmian legislacyjnych jest konieczna i że istniejące ramy prawne nie zapewniają wystarczających zabezpieczeń przed nadużywaniem instytucji tymczasowego aresztowania jako izolacyjnego środka zapobiegawczego. Na poparcie swojego stanowiska Fundacja pragnie podkreślić, że konieczność taką dostrzegają również inni przedstawiciele doktryny. W tym kontekście należy zwrócić uwagę na raport Fundacji Court Watch z grudnia 2019 r. Wyrażamy nadzieję, że stanowisko przedstawione przez organizacje pozarządowe i ekspertów będzie podstawą do szerszej dyskusji na temat zmian w prawie.</w:t>
      </w:r>
    </w:p>
    <w:p w:rsidR="009C7E99" w:rsidRPr="009552FD" w:rsidRDefault="009C7E99" w:rsidP="0045422F">
      <w:pPr>
        <w:widowControl w:val="0"/>
        <w:numPr>
          <w:ilvl w:val="0"/>
          <w:numId w:val="9"/>
        </w:numPr>
        <w:tabs>
          <w:tab w:val="left" w:pos="404"/>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 xml:space="preserve">HFPC pragnie ponowić swoją sugestię dotyczącą zmiany Kodeksu postępowania karnego poprzez dodanie dodatkowego środka zapobiegawczego w postaci aresztu domowego lub dozoru elektronicznego. W swojej komunikacji dotyczącej sprawy </w:t>
      </w:r>
      <w:r w:rsidRPr="009552FD">
        <w:rPr>
          <w:rFonts w:eastAsia="Times New Roman" w:cs="Times New Roman"/>
          <w:i/>
          <w:iCs/>
          <w:sz w:val="24"/>
          <w:szCs w:val="24"/>
          <w:lang w:bidi="en-US"/>
        </w:rPr>
        <w:t>Burża</w:t>
      </w:r>
      <w:r w:rsidRPr="009552FD">
        <w:rPr>
          <w:rFonts w:eastAsia="Times New Roman" w:cs="Times New Roman"/>
          <w:sz w:val="24"/>
          <w:szCs w:val="24"/>
          <w:lang w:bidi="en-US"/>
        </w:rPr>
        <w:t xml:space="preserve"> rząd wskazuje, że obecnie nie ma podstaw do dodania dodatkowego środka zapobiegawczego ze względu na brak danych lub informacji prowadzących do wniosku, że wprowadzenie takiego środka zmniejszyłoby liczbę przypadków, w których stosowane jest tymczasowe aresztowanie. HFPC nie jest jednak jedyną organizacją broniącą praw człowieka, która postuluje powyższe rozwiązanie. Fundacja Court Watch w swoim raporcie z grudnia 2019 r. również zaleciła wprowadzenie do polskiego prawa środka zapobiegawczego polegającego na dozorze elektronicznym.</w:t>
      </w:r>
      <w:r w:rsidRPr="009552FD">
        <w:rPr>
          <w:rFonts w:eastAsia="Times New Roman" w:cs="Times New Roman"/>
          <w:sz w:val="24"/>
          <w:szCs w:val="24"/>
          <w:vertAlign w:val="superscript"/>
          <w:lang w:bidi="en-US"/>
        </w:rPr>
        <w:footnoteReference w:id="19"/>
      </w:r>
    </w:p>
    <w:p w:rsidR="009C7E99" w:rsidRPr="009552FD" w:rsidRDefault="009C7E99" w:rsidP="0045422F">
      <w:pPr>
        <w:widowControl w:val="0"/>
        <w:numPr>
          <w:ilvl w:val="0"/>
          <w:numId w:val="9"/>
        </w:numPr>
        <w:tabs>
          <w:tab w:val="left" w:pos="404"/>
        </w:tabs>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HFPC pragnie wyrazić swoją gotowość do współpracy z Komitetem Ministrów w sprawach związanych z monitorowaniem skutecznego wykonania wyroku ETPCz.</w:t>
      </w:r>
    </w:p>
    <w:p w:rsidR="006B2CF8" w:rsidRDefault="005703C3">
      <w:pPr>
        <w:rPr>
          <w:sz w:val="24"/>
          <w:szCs w:val="24"/>
          <w:u w:val="single"/>
        </w:rPr>
      </w:pPr>
      <w:r w:rsidRPr="005703C3">
        <w:rPr>
          <w:sz w:val="24"/>
          <w:szCs w:val="24"/>
          <w:u w:val="single"/>
        </w:rPr>
        <w:lastRenderedPageBreak/>
        <w:t xml:space="preserve">Odpowiedź rządu  z dnia </w:t>
      </w:r>
      <w:r>
        <w:rPr>
          <w:sz w:val="24"/>
          <w:szCs w:val="24"/>
          <w:u w:val="single"/>
        </w:rPr>
        <w:t xml:space="preserve">4 lutego 2020 r. </w:t>
      </w:r>
    </w:p>
    <w:p w:rsidR="00CE0417" w:rsidRPr="00CE0417" w:rsidRDefault="00CE0417" w:rsidP="00CE0417">
      <w:pPr>
        <w:spacing w:after="120" w:line="240" w:lineRule="auto"/>
        <w:jc w:val="both"/>
        <w:rPr>
          <w:rFonts w:ascii="Calibri" w:eastAsia="Times New Roman" w:hAnsi="Calibri" w:cs="Times New Roman"/>
          <w:sz w:val="24"/>
          <w:szCs w:val="24"/>
          <w:lang w:eastAsia="pl-PL"/>
        </w:rPr>
      </w:pPr>
      <w:r w:rsidRPr="00CE0417">
        <w:rPr>
          <w:rFonts w:ascii="Calibri" w:eastAsia="Times New Roman" w:hAnsi="Calibri" w:cs="Times New Roman"/>
          <w:sz w:val="24"/>
          <w:szCs w:val="24"/>
          <w:lang w:eastAsia="pl-PL"/>
        </w:rPr>
        <w:t xml:space="preserve">W odpowiedzi na komunikację Helsińskiej Fundacji Praw Człowieka (dalej HFPC) z dnia 21 stycznia 2020 r. w sprawie </w:t>
      </w:r>
      <w:r w:rsidRPr="00CE0417">
        <w:rPr>
          <w:rFonts w:ascii="Calibri" w:eastAsia="Times New Roman" w:hAnsi="Calibri" w:cs="Times New Roman"/>
          <w:i/>
          <w:sz w:val="24"/>
          <w:szCs w:val="24"/>
          <w:lang w:eastAsia="pl-PL"/>
        </w:rPr>
        <w:t>Mierzejewski p. Polsce</w:t>
      </w:r>
      <w:r w:rsidRPr="00CE0417">
        <w:rPr>
          <w:rFonts w:ascii="Calibri" w:eastAsia="Times New Roman" w:hAnsi="Calibri" w:cs="Times New Roman"/>
          <w:sz w:val="24"/>
          <w:szCs w:val="24"/>
          <w:lang w:eastAsia="pl-PL"/>
        </w:rPr>
        <w:t xml:space="preserve"> (skarga nr 9916/13), rząd Polski pragnie przedstawić następujące uwagi dotyczące przedstawionych w niej zaleceń dla Państwa-Strony.</w:t>
      </w:r>
    </w:p>
    <w:p w:rsidR="00CE0417" w:rsidRPr="00CE0417" w:rsidRDefault="00CE0417" w:rsidP="00CE0417">
      <w:pPr>
        <w:spacing w:after="120" w:line="240" w:lineRule="auto"/>
        <w:jc w:val="both"/>
        <w:rPr>
          <w:rFonts w:ascii="Calibri" w:eastAsia="Times New Roman" w:hAnsi="Calibri" w:cs="Times New Roman"/>
          <w:b/>
          <w:sz w:val="24"/>
          <w:szCs w:val="24"/>
          <w:lang w:eastAsia="pl-PL"/>
        </w:rPr>
      </w:pPr>
      <w:r w:rsidRPr="00CE0417">
        <w:rPr>
          <w:rFonts w:ascii="Calibri" w:eastAsia="Times New Roman" w:hAnsi="Calibri" w:cs="Times New Roman"/>
          <w:b/>
          <w:sz w:val="24"/>
          <w:szCs w:val="24"/>
          <w:lang w:eastAsia="pl-PL"/>
        </w:rPr>
        <w:t xml:space="preserve">Dane </w:t>
      </w:r>
      <w:r w:rsidR="00D06488" w:rsidRPr="00CE0417">
        <w:rPr>
          <w:rFonts w:ascii="Calibri" w:eastAsia="Times New Roman" w:hAnsi="Calibri" w:cs="Times New Roman"/>
          <w:b/>
          <w:sz w:val="24"/>
          <w:szCs w:val="24"/>
          <w:lang w:eastAsia="pl-PL"/>
        </w:rPr>
        <w:t>statystyczne</w:t>
      </w:r>
      <w:r w:rsidRPr="00CE0417">
        <w:rPr>
          <w:rFonts w:ascii="Calibri" w:eastAsia="Times New Roman" w:hAnsi="Calibri" w:cs="Times New Roman"/>
          <w:b/>
          <w:sz w:val="24"/>
          <w:szCs w:val="24"/>
          <w:lang w:eastAsia="pl-PL"/>
        </w:rPr>
        <w:t xml:space="preserve"> dotyczące tymczasowego aresztowania </w:t>
      </w:r>
    </w:p>
    <w:p w:rsidR="00CE0417" w:rsidRPr="00CE0417" w:rsidRDefault="00CE0417" w:rsidP="00CE0417">
      <w:pPr>
        <w:spacing w:after="120" w:line="240" w:lineRule="auto"/>
        <w:jc w:val="both"/>
        <w:rPr>
          <w:rFonts w:ascii="Calibri" w:eastAsia="Times New Roman" w:hAnsi="Calibri" w:cs="Times New Roman"/>
          <w:sz w:val="24"/>
          <w:szCs w:val="24"/>
          <w:lang w:eastAsia="pl-PL"/>
        </w:rPr>
      </w:pPr>
      <w:r w:rsidRPr="00CE0417">
        <w:rPr>
          <w:rFonts w:ascii="Calibri" w:eastAsia="Times New Roman" w:hAnsi="Calibri" w:cs="Times New Roman"/>
          <w:sz w:val="24"/>
          <w:szCs w:val="24"/>
          <w:lang w:eastAsia="pl-PL"/>
        </w:rPr>
        <w:t>W odniesieniu do danych statystycznych dotyczących tymczasowego aresztowania należy zauważyć, że na koniec III kwartału 2019 r.:</w:t>
      </w:r>
    </w:p>
    <w:p w:rsidR="00CE0417" w:rsidRPr="00CE0417" w:rsidRDefault="00CE0417" w:rsidP="00D24F7A">
      <w:pPr>
        <w:numPr>
          <w:ilvl w:val="0"/>
          <w:numId w:val="11"/>
        </w:numPr>
        <w:spacing w:after="120" w:line="240" w:lineRule="auto"/>
        <w:jc w:val="both"/>
        <w:rPr>
          <w:rFonts w:ascii="Calibri" w:eastAsia="Calibri" w:hAnsi="Calibri" w:cs="Times New Roman"/>
          <w:sz w:val="24"/>
          <w:szCs w:val="24"/>
        </w:rPr>
      </w:pPr>
      <w:r w:rsidRPr="00CE0417">
        <w:rPr>
          <w:rFonts w:ascii="Calibri" w:eastAsia="Calibri" w:hAnsi="Calibri" w:cs="Times New Roman"/>
          <w:sz w:val="24"/>
          <w:szCs w:val="24"/>
        </w:rPr>
        <w:t xml:space="preserve">z 16 859 wniosków prokuratorów o zastosowanie tymczasowego aresztowania sądy rejonowe uwzględniły 14 029, </w:t>
      </w:r>
      <w:r w:rsidR="00AB13E6" w:rsidRPr="00CE0417">
        <w:rPr>
          <w:rFonts w:ascii="Calibri" w:eastAsia="Calibri" w:hAnsi="Calibri" w:cs="Times New Roman"/>
          <w:sz w:val="24"/>
          <w:szCs w:val="24"/>
        </w:rPr>
        <w:t>tj.</w:t>
      </w:r>
      <w:r w:rsidRPr="00CE0417">
        <w:rPr>
          <w:rFonts w:ascii="Calibri" w:eastAsia="Calibri" w:hAnsi="Calibri" w:cs="Times New Roman"/>
          <w:sz w:val="24"/>
          <w:szCs w:val="24"/>
        </w:rPr>
        <w:t xml:space="preserve"> 83% (na koniec 2018 r. – 80,60%, na koniec 2017 r. – 81,35%),</w:t>
      </w:r>
    </w:p>
    <w:p w:rsidR="00CE0417" w:rsidRPr="00CE0417" w:rsidRDefault="00CE0417" w:rsidP="00D24F7A">
      <w:pPr>
        <w:numPr>
          <w:ilvl w:val="0"/>
          <w:numId w:val="11"/>
        </w:numPr>
        <w:spacing w:after="120" w:line="240" w:lineRule="auto"/>
        <w:jc w:val="both"/>
        <w:rPr>
          <w:rFonts w:ascii="Calibri" w:eastAsia="Calibri" w:hAnsi="Calibri" w:cs="Times New Roman"/>
          <w:sz w:val="24"/>
          <w:szCs w:val="24"/>
        </w:rPr>
      </w:pPr>
      <w:r w:rsidRPr="00CE0417">
        <w:rPr>
          <w:rFonts w:ascii="Calibri" w:eastAsia="Calibri" w:hAnsi="Calibri" w:cs="Times New Roman"/>
          <w:sz w:val="24"/>
          <w:szCs w:val="24"/>
        </w:rPr>
        <w:t xml:space="preserve">w postępowaniach sądowych przed sądami rejonowymi i okręgowymi tymczasowe aresztowanie </w:t>
      </w:r>
      <w:r w:rsidR="00D06488" w:rsidRPr="00CE0417">
        <w:rPr>
          <w:rFonts w:ascii="Calibri" w:eastAsia="Calibri" w:hAnsi="Calibri" w:cs="Times New Roman"/>
          <w:sz w:val="24"/>
          <w:szCs w:val="24"/>
        </w:rPr>
        <w:t>zastosowano</w:t>
      </w:r>
      <w:r w:rsidRPr="00CE0417">
        <w:rPr>
          <w:rFonts w:ascii="Calibri" w:eastAsia="Calibri" w:hAnsi="Calibri" w:cs="Times New Roman"/>
          <w:sz w:val="24"/>
          <w:szCs w:val="24"/>
        </w:rPr>
        <w:t xml:space="preserve"> wobec 8 548 osób (w 2018 r. – 10 475, w 2017 r. – 9 630), </w:t>
      </w:r>
    </w:p>
    <w:p w:rsidR="00CE0417" w:rsidRPr="00CE0417" w:rsidRDefault="00CE0417" w:rsidP="00D24F7A">
      <w:pPr>
        <w:numPr>
          <w:ilvl w:val="0"/>
          <w:numId w:val="11"/>
        </w:numPr>
        <w:spacing w:after="120" w:line="240" w:lineRule="auto"/>
        <w:jc w:val="both"/>
        <w:rPr>
          <w:rFonts w:ascii="Calibri" w:eastAsia="Calibri" w:hAnsi="Calibri" w:cs="Times New Roman"/>
          <w:sz w:val="24"/>
          <w:szCs w:val="24"/>
        </w:rPr>
      </w:pPr>
      <w:r w:rsidRPr="00CE0417">
        <w:rPr>
          <w:rFonts w:ascii="Calibri" w:eastAsia="Calibri" w:hAnsi="Calibri" w:cs="Times New Roman"/>
          <w:sz w:val="24"/>
          <w:szCs w:val="24"/>
        </w:rPr>
        <w:t>w sprawach zawisłych przed sądami rejonowymi tymczasowo aresztowanych było 2 936 osób (in 2018 r. – 2 603, w 2017 r. – 2 688), w tym w stosunku do 31 osób tymczasowe aresztowanie było dłuższe niż dwa lata (w 2018 – 22, w 2017 r. – 15),</w:t>
      </w:r>
    </w:p>
    <w:p w:rsidR="00CE0417" w:rsidRPr="00CE0417" w:rsidRDefault="00CE0417" w:rsidP="00D24F7A">
      <w:pPr>
        <w:numPr>
          <w:ilvl w:val="0"/>
          <w:numId w:val="11"/>
        </w:numPr>
        <w:spacing w:after="120" w:line="240" w:lineRule="auto"/>
        <w:jc w:val="both"/>
        <w:rPr>
          <w:rFonts w:ascii="Calibri" w:eastAsia="Calibri" w:hAnsi="Calibri" w:cs="Times New Roman"/>
          <w:sz w:val="24"/>
          <w:szCs w:val="24"/>
        </w:rPr>
      </w:pPr>
      <w:r w:rsidRPr="00CE0417">
        <w:rPr>
          <w:rFonts w:ascii="Calibri" w:eastAsia="Calibri" w:hAnsi="Calibri" w:cs="Times New Roman"/>
          <w:sz w:val="24"/>
          <w:szCs w:val="24"/>
        </w:rPr>
        <w:t>w sprawach zawisłych przed sądami okręgowymi tymczasowo aresztowanych było 2 223 osób (w 2018 r. – 2 062, w 2017 r. – 1 768), w tym w stosunku do 360 osób tymczasowe aresztowanie było dłuższe niż dwa lata (w 2018 r.– 261, w 2017 r. – 221).</w:t>
      </w:r>
    </w:p>
    <w:p w:rsidR="00CE0417" w:rsidRPr="00CE0417" w:rsidRDefault="00CE0417" w:rsidP="00CE0417">
      <w:pPr>
        <w:spacing w:after="120" w:line="240" w:lineRule="auto"/>
        <w:jc w:val="both"/>
        <w:rPr>
          <w:rFonts w:ascii="Calibri" w:eastAsia="Times New Roman" w:hAnsi="Calibri" w:cs="Times New Roman"/>
          <w:b/>
          <w:sz w:val="24"/>
          <w:szCs w:val="24"/>
          <w:lang w:eastAsia="pl-PL"/>
        </w:rPr>
      </w:pPr>
      <w:r w:rsidRPr="00CE0417">
        <w:rPr>
          <w:rFonts w:ascii="Calibri" w:eastAsia="Times New Roman" w:hAnsi="Calibri" w:cs="Times New Roman"/>
          <w:b/>
          <w:sz w:val="24"/>
          <w:szCs w:val="24"/>
          <w:lang w:eastAsia="pl-PL"/>
        </w:rPr>
        <w:t xml:space="preserve">Wykonanie wyroku </w:t>
      </w:r>
      <w:r w:rsidR="00D06488" w:rsidRPr="00CE0417">
        <w:rPr>
          <w:rFonts w:ascii="Calibri" w:eastAsia="Times New Roman" w:hAnsi="Calibri" w:cs="Times New Roman"/>
          <w:b/>
          <w:sz w:val="24"/>
          <w:szCs w:val="24"/>
          <w:lang w:eastAsia="pl-PL"/>
        </w:rPr>
        <w:t>Trybunału</w:t>
      </w:r>
      <w:r w:rsidRPr="00CE0417">
        <w:rPr>
          <w:rFonts w:ascii="Calibri" w:eastAsia="Times New Roman" w:hAnsi="Calibri" w:cs="Times New Roman"/>
          <w:b/>
          <w:sz w:val="24"/>
          <w:szCs w:val="24"/>
          <w:lang w:eastAsia="pl-PL"/>
        </w:rPr>
        <w:t xml:space="preserve"> Konstytucyjnego (pkt 22 komunikacji)</w:t>
      </w:r>
    </w:p>
    <w:p w:rsidR="00CE0417" w:rsidRPr="00CE0417" w:rsidRDefault="00CE0417" w:rsidP="00CE0417">
      <w:pPr>
        <w:spacing w:after="120" w:line="240" w:lineRule="auto"/>
        <w:jc w:val="both"/>
        <w:rPr>
          <w:rFonts w:ascii="Calibri" w:eastAsia="Times New Roman" w:hAnsi="Calibri" w:cs="Times New Roman"/>
          <w:sz w:val="24"/>
          <w:szCs w:val="24"/>
          <w:lang w:eastAsia="pl-PL"/>
        </w:rPr>
      </w:pPr>
      <w:r w:rsidRPr="00CE0417">
        <w:rPr>
          <w:rFonts w:ascii="Calibri" w:eastAsia="Times New Roman" w:hAnsi="Calibri" w:cs="Times New Roman"/>
          <w:sz w:val="24"/>
          <w:szCs w:val="24"/>
          <w:lang w:eastAsia="pl-PL"/>
        </w:rPr>
        <w:t xml:space="preserve">W odniesieniu do wykonania wyroku Trybunału Konstytucyjnego z 20 listopada 2012 r. (sygn. akt SK 3/12) należy wspomnieć, że obecnie trwają prace analityczne nad jego wykonaniem. Trybunał Konstytucyjny uznał w wyroku, że art. 263 § 3 k.p.k. w zakresie, w jakim nie określa jednoznacznie podstaw przedłużenia tymczasowego aresztowania po wydaniu wyroku w sprawie przez sąd pierwszej instancji, jest niezgodny z art. 41 ust. 1 Konstytucji w związku z art. 31 ust. 3 Konstytucji oraz z art. 40 Konstytucji w związku z art. 41 ust. 4 Konstytucji. Propozycja zmiany tego przepisu ma być realizowana w ramach kolejnych nowelizacji Kodeksu postępowania karnego. </w:t>
      </w:r>
    </w:p>
    <w:p w:rsidR="00CE0417" w:rsidRPr="00CE0417" w:rsidRDefault="00CE0417" w:rsidP="00CE0417">
      <w:pPr>
        <w:spacing w:after="120" w:line="240" w:lineRule="auto"/>
        <w:jc w:val="both"/>
        <w:rPr>
          <w:rFonts w:ascii="Calibri" w:eastAsia="Times New Roman" w:hAnsi="Calibri" w:cs="Times New Roman"/>
          <w:b/>
          <w:sz w:val="24"/>
          <w:szCs w:val="24"/>
          <w:lang w:eastAsia="pl-PL"/>
        </w:rPr>
      </w:pPr>
      <w:r w:rsidRPr="00CE0417">
        <w:rPr>
          <w:rFonts w:ascii="Calibri" w:eastAsia="Times New Roman" w:hAnsi="Calibri" w:cs="Times New Roman"/>
          <w:b/>
          <w:sz w:val="24"/>
          <w:szCs w:val="24"/>
          <w:lang w:eastAsia="pl-PL"/>
        </w:rPr>
        <w:t>Szkolenia i działania upowszechniające (pkt 24 komunikacji)</w:t>
      </w:r>
    </w:p>
    <w:p w:rsidR="00CE0417" w:rsidRPr="00CE0417" w:rsidRDefault="00CE0417" w:rsidP="00CE0417">
      <w:pPr>
        <w:spacing w:after="120" w:line="240" w:lineRule="auto"/>
        <w:jc w:val="both"/>
        <w:rPr>
          <w:rFonts w:ascii="Calibri" w:eastAsia="Times New Roman" w:hAnsi="Calibri" w:cs="Times New Roman"/>
          <w:sz w:val="24"/>
          <w:szCs w:val="24"/>
          <w:lang w:eastAsia="pl-PL"/>
        </w:rPr>
      </w:pPr>
      <w:r w:rsidRPr="00CE0417">
        <w:rPr>
          <w:rFonts w:ascii="Calibri" w:eastAsia="Times New Roman" w:hAnsi="Calibri" w:cs="Times New Roman"/>
          <w:sz w:val="24"/>
          <w:szCs w:val="24"/>
          <w:lang w:eastAsia="pl-PL"/>
        </w:rPr>
        <w:t>Odnosząc się do aplikacji prokuratorskiej dla aplikantów prokuratorskich, prowadzi je Krajowa Szkoła Sądownictwa i Prokuratury w formie tygodniowych (5 dni roboczych) szkoleń, podczas których aplikanci prokuratorscy omawiają istotne zagadnienia - różne na każdej sesji szkoleniowej - z wykorzystaniem różnych technik uczenia się, w tym: metody typu A (case method), która polega na analizie orzecznictwa nie tylko sądów krajowych, czy Trybunału Sprawiedliwości Unii Europejskiej, ale również orzeczeń Europejskiego Trybunału Praw Człowieka (ETPCz) i innych źródeł prawa UE; metody typu C (zajęcia uzupełniające np. wykład, prezentacja multimedialna), która umożliwia wykładowcom omówienie aktów prawnych, krajowych i międzynarodowych, związanych z tematyką danej sesji szkoleniowej i wreszcie, metoda typu G (</w:t>
      </w:r>
      <w:r w:rsidR="0045422F" w:rsidRPr="00CE0417">
        <w:rPr>
          <w:rFonts w:ascii="Calibri" w:eastAsia="Times New Roman" w:hAnsi="Calibri" w:cs="Times New Roman"/>
          <w:sz w:val="24"/>
          <w:szCs w:val="24"/>
          <w:lang w:eastAsia="pl-PL"/>
        </w:rPr>
        <w:t>rozwiązywanie</w:t>
      </w:r>
      <w:r w:rsidRPr="00CE0417">
        <w:rPr>
          <w:rFonts w:ascii="Calibri" w:eastAsia="Times New Roman" w:hAnsi="Calibri" w:cs="Times New Roman"/>
          <w:sz w:val="24"/>
          <w:szCs w:val="24"/>
          <w:lang w:eastAsia="pl-PL"/>
        </w:rPr>
        <w:t xml:space="preserve"> kazusów), gdzie wykładowcy przygotowują studia przypadków, mające na celu ich rozwiązanie na zajęciach, które są powiązane z wcześniej omawianymi orzeczeniami z wykorzystaniem metody typu A. </w:t>
      </w:r>
    </w:p>
    <w:p w:rsidR="00CE0417" w:rsidRPr="00AB13E6" w:rsidRDefault="00CE0417" w:rsidP="00CE0417">
      <w:pPr>
        <w:spacing w:after="120" w:line="240" w:lineRule="auto"/>
        <w:jc w:val="both"/>
        <w:rPr>
          <w:rFonts w:ascii="Calibri" w:eastAsia="Times New Roman" w:hAnsi="Calibri" w:cs="Times New Roman"/>
          <w:sz w:val="24"/>
          <w:szCs w:val="24"/>
          <w:lang w:eastAsia="pl-PL"/>
        </w:rPr>
      </w:pPr>
      <w:r w:rsidRPr="00CE0417">
        <w:rPr>
          <w:rFonts w:ascii="Calibri" w:eastAsia="Times New Roman" w:hAnsi="Calibri" w:cs="Times New Roman"/>
          <w:sz w:val="24"/>
          <w:szCs w:val="24"/>
          <w:lang w:eastAsia="pl-PL"/>
        </w:rPr>
        <w:lastRenderedPageBreak/>
        <w:t xml:space="preserve">Program </w:t>
      </w:r>
      <w:r w:rsidRPr="00AB13E6">
        <w:rPr>
          <w:rFonts w:ascii="Calibri" w:eastAsia="Times New Roman" w:hAnsi="Calibri" w:cs="Times New Roman"/>
          <w:sz w:val="24"/>
          <w:szCs w:val="24"/>
          <w:lang w:eastAsia="pl-PL"/>
        </w:rPr>
        <w:t>aplikacji prokuratorskiej przewiduje następujące zajęcia dotyczące tematyki tymczasowego aresztowania:</w:t>
      </w:r>
    </w:p>
    <w:p w:rsidR="00CE0417" w:rsidRPr="00AB13E6" w:rsidRDefault="00CE0417" w:rsidP="00D24F7A">
      <w:pPr>
        <w:numPr>
          <w:ilvl w:val="0"/>
          <w:numId w:val="12"/>
        </w:numPr>
        <w:spacing w:after="120" w:line="240" w:lineRule="auto"/>
        <w:ind w:left="426" w:hanging="426"/>
        <w:jc w:val="both"/>
        <w:rPr>
          <w:rFonts w:ascii="Calibri" w:eastAsia="Calibri" w:hAnsi="Calibri" w:cs="Times New Roman"/>
          <w:sz w:val="24"/>
          <w:szCs w:val="24"/>
        </w:rPr>
      </w:pPr>
      <w:r w:rsidRPr="00AB13E6">
        <w:rPr>
          <w:rFonts w:ascii="Calibri" w:eastAsia="Calibri" w:hAnsi="Calibri" w:cs="Times New Roman"/>
          <w:sz w:val="24"/>
          <w:szCs w:val="24"/>
        </w:rPr>
        <w:t>podczas VII sesji szkoleniowej:</w:t>
      </w:r>
    </w:p>
    <w:p w:rsidR="00CE0417" w:rsidRPr="00AB13E6" w:rsidRDefault="00CE0417" w:rsidP="00D24F7A">
      <w:pPr>
        <w:numPr>
          <w:ilvl w:val="0"/>
          <w:numId w:val="13"/>
        </w:numPr>
        <w:tabs>
          <w:tab w:val="left" w:pos="851"/>
        </w:tabs>
        <w:spacing w:after="120" w:line="240" w:lineRule="auto"/>
        <w:ind w:left="851" w:hanging="425"/>
        <w:jc w:val="both"/>
        <w:rPr>
          <w:rFonts w:ascii="Calibri" w:eastAsia="Calibri" w:hAnsi="Calibri" w:cs="Times New Roman"/>
          <w:sz w:val="24"/>
          <w:szCs w:val="24"/>
        </w:rPr>
      </w:pPr>
      <w:r w:rsidRPr="00AB13E6">
        <w:rPr>
          <w:rFonts w:ascii="Calibri" w:eastAsia="Calibri" w:hAnsi="Calibri" w:cs="Times New Roman"/>
          <w:sz w:val="24"/>
          <w:szCs w:val="24"/>
        </w:rPr>
        <w:t>Zatrzymanie. Ocena legalności, zasadności i prawidłowości zatrzymania. Prawidłowość stosowania środków przymusu bezpośredniego (zajęcia typu B i C – po 2 godz.),</w:t>
      </w:r>
    </w:p>
    <w:p w:rsidR="00CE0417" w:rsidRPr="00AB13E6" w:rsidRDefault="00CE0417" w:rsidP="00D24F7A">
      <w:pPr>
        <w:numPr>
          <w:ilvl w:val="0"/>
          <w:numId w:val="13"/>
        </w:numPr>
        <w:tabs>
          <w:tab w:val="left" w:pos="851"/>
        </w:tabs>
        <w:spacing w:after="120" w:line="240" w:lineRule="auto"/>
        <w:ind w:left="851" w:hanging="425"/>
        <w:jc w:val="both"/>
        <w:rPr>
          <w:rFonts w:ascii="Calibri" w:eastAsia="Calibri" w:hAnsi="Calibri" w:cs="Times New Roman"/>
          <w:sz w:val="24"/>
          <w:szCs w:val="24"/>
        </w:rPr>
      </w:pPr>
      <w:r w:rsidRPr="00AB13E6">
        <w:rPr>
          <w:rFonts w:ascii="Calibri" w:eastAsia="Calibri" w:hAnsi="Calibri" w:cs="Times New Roman"/>
          <w:sz w:val="24"/>
          <w:szCs w:val="24"/>
        </w:rPr>
        <w:t>Przesłanki stosowania tymczasowego aresztowania. Konstrukcja wniosku o zastosowanie tymczasowego aresztowania. List gończy (zajęcia typu B – 6 godz., zajęcia typu G i A – po 2 godz.),</w:t>
      </w:r>
    </w:p>
    <w:p w:rsidR="00CE0417" w:rsidRPr="00AB13E6" w:rsidRDefault="00CE0417" w:rsidP="00D24F7A">
      <w:pPr>
        <w:numPr>
          <w:ilvl w:val="0"/>
          <w:numId w:val="13"/>
        </w:numPr>
        <w:tabs>
          <w:tab w:val="left" w:pos="851"/>
        </w:tabs>
        <w:spacing w:after="120" w:line="240" w:lineRule="auto"/>
        <w:ind w:left="851" w:hanging="425"/>
        <w:jc w:val="both"/>
        <w:rPr>
          <w:rFonts w:ascii="Calibri" w:eastAsia="Calibri" w:hAnsi="Calibri" w:cs="Times New Roman"/>
          <w:sz w:val="24"/>
          <w:szCs w:val="24"/>
        </w:rPr>
      </w:pPr>
      <w:r w:rsidRPr="00AB13E6">
        <w:rPr>
          <w:rFonts w:ascii="Calibri" w:eastAsia="Calibri" w:hAnsi="Calibri" w:cs="Times New Roman"/>
          <w:sz w:val="24"/>
          <w:szCs w:val="24"/>
        </w:rPr>
        <w:t>Przesłanki przedłużenia tymczasowego aresztowania (zajęcia typu A – 3 godz., zajęcia typu B – 4 godz., zajęcia typu G – 2 godz.).</w:t>
      </w:r>
    </w:p>
    <w:p w:rsidR="00CE0417" w:rsidRPr="00AB13E6" w:rsidRDefault="00CE0417" w:rsidP="00CE0417">
      <w:pPr>
        <w:spacing w:after="120" w:line="240" w:lineRule="auto"/>
        <w:jc w:val="both"/>
        <w:rPr>
          <w:rFonts w:ascii="Calibri" w:eastAsia="Times New Roman" w:hAnsi="Calibri" w:cs="Times New Roman"/>
          <w:sz w:val="24"/>
          <w:szCs w:val="24"/>
          <w:lang w:eastAsia="pl-PL"/>
        </w:rPr>
      </w:pPr>
      <w:r w:rsidRPr="00AB13E6">
        <w:rPr>
          <w:rFonts w:ascii="Calibri" w:eastAsia="Times New Roman" w:hAnsi="Calibri" w:cs="Times New Roman"/>
          <w:sz w:val="24"/>
          <w:szCs w:val="24"/>
          <w:lang w:eastAsia="pl-PL"/>
        </w:rPr>
        <w:t>Po wspomnianym cyklu szkoleniowym, obejmującym jedną sesję szkoleniową i 3-tygodniowe praktyki, następuje egzamin, który wymaga przygotowania projektu postanowienia w sprawie zastosowania, uchylenia lub zmiany środka zapobiegawczego lub wniosku o zastosowanie lub przedłużenie tymczasowego aresztowania.</w:t>
      </w:r>
    </w:p>
    <w:p w:rsidR="00CE0417" w:rsidRPr="00AB13E6" w:rsidRDefault="00CE0417" w:rsidP="00D24F7A">
      <w:pPr>
        <w:numPr>
          <w:ilvl w:val="0"/>
          <w:numId w:val="12"/>
        </w:numPr>
        <w:spacing w:after="120" w:line="240" w:lineRule="auto"/>
        <w:ind w:left="425" w:hanging="425"/>
        <w:jc w:val="both"/>
        <w:rPr>
          <w:rFonts w:ascii="Calibri" w:eastAsia="Calibri" w:hAnsi="Calibri" w:cs="Times New Roman"/>
          <w:sz w:val="24"/>
          <w:szCs w:val="24"/>
        </w:rPr>
      </w:pPr>
      <w:r w:rsidRPr="00AB13E6">
        <w:rPr>
          <w:rFonts w:ascii="Calibri" w:eastAsia="Calibri" w:hAnsi="Calibri" w:cs="Times New Roman"/>
          <w:sz w:val="24"/>
          <w:szCs w:val="24"/>
        </w:rPr>
        <w:t xml:space="preserve">podczas XIX sesji szkoleniowej : </w:t>
      </w:r>
    </w:p>
    <w:p w:rsidR="00CE0417" w:rsidRPr="00AB13E6" w:rsidRDefault="00CE0417" w:rsidP="00D24F7A">
      <w:pPr>
        <w:numPr>
          <w:ilvl w:val="0"/>
          <w:numId w:val="13"/>
        </w:numPr>
        <w:tabs>
          <w:tab w:val="left" w:pos="851"/>
        </w:tabs>
        <w:spacing w:after="120" w:line="240" w:lineRule="auto"/>
        <w:ind w:left="851" w:hanging="425"/>
        <w:jc w:val="both"/>
        <w:rPr>
          <w:rFonts w:ascii="Calibri" w:eastAsia="Calibri" w:hAnsi="Calibri" w:cs="Times New Roman"/>
          <w:sz w:val="24"/>
          <w:szCs w:val="24"/>
        </w:rPr>
      </w:pPr>
      <w:r w:rsidRPr="00AB13E6">
        <w:rPr>
          <w:rFonts w:ascii="Calibri" w:eastAsia="Calibri" w:hAnsi="Calibri" w:cs="Times New Roman"/>
          <w:sz w:val="24"/>
          <w:szCs w:val="24"/>
        </w:rPr>
        <w:t>Europejski nakaz aresztowania i System Informacyjny Schengen (SIS). Poszukiwania międzynarodowe i ekstradycja (zajęcia typu A – 2 godz., zajęcia typu B i G – po 4 godz.).</w:t>
      </w:r>
    </w:p>
    <w:p w:rsidR="00CE0417" w:rsidRPr="00CE0417" w:rsidRDefault="00CE0417" w:rsidP="00CE0417">
      <w:pPr>
        <w:tabs>
          <w:tab w:val="left" w:pos="851"/>
        </w:tabs>
        <w:spacing w:after="120" w:line="240" w:lineRule="auto"/>
        <w:jc w:val="both"/>
        <w:rPr>
          <w:rFonts w:ascii="Calibri" w:eastAsia="Times New Roman" w:hAnsi="Calibri" w:cs="Times New Roman"/>
          <w:sz w:val="24"/>
          <w:szCs w:val="24"/>
          <w:lang w:eastAsia="pl-PL"/>
        </w:rPr>
      </w:pPr>
      <w:r w:rsidRPr="00AB13E6">
        <w:rPr>
          <w:rFonts w:ascii="Calibri" w:eastAsia="Times New Roman" w:hAnsi="Calibri" w:cs="Times New Roman"/>
          <w:sz w:val="24"/>
          <w:szCs w:val="24"/>
          <w:lang w:eastAsia="pl-PL"/>
        </w:rPr>
        <w:t>W ramach aplikacji sędziowskiej, kwestie</w:t>
      </w:r>
      <w:r w:rsidRPr="00CE0417">
        <w:rPr>
          <w:rFonts w:ascii="Calibri" w:eastAsia="Times New Roman" w:hAnsi="Calibri" w:cs="Times New Roman"/>
          <w:sz w:val="24"/>
          <w:szCs w:val="24"/>
          <w:lang w:eastAsia="pl-PL"/>
        </w:rPr>
        <w:t xml:space="preserve"> środków przymusu, w tym stosowania tymczasowego aresztowania, omawiane są w trakcie V sesji szkoleniowej, która obejmuje następujące szkolenia:</w:t>
      </w:r>
    </w:p>
    <w:p w:rsidR="00CE0417" w:rsidRPr="00CE0417" w:rsidRDefault="00CE0417" w:rsidP="00D24F7A">
      <w:pPr>
        <w:numPr>
          <w:ilvl w:val="0"/>
          <w:numId w:val="13"/>
        </w:numPr>
        <w:tabs>
          <w:tab w:val="left" w:pos="851"/>
        </w:tabs>
        <w:spacing w:after="120" w:line="240" w:lineRule="auto"/>
        <w:ind w:left="851" w:hanging="425"/>
        <w:jc w:val="both"/>
        <w:rPr>
          <w:rFonts w:ascii="Calibri" w:eastAsia="Calibri" w:hAnsi="Calibri" w:cs="Times New Roman"/>
          <w:sz w:val="24"/>
          <w:szCs w:val="24"/>
        </w:rPr>
      </w:pPr>
      <w:r w:rsidRPr="00CE0417">
        <w:rPr>
          <w:rFonts w:ascii="Calibri" w:eastAsia="Calibri" w:hAnsi="Calibri" w:cs="Times New Roman"/>
          <w:sz w:val="24"/>
          <w:szCs w:val="24"/>
        </w:rPr>
        <w:t xml:space="preserve">dopuszczalność, warunki i czas trwania </w:t>
      </w:r>
      <w:r w:rsidR="0045422F">
        <w:rPr>
          <w:rFonts w:ascii="Calibri" w:eastAsia="Calibri" w:hAnsi="Calibri" w:cs="Times New Roman"/>
          <w:sz w:val="24"/>
          <w:szCs w:val="24"/>
        </w:rPr>
        <w:t xml:space="preserve">tymczasowego </w:t>
      </w:r>
      <w:r w:rsidRPr="00CE0417">
        <w:rPr>
          <w:rFonts w:ascii="Calibri" w:eastAsia="Calibri" w:hAnsi="Calibri" w:cs="Times New Roman"/>
          <w:sz w:val="24"/>
          <w:szCs w:val="24"/>
        </w:rPr>
        <w:t>aresztowania i innych środków przymusu (zajęcia typu A - 4 godziny),</w:t>
      </w:r>
    </w:p>
    <w:p w:rsidR="00CE0417" w:rsidRPr="00CE0417" w:rsidRDefault="00CE0417" w:rsidP="00D24F7A">
      <w:pPr>
        <w:numPr>
          <w:ilvl w:val="0"/>
          <w:numId w:val="13"/>
        </w:numPr>
        <w:tabs>
          <w:tab w:val="left" w:pos="851"/>
        </w:tabs>
        <w:spacing w:after="120" w:line="240" w:lineRule="auto"/>
        <w:ind w:left="851" w:hanging="425"/>
        <w:jc w:val="both"/>
        <w:rPr>
          <w:rFonts w:ascii="Calibri" w:eastAsia="Calibri" w:hAnsi="Calibri" w:cs="Times New Roman"/>
          <w:sz w:val="24"/>
          <w:szCs w:val="24"/>
        </w:rPr>
      </w:pPr>
      <w:r w:rsidRPr="00CE0417">
        <w:rPr>
          <w:rFonts w:ascii="Calibri" w:eastAsia="Calibri" w:hAnsi="Calibri" w:cs="Times New Roman"/>
          <w:sz w:val="24"/>
          <w:szCs w:val="24"/>
        </w:rPr>
        <w:t xml:space="preserve">środki przymusu procesowego oraz system gwarancji karnoprocesowych w postępowaniach zmierzających do zastosowania (przedłużenia stosowania) środków przymusu procesowego: zatrzymanie, środki zapobiegawcze (ze szczególnym uwzględnieniem problematyki tymczasowego aresztowania), list żelazny, kary porządkowe i sankcje wymuszające; przymusowe wykonanie czynności procesowych; zabezpieczenie majątkowe i tymczasowe zajęcie mienia ruchomego; wypracowanie umiejętności oceny i wykorzystania opinii biegłego w procesie, analiza przebiegu czynności związanych ze stosowaniem środków przymusu i ocena prawidłowości tych </w:t>
      </w:r>
      <w:r w:rsidR="0045422F" w:rsidRPr="00CE0417">
        <w:rPr>
          <w:rFonts w:ascii="Calibri" w:eastAsia="Calibri" w:hAnsi="Calibri" w:cs="Times New Roman"/>
          <w:sz w:val="24"/>
          <w:szCs w:val="24"/>
        </w:rPr>
        <w:t>czynności</w:t>
      </w:r>
      <w:r w:rsidRPr="00CE0417">
        <w:rPr>
          <w:rFonts w:ascii="Calibri" w:eastAsia="Calibri" w:hAnsi="Calibri" w:cs="Times New Roman"/>
          <w:sz w:val="24"/>
          <w:szCs w:val="24"/>
        </w:rPr>
        <w:t xml:space="preserve"> (zajęcia typu B – 16 godz.).</w:t>
      </w:r>
    </w:p>
    <w:p w:rsidR="00CE0417" w:rsidRPr="00CE0417" w:rsidRDefault="00CE0417" w:rsidP="00CE0417">
      <w:pPr>
        <w:spacing w:after="120" w:line="240" w:lineRule="auto"/>
        <w:jc w:val="both"/>
        <w:rPr>
          <w:rFonts w:ascii="Calibri" w:eastAsia="Times New Roman" w:hAnsi="Calibri" w:cs="Times New Roman"/>
          <w:sz w:val="24"/>
          <w:szCs w:val="24"/>
          <w:lang w:eastAsia="pl-PL"/>
        </w:rPr>
      </w:pPr>
      <w:r w:rsidRPr="00CE0417">
        <w:rPr>
          <w:rFonts w:ascii="Calibri" w:eastAsia="Times New Roman" w:hAnsi="Calibri" w:cs="Times New Roman"/>
          <w:sz w:val="24"/>
          <w:szCs w:val="24"/>
          <w:lang w:eastAsia="pl-PL"/>
        </w:rPr>
        <w:t xml:space="preserve">Należy również wspomnieć, że koordynatorzy ds. współpracy międzynarodowej i praw człowieka w sądach podjęli działania promujące odpowiednie standardy Konwencji. Koordynatorzy otrzymują informacje z Ministerstwa Sprawiedliwości o każdym wyroku i decyzji Trybunału w sprawie przeciwko Polsce, a także newsletter Ministerstwa zawierający informacje o orzecznictwie Trybunału w sprawach przeciwko Polsce. Dzięki swojemu umiejscowieniu w każdym z okręgów sądowych oraz ogromnym zasobom informacyjnym są w stanie podjąć szereg różnorodnych działań informacyjnych, szkoleniowych i upowszechniających, mających na celu zwiększenie kompetencji sędziów i znajomość standardów wynikających z Europejskiej Konwencji Praw Człowieka oraz orzecznictwo </w:t>
      </w:r>
      <w:r w:rsidRPr="00CE0417">
        <w:rPr>
          <w:rFonts w:ascii="Calibri" w:eastAsia="Times New Roman" w:hAnsi="Calibri" w:cs="Times New Roman"/>
          <w:sz w:val="24"/>
          <w:szCs w:val="24"/>
          <w:lang w:eastAsia="pl-PL"/>
        </w:rPr>
        <w:lastRenderedPageBreak/>
        <w:t xml:space="preserve">Europejskiego Trybunału Praw Człowieka, w tym w zakresie stosowania tymczasowego aresztowania. Poniżej przedstawiono niektóre z działań zainicjowanych przez koordynatorów: </w:t>
      </w:r>
    </w:p>
    <w:p w:rsidR="00CE0417" w:rsidRPr="00CE0417" w:rsidRDefault="00CE0417" w:rsidP="00D24F7A">
      <w:pPr>
        <w:numPr>
          <w:ilvl w:val="0"/>
          <w:numId w:val="14"/>
        </w:numPr>
        <w:tabs>
          <w:tab w:val="left" w:pos="851"/>
        </w:tabs>
        <w:spacing w:after="120" w:line="240" w:lineRule="auto"/>
        <w:ind w:left="851" w:hanging="425"/>
        <w:jc w:val="both"/>
        <w:rPr>
          <w:rFonts w:ascii="Calibri" w:eastAsia="Calibri" w:hAnsi="Calibri" w:cs="Times New Roman"/>
          <w:sz w:val="24"/>
          <w:szCs w:val="24"/>
        </w:rPr>
      </w:pPr>
      <w:r w:rsidRPr="00CE0417">
        <w:rPr>
          <w:rFonts w:ascii="Calibri" w:eastAsia="Calibri" w:hAnsi="Calibri" w:cs="Times New Roman"/>
          <w:sz w:val="24"/>
          <w:szCs w:val="24"/>
        </w:rPr>
        <w:t>koordynatorzy z kilku okręgów sądowych zorganizowali seminaria i szkolenia dla sędziów na temat przewlekłego tymczasowego aresztowania (np. Sąd Okręgowy w Sieradzu, 1-3 października 2018 r.), czy jednym z tematów omawianych podczas takich wydarzeń były standardy dotyczące tymczasowego aresztowania (np. Sąd Okręgowy w Krośnie – szkolenie dla 16 sędziów rejonowych w dniu 6 czerwca 2019 r., Sąd Okręgowy w Koszalinie, w dniach 22-24 maja 2019 r., Sad Okręgowy w Łomży, 18 czerwca 2019 r.); koordynatorzy planują również przeprowadzenie takich szkoleń w najbliższym czasie (np. Sąd Okręgowy w Krośnie);</w:t>
      </w:r>
    </w:p>
    <w:p w:rsidR="00CE0417" w:rsidRPr="00CE0417" w:rsidRDefault="00CE0417" w:rsidP="00D24F7A">
      <w:pPr>
        <w:numPr>
          <w:ilvl w:val="0"/>
          <w:numId w:val="14"/>
        </w:numPr>
        <w:tabs>
          <w:tab w:val="left" w:pos="851"/>
        </w:tabs>
        <w:spacing w:after="120" w:line="240" w:lineRule="auto"/>
        <w:ind w:left="851" w:hanging="425"/>
        <w:jc w:val="both"/>
        <w:rPr>
          <w:rFonts w:ascii="Calibri" w:eastAsia="Calibri" w:hAnsi="Calibri" w:cs="Times New Roman"/>
          <w:sz w:val="24"/>
          <w:szCs w:val="24"/>
        </w:rPr>
      </w:pPr>
      <w:r w:rsidRPr="00CE0417">
        <w:rPr>
          <w:rFonts w:ascii="Calibri" w:eastAsia="Calibri" w:hAnsi="Calibri" w:cs="Times New Roman"/>
          <w:sz w:val="24"/>
          <w:szCs w:val="24"/>
        </w:rPr>
        <w:t>koordynatorzy z Sądu Okręgowego w Płocku i Sądu Okręgowego w Tarnobrzegu rozpoczęli przygotowanie opracowania na temat kwestii tymczasowego aresztowania w zakresie aktualnego orzecznictwa Trybunału, które następnie zostanie przekazane sędziom karnym w tych okręgach do konsultacji celem zidentyfikowania możliwych problemów i znalezienia sposobów ich rozwiązania;</w:t>
      </w:r>
    </w:p>
    <w:p w:rsidR="00CE0417" w:rsidRPr="00CE0417" w:rsidRDefault="00CE0417" w:rsidP="00D24F7A">
      <w:pPr>
        <w:numPr>
          <w:ilvl w:val="0"/>
          <w:numId w:val="14"/>
        </w:numPr>
        <w:tabs>
          <w:tab w:val="left" w:pos="851"/>
        </w:tabs>
        <w:spacing w:after="120" w:line="240" w:lineRule="auto"/>
        <w:ind w:left="851" w:hanging="425"/>
        <w:jc w:val="both"/>
        <w:rPr>
          <w:rFonts w:ascii="Calibri" w:eastAsia="Calibri" w:hAnsi="Calibri" w:cs="Times New Roman"/>
          <w:sz w:val="24"/>
          <w:szCs w:val="24"/>
        </w:rPr>
      </w:pPr>
      <w:r w:rsidRPr="00CE0417">
        <w:rPr>
          <w:rFonts w:ascii="Calibri" w:eastAsia="Calibri" w:hAnsi="Calibri" w:cs="Times New Roman"/>
          <w:sz w:val="24"/>
          <w:szCs w:val="24"/>
        </w:rPr>
        <w:t>koordynatorzy w Sądach Okręgowych w Gdańsku i Koszalinie zwołali narady sędziów, asystentów sędziów i referendarzy sądowych orzekających w sprawach karnych dotyczące orzecznictwa Trybunału i standardów Konwencji dotyczących m.in. zastosowania i przedłużenia tymczasowego aresztowania;</w:t>
      </w:r>
    </w:p>
    <w:p w:rsidR="00CE0417" w:rsidRPr="00CE0417" w:rsidRDefault="00CE0417" w:rsidP="00D24F7A">
      <w:pPr>
        <w:numPr>
          <w:ilvl w:val="0"/>
          <w:numId w:val="14"/>
        </w:numPr>
        <w:tabs>
          <w:tab w:val="left" w:pos="851"/>
        </w:tabs>
        <w:spacing w:after="120" w:line="240" w:lineRule="auto"/>
        <w:ind w:left="851" w:hanging="425"/>
        <w:jc w:val="both"/>
        <w:rPr>
          <w:rFonts w:ascii="Calibri" w:eastAsia="Calibri" w:hAnsi="Calibri" w:cs="Times New Roman"/>
          <w:sz w:val="24"/>
          <w:szCs w:val="24"/>
        </w:rPr>
      </w:pPr>
      <w:r w:rsidRPr="00CE0417">
        <w:rPr>
          <w:rFonts w:ascii="Calibri" w:eastAsia="Calibri" w:hAnsi="Calibri" w:cs="Times New Roman"/>
          <w:sz w:val="24"/>
          <w:szCs w:val="24"/>
        </w:rPr>
        <w:t>koordynatorzy informują również sędziów w swoich okręgach sądowych o nowych wyrokach Trybunału, w szczególności dotyczących art. 5 Konwencji; zwołują również spotkania informacyjne, na których omawiane jest orzecznictwo Trybunału w tym zakresie, a sędziowie są</w:t>
      </w:r>
      <w:r>
        <w:rPr>
          <w:rFonts w:ascii="Calibri" w:eastAsia="Calibri" w:hAnsi="Calibri" w:cs="Times New Roman"/>
          <w:sz w:val="24"/>
          <w:szCs w:val="24"/>
        </w:rPr>
        <w:t xml:space="preserve"> </w:t>
      </w:r>
      <w:r w:rsidRPr="00CE0417">
        <w:rPr>
          <w:rFonts w:ascii="Calibri" w:eastAsia="Calibri" w:hAnsi="Calibri" w:cs="Times New Roman"/>
          <w:sz w:val="24"/>
          <w:szCs w:val="24"/>
        </w:rPr>
        <w:t xml:space="preserve">coraz bardziej wrażliwi na obowiązujące normy Konwencji i potrzebę ujednolicenia praktyki sądów krajowych (np. Sądy Okręgowe w Siedlcach i Świdnicy).  </w:t>
      </w:r>
    </w:p>
    <w:p w:rsidR="00CE0417" w:rsidRDefault="00CE0417">
      <w:pPr>
        <w:rPr>
          <w:sz w:val="24"/>
          <w:szCs w:val="24"/>
          <w:u w:val="single"/>
        </w:rPr>
      </w:pPr>
    </w:p>
    <w:p w:rsidR="007872D2" w:rsidRPr="00B708A0" w:rsidRDefault="007872D2" w:rsidP="007872D2">
      <w:pPr>
        <w:pStyle w:val="Nagwek1"/>
        <w:jc w:val="both"/>
        <w:rPr>
          <w:rFonts w:asciiTheme="minorHAnsi" w:hAnsiTheme="minorHAnsi"/>
          <w:sz w:val="28"/>
          <w:szCs w:val="28"/>
        </w:rPr>
      </w:pPr>
      <w:bookmarkStart w:id="9" w:name="_Toc69124146"/>
      <w:r w:rsidRPr="00B708A0">
        <w:rPr>
          <w:rFonts w:asciiTheme="minorHAnsi" w:hAnsiTheme="minorHAnsi"/>
          <w:sz w:val="28"/>
          <w:szCs w:val="28"/>
        </w:rPr>
        <w:t xml:space="preserve">Komunikacja </w:t>
      </w:r>
      <w:r>
        <w:rPr>
          <w:rFonts w:asciiTheme="minorHAnsi" w:hAnsiTheme="minorHAnsi"/>
          <w:sz w:val="28"/>
          <w:szCs w:val="28"/>
        </w:rPr>
        <w:t xml:space="preserve">Centrum Praw Reprodukcyjnych i Federacji na rzecz Kobiet i Planowania Rodziny </w:t>
      </w:r>
      <w:r w:rsidRPr="00B708A0">
        <w:rPr>
          <w:rFonts w:asciiTheme="minorHAnsi" w:hAnsiTheme="minorHAnsi"/>
          <w:sz w:val="28"/>
          <w:szCs w:val="28"/>
        </w:rPr>
        <w:t>w sprawie wykonania wyrok</w:t>
      </w:r>
      <w:r>
        <w:rPr>
          <w:rFonts w:asciiTheme="minorHAnsi" w:hAnsiTheme="minorHAnsi"/>
          <w:sz w:val="28"/>
          <w:szCs w:val="28"/>
        </w:rPr>
        <w:t>ów</w:t>
      </w:r>
      <w:r w:rsidRPr="00B708A0">
        <w:rPr>
          <w:rFonts w:asciiTheme="minorHAnsi" w:hAnsiTheme="minorHAnsi"/>
          <w:sz w:val="28"/>
          <w:szCs w:val="28"/>
        </w:rPr>
        <w:t xml:space="preserve"> Europejskiego Trybunału Praw Człowieka </w:t>
      </w:r>
      <w:r w:rsidRPr="00F24A3C">
        <w:rPr>
          <w:rFonts w:asciiTheme="minorHAnsi" w:hAnsiTheme="minorHAnsi"/>
          <w:i/>
          <w:sz w:val="28"/>
          <w:szCs w:val="28"/>
        </w:rPr>
        <w:t>Tysiąc p. Polsce</w:t>
      </w:r>
      <w:r w:rsidRPr="00F24A3C">
        <w:rPr>
          <w:rFonts w:asciiTheme="minorHAnsi" w:hAnsiTheme="minorHAnsi"/>
          <w:sz w:val="28"/>
          <w:szCs w:val="28"/>
        </w:rPr>
        <w:t xml:space="preserve">, </w:t>
      </w:r>
      <w:r w:rsidRPr="00F24A3C">
        <w:rPr>
          <w:rFonts w:asciiTheme="minorHAnsi" w:hAnsiTheme="minorHAnsi"/>
          <w:i/>
          <w:sz w:val="28"/>
          <w:szCs w:val="28"/>
        </w:rPr>
        <w:t>R.R. p. Polsce</w:t>
      </w:r>
      <w:r w:rsidRPr="00F24A3C">
        <w:rPr>
          <w:rFonts w:asciiTheme="minorHAnsi" w:hAnsiTheme="minorHAnsi"/>
          <w:sz w:val="28"/>
          <w:szCs w:val="28"/>
        </w:rPr>
        <w:t xml:space="preserve"> i </w:t>
      </w:r>
      <w:r w:rsidRPr="00F24A3C">
        <w:rPr>
          <w:rFonts w:asciiTheme="minorHAnsi" w:hAnsiTheme="minorHAnsi"/>
          <w:i/>
          <w:sz w:val="28"/>
          <w:szCs w:val="28"/>
        </w:rPr>
        <w:t>P. i S. p. Polsce</w:t>
      </w:r>
      <w:r w:rsidRPr="00B708A0">
        <w:rPr>
          <w:rFonts w:asciiTheme="minorHAnsi" w:hAnsiTheme="minorHAnsi"/>
          <w:sz w:val="28"/>
          <w:szCs w:val="28"/>
        </w:rPr>
        <w:t xml:space="preserve"> z dnia 22 </w:t>
      </w:r>
      <w:r>
        <w:rPr>
          <w:rFonts w:asciiTheme="minorHAnsi" w:hAnsiTheme="minorHAnsi"/>
          <w:sz w:val="28"/>
          <w:szCs w:val="28"/>
        </w:rPr>
        <w:t>stycznia</w:t>
      </w:r>
      <w:r w:rsidRPr="00B708A0">
        <w:rPr>
          <w:rFonts w:asciiTheme="minorHAnsi" w:hAnsiTheme="minorHAnsi"/>
          <w:sz w:val="28"/>
          <w:szCs w:val="28"/>
        </w:rPr>
        <w:t xml:space="preserve"> 2020 r.</w:t>
      </w:r>
      <w:bookmarkEnd w:id="9"/>
      <w:r w:rsidRPr="00B708A0">
        <w:rPr>
          <w:rFonts w:asciiTheme="minorHAnsi" w:hAnsiTheme="minorHAnsi"/>
          <w:sz w:val="28"/>
          <w:szCs w:val="28"/>
        </w:rPr>
        <w:t xml:space="preserve">   </w:t>
      </w:r>
    </w:p>
    <w:p w:rsidR="00F24A3C" w:rsidRDefault="00F24A3C">
      <w:pPr>
        <w:rPr>
          <w:sz w:val="24"/>
          <w:szCs w:val="24"/>
          <w:u w:val="single"/>
        </w:rPr>
      </w:pPr>
    </w:p>
    <w:p w:rsidR="007872D2" w:rsidRDefault="007872D2" w:rsidP="005900CF">
      <w:pPr>
        <w:spacing w:before="120" w:after="0" w:line="240" w:lineRule="auto"/>
        <w:rPr>
          <w:sz w:val="24"/>
          <w:szCs w:val="24"/>
          <w:u w:val="single"/>
        </w:rPr>
      </w:pPr>
      <w:r>
        <w:rPr>
          <w:sz w:val="24"/>
          <w:szCs w:val="24"/>
          <w:u w:val="single"/>
        </w:rPr>
        <w:t xml:space="preserve">Treść komunikacji </w:t>
      </w:r>
    </w:p>
    <w:p w:rsidR="00624593" w:rsidRPr="009552FD" w:rsidRDefault="00624593" w:rsidP="005900CF">
      <w:pPr>
        <w:keepNext/>
        <w:keepLines/>
        <w:widowControl w:val="0"/>
        <w:spacing w:before="120" w:after="0" w:line="240" w:lineRule="auto"/>
        <w:jc w:val="both"/>
        <w:outlineLvl w:val="1"/>
        <w:rPr>
          <w:rFonts w:eastAsia="Times New Roman" w:cs="Times New Roman"/>
          <w:b/>
          <w:bCs/>
          <w:sz w:val="24"/>
          <w:szCs w:val="24"/>
          <w:lang w:bidi="en-US"/>
        </w:rPr>
      </w:pPr>
      <w:r w:rsidRPr="009552FD">
        <w:rPr>
          <w:rFonts w:eastAsia="Times New Roman" w:cs="Times New Roman"/>
          <w:b/>
          <w:bCs/>
          <w:sz w:val="24"/>
          <w:szCs w:val="24"/>
          <w:lang w:bidi="en-US"/>
        </w:rPr>
        <w:t>Wprowadzenie</w:t>
      </w:r>
    </w:p>
    <w:p w:rsidR="00624593" w:rsidRPr="009552FD" w:rsidRDefault="00624593" w:rsidP="005900CF">
      <w:pPr>
        <w:widowControl w:val="0"/>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Zgodnie z Regułą 9 ust. 2 Regulaminu Komitetu Ministrów dotyczącego nadzoru nad wykonywaniem wyroków i warunków ugód, organizacja Centrum Praw Reprodukcyjnych</w:t>
      </w:r>
      <w:r w:rsidRPr="009552FD">
        <w:rPr>
          <w:rFonts w:eastAsia="Times New Roman" w:cs="Times New Roman"/>
          <w:sz w:val="24"/>
          <w:szCs w:val="24"/>
          <w:vertAlign w:val="superscript"/>
          <w:lang w:bidi="en-US"/>
        </w:rPr>
        <w:footnoteReference w:id="20"/>
      </w:r>
      <w:r w:rsidRPr="009552FD">
        <w:rPr>
          <w:rFonts w:eastAsia="Times New Roman" w:cs="Times New Roman"/>
          <w:sz w:val="24"/>
          <w:szCs w:val="24"/>
          <w:lang w:bidi="en-US"/>
        </w:rPr>
        <w:t xml:space="preserve"> oraz Federacja na rzecz Kobiet i Planowania Rodziny</w:t>
      </w:r>
      <w:r w:rsidRPr="009552FD">
        <w:rPr>
          <w:rFonts w:eastAsia="Times New Roman" w:cs="Times New Roman"/>
          <w:sz w:val="24"/>
          <w:szCs w:val="24"/>
          <w:vertAlign w:val="superscript"/>
          <w:lang w:bidi="en-US"/>
        </w:rPr>
        <w:footnoteReference w:id="21"/>
      </w:r>
      <w:r w:rsidRPr="009552FD">
        <w:rPr>
          <w:rFonts w:eastAsia="Times New Roman" w:cs="Times New Roman"/>
          <w:sz w:val="24"/>
          <w:szCs w:val="24"/>
          <w:lang w:bidi="en-US"/>
        </w:rPr>
        <w:t xml:space="preserve"> niniejszym przedkładają Komitetowi </w:t>
      </w:r>
      <w:r w:rsidRPr="009552FD">
        <w:rPr>
          <w:rFonts w:eastAsia="Times New Roman" w:cs="Times New Roman"/>
          <w:sz w:val="24"/>
          <w:szCs w:val="24"/>
          <w:lang w:bidi="en-US"/>
        </w:rPr>
        <w:lastRenderedPageBreak/>
        <w:t xml:space="preserve">Ministrów uaktualnione informacje dotyczące wykonania przez Polskę trzech wyroków Europejskiego Trybunału Praw Człowieka dotyczących dostępu do legalnej aborcji i związanej z nią opieki i informacji w zakresie zdrowia reprodukcyjnego, </w:t>
      </w:r>
      <w:r w:rsidRPr="009552FD">
        <w:rPr>
          <w:rFonts w:eastAsia="Times New Roman" w:cs="Times New Roman"/>
          <w:i/>
          <w:iCs/>
          <w:sz w:val="24"/>
          <w:szCs w:val="24"/>
          <w:lang w:bidi="en-US"/>
        </w:rPr>
        <w:t>Tysiąc p</w:t>
      </w:r>
      <w:r w:rsidR="005900CF">
        <w:rPr>
          <w:rFonts w:eastAsia="Times New Roman" w:cs="Times New Roman"/>
          <w:i/>
          <w:iCs/>
          <w:sz w:val="24"/>
          <w:szCs w:val="24"/>
          <w:lang w:bidi="en-US"/>
        </w:rPr>
        <w:t>.</w:t>
      </w:r>
      <w:r w:rsidRPr="009552FD">
        <w:rPr>
          <w:rFonts w:eastAsia="Times New Roman" w:cs="Times New Roman"/>
          <w:i/>
          <w:iCs/>
          <w:sz w:val="24"/>
          <w:szCs w:val="24"/>
          <w:lang w:bidi="en-US"/>
        </w:rPr>
        <w:t xml:space="preserve"> Polsce</w:t>
      </w:r>
      <w:r w:rsidRPr="009552FD">
        <w:rPr>
          <w:rFonts w:eastAsia="Times New Roman" w:cs="Times New Roman"/>
          <w:sz w:val="24"/>
          <w:szCs w:val="24"/>
          <w:lang w:bidi="en-US"/>
        </w:rPr>
        <w:t xml:space="preserve"> (skarga nr 5410/03), </w:t>
      </w:r>
      <w:r w:rsidR="005900CF">
        <w:rPr>
          <w:rFonts w:eastAsia="Times New Roman" w:cs="Times New Roman"/>
          <w:i/>
          <w:iCs/>
          <w:sz w:val="24"/>
          <w:szCs w:val="24"/>
          <w:lang w:bidi="en-US"/>
        </w:rPr>
        <w:t>R.R. p.</w:t>
      </w:r>
      <w:r w:rsidRPr="009552FD">
        <w:rPr>
          <w:rFonts w:eastAsia="Times New Roman" w:cs="Times New Roman"/>
          <w:i/>
          <w:iCs/>
          <w:sz w:val="24"/>
          <w:szCs w:val="24"/>
          <w:lang w:bidi="en-US"/>
        </w:rPr>
        <w:t xml:space="preserve"> Polsce </w:t>
      </w:r>
      <w:r w:rsidRPr="009552FD">
        <w:rPr>
          <w:rFonts w:eastAsia="Times New Roman" w:cs="Times New Roman"/>
          <w:sz w:val="24"/>
          <w:szCs w:val="24"/>
          <w:lang w:bidi="en-US"/>
        </w:rPr>
        <w:t xml:space="preserve">(skarga nr 37617/04) oraz </w:t>
      </w:r>
      <w:r w:rsidRPr="009552FD">
        <w:rPr>
          <w:rFonts w:eastAsia="Times New Roman" w:cs="Times New Roman"/>
          <w:i/>
          <w:iCs/>
          <w:sz w:val="24"/>
          <w:szCs w:val="24"/>
          <w:lang w:bidi="en-US"/>
        </w:rPr>
        <w:t>P i S. p</w:t>
      </w:r>
      <w:r w:rsidR="005900CF">
        <w:rPr>
          <w:rFonts w:eastAsia="Times New Roman" w:cs="Times New Roman"/>
          <w:i/>
          <w:iCs/>
          <w:sz w:val="24"/>
          <w:szCs w:val="24"/>
          <w:lang w:bidi="en-US"/>
        </w:rPr>
        <w:t>.</w:t>
      </w:r>
      <w:r w:rsidRPr="009552FD">
        <w:rPr>
          <w:rFonts w:eastAsia="Times New Roman" w:cs="Times New Roman"/>
          <w:i/>
          <w:iCs/>
          <w:sz w:val="24"/>
          <w:szCs w:val="24"/>
          <w:lang w:bidi="en-US"/>
        </w:rPr>
        <w:t xml:space="preserve"> Polsce</w:t>
      </w:r>
      <w:r w:rsidRPr="009552FD">
        <w:rPr>
          <w:rFonts w:eastAsia="Times New Roman" w:cs="Times New Roman"/>
          <w:sz w:val="24"/>
          <w:szCs w:val="24"/>
          <w:lang w:bidi="en-US"/>
        </w:rPr>
        <w:t xml:space="preserve"> (skarga nr 57375/08).</w:t>
      </w:r>
    </w:p>
    <w:p w:rsidR="00624593" w:rsidRPr="009552FD" w:rsidRDefault="00624593" w:rsidP="005900CF">
      <w:pPr>
        <w:widowControl w:val="0"/>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Te trzy przełomowe wyroki stały się ostateczne odpowiednio w latach 2007, 2011 i 2013, a od czasu wydania pierwszego z nich upłynęło już ponad 12 lat. Tymczasem władze polskie nadal nie podjęły skutecznych środków w celu ich wykonania.</w:t>
      </w:r>
    </w:p>
    <w:p w:rsidR="00624593" w:rsidRPr="009552FD" w:rsidRDefault="00624593" w:rsidP="005900CF">
      <w:pPr>
        <w:widowControl w:val="0"/>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Każdy z tych trzech wyroków odnosi się do odrębnych, aczkolwiek pokrywających się kwestii dotyczących trwających i poważnych uchybień polskich władz w zakresie zapewnienia, by dostęp do legalnej aborcji w Polsce stał się praktyczną rzeczywistością dla kobiet i dorastających dziewcząt, a nie tylko teoretycznym uprawnieniem. Chociaż każdy z tych trzech wyroków zobowiązuje do zastosowania niektórych z tych samych środków wykonawczych, każdy z nich dotyczy odrębnych i oddzielnych kwestii, które mogą być rozwiązane jedynie za pomocą szczególnych środków wykonawczych.</w:t>
      </w:r>
    </w:p>
    <w:p w:rsidR="00624593" w:rsidRPr="005900CF" w:rsidRDefault="00624593" w:rsidP="00987EB2">
      <w:pPr>
        <w:pStyle w:val="Akapitzlist"/>
        <w:widowControl w:val="0"/>
        <w:numPr>
          <w:ilvl w:val="0"/>
          <w:numId w:val="45"/>
        </w:numPr>
        <w:spacing w:before="120" w:after="0" w:line="240" w:lineRule="auto"/>
        <w:jc w:val="both"/>
        <w:rPr>
          <w:rFonts w:eastAsia="Times New Roman" w:cs="Times New Roman"/>
          <w:sz w:val="24"/>
          <w:szCs w:val="24"/>
          <w:lang w:bidi="en-US"/>
        </w:rPr>
      </w:pPr>
      <w:r w:rsidRPr="005900CF">
        <w:rPr>
          <w:rFonts w:eastAsia="Times New Roman" w:cs="Times New Roman"/>
          <w:sz w:val="24"/>
          <w:szCs w:val="24"/>
          <w:lang w:bidi="en-US"/>
        </w:rPr>
        <w:t xml:space="preserve">Sprawa </w:t>
      </w:r>
      <w:r w:rsidRPr="005900CF">
        <w:rPr>
          <w:rFonts w:eastAsia="Times New Roman" w:cs="Times New Roman"/>
          <w:b/>
          <w:bCs/>
          <w:i/>
          <w:iCs/>
          <w:sz w:val="24"/>
          <w:szCs w:val="24"/>
          <w:lang w:bidi="en-US"/>
        </w:rPr>
        <w:t>Tysiąc p</w:t>
      </w:r>
      <w:r w:rsidR="005900CF" w:rsidRPr="005900CF">
        <w:rPr>
          <w:rFonts w:eastAsia="Times New Roman" w:cs="Times New Roman"/>
          <w:b/>
          <w:bCs/>
          <w:i/>
          <w:iCs/>
          <w:sz w:val="24"/>
          <w:szCs w:val="24"/>
          <w:lang w:bidi="en-US"/>
        </w:rPr>
        <w:t>.</w:t>
      </w:r>
      <w:r w:rsidRPr="005900CF">
        <w:rPr>
          <w:rFonts w:eastAsia="Times New Roman" w:cs="Times New Roman"/>
          <w:b/>
          <w:bCs/>
          <w:i/>
          <w:iCs/>
          <w:sz w:val="24"/>
          <w:szCs w:val="24"/>
          <w:lang w:bidi="en-US"/>
        </w:rPr>
        <w:t xml:space="preserve"> Polsce</w:t>
      </w:r>
      <w:r w:rsidRPr="005900CF">
        <w:rPr>
          <w:rFonts w:eastAsia="Times New Roman" w:cs="Times New Roman"/>
          <w:sz w:val="24"/>
          <w:szCs w:val="24"/>
          <w:lang w:bidi="en-US"/>
        </w:rPr>
        <w:t xml:space="preserve"> dotyczyła kobiety, której dalsza ciąża stanowiła poważne zagrożenie dla jej wzroku i zdrowia, ale której odmówiono wydania zaświadczenia lekarskiego potwierdzającego jej prawo do legalnej aborcji. W swoim wyroku Trybunał skoncentrował się na braku skutecznej procedury, za pomocą której kobiety mogłyby kwestionować i rozstrzygać spory z lekarzami i pomiędzy nimi dotyczące ich prawa do aborcji ze względów medycznych zgodnie z prawem krajowym.</w:t>
      </w:r>
    </w:p>
    <w:p w:rsidR="005900CF" w:rsidRPr="005900CF" w:rsidRDefault="00624593" w:rsidP="00987EB2">
      <w:pPr>
        <w:pStyle w:val="Akapitzlist"/>
        <w:widowControl w:val="0"/>
        <w:numPr>
          <w:ilvl w:val="0"/>
          <w:numId w:val="45"/>
        </w:numPr>
        <w:tabs>
          <w:tab w:val="left" w:pos="729"/>
        </w:tabs>
        <w:spacing w:before="120" w:after="0" w:line="240" w:lineRule="auto"/>
        <w:jc w:val="both"/>
        <w:rPr>
          <w:rFonts w:eastAsia="Times New Roman" w:cs="Times New Roman"/>
          <w:sz w:val="24"/>
          <w:szCs w:val="24"/>
          <w:lang w:bidi="en-US"/>
        </w:rPr>
      </w:pPr>
      <w:r w:rsidRPr="005900CF">
        <w:rPr>
          <w:rFonts w:eastAsia="Times New Roman" w:cs="Times New Roman"/>
          <w:sz w:val="24"/>
          <w:szCs w:val="24"/>
          <w:lang w:bidi="en-US"/>
        </w:rPr>
        <w:t xml:space="preserve">Sprawa </w:t>
      </w:r>
      <w:r w:rsidR="005900CF" w:rsidRPr="005900CF">
        <w:rPr>
          <w:rFonts w:eastAsia="Times New Roman" w:cs="Times New Roman"/>
          <w:b/>
          <w:bCs/>
          <w:i/>
          <w:iCs/>
          <w:sz w:val="24"/>
          <w:szCs w:val="24"/>
          <w:lang w:bidi="en-US"/>
        </w:rPr>
        <w:t>R.R. p.</w:t>
      </w:r>
      <w:r w:rsidRPr="005900CF">
        <w:rPr>
          <w:rFonts w:eastAsia="Times New Roman" w:cs="Times New Roman"/>
          <w:b/>
          <w:bCs/>
          <w:i/>
          <w:iCs/>
          <w:sz w:val="24"/>
          <w:szCs w:val="24"/>
          <w:lang w:bidi="en-US"/>
        </w:rPr>
        <w:t xml:space="preserve"> Polsce</w:t>
      </w:r>
      <w:r w:rsidRPr="005900CF">
        <w:rPr>
          <w:rFonts w:eastAsia="Times New Roman" w:cs="Times New Roman"/>
          <w:sz w:val="24"/>
          <w:szCs w:val="24"/>
          <w:lang w:bidi="en-US"/>
        </w:rPr>
        <w:t xml:space="preserve"> dotyczyła powtarzających się zaniedbań podmiotów leczniczych w zakresie zagwarantowania skarżącej, zgodnie z prawem krajowym, prawa do prenatalnych badań diagnostycznych, co uniemożliwiło jej przeprowadzenie legalnej aborcji ze względu na ryzyko ciężkiego upośledzenia płodu. Trybunał orzekł, że Polska musi wprowadzić skuteczne ramy prawne i proceduralne, które zagwarantują kobietom dostęp do odpowiednich, pełnych i wiarygodnych informacji umożliwiających im podejmowanie świadomych decyzji dotyczących ciąży. Trybunał podkreślił, że Polska musi podjąć kroki mające na celu rozwiązanie problemu, który określił mianem „uderzającego rozdźwięku” między teoretycznym prawem do usług aborcyjnych a brakiem realnego dostępu kobiet do tych usług. Trybunał orzekł również, że Polska musi zapewnić, aby dostęp kobiet do legalnych usług w zakresie zdrowia reprodukcyjnego nie był zagrożony przez oparte na klauzuli sumienia odmowy opieki </w:t>
      </w:r>
      <w:r w:rsidR="005900CF" w:rsidRPr="005900CF">
        <w:rPr>
          <w:rFonts w:eastAsia="Times New Roman" w:cs="Times New Roman"/>
          <w:sz w:val="24"/>
          <w:szCs w:val="24"/>
          <w:lang w:bidi="en-US"/>
        </w:rPr>
        <w:t>ze strony personelu medycznego.</w:t>
      </w:r>
    </w:p>
    <w:p w:rsidR="00624593" w:rsidRPr="005900CF" w:rsidRDefault="00624593" w:rsidP="00987EB2">
      <w:pPr>
        <w:pStyle w:val="Akapitzlist"/>
        <w:widowControl w:val="0"/>
        <w:numPr>
          <w:ilvl w:val="0"/>
          <w:numId w:val="45"/>
        </w:numPr>
        <w:tabs>
          <w:tab w:val="left" w:pos="729"/>
        </w:tabs>
        <w:spacing w:before="120" w:after="0" w:line="240" w:lineRule="auto"/>
        <w:jc w:val="both"/>
        <w:rPr>
          <w:rFonts w:eastAsia="Times New Roman" w:cs="Times New Roman"/>
          <w:sz w:val="24"/>
          <w:szCs w:val="24"/>
          <w:lang w:bidi="en-US"/>
        </w:rPr>
      </w:pPr>
      <w:r w:rsidRPr="005900CF">
        <w:rPr>
          <w:rFonts w:eastAsia="Times New Roman" w:cs="Times New Roman"/>
          <w:sz w:val="24"/>
          <w:szCs w:val="24"/>
          <w:lang w:bidi="en-US"/>
        </w:rPr>
        <w:t xml:space="preserve">Sprawa </w:t>
      </w:r>
      <w:r w:rsidRPr="005900CF">
        <w:rPr>
          <w:rFonts w:eastAsia="Times New Roman" w:cs="Times New Roman"/>
          <w:b/>
          <w:bCs/>
          <w:i/>
          <w:iCs/>
          <w:sz w:val="24"/>
          <w:szCs w:val="24"/>
          <w:lang w:bidi="en-US"/>
        </w:rPr>
        <w:t>P. i S. p</w:t>
      </w:r>
      <w:r w:rsidR="005900CF" w:rsidRPr="005900CF">
        <w:rPr>
          <w:rFonts w:eastAsia="Times New Roman" w:cs="Times New Roman"/>
          <w:b/>
          <w:bCs/>
          <w:i/>
          <w:iCs/>
          <w:sz w:val="24"/>
          <w:szCs w:val="24"/>
          <w:lang w:bidi="en-US"/>
        </w:rPr>
        <w:t>.</w:t>
      </w:r>
      <w:r w:rsidRPr="005900CF">
        <w:rPr>
          <w:rFonts w:eastAsia="Times New Roman" w:cs="Times New Roman"/>
          <w:b/>
          <w:bCs/>
          <w:i/>
          <w:iCs/>
          <w:sz w:val="24"/>
          <w:szCs w:val="24"/>
          <w:lang w:bidi="en-US"/>
        </w:rPr>
        <w:t xml:space="preserve"> Polsce</w:t>
      </w:r>
      <w:r w:rsidRPr="005900CF">
        <w:rPr>
          <w:rFonts w:eastAsia="Times New Roman" w:cs="Times New Roman"/>
          <w:sz w:val="24"/>
          <w:szCs w:val="24"/>
          <w:lang w:bidi="en-US"/>
        </w:rPr>
        <w:t xml:space="preserve"> dotyczyła nastolatki, której prawo do aborcji po tym, jak została zgwałcona, potwierdził prokurator zgodnie z wymogami polskiego prawa. Niestety wielokrotnie spotykała się ona z arbitralnym i krzywdzącym zachowaniem ze strony personelu medycznego i innych władz państwowych, które poważnie utrudniały jej dostęp do legalnej aborcji i doprowadziły do ujawnienia poufnych informacji dotyczących jej stanu zdrowia. Trybunał uznał, że personel medyczny „nie poczuwał się do obowiązku” przeprowadzenia legalnej aborcji na podstawie zaświadczenia wydanego przez prokuratora i uznał, że dziewczynka została potraktowana przez władze w godny pożałowania sposób</w:t>
      </w:r>
      <w:r w:rsidRPr="009552FD">
        <w:rPr>
          <w:vertAlign w:val="superscript"/>
          <w:lang w:bidi="en-US"/>
        </w:rPr>
        <w:footnoteReference w:id="22"/>
      </w:r>
      <w:r w:rsidRPr="005900CF">
        <w:rPr>
          <w:rFonts w:eastAsia="Times New Roman" w:cs="Times New Roman"/>
          <w:sz w:val="24"/>
          <w:szCs w:val="24"/>
          <w:lang w:bidi="en-US"/>
        </w:rPr>
        <w:t xml:space="preserve">. Wyrok zobowiązuje Polskę do podjęcia </w:t>
      </w:r>
      <w:r w:rsidRPr="005900CF">
        <w:rPr>
          <w:rFonts w:eastAsia="Times New Roman" w:cs="Times New Roman"/>
          <w:sz w:val="24"/>
          <w:szCs w:val="24"/>
          <w:lang w:bidi="en-US"/>
        </w:rPr>
        <w:lastRenderedPageBreak/>
        <w:t>środków mających na celu zagwarantowanie skutecznego dostępu do rzetelnych informacji na temat warunków i skutecznych procedur umożliwiających dostęp do legalnej aborcji. Konieczne jest również zaostrzenie zasad i procedur egzekwowania prawa w celu pociągania placówek służby zdrowia i pracowników służby zdrowia do odpowiedzialności za nieprzestrzeganie prawnych zobowiązań do zapewnienia legalnej aborcji.</w:t>
      </w:r>
    </w:p>
    <w:p w:rsidR="00624593" w:rsidRPr="009552FD" w:rsidRDefault="00624593" w:rsidP="005900CF">
      <w:pPr>
        <w:widowControl w:val="0"/>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W związku z tym, jak wielokrotnie podkreślaliśmy w naszych poprzednich wystąpieniach</w:t>
      </w:r>
      <w:r w:rsidRPr="009552FD">
        <w:rPr>
          <w:rFonts w:eastAsia="Times New Roman" w:cs="Times New Roman"/>
          <w:sz w:val="24"/>
          <w:szCs w:val="24"/>
          <w:vertAlign w:val="superscript"/>
          <w:lang w:bidi="en-US"/>
        </w:rPr>
        <w:footnoteReference w:id="23"/>
      </w:r>
      <w:r w:rsidRPr="009552FD">
        <w:rPr>
          <w:rFonts w:eastAsia="Times New Roman" w:cs="Times New Roman"/>
          <w:sz w:val="24"/>
          <w:szCs w:val="24"/>
          <w:lang w:bidi="en-US"/>
        </w:rPr>
        <w:t>, i jak podkreślono w decyzjach Komitetu Ministrów</w:t>
      </w:r>
      <w:r w:rsidRPr="009552FD">
        <w:rPr>
          <w:rFonts w:eastAsia="Times New Roman" w:cs="Times New Roman"/>
          <w:sz w:val="24"/>
          <w:szCs w:val="24"/>
          <w:vertAlign w:val="superscript"/>
          <w:lang w:bidi="en-US"/>
        </w:rPr>
        <w:footnoteReference w:id="24"/>
      </w:r>
      <w:r w:rsidRPr="009552FD">
        <w:rPr>
          <w:rFonts w:eastAsia="Times New Roman" w:cs="Times New Roman"/>
          <w:sz w:val="24"/>
          <w:szCs w:val="24"/>
          <w:lang w:bidi="en-US"/>
        </w:rPr>
        <w:t>, te trzy wyroki wymagają przyjęcia następujących środków:</w:t>
      </w:r>
    </w:p>
    <w:p w:rsidR="00624593" w:rsidRPr="005900CF" w:rsidRDefault="00624593" w:rsidP="00987EB2">
      <w:pPr>
        <w:pStyle w:val="Akapitzlist"/>
        <w:widowControl w:val="0"/>
        <w:numPr>
          <w:ilvl w:val="0"/>
          <w:numId w:val="46"/>
        </w:numPr>
        <w:tabs>
          <w:tab w:val="left" w:pos="729"/>
        </w:tabs>
        <w:spacing w:before="120" w:after="0" w:line="240" w:lineRule="auto"/>
        <w:jc w:val="both"/>
        <w:rPr>
          <w:rFonts w:eastAsia="Times New Roman" w:cs="Times New Roman"/>
          <w:sz w:val="24"/>
          <w:szCs w:val="24"/>
          <w:lang w:bidi="en-US"/>
        </w:rPr>
      </w:pPr>
      <w:r w:rsidRPr="005900CF">
        <w:rPr>
          <w:rFonts w:eastAsia="Times New Roman" w:cs="Times New Roman"/>
          <w:sz w:val="24"/>
          <w:szCs w:val="24"/>
          <w:lang w:bidi="en-US"/>
        </w:rPr>
        <w:t>skutecznej i terminowej procedury umożliwiającej kobietom kwestionowanie i rozstrzyganie sporów z lekarzami i między nimi dotyczących ich uprawnienia do legalnej aborcji oraz skorzystanie z ich praw w tym zakresie;</w:t>
      </w:r>
    </w:p>
    <w:p w:rsidR="00624593" w:rsidRPr="005900CF" w:rsidRDefault="00624593" w:rsidP="00987EB2">
      <w:pPr>
        <w:pStyle w:val="Akapitzlist"/>
        <w:widowControl w:val="0"/>
        <w:numPr>
          <w:ilvl w:val="0"/>
          <w:numId w:val="46"/>
        </w:numPr>
        <w:tabs>
          <w:tab w:val="left" w:pos="756"/>
        </w:tabs>
        <w:spacing w:before="120" w:after="0" w:line="240" w:lineRule="auto"/>
        <w:jc w:val="both"/>
        <w:rPr>
          <w:rFonts w:eastAsia="Times New Roman" w:cs="Times New Roman"/>
          <w:sz w:val="24"/>
          <w:szCs w:val="24"/>
          <w:lang w:bidi="en-US"/>
        </w:rPr>
      </w:pPr>
      <w:r w:rsidRPr="005900CF">
        <w:rPr>
          <w:rFonts w:eastAsia="Times New Roman" w:cs="Times New Roman"/>
          <w:sz w:val="24"/>
          <w:szCs w:val="24"/>
          <w:lang w:bidi="en-US"/>
        </w:rPr>
        <w:t>skutecznych środków gwarantujących kobietom dostęp do wiarygodnych informacji na temat warunków i skutecznych procedur dostępu do legalnej aborcji;</w:t>
      </w:r>
    </w:p>
    <w:p w:rsidR="00624593" w:rsidRPr="005900CF" w:rsidRDefault="00624593" w:rsidP="00987EB2">
      <w:pPr>
        <w:pStyle w:val="Akapitzlist"/>
        <w:widowControl w:val="0"/>
        <w:numPr>
          <w:ilvl w:val="0"/>
          <w:numId w:val="46"/>
        </w:numPr>
        <w:tabs>
          <w:tab w:val="left" w:pos="756"/>
        </w:tabs>
        <w:spacing w:before="120" w:after="0" w:line="240" w:lineRule="auto"/>
        <w:jc w:val="both"/>
        <w:rPr>
          <w:rFonts w:eastAsia="Times New Roman" w:cs="Times New Roman"/>
          <w:sz w:val="24"/>
          <w:szCs w:val="24"/>
          <w:lang w:bidi="en-US"/>
        </w:rPr>
      </w:pPr>
      <w:r w:rsidRPr="005900CF">
        <w:rPr>
          <w:rFonts w:eastAsia="Times New Roman" w:cs="Times New Roman"/>
          <w:sz w:val="24"/>
          <w:szCs w:val="24"/>
          <w:lang w:bidi="en-US"/>
        </w:rPr>
        <w:t>skutecznych ram prawnych i procedur, które zagwarantują kobietom i nastolatkom dostęp do pełnych i wiarygodnych informacji umożliwiających im podejmowanie świadomych decyzji dotyczących ciąży;</w:t>
      </w:r>
    </w:p>
    <w:p w:rsidR="00624593" w:rsidRPr="005900CF" w:rsidRDefault="00624593" w:rsidP="00987EB2">
      <w:pPr>
        <w:pStyle w:val="Akapitzlist"/>
        <w:widowControl w:val="0"/>
        <w:numPr>
          <w:ilvl w:val="0"/>
          <w:numId w:val="46"/>
        </w:numPr>
        <w:tabs>
          <w:tab w:val="left" w:pos="756"/>
        </w:tabs>
        <w:spacing w:before="120" w:after="0" w:line="240" w:lineRule="auto"/>
        <w:jc w:val="both"/>
        <w:rPr>
          <w:rFonts w:eastAsia="Times New Roman" w:cs="Times New Roman"/>
          <w:sz w:val="24"/>
          <w:szCs w:val="24"/>
          <w:lang w:bidi="en-US"/>
        </w:rPr>
      </w:pPr>
      <w:r w:rsidRPr="005900CF">
        <w:rPr>
          <w:rFonts w:eastAsia="Times New Roman" w:cs="Times New Roman"/>
          <w:sz w:val="24"/>
          <w:szCs w:val="24"/>
          <w:lang w:bidi="en-US"/>
        </w:rPr>
        <w:t>skutecznych środków gwarantujących, że odmowa na podstawie klauzuli sumienia ze strony personelu medycznego nie będzie utrudniać ani opóźniać dostępu kobiet do legalnej aborcji lub badań prenatalnych;</w:t>
      </w:r>
    </w:p>
    <w:p w:rsidR="00624593" w:rsidRPr="005900CF" w:rsidRDefault="00624593" w:rsidP="00987EB2">
      <w:pPr>
        <w:pStyle w:val="Akapitzlist"/>
        <w:widowControl w:val="0"/>
        <w:numPr>
          <w:ilvl w:val="0"/>
          <w:numId w:val="46"/>
        </w:numPr>
        <w:tabs>
          <w:tab w:val="left" w:pos="756"/>
        </w:tabs>
        <w:spacing w:before="120" w:after="0" w:line="240" w:lineRule="auto"/>
        <w:jc w:val="both"/>
        <w:rPr>
          <w:rFonts w:eastAsia="Times New Roman" w:cs="Times New Roman"/>
          <w:sz w:val="24"/>
          <w:szCs w:val="24"/>
          <w:lang w:bidi="en-US"/>
        </w:rPr>
      </w:pPr>
      <w:r w:rsidRPr="005900CF">
        <w:rPr>
          <w:rFonts w:eastAsia="Times New Roman" w:cs="Times New Roman"/>
          <w:sz w:val="24"/>
          <w:szCs w:val="24"/>
          <w:lang w:bidi="en-US"/>
        </w:rPr>
        <w:t>sprawniejszych procedur i środków egzekwowania prawa w celu pociągnięcia placówek służby zdrowia i pracowników służby zdrowia do odpowiedzialności za wszelkie uchybienia w wypełnianiu prawnych zobowiązań do świadczenia legalnych usług i informacji w zakresie zdrowia reprodukcyjnego;</w:t>
      </w:r>
    </w:p>
    <w:p w:rsidR="00624593" w:rsidRPr="005900CF" w:rsidRDefault="00624593" w:rsidP="00987EB2">
      <w:pPr>
        <w:pStyle w:val="Akapitzlist"/>
        <w:widowControl w:val="0"/>
        <w:numPr>
          <w:ilvl w:val="0"/>
          <w:numId w:val="46"/>
        </w:numPr>
        <w:tabs>
          <w:tab w:val="left" w:pos="756"/>
        </w:tabs>
        <w:spacing w:before="120" w:after="0" w:line="240" w:lineRule="auto"/>
        <w:jc w:val="both"/>
        <w:rPr>
          <w:rFonts w:eastAsia="Times New Roman" w:cs="Times New Roman"/>
          <w:sz w:val="24"/>
          <w:szCs w:val="24"/>
          <w:lang w:bidi="en-US"/>
        </w:rPr>
      </w:pPr>
      <w:r w:rsidRPr="005900CF">
        <w:rPr>
          <w:rFonts w:eastAsia="Times New Roman" w:cs="Times New Roman"/>
          <w:sz w:val="24"/>
          <w:szCs w:val="24"/>
          <w:lang w:bidi="en-US"/>
        </w:rPr>
        <w:t>skutecznych środków zapewniających większą ochronę poufności danych pacjentów;</w:t>
      </w:r>
    </w:p>
    <w:p w:rsidR="00624593" w:rsidRPr="005900CF" w:rsidRDefault="00624593" w:rsidP="00987EB2">
      <w:pPr>
        <w:pStyle w:val="Akapitzlist"/>
        <w:widowControl w:val="0"/>
        <w:numPr>
          <w:ilvl w:val="0"/>
          <w:numId w:val="46"/>
        </w:numPr>
        <w:tabs>
          <w:tab w:val="left" w:pos="756"/>
        </w:tabs>
        <w:spacing w:before="120" w:after="0" w:line="240" w:lineRule="auto"/>
        <w:jc w:val="both"/>
        <w:rPr>
          <w:rFonts w:eastAsia="Times New Roman" w:cs="Times New Roman"/>
          <w:sz w:val="24"/>
          <w:szCs w:val="24"/>
          <w:lang w:bidi="en-US"/>
        </w:rPr>
      </w:pPr>
      <w:r w:rsidRPr="005900CF">
        <w:rPr>
          <w:rFonts w:eastAsia="Times New Roman" w:cs="Times New Roman"/>
          <w:sz w:val="24"/>
          <w:szCs w:val="24"/>
          <w:lang w:bidi="en-US"/>
        </w:rPr>
        <w:t>ukierunkowanych środków pozwalających na zaspokojenie potrzeb nastolatek chcących poddać się legalnej aborcji oraz traktowanie ich z szacunkiem i należytym uwzględnieniem ich trudnego położenia.</w:t>
      </w:r>
    </w:p>
    <w:p w:rsidR="00624593" w:rsidRPr="009552FD" w:rsidRDefault="00624593" w:rsidP="005900CF">
      <w:pPr>
        <w:widowControl w:val="0"/>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Dopiero przyjęcie wszystkich tych środków przez władze polskie spowoduje, że trzy przedmiotowe wyroki można uznać za wykonane.</w:t>
      </w:r>
    </w:p>
    <w:p w:rsidR="00624593" w:rsidRPr="009552FD" w:rsidRDefault="00624593" w:rsidP="005900CF">
      <w:pPr>
        <w:widowControl w:val="0"/>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 xml:space="preserve">W swoich ostatnich wystąpieniach i raportach z działań władze polskie ponownie przedstawiły przekazane wcześniej Komitetowi Ministrów informacje na temat istniejących w Polsce ram prawnych dotyczących dostępu do legalnej aborcji, prenatalnych badań genetycznych, odmowy pracowników służby zdrowia w oparciu o klauzulę sumienia, procedury składania </w:t>
      </w:r>
      <w:r w:rsidRPr="009552FD">
        <w:rPr>
          <w:rFonts w:eastAsia="Times New Roman" w:cs="Times New Roman"/>
          <w:sz w:val="24"/>
          <w:szCs w:val="24"/>
          <w:lang w:bidi="en-US"/>
        </w:rPr>
        <w:lastRenderedPageBreak/>
        <w:t>skarg określonej w ustawie o prawach pacjenta i roli Rzecznika Praw Pacjenta, egzekwowania umów z Narodowym Funduszem Zdrowia oraz ochrony tajemnicy lekarskiej</w:t>
      </w:r>
      <w:r w:rsidRPr="009552FD">
        <w:rPr>
          <w:rFonts w:eastAsia="Times New Roman" w:cs="Times New Roman"/>
          <w:sz w:val="24"/>
          <w:szCs w:val="24"/>
          <w:vertAlign w:val="superscript"/>
          <w:lang w:bidi="en-US"/>
        </w:rPr>
        <w:footnoteReference w:id="25"/>
      </w:r>
      <w:r w:rsidRPr="009552FD">
        <w:rPr>
          <w:rFonts w:eastAsia="Times New Roman" w:cs="Times New Roman"/>
          <w:sz w:val="24"/>
          <w:szCs w:val="24"/>
          <w:lang w:bidi="en-US"/>
        </w:rPr>
        <w:t>. Żadne z tych wystąpień nie zawiera nowych informacji na temat jakichkolwiek skutecznych środków, które zostały przyjęte od czasu ostatniego badania dotyczącego wykonania wyroków, które Komitet Ministrów przeprowadził w marcu 2019 r. i które skutkowałyby wykonaniem trzech wyroków Trybunału lub decyzji Komitetu Ministrów.</w:t>
      </w:r>
    </w:p>
    <w:p w:rsidR="00624593" w:rsidRPr="009552FD" w:rsidRDefault="00624593" w:rsidP="005900CF">
      <w:pPr>
        <w:widowControl w:val="0"/>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Państwo nadal stoi na stanowisku, że istniejące ramy prawne są odpowiednie do wywiązania się z obowiązku wykonania przedmiotowych wyroków. Tymczasem stanowisko to nie uwzględnia faktu, że wspólne dla tych trzech spraw były braki w istniejących ramach i mechanizmach prawnych, a także arbitralne zachowanie pracowników służby zdrowia, którzy nie stosowali w dobrej wierze istniejących przepisów prawnych uprawniających kobiety do aborcji lub prenatalnych badań genetycznych, lekceważyli jasne obowiązki prawne lub udzielali skarżącym wprowadzających w błąd i niedokładnych informacji o tym, jak uzyskać legalne usługi w zakresie zdrowia reprodukcyjnego. Naruszenia leżące u podstaw tych spraw były zatem w dużej mierze wynikiem nieodpowiedniej ochrony prawnej, braków w praworządności oraz utrwalonych błędów w egzekwowaniu prawa, a co za tym idzie – jak opisano powyżej – wymagane są reformy istniejących ram i procedur prawnych. W kolejnych punktach ustosunkowujemy się do twierdzeń państwa zawartych w jego ostatnich stanowiskach, zgodnie z którymi istniejące ramy prawne są odpowiednie do wykonania trzech wyroków.</w:t>
      </w:r>
    </w:p>
    <w:p w:rsidR="00624593" w:rsidRPr="009552FD" w:rsidRDefault="00624593" w:rsidP="005900CF">
      <w:pPr>
        <w:widowControl w:val="0"/>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Po upływie ponad 12 lat od wydania pierwszego z tych trzech wyroków nie uchwalono żadnego z wyżej wymienionych środków, które umożliwiłyby kobietom i nastolatkom uzyskanie w odpowiednim czasie dostępu do legalnej aborcji oraz związanych z nią usług i informacji w zakresie zdrowia reprodukcyjnego, a także wprowadzenie skutecznych mechanizmów i procedur umożliwiających kobietom i nastolatkom skorzystanie z przysługujących im w świetle prawa polskiego praw do tych usług zdrowotnych. W tym okresie przyjęto natomiast środki regresywne lub rozważa się ich wprowadzenie</w:t>
      </w:r>
      <w:r w:rsidRPr="009552FD">
        <w:rPr>
          <w:rFonts w:eastAsia="Times New Roman" w:cs="Times New Roman"/>
          <w:sz w:val="24"/>
          <w:szCs w:val="24"/>
          <w:vertAlign w:val="superscript"/>
          <w:lang w:bidi="en-US"/>
        </w:rPr>
        <w:footnoteReference w:id="26"/>
      </w:r>
      <w:r w:rsidRPr="009552FD">
        <w:rPr>
          <w:rFonts w:eastAsia="Times New Roman" w:cs="Times New Roman"/>
          <w:sz w:val="24"/>
          <w:szCs w:val="24"/>
          <w:lang w:bidi="en-US"/>
        </w:rPr>
        <w:t>.</w:t>
      </w:r>
    </w:p>
    <w:p w:rsidR="00624593" w:rsidRPr="009552FD" w:rsidRDefault="00624593" w:rsidP="005900CF">
      <w:pPr>
        <w:widowControl w:val="0"/>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W świetle braku jakichkolwiek konstruktywnych działań ze strony władz państwowych prowadzących do wykonania wyroków Trybunału i nadania mocy prawnej decyzjom Komitetu Ministrów, uprzejmie zwracamy się do Komitetu Ministrów o dalsze sprawowanie wzmożonej kontroli nad wszystkimi trzema sprawami i wezwanie władz państwowych do przyjęcia środków wymaganych w wyrokach w celu usunięcia istniejących braków prawnych i braków w egzekwowaniu prawa oraz umożliwienia kobietom i nastolatkom skorzystania z przysługujących im w świetle prawa polskiego praw do uzyskania usług w zakresie zdrowia reprodukcyjnego.</w:t>
      </w:r>
    </w:p>
    <w:p w:rsidR="00624593" w:rsidRPr="009552FD" w:rsidRDefault="00624593" w:rsidP="00987EB2">
      <w:pPr>
        <w:keepNext/>
        <w:keepLines/>
        <w:widowControl w:val="0"/>
        <w:numPr>
          <w:ilvl w:val="0"/>
          <w:numId w:val="33"/>
        </w:numPr>
        <w:tabs>
          <w:tab w:val="left" w:pos="350"/>
        </w:tabs>
        <w:spacing w:before="120" w:after="0" w:line="240" w:lineRule="auto"/>
        <w:jc w:val="both"/>
        <w:outlineLvl w:val="1"/>
        <w:rPr>
          <w:rFonts w:eastAsia="Times New Roman" w:cs="Times New Roman"/>
          <w:b/>
          <w:bCs/>
          <w:sz w:val="24"/>
          <w:szCs w:val="24"/>
          <w:lang w:bidi="en-US"/>
        </w:rPr>
      </w:pPr>
      <w:r w:rsidRPr="009552FD">
        <w:rPr>
          <w:rFonts w:eastAsia="Times New Roman" w:cs="Times New Roman"/>
          <w:b/>
          <w:bCs/>
          <w:sz w:val="24"/>
          <w:szCs w:val="24"/>
          <w:lang w:bidi="en-US"/>
        </w:rPr>
        <w:lastRenderedPageBreak/>
        <w:t>Oficjalne dane dotyczące legalnych aborcji nie świadczą o skutecznym stosowaniu prawa</w:t>
      </w:r>
    </w:p>
    <w:p w:rsidR="00624593" w:rsidRPr="009552FD" w:rsidRDefault="00624593" w:rsidP="00CC3534">
      <w:pPr>
        <w:widowControl w:val="0"/>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W swoich ostatnich stanowiskach władze państwowe twierdzą, że oficjalne dane dotyczące legalnych aborcji „potwierdzają, że te gwarantowane świadczenia zdrowotne są rzeczywiście wykonywane”</w:t>
      </w:r>
      <w:r w:rsidRPr="009552FD">
        <w:rPr>
          <w:rFonts w:eastAsia="Times New Roman" w:cs="Times New Roman"/>
          <w:sz w:val="24"/>
          <w:szCs w:val="24"/>
          <w:vertAlign w:val="superscript"/>
          <w:lang w:bidi="en-US"/>
        </w:rPr>
        <w:footnoteReference w:id="27"/>
      </w:r>
      <w:r w:rsidRPr="009552FD">
        <w:rPr>
          <w:rFonts w:eastAsia="Times New Roman" w:cs="Times New Roman"/>
          <w:sz w:val="24"/>
          <w:szCs w:val="24"/>
          <w:lang w:bidi="en-US"/>
        </w:rPr>
        <w:t>. Odnoszą się one do liczby legalnych aborcji w latach, w których miały miejsce wydarzenia w tych sprawach: 138 aborcji w 2000 r., 159 aborcji w 2002 r. oraz 499 aborcji w 2015 r., w porównaniu do liczby legalnych aborcji w 2018 r. (1076) i zauważają, że liczby te znacznie wzrosły na przestrzeni lat.</w:t>
      </w:r>
    </w:p>
    <w:p w:rsidR="00624593" w:rsidRPr="009552FD" w:rsidRDefault="00624593" w:rsidP="00CC3534">
      <w:pPr>
        <w:widowControl w:val="0"/>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Jednakowoż oficjalne dane dotyczące legalnych aborcji bynajmniej nie świadczą o tym, że prawo jest w pełni i skutecznie wdrażane oraz że kobiety, które spełniają wymogi prawne dotyczące dostępu do aborcji, rzeczywiście otrzymują świadczenia, do których są uprawnione. Pomimo wzrostu ogólnej liczby aborcji sytuacja kobiet chcących poddać się legalnej aborcji wskutek przestępstwa na tle seksualnym lub z powodu zagrożenia zdrowia lub życia uległa pogorszeniu od czasu wydarzeń, które miały miejsce w omawianych sprawach, bowiem w ciągu ostatniej dekady liczba legalnych aborcji znacznie spadła lub utrzymuje się na poziomie bliskim zeru.</w:t>
      </w:r>
    </w:p>
    <w:p w:rsidR="00624593" w:rsidRPr="009552FD" w:rsidRDefault="00624593" w:rsidP="00CC3534">
      <w:pPr>
        <w:widowControl w:val="0"/>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 xml:space="preserve">W przypadku kobiet, których zdrowie jest zagrożone, jak to miało miejsce w sprawie </w:t>
      </w:r>
      <w:r w:rsidRPr="009552FD">
        <w:rPr>
          <w:rFonts w:eastAsia="Times New Roman" w:cs="Times New Roman"/>
          <w:i/>
          <w:iCs/>
          <w:sz w:val="24"/>
          <w:szCs w:val="24"/>
          <w:lang w:bidi="en-US"/>
        </w:rPr>
        <w:t>Tysiąc</w:t>
      </w:r>
      <w:r w:rsidRPr="009552FD">
        <w:rPr>
          <w:rFonts w:eastAsia="Times New Roman" w:cs="Times New Roman"/>
          <w:sz w:val="24"/>
          <w:szCs w:val="24"/>
          <w:lang w:bidi="en-US"/>
        </w:rPr>
        <w:t>, w ostatnich latach liczba legalnych aborcji z powodu zagrożenia zdrowia lub życia spadła z około 80 w 2000 r. do około 25 aborcji rocznie. Liczba ta jest szczególnie niska w porównaniu ze wskaźnikami w innych krajach. Przykładowo w Niemczech w 2018 r. wykonano dwie aborcje na 10 000 kobiet w wieku rozrodczym ze wskazań medycznych, podczas gdy w Polsce wykonano 0,02 aborcji z tego wskazania na 10 000 kobiet w wieku rozrodczym</w:t>
      </w:r>
      <w:r w:rsidRPr="009552FD">
        <w:rPr>
          <w:rFonts w:eastAsia="Times New Roman" w:cs="Times New Roman"/>
          <w:sz w:val="24"/>
          <w:szCs w:val="24"/>
          <w:vertAlign w:val="superscript"/>
          <w:lang w:bidi="en-US"/>
        </w:rPr>
        <w:footnoteReference w:id="28"/>
      </w:r>
      <w:r w:rsidRPr="009552FD">
        <w:rPr>
          <w:rFonts w:eastAsia="Times New Roman" w:cs="Times New Roman"/>
          <w:sz w:val="24"/>
          <w:szCs w:val="24"/>
          <w:lang w:bidi="en-US"/>
        </w:rPr>
        <w:t>.</w:t>
      </w:r>
    </w:p>
    <w:p w:rsidR="00624593" w:rsidRPr="009552FD" w:rsidRDefault="00624593" w:rsidP="00CC3534">
      <w:pPr>
        <w:widowControl w:val="0"/>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Ponadto należy zauważyć, że w Polsce istnieją znaczne różnice regionalne w dostępie kobiet do legalnej aborcji ze wskazań zagrożenia zdrowia lub życia. W 2017 r. w sześciu polskich województwach nie przeprowadzono aborcji z powodu zagrożenia zdrowia lub życia kobiety. W regionach tych mieszka łącznie 2,5 mln kobiet w wieku reprodukcyjnym, a biorąc pod uwagę wielkość populacji, jest prawdopodobne, że niektóre kobiety mieszkające w tych regionach, których zdrowie jest zagrożone w czasie ciąży, nie miały realnego dostępu do legalnej aborcji.</w:t>
      </w:r>
    </w:p>
    <w:p w:rsidR="00624593" w:rsidRPr="009552FD" w:rsidRDefault="00624593" w:rsidP="00CC3534">
      <w:pPr>
        <w:widowControl w:val="0"/>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 xml:space="preserve">Osoby, które – podobnie jak skarżąca w sprawie </w:t>
      </w:r>
      <w:r w:rsidRPr="009552FD">
        <w:rPr>
          <w:rFonts w:eastAsia="Times New Roman" w:cs="Times New Roman"/>
          <w:i/>
          <w:iCs/>
          <w:sz w:val="24"/>
          <w:szCs w:val="24"/>
          <w:lang w:bidi="en-US"/>
        </w:rPr>
        <w:t>P. i S.</w:t>
      </w:r>
      <w:r w:rsidRPr="009552FD">
        <w:rPr>
          <w:rFonts w:eastAsia="Times New Roman" w:cs="Times New Roman"/>
          <w:sz w:val="24"/>
          <w:szCs w:val="24"/>
          <w:lang w:bidi="en-US"/>
        </w:rPr>
        <w:t xml:space="preserve"> – padły ofiarą przestępstwa na tle seksualnym, są pozbawione realnego dostępu do legalnej aborcji, o czym świadczą oficjalne dane statystyczne. Od 2008 r. w Polsce rocznie przeprowadza się od 0 do 3 legalnych aborcji w związku z przestępstwami na tle seksualnym. W latach 2010, 2011 i 2017 w Polsce nie przeprowadzono żadnych legalnych aborcji u kobiet, które zaszły w ciążę w wyniku przestępstwa na tle seksualnym.</w:t>
      </w:r>
    </w:p>
    <w:p w:rsidR="00624593" w:rsidRPr="009552FD" w:rsidRDefault="00624593" w:rsidP="00CC3534">
      <w:pPr>
        <w:widowControl w:val="0"/>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Osoby, które padły ofiarą przestępstwa na tle seksualnym i chcą przerwać wynikłą z tego procesu ciążę, a którym w Polsce odmawia się tego prawa, uciekną się do innych sposobów. Według informacji uzyskanych od Women on Web, organizacji non-profit świadczącej usługi telemedycyny online, 2% kobiet, które otrzymały pigułki aborcyjne za pośrednictwem usług telemedycyny w 2019 r., wyjaśniło, że ich ciąża była wynikiem zgwałcenia</w:t>
      </w:r>
      <w:r w:rsidRPr="009552FD">
        <w:rPr>
          <w:rFonts w:eastAsia="Times New Roman" w:cs="Times New Roman"/>
          <w:sz w:val="24"/>
          <w:szCs w:val="24"/>
          <w:vertAlign w:val="superscript"/>
          <w:lang w:bidi="en-US"/>
        </w:rPr>
        <w:footnoteReference w:id="29"/>
      </w:r>
      <w:r w:rsidRPr="009552FD">
        <w:rPr>
          <w:rFonts w:eastAsia="Times New Roman" w:cs="Times New Roman"/>
          <w:sz w:val="24"/>
          <w:szCs w:val="24"/>
          <w:lang w:bidi="en-US"/>
        </w:rPr>
        <w:t xml:space="preserve">. W 2018 r. ponad </w:t>
      </w:r>
      <w:r w:rsidRPr="009552FD">
        <w:rPr>
          <w:rFonts w:eastAsia="Times New Roman" w:cs="Times New Roman"/>
          <w:sz w:val="24"/>
          <w:szCs w:val="24"/>
          <w:lang w:bidi="en-US"/>
        </w:rPr>
        <w:lastRenderedPageBreak/>
        <w:t>2100 kobiet w Polsce uzyskało pigułki aborcyjne od Women on Web, zaś w ostatnich latach wzrosła liczba kobiet szukających pomocy za pośrednictwem telemedycyny</w:t>
      </w:r>
      <w:r w:rsidRPr="009552FD">
        <w:rPr>
          <w:rFonts w:eastAsia="Times New Roman" w:cs="Times New Roman"/>
          <w:sz w:val="24"/>
          <w:szCs w:val="24"/>
          <w:vertAlign w:val="superscript"/>
          <w:lang w:bidi="en-US"/>
        </w:rPr>
        <w:footnoteReference w:id="30"/>
      </w:r>
      <w:r w:rsidRPr="009552FD">
        <w:rPr>
          <w:rFonts w:eastAsia="Times New Roman" w:cs="Times New Roman"/>
          <w:sz w:val="24"/>
          <w:szCs w:val="24"/>
          <w:lang w:bidi="en-US"/>
        </w:rPr>
        <w:t>. Dane te świadczyłyby o tym, że ponad 40 kobiet w Polsce, które w ubiegłym roku zaszły w ciążę w wyniku przestępstwa na tle seksualnym, nie doczekało się przeprowadzenia legalnej aborcji, mimo że zgodnie z prawem byłyby do niej uprawnione. Większość kobiet (79,6%), które skontaktowały się z Women on Web, wyjaśniły, że zrobiły to z powodu bardzo restrykcyjnych regulacji prawnych dotyczących aborcji w Polsce</w:t>
      </w:r>
      <w:r w:rsidRPr="009552FD">
        <w:rPr>
          <w:rFonts w:eastAsia="Times New Roman" w:cs="Times New Roman"/>
          <w:sz w:val="24"/>
          <w:szCs w:val="24"/>
          <w:vertAlign w:val="superscript"/>
          <w:lang w:bidi="en-US"/>
        </w:rPr>
        <w:footnoteReference w:id="31"/>
      </w:r>
      <w:r w:rsidRPr="009552FD">
        <w:rPr>
          <w:rFonts w:eastAsia="Times New Roman" w:cs="Times New Roman"/>
          <w:sz w:val="24"/>
          <w:szCs w:val="24"/>
          <w:lang w:bidi="en-US"/>
        </w:rPr>
        <w:t>.</w:t>
      </w:r>
    </w:p>
    <w:p w:rsidR="00624593" w:rsidRPr="009552FD" w:rsidRDefault="00624593" w:rsidP="00CC3534">
      <w:pPr>
        <w:widowControl w:val="0"/>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Władze twierdziły, że liczba legalnych aborcji przeprowadzonych u kobiet, które zaszły w ciążę w wyniku przestępstwa na tle seksualnym, nie odzwierciedla liczby ciąż będących wynikiem przestępstwa na tle seksualnym</w:t>
      </w:r>
      <w:r w:rsidRPr="009552FD">
        <w:rPr>
          <w:rFonts w:eastAsia="Times New Roman" w:cs="Times New Roman"/>
          <w:sz w:val="24"/>
          <w:szCs w:val="24"/>
          <w:vertAlign w:val="superscript"/>
          <w:lang w:bidi="en-US"/>
        </w:rPr>
        <w:footnoteReference w:id="32"/>
      </w:r>
      <w:r w:rsidRPr="009552FD">
        <w:rPr>
          <w:rFonts w:eastAsia="Times New Roman" w:cs="Times New Roman"/>
          <w:sz w:val="24"/>
          <w:szCs w:val="24"/>
          <w:lang w:bidi="en-US"/>
        </w:rPr>
        <w:t>. Tymczasem brak jest oficjalnych danych na temat liczby przestępstw na tle seksualnym, w wyniku których dochodzi do zajścia w ciążę. Co więcej, w Polsce istnieje poważne niedorejestrowanie, jeśli chodzi o przypadki przestępstwa na tle seksualnym. Z badań przeprowadzonych w 2015 r. przez Fundację na rzecz Równości i Emancypacji STER wynika, że spośród 451 ankietowanych kobiet 91,8% kobiet, które twierdziły, że zostały zgwałcone, nigdy nie zgłosiły tego przestępstwa na policję. W Polsce nie prowadzi się również żadnych oficjalnych statystyk policyjnych dotyczących liczby zgłaszanych przypadków zgwałcenia, ponieważ policja rejestruje tylko te przypadki, które prowadzą do wszczęcia postępowania karnego. Według oficjalnych danych statystycznych w 2017 r. policja wszczęła 2486 postępowań w sprawach o zgwałcenie. Biorąc pod uwagę bardzo niski wskaźnik zgłaszania przypadków zgwałcenia na policję, dane te mogą stanowić jedynie bardzo niski przybliżony odsetek liczby przestępstw na tle seksualnym w Polsce i brak jest danych na temat tego, ile z pokrzywdzonych tymi przestępstwami kobiet zaszło w ciążę. Niemniej jednak z danych przekazanych przez Women on Web wynika, że dziesiątki kobiet w Polsce, które zaszły w ciążę w wyniku przestępstwa na tle seksualnym, chcą przerwać ciążę i uciekają się do samodzielnej aborcji farmakologicznej z powodu barier w dostępie do opieki medycznej.</w:t>
      </w:r>
    </w:p>
    <w:p w:rsidR="00624593" w:rsidRPr="009552FD" w:rsidRDefault="00624593" w:rsidP="00CC3534">
      <w:pPr>
        <w:widowControl w:val="0"/>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Większość legalnych aborcji w Polsce przeprowadza się ze względu na ryzyko ciężkiego lub śmiertelnego upośledzenia płodu, a w ostatnich latach przeprowadzono około 1000 takich zabiegów. Jednakowoż liczbę tą można uznać za niską w porównaniu ze wskaźnikami w innych krajach. Przykładowo liczba legalnych aborcji z tego powodu w Polsce odpowiada 1 aborcji na 10 000 kobiet w wieku reprodukcyjnym, podczas gdy w Norwegii w 2018 r. 2,7 aborcji na 10 000 kobiet w wieku reprodukcyjnym przeprowadzono ze wskazaniem na zagrożenie ciężkim lub śmiertelnym upośledzeniem płodu, co stanowi niemal trzykrotność liczby odnotowanej w Polsce</w:t>
      </w:r>
      <w:r w:rsidRPr="009552FD">
        <w:rPr>
          <w:rFonts w:eastAsia="Times New Roman" w:cs="Times New Roman"/>
          <w:sz w:val="24"/>
          <w:szCs w:val="24"/>
          <w:vertAlign w:val="superscript"/>
          <w:lang w:bidi="en-US"/>
        </w:rPr>
        <w:footnoteReference w:id="33"/>
      </w:r>
      <w:r w:rsidRPr="009552FD">
        <w:rPr>
          <w:rFonts w:eastAsia="Times New Roman" w:cs="Times New Roman"/>
          <w:sz w:val="24"/>
          <w:szCs w:val="24"/>
          <w:lang w:bidi="en-US"/>
        </w:rPr>
        <w:t xml:space="preserve">. Ponadto kobiety w Polsce nadal napotykają wiele przeszkód w dostępie do informacji, w tym do badań prenatalnych, a kobiety mieszkające na obszarach wiejskich często mają szczególne trudności z uzyskaniem dostępu do tych badań. Wydaje się, przykładowo, że w trzech województwach – kujawsko-pomorskim, lubelskim i podkarpackim – przeszkody te są najczęściej spotykane, ponieważ stosunkowo mała liczba kobiet wykonuje tam badania </w:t>
      </w:r>
      <w:r w:rsidRPr="009552FD">
        <w:rPr>
          <w:rFonts w:eastAsia="Times New Roman" w:cs="Times New Roman"/>
          <w:sz w:val="24"/>
          <w:szCs w:val="24"/>
          <w:lang w:bidi="en-US"/>
        </w:rPr>
        <w:lastRenderedPageBreak/>
        <w:t>prenatalne</w:t>
      </w:r>
      <w:r w:rsidRPr="009552FD">
        <w:rPr>
          <w:rFonts w:eastAsia="Times New Roman" w:cs="Times New Roman"/>
          <w:sz w:val="24"/>
          <w:szCs w:val="24"/>
          <w:vertAlign w:val="superscript"/>
          <w:lang w:bidi="en-US"/>
        </w:rPr>
        <w:footnoteReference w:id="34"/>
      </w:r>
      <w:r w:rsidRPr="009552FD">
        <w:rPr>
          <w:rFonts w:eastAsia="Times New Roman" w:cs="Times New Roman"/>
          <w:sz w:val="24"/>
          <w:szCs w:val="24"/>
          <w:lang w:bidi="en-US"/>
        </w:rPr>
        <w:t>.W rezultacie mogą one nie mieć możliwości skorzystania z przysługującego im prawa do podjęcia świadomej decyzji o kontynuowaniu ciąży.</w:t>
      </w:r>
    </w:p>
    <w:p w:rsidR="00624593" w:rsidRPr="009552FD" w:rsidRDefault="00624593" w:rsidP="00987EB2">
      <w:pPr>
        <w:keepNext/>
        <w:keepLines/>
        <w:widowControl w:val="0"/>
        <w:numPr>
          <w:ilvl w:val="0"/>
          <w:numId w:val="33"/>
        </w:numPr>
        <w:tabs>
          <w:tab w:val="left" w:pos="365"/>
        </w:tabs>
        <w:spacing w:before="120" w:after="0" w:line="240" w:lineRule="auto"/>
        <w:jc w:val="both"/>
        <w:outlineLvl w:val="1"/>
        <w:rPr>
          <w:rFonts w:eastAsia="Times New Roman" w:cs="Times New Roman"/>
          <w:b/>
          <w:bCs/>
          <w:sz w:val="24"/>
          <w:szCs w:val="24"/>
          <w:lang w:bidi="en-US"/>
        </w:rPr>
      </w:pPr>
      <w:r w:rsidRPr="009552FD">
        <w:rPr>
          <w:rFonts w:eastAsia="Times New Roman" w:cs="Times New Roman"/>
          <w:b/>
          <w:bCs/>
          <w:sz w:val="24"/>
          <w:szCs w:val="24"/>
          <w:lang w:bidi="en-US"/>
        </w:rPr>
        <w:t>Procedura skargowa nie jest skutecznym mechanizmem egzekwowania przez kobiety i nastolatki prawa do legalnej aborcji i badań prenatalnych</w:t>
      </w:r>
    </w:p>
    <w:p w:rsidR="00624593" w:rsidRPr="009552FD" w:rsidRDefault="00624593" w:rsidP="00CC3534">
      <w:pPr>
        <w:widowControl w:val="0"/>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 xml:space="preserve">W swoim ostatnim stanowisku Polska twierdzi, że procedura skargowa wprowadzona w 2008 r. ustawą o prawach pacjenta odpowiada wymogom wynikającym z wyroków w sprawach </w:t>
      </w:r>
      <w:r w:rsidRPr="009552FD">
        <w:rPr>
          <w:rFonts w:eastAsia="Times New Roman" w:cs="Times New Roman"/>
          <w:i/>
          <w:iCs/>
          <w:sz w:val="24"/>
          <w:szCs w:val="24"/>
          <w:lang w:bidi="en-US"/>
        </w:rPr>
        <w:t>Tysiąc</w:t>
      </w:r>
      <w:r w:rsidRPr="009552FD">
        <w:rPr>
          <w:rFonts w:eastAsia="Times New Roman" w:cs="Times New Roman"/>
          <w:sz w:val="24"/>
          <w:szCs w:val="24"/>
          <w:lang w:bidi="en-US"/>
        </w:rPr>
        <w:t xml:space="preserve"> i </w:t>
      </w:r>
      <w:r w:rsidRPr="009552FD">
        <w:rPr>
          <w:rFonts w:eastAsia="Times New Roman" w:cs="Times New Roman"/>
          <w:i/>
          <w:iCs/>
          <w:sz w:val="24"/>
          <w:szCs w:val="24"/>
          <w:lang w:bidi="en-US"/>
        </w:rPr>
        <w:t>R.R.</w:t>
      </w:r>
      <w:r w:rsidRPr="009552FD">
        <w:rPr>
          <w:rFonts w:eastAsia="Times New Roman" w:cs="Times New Roman"/>
          <w:sz w:val="24"/>
          <w:szCs w:val="24"/>
          <w:lang w:bidi="en-US"/>
        </w:rPr>
        <w:t xml:space="preserve"> oraz stanowi wystarczający i skuteczny mechanizm, za pomocą którego kobiety mogą dochodzić swoich praw do legalnej aborcji i genetycznych badań prenatalnych</w:t>
      </w:r>
      <w:r w:rsidRPr="009552FD">
        <w:rPr>
          <w:rFonts w:eastAsia="Times New Roman" w:cs="Times New Roman"/>
          <w:sz w:val="24"/>
          <w:szCs w:val="24"/>
          <w:vertAlign w:val="superscript"/>
          <w:lang w:bidi="en-US"/>
        </w:rPr>
        <w:footnoteReference w:id="35"/>
      </w:r>
      <w:r w:rsidRPr="009552FD">
        <w:rPr>
          <w:rFonts w:eastAsia="Times New Roman" w:cs="Times New Roman"/>
          <w:sz w:val="24"/>
          <w:szCs w:val="24"/>
          <w:lang w:bidi="en-US"/>
        </w:rPr>
        <w:t>.</w:t>
      </w:r>
    </w:p>
    <w:p w:rsidR="00624593" w:rsidRPr="009552FD" w:rsidRDefault="00624593" w:rsidP="00CC3534">
      <w:pPr>
        <w:widowControl w:val="0"/>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Jednakże, jak wskazaliśmy w naszych wcześniejszych wystąpieniach</w:t>
      </w:r>
      <w:r w:rsidRPr="009552FD">
        <w:rPr>
          <w:rFonts w:eastAsia="Times New Roman" w:cs="Times New Roman"/>
          <w:sz w:val="24"/>
          <w:szCs w:val="24"/>
          <w:vertAlign w:val="superscript"/>
          <w:lang w:bidi="en-US"/>
        </w:rPr>
        <w:footnoteReference w:id="36"/>
      </w:r>
      <w:r w:rsidRPr="009552FD">
        <w:rPr>
          <w:rFonts w:eastAsia="Times New Roman" w:cs="Times New Roman"/>
          <w:sz w:val="24"/>
          <w:szCs w:val="24"/>
          <w:lang w:bidi="en-US"/>
        </w:rPr>
        <w:t xml:space="preserve"> oraz w oparciu o wcześniejszą ocenę procedury skargowej dokonaną przez Komitet Ministrów</w:t>
      </w:r>
      <w:r w:rsidRPr="009552FD">
        <w:rPr>
          <w:rFonts w:eastAsia="Times New Roman" w:cs="Times New Roman"/>
          <w:sz w:val="24"/>
          <w:szCs w:val="24"/>
          <w:vertAlign w:val="superscript"/>
          <w:lang w:bidi="en-US"/>
        </w:rPr>
        <w:footnoteReference w:id="37"/>
      </w:r>
      <w:r w:rsidRPr="009552FD">
        <w:rPr>
          <w:rFonts w:eastAsia="Times New Roman" w:cs="Times New Roman"/>
          <w:sz w:val="24"/>
          <w:szCs w:val="24"/>
          <w:lang w:bidi="en-US"/>
        </w:rPr>
        <w:t>, niewątpliwie nie spełnia ona wymogów koniecznych do wykonania wyroków Trybunału w dwóch przedmiotowych sprawach.</w:t>
      </w:r>
    </w:p>
    <w:p w:rsidR="00624593" w:rsidRPr="009552FD" w:rsidRDefault="00624593" w:rsidP="00CC3534">
      <w:pPr>
        <w:widowControl w:val="0"/>
        <w:spacing w:before="120" w:after="0" w:line="240" w:lineRule="auto"/>
        <w:jc w:val="both"/>
        <w:rPr>
          <w:rFonts w:eastAsia="Times New Roman" w:cs="Times New Roman"/>
          <w:sz w:val="24"/>
          <w:szCs w:val="24"/>
          <w:lang w:bidi="en-US"/>
        </w:rPr>
      </w:pPr>
      <w:r w:rsidRPr="009552FD">
        <w:rPr>
          <w:rFonts w:eastAsia="Times New Roman" w:cs="Times New Roman"/>
          <w:sz w:val="24"/>
          <w:szCs w:val="24"/>
          <w:lang w:bidi="en-US"/>
        </w:rPr>
        <w:t>Jak wielokrotnie podkreślaliśmy w poprzednich wystąpieniach, procedura skargowa obarczona jest szeregiem niedociągnięć, a mianowicie:</w:t>
      </w:r>
    </w:p>
    <w:p w:rsidR="00624593" w:rsidRPr="00CC3534" w:rsidRDefault="00624593" w:rsidP="00987EB2">
      <w:pPr>
        <w:pStyle w:val="Akapitzlist"/>
        <w:widowControl w:val="0"/>
        <w:numPr>
          <w:ilvl w:val="0"/>
          <w:numId w:val="47"/>
        </w:numPr>
        <w:tabs>
          <w:tab w:val="left" w:pos="738"/>
        </w:tabs>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nie jest dostosowana do szczególnych potrzeb kobiet chcących skorzystać z legalnych usług aborcyjnych lub prenatalnych badań genetycznych, a jej ogólny charakter nie odpowiada szczególnym potrzebom kobiet w ciąży chcących ustalić lub wyegzekwować swoje gwarantowane prawem uprawnienia do aborcji i prenatalnych badań genetycznych.</w:t>
      </w:r>
    </w:p>
    <w:p w:rsidR="00624593" w:rsidRPr="00CC3534" w:rsidRDefault="00624593" w:rsidP="00987EB2">
      <w:pPr>
        <w:pStyle w:val="Akapitzlist"/>
        <w:widowControl w:val="0"/>
        <w:numPr>
          <w:ilvl w:val="0"/>
          <w:numId w:val="47"/>
        </w:numPr>
        <w:tabs>
          <w:tab w:val="left" w:pos="738"/>
        </w:tabs>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30-dniowy termin na wydanie decyzji w sprawie skargi nie gwarantuje, że kobiety otrzymają decyzję w odpowiednim czasie w ramach skutecznej procedury nadzwyczajnej.</w:t>
      </w:r>
    </w:p>
    <w:p w:rsidR="00624593" w:rsidRPr="00CC3534" w:rsidRDefault="00CC3534" w:rsidP="00987EB2">
      <w:pPr>
        <w:pStyle w:val="Akapitzlist"/>
        <w:widowControl w:val="0"/>
        <w:numPr>
          <w:ilvl w:val="0"/>
          <w:numId w:val="47"/>
        </w:numPr>
        <w:tabs>
          <w:tab w:val="left" w:pos="737"/>
        </w:tabs>
        <w:spacing w:before="120" w:after="0" w:line="240" w:lineRule="auto"/>
        <w:jc w:val="both"/>
        <w:rPr>
          <w:rFonts w:eastAsia="Times New Roman" w:cs="Times New Roman"/>
          <w:sz w:val="24"/>
          <w:szCs w:val="24"/>
          <w:lang w:bidi="en-US"/>
        </w:rPr>
      </w:pPr>
      <w:r>
        <w:rPr>
          <w:rFonts w:eastAsia="Times New Roman" w:cs="Times New Roman"/>
          <w:sz w:val="24"/>
          <w:szCs w:val="24"/>
          <w:lang w:bidi="en-US"/>
        </w:rPr>
        <w:t>p</w:t>
      </w:r>
      <w:r w:rsidR="00624593" w:rsidRPr="00CC3534">
        <w:rPr>
          <w:rFonts w:eastAsia="Times New Roman" w:cs="Times New Roman"/>
          <w:sz w:val="24"/>
          <w:szCs w:val="24"/>
          <w:lang w:bidi="en-US"/>
        </w:rPr>
        <w:t>rocedura jest zbyt uciążliwa i formalistyczna, gdyż wymaga od pacjentów wskazania przepisów prawnych, których dotyczy naruszenie. W rezultacie w zdecydowanej większości przypadków złożone skargi podlegają odrzuceniu.</w:t>
      </w:r>
    </w:p>
    <w:p w:rsidR="00624593" w:rsidRPr="00CC3534" w:rsidRDefault="00CC3534" w:rsidP="00987EB2">
      <w:pPr>
        <w:pStyle w:val="Akapitzlist"/>
        <w:widowControl w:val="0"/>
        <w:numPr>
          <w:ilvl w:val="0"/>
          <w:numId w:val="47"/>
        </w:numPr>
        <w:tabs>
          <w:tab w:val="left" w:pos="737"/>
        </w:tabs>
        <w:spacing w:before="120" w:after="0" w:line="240" w:lineRule="auto"/>
        <w:jc w:val="both"/>
        <w:rPr>
          <w:rFonts w:eastAsia="Times New Roman" w:cs="Times New Roman"/>
          <w:sz w:val="24"/>
          <w:szCs w:val="24"/>
          <w:lang w:bidi="en-US"/>
        </w:rPr>
      </w:pPr>
      <w:r>
        <w:rPr>
          <w:rFonts w:eastAsia="Times New Roman" w:cs="Times New Roman"/>
          <w:sz w:val="24"/>
          <w:szCs w:val="24"/>
          <w:lang w:bidi="en-US"/>
        </w:rPr>
        <w:t>d</w:t>
      </w:r>
      <w:r w:rsidR="00624593" w:rsidRPr="00CC3534">
        <w:rPr>
          <w:rFonts w:eastAsia="Times New Roman" w:cs="Times New Roman"/>
          <w:sz w:val="24"/>
          <w:szCs w:val="24"/>
          <w:lang w:bidi="en-US"/>
        </w:rPr>
        <w:t xml:space="preserve">ecyzje </w:t>
      </w:r>
      <w:r w:rsidRPr="00CC3534">
        <w:rPr>
          <w:rFonts w:eastAsia="Times New Roman" w:cs="Times New Roman"/>
          <w:sz w:val="24"/>
          <w:szCs w:val="24"/>
          <w:lang w:bidi="en-US"/>
        </w:rPr>
        <w:t>Komisji</w:t>
      </w:r>
      <w:r w:rsidR="00624593" w:rsidRPr="00CC3534">
        <w:rPr>
          <w:rFonts w:eastAsia="Times New Roman" w:cs="Times New Roman"/>
          <w:sz w:val="24"/>
          <w:szCs w:val="24"/>
          <w:lang w:bidi="en-US"/>
        </w:rPr>
        <w:t xml:space="preserve"> Lekarskiej są ostateczne i nie podlegają kontroli sądowej. Całkowicie podważa to podstawowe wymogi związane z praworządnością i stoi w sprzeczności ze standardową praktyką stosowaną w innych państwach.</w:t>
      </w:r>
    </w:p>
    <w:p w:rsidR="00624593" w:rsidRPr="00CC3534" w:rsidRDefault="00CC3534" w:rsidP="00987EB2">
      <w:pPr>
        <w:pStyle w:val="Akapitzlist"/>
        <w:widowControl w:val="0"/>
        <w:numPr>
          <w:ilvl w:val="0"/>
          <w:numId w:val="47"/>
        </w:numPr>
        <w:tabs>
          <w:tab w:val="left" w:pos="737"/>
        </w:tabs>
        <w:spacing w:before="120" w:after="0" w:line="240" w:lineRule="auto"/>
        <w:jc w:val="both"/>
        <w:rPr>
          <w:rFonts w:eastAsia="Times New Roman" w:cs="Times New Roman"/>
          <w:sz w:val="24"/>
          <w:szCs w:val="24"/>
          <w:lang w:bidi="en-US"/>
        </w:rPr>
      </w:pPr>
      <w:r>
        <w:rPr>
          <w:rFonts w:eastAsia="Times New Roman" w:cs="Times New Roman"/>
          <w:sz w:val="24"/>
          <w:szCs w:val="24"/>
          <w:lang w:bidi="en-US"/>
        </w:rPr>
        <w:t>d</w:t>
      </w:r>
      <w:r w:rsidR="00624593" w:rsidRPr="00CC3534">
        <w:rPr>
          <w:rFonts w:eastAsia="Times New Roman" w:cs="Times New Roman"/>
          <w:sz w:val="24"/>
          <w:szCs w:val="24"/>
          <w:lang w:bidi="en-US"/>
        </w:rPr>
        <w:t>odatkowe braki proceduralne i braki w zakresie praworządności również ograniczają skuteczność odpowiedniej procedury. Obejmują one brak uprawnienia kobiet do bycia wysłuchanymi w trakcie postępowania.</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 xml:space="preserve">O nieskuteczności tej procedury dobitnie świadczy bardzo niewielka liczba skarg złożonych od 2013 r. w sprawie dostępu do legalnej aborcji oraz fakt, że żadna z nich nie została </w:t>
      </w:r>
      <w:r w:rsidRPr="00CC3534">
        <w:rPr>
          <w:rFonts w:eastAsia="Times New Roman" w:cs="Times New Roman"/>
          <w:sz w:val="24"/>
          <w:szCs w:val="24"/>
          <w:lang w:bidi="en-US"/>
        </w:rPr>
        <w:lastRenderedPageBreak/>
        <w:t>uwzględniona</w:t>
      </w:r>
      <w:r w:rsidRPr="00CC3534">
        <w:rPr>
          <w:rFonts w:eastAsia="Times New Roman" w:cs="Times New Roman"/>
          <w:sz w:val="24"/>
          <w:szCs w:val="24"/>
          <w:vertAlign w:val="superscript"/>
          <w:lang w:bidi="en-US"/>
        </w:rPr>
        <w:footnoteReference w:id="38"/>
      </w:r>
      <w:r w:rsidRPr="00CC3534">
        <w:rPr>
          <w:rFonts w:eastAsia="Times New Roman" w:cs="Times New Roman"/>
          <w:sz w:val="24"/>
          <w:szCs w:val="24"/>
          <w:lang w:bidi="en-US"/>
        </w:rPr>
        <w:t>. Rzecznik Praw Pacjenta potwierdził, że w latach 2013–2018 złożono tylko trzy skargi w zakresie dostępu do legalnych usług aborcyjnych, z których żadna nie została uznana za dopuszczalną</w:t>
      </w:r>
      <w:r w:rsidRPr="00CC3534">
        <w:rPr>
          <w:rFonts w:eastAsia="Times New Roman" w:cs="Times New Roman"/>
          <w:sz w:val="24"/>
          <w:szCs w:val="24"/>
          <w:vertAlign w:val="superscript"/>
          <w:lang w:bidi="en-US"/>
        </w:rPr>
        <w:footnoteReference w:id="39"/>
      </w:r>
      <w:r w:rsidRPr="00CC3534">
        <w:rPr>
          <w:rFonts w:eastAsia="Times New Roman" w:cs="Times New Roman"/>
          <w:sz w:val="24"/>
          <w:szCs w:val="24"/>
          <w:lang w:bidi="en-US"/>
        </w:rPr>
        <w:t>.</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 xml:space="preserve">Najnowsze sprawy świadczą również o niedociągnięciach i nieskuteczności procedur składania skarg jako mechanizmu zapewniającego kobietom dostęp do aborcji w odpowiednim czasie. W 2019 r. Federacja na rzecz Kobiet i Planowania Rodziny udzieliła wsparcia prawnego w sprawie pani </w:t>
      </w:r>
      <w:r w:rsidRPr="00CC3534">
        <w:rPr>
          <w:rFonts w:eastAsia="Times New Roman" w:cs="Times New Roman"/>
          <w:i/>
          <w:iCs/>
          <w:sz w:val="24"/>
          <w:szCs w:val="24"/>
          <w:lang w:bidi="en-US"/>
        </w:rPr>
        <w:t>I. P.</w:t>
      </w:r>
      <w:r w:rsidRPr="00CC3534">
        <w:rPr>
          <w:rFonts w:eastAsia="Times New Roman" w:cs="Times New Roman"/>
          <w:i/>
          <w:iCs/>
          <w:sz w:val="24"/>
          <w:szCs w:val="24"/>
          <w:vertAlign w:val="superscript"/>
          <w:lang w:bidi="en-US"/>
        </w:rPr>
        <w:footnoteReference w:id="40"/>
      </w:r>
      <w:r w:rsidRPr="00CC3534">
        <w:rPr>
          <w:rFonts w:eastAsia="Times New Roman" w:cs="Times New Roman"/>
          <w:sz w:val="24"/>
          <w:szCs w:val="24"/>
          <w:lang w:bidi="en-US"/>
        </w:rPr>
        <w:t xml:space="preserve">, która złożyła skargę na arbitralną odmowę wykonania aborcji w szpitalu w Rybniku (miasto w południowej Polsce). Jednak skarga została rozpatrzona przez </w:t>
      </w:r>
      <w:r w:rsidR="00A90CCD">
        <w:rPr>
          <w:rFonts w:eastAsia="Times New Roman" w:cs="Times New Roman"/>
          <w:sz w:val="24"/>
          <w:szCs w:val="24"/>
          <w:lang w:bidi="en-US"/>
        </w:rPr>
        <w:t>Komisję</w:t>
      </w:r>
      <w:r w:rsidRPr="00CC3534">
        <w:rPr>
          <w:rFonts w:eastAsia="Times New Roman" w:cs="Times New Roman"/>
          <w:sz w:val="24"/>
          <w:szCs w:val="24"/>
          <w:lang w:bidi="en-US"/>
        </w:rPr>
        <w:t xml:space="preserve"> Lekarską dopiero po upływie terminu na dokonanie legalnej aborcji.</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Jak Komitet Ministrów już wcześniej stwierdził, obecna procedura skargowa jest niewystarczająca, aby wywiązać się ze spoczywającego na państwie obowiązku ustanowienia skutecznego i terminowego mechanizmu egzekwowania przez kobiety ich praw do opieki w zakresie zdrowia reprodukcyjnego. Dopóki mechanizm ten nie zostanie poddany reformie Polska nie wykona przedmiotowych wyroków i nie zapewni kobietom skutecznej procedury ustalania i wykonywania ich prawa do legalnej aborcji.</w:t>
      </w:r>
    </w:p>
    <w:p w:rsidR="00624593" w:rsidRPr="00CC3534" w:rsidRDefault="00624593" w:rsidP="00987EB2">
      <w:pPr>
        <w:keepNext/>
        <w:keepLines/>
        <w:widowControl w:val="0"/>
        <w:numPr>
          <w:ilvl w:val="0"/>
          <w:numId w:val="33"/>
        </w:numPr>
        <w:tabs>
          <w:tab w:val="left" w:pos="360"/>
        </w:tabs>
        <w:spacing w:before="120" w:after="0" w:line="240" w:lineRule="auto"/>
        <w:jc w:val="both"/>
        <w:outlineLvl w:val="1"/>
        <w:rPr>
          <w:rFonts w:eastAsia="Times New Roman" w:cs="Times New Roman"/>
          <w:b/>
          <w:bCs/>
          <w:sz w:val="24"/>
          <w:szCs w:val="24"/>
          <w:lang w:bidi="en-US"/>
        </w:rPr>
      </w:pPr>
      <w:r w:rsidRPr="00CC3534">
        <w:rPr>
          <w:rFonts w:eastAsia="Times New Roman" w:cs="Times New Roman"/>
          <w:b/>
          <w:bCs/>
          <w:sz w:val="24"/>
          <w:szCs w:val="24"/>
          <w:lang w:bidi="en-US"/>
        </w:rPr>
        <w:t>Rola Rzecznika Praw Pacjenta</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W swoich ostatnich stanowiskach Polska wielokrotnie wskazuje również na rolę, jaką Rzecznik Praw Pacjentów może odgrywać w inicjowaniu postępowań wyjaśniających, gdy kobietom odmawia się dostępu do usług aborcyjnych lub badań prenatalnych, do których są uprawnione</w:t>
      </w:r>
      <w:r w:rsidRPr="00CC3534">
        <w:rPr>
          <w:rFonts w:eastAsia="Times New Roman" w:cs="Times New Roman"/>
          <w:sz w:val="24"/>
          <w:szCs w:val="24"/>
          <w:vertAlign w:val="superscript"/>
          <w:lang w:bidi="en-US"/>
        </w:rPr>
        <w:footnoteReference w:id="41"/>
      </w:r>
      <w:r w:rsidRPr="00CC3534">
        <w:rPr>
          <w:rFonts w:eastAsia="Times New Roman" w:cs="Times New Roman"/>
          <w:sz w:val="24"/>
          <w:szCs w:val="24"/>
          <w:lang w:bidi="en-US"/>
        </w:rPr>
        <w:t>.</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 xml:space="preserve">Chociaż Rzecznik Praw Pacjentów może przez swoje dobre </w:t>
      </w:r>
      <w:r w:rsidR="00A90CCD">
        <w:rPr>
          <w:rFonts w:eastAsia="Times New Roman" w:cs="Times New Roman"/>
          <w:sz w:val="24"/>
          <w:szCs w:val="24"/>
          <w:lang w:bidi="en-US"/>
        </w:rPr>
        <w:t>działania</w:t>
      </w:r>
      <w:r w:rsidRPr="00CC3534">
        <w:rPr>
          <w:rFonts w:eastAsia="Times New Roman" w:cs="Times New Roman"/>
          <w:sz w:val="24"/>
          <w:szCs w:val="24"/>
          <w:lang w:bidi="en-US"/>
        </w:rPr>
        <w:t xml:space="preserve"> interweniować w placówkach służby zdrowia w imieniu kobiet, które napotykają przeszkody w dostępie do legalnej aborcji lub badań prenatalnych, to możliwość ta w żaden sposób nie zapewnia skutecznego mechanizmu, za pomocą którego kobiety i nastolatki mogą egzekwować swoje prawo do legalnej aborcji lub badań prenatalnych.</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Możliwość zwrócenia się o pomoc do Biura Rzecznika Praw Człowieka przez kobiety, którym odmawia się legalnych usług w zakresie zdrowia reprodukcyjnego, nie spełnia żadnego z wyżej wymienionych środków, które są wymagane do wykonania przedmiotowych wyroków.</w:t>
      </w:r>
    </w:p>
    <w:p w:rsidR="00624593" w:rsidRPr="00CC3534" w:rsidRDefault="00624593" w:rsidP="00987EB2">
      <w:pPr>
        <w:keepNext/>
        <w:keepLines/>
        <w:widowControl w:val="0"/>
        <w:numPr>
          <w:ilvl w:val="0"/>
          <w:numId w:val="33"/>
        </w:numPr>
        <w:tabs>
          <w:tab w:val="left" w:pos="360"/>
        </w:tabs>
        <w:spacing w:before="120" w:after="0" w:line="240" w:lineRule="auto"/>
        <w:jc w:val="both"/>
        <w:outlineLvl w:val="1"/>
        <w:rPr>
          <w:rFonts w:eastAsia="Times New Roman" w:cs="Times New Roman"/>
          <w:b/>
          <w:bCs/>
          <w:sz w:val="24"/>
          <w:szCs w:val="24"/>
          <w:lang w:bidi="en-US"/>
        </w:rPr>
      </w:pPr>
      <w:r w:rsidRPr="00CC3534">
        <w:rPr>
          <w:rFonts w:eastAsia="Times New Roman" w:cs="Times New Roman"/>
          <w:b/>
          <w:bCs/>
          <w:sz w:val="24"/>
          <w:szCs w:val="24"/>
          <w:lang w:bidi="en-US"/>
        </w:rPr>
        <w:t>Odmowy oparte na klauzuli sumienia i uchybienia w wykonaniu wyroków nadal utrudniają dostęp do legalnej aborcji</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Jak wielokrotnie podkreślaliśmy w naszych poprzednich wystąpieniach</w:t>
      </w:r>
      <w:r w:rsidRPr="00CC3534">
        <w:rPr>
          <w:rFonts w:eastAsia="Times New Roman" w:cs="Times New Roman"/>
          <w:sz w:val="24"/>
          <w:szCs w:val="24"/>
          <w:vertAlign w:val="superscript"/>
          <w:lang w:bidi="en-US"/>
        </w:rPr>
        <w:footnoteReference w:id="42"/>
      </w:r>
      <w:r w:rsidRPr="00CC3534">
        <w:rPr>
          <w:rFonts w:eastAsia="Times New Roman" w:cs="Times New Roman"/>
          <w:sz w:val="24"/>
          <w:szCs w:val="24"/>
          <w:lang w:bidi="en-US"/>
        </w:rPr>
        <w:t xml:space="preserve">, praktyka </w:t>
      </w:r>
      <w:r w:rsidRPr="00CC3534">
        <w:rPr>
          <w:rFonts w:eastAsia="Times New Roman" w:cs="Times New Roman"/>
          <w:sz w:val="24"/>
          <w:szCs w:val="24"/>
          <w:lang w:bidi="en-US"/>
        </w:rPr>
        <w:lastRenderedPageBreak/>
        <w:t>powoływania się przez pracowników służby zdrowia na klauzulę sumienia w celu odmowy świadczenia opieki nadal utrudnia kobietom dostęp do legalnej aborcji w Polsce, co stoi w sprzeczności z wyrokami Trybunału wymagającymi od państwa zapewnienia, by taka odmowa nie uniemożliwiała kobietom uzyskania opieki w zakresie zdrowia reprodukcyjnego, do której są one zgodnie z prawem uprawnione.</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Unieważnienie w 2015 r. wyrokiem Trybunału Konstytucyjnego obowiązku skierowania przez pracowników służby zdrowia, którzy powołują się na klauzulę sumienia, istotnie zagroziło wykonaniu przez Polskę wyroków Trybunału. Jednakże szereg innych niedociągnięć w zakresie regulacji i egzekwowania przepisów dotyczących odmowy na podstawie klauzuli sumienia również w dalszym ciągu utrudnia wykonanie wyroku Trybunału i decyzji Komitetu Ministrów.</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W marcu 2019 r. Komitet Ministrów wezwał władze polskie do wprowadzenia do swojego porządku prawnego obowiązku skierowania przez placówki służby zdrowia kobiety, której odmówiono wykonania zabiegu aborcji z powołaniem się na klauzulę sumienia, do innej placówki, która wykona zabieg. Jednakże dotychczas państwo nie podjęło żadnych środków mających na celu wprowadzenie tego obowiązku do porządku prawnego.</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W swoich ostatnich stanowiskach Polska stwierdza, że w przypadku gdy świadczenie zdrowotne nie może być udzielone w placówce służby zdrowia, placówka ta ma obowiązek skierować pacjenta do innej placówki, która udzieli tego świadczenia</w:t>
      </w:r>
      <w:r w:rsidRPr="00CC3534">
        <w:rPr>
          <w:rFonts w:eastAsia="Times New Roman" w:cs="Times New Roman"/>
          <w:sz w:val="24"/>
          <w:szCs w:val="24"/>
          <w:vertAlign w:val="superscript"/>
          <w:lang w:bidi="en-US"/>
        </w:rPr>
        <w:footnoteReference w:id="43"/>
      </w:r>
      <w:r w:rsidRPr="00CC3534">
        <w:rPr>
          <w:rFonts w:eastAsia="Times New Roman" w:cs="Times New Roman"/>
          <w:sz w:val="24"/>
          <w:szCs w:val="24"/>
          <w:lang w:bidi="en-US"/>
        </w:rPr>
        <w:t>. Państwo zapewniło, że trwają dyskusje nad zmianą ustawy o lekarzach i lekarzach dentystach, która będzie zawierać nowy przepis określający ten obowiązek kierowania do placówek służby zdrowia. Dotychczas nie wskazano jednak terminu ewentualnego przyjęcia tego przepisu.</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Ponadto, nawet gdyby taki przepis został przyjęty, to nie ma pewności, czy realnie zapewniałby kobietom kierowanie ich do innej placówki służby zdrowia lub do innego świadczeniodawcy. Z dotychczasowych dowodów wynika konsekwentne lekceważenie przez pracowników służby zdrowia i podmioty lecznicze obowiązków prawnych oraz nieprzestrzeganie prawa w zakresie uprawnienia kobiet do usług legalnej aborcji oraz przepisów dotyczących odmowy na podstawie klauzuli sumienia.</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W szczególności przypominamy, że wiele szpitali nadal wbrew przepisom prawa polskiego odmawia wykonania aborcji ze względu na klauzulę sumienia. Władze państwowe nie podjęły żadnych kroków w celu usankcjonowania tych naruszeń i pociągnięcia placówek służby zdrowia do odpowiedzialności. Co więcej, w dalszym ciągu istnieją całe regiony Polski pozbawione dostępu do legalnej opieki aborcyjnej ze względu na brak placówek służby zdrowia bądź przedstawicieli zawodów medycznych świadczących tego rodzaju opiekę. Przykładowo w 2018 r. w województwie podkarpackim, regionie o populacji kobiet w wieku rozrodczym liczącej ponad 500 tys. osób, nie wykonano ani jednego zabiegu aborcji. W tym regionie ponad 3 tys. lekarzy podpisało deklarację klauzuli sumienia, świadczącą o ich niechęci do przeprowadzania legalnych aborcji</w:t>
      </w:r>
      <w:r w:rsidRPr="00CC3534">
        <w:rPr>
          <w:rFonts w:eastAsia="Times New Roman" w:cs="Times New Roman"/>
          <w:sz w:val="24"/>
          <w:szCs w:val="24"/>
          <w:vertAlign w:val="superscript"/>
          <w:lang w:bidi="en-US"/>
        </w:rPr>
        <w:footnoteReference w:id="44"/>
      </w:r>
      <w:r w:rsidRPr="00CC3534">
        <w:rPr>
          <w:rFonts w:eastAsia="Times New Roman" w:cs="Times New Roman"/>
          <w:sz w:val="24"/>
          <w:szCs w:val="24"/>
          <w:lang w:bidi="en-US"/>
        </w:rPr>
        <w:t>. Z ostatnich badań wynika, że tylko jeden szpital w Rzeszowie – stolicy tego regionu – zadeklarował, że co do zasady świadczy usługi aborcyjne, podczas gdy cztery inne szpitale zadeklarowały, że nie świadczą legalnych usług aborcyjnych</w:t>
      </w:r>
      <w:r w:rsidRPr="00CC3534">
        <w:rPr>
          <w:rFonts w:eastAsia="Times New Roman" w:cs="Times New Roman"/>
          <w:sz w:val="24"/>
          <w:szCs w:val="24"/>
          <w:vertAlign w:val="superscript"/>
          <w:lang w:bidi="en-US"/>
        </w:rPr>
        <w:footnoteReference w:id="45"/>
      </w:r>
      <w:r w:rsidRPr="00CC3534">
        <w:rPr>
          <w:rFonts w:eastAsia="Times New Roman" w:cs="Times New Roman"/>
          <w:sz w:val="24"/>
          <w:szCs w:val="24"/>
          <w:lang w:bidi="en-US"/>
        </w:rPr>
        <w:t>.</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lastRenderedPageBreak/>
        <w:t>Ponadto, ze względu na fakt, że placówki służby zdrowia wydają się już być prawnie zobowiązane do kierowania kobiet do innych świadczeniodawców w przypadku odmowy udzielenia legalnych usług w zakresie zdrowia reprodukcyjnego na podstawie klauzuli sumienia, nie jest jasne, w jaki sposób nowy przepis prawa o takim samym skutku miałby mieć jakikolwiek znaczący wpływ przy braku szeregu innych środków gwarantujących kobietom brak przeszkód i opóźnień w dostępie do legalnych usług w zakresie zdrowia reprodukcyjnego.</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Państwo twierdzi również, że placówki służby zdrowia powinny organizować świadczenie usług w sposób umożliwiający odmowę na podstawie klauzuli sumienia, jednocześnie gwarantując pacjentkom uzyskanie świadczeń zdrowotnych, do których są zgodnie z prawem uprawnione</w:t>
      </w:r>
      <w:r w:rsidRPr="00CC3534">
        <w:rPr>
          <w:rFonts w:eastAsia="Times New Roman" w:cs="Times New Roman"/>
          <w:sz w:val="24"/>
          <w:szCs w:val="24"/>
          <w:vertAlign w:val="superscript"/>
          <w:lang w:bidi="en-US"/>
        </w:rPr>
        <w:footnoteReference w:id="46"/>
      </w:r>
      <w:r w:rsidRPr="00CC3534">
        <w:rPr>
          <w:rFonts w:eastAsia="Times New Roman" w:cs="Times New Roman"/>
          <w:sz w:val="24"/>
          <w:szCs w:val="24"/>
          <w:lang w:bidi="en-US"/>
        </w:rPr>
        <w:t>. Tymczasem państwo nie monitoruje, czy placówki służby zdrowia rzeczywiście odpowiednio organizują świadczenie usług. Polskie władze nie monitorują obecnie praktyki odmowy na podstawie klauzuli sumienia przez pracowników służby zdrowia, co umożliwiłoby zorganizowanie systemu opieki zdrowotnej w sposób, który gwarantowałby kobietom możliwość korzystania z usług w zakresie zdrowia reprodukcyjnego, do których są zgodnie z prawem uprawnione, stosownie do wymogów przedmiotowych wyroków Trybunału.</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Wreszcie władze polskie w niedawnych wystąpieniach ponownie twierdzą, że wyżej wymieniona procedura skargowa ma również zastosowanie do sytuacji, w których pracownicy służby zdrowia odmawiają legalnej opieki w zakresie zdrowia reprodukcyjnego na podstawie klauzuli sumienia</w:t>
      </w:r>
      <w:r w:rsidRPr="00CC3534">
        <w:rPr>
          <w:rFonts w:eastAsia="Times New Roman" w:cs="Times New Roman"/>
          <w:sz w:val="24"/>
          <w:szCs w:val="24"/>
          <w:vertAlign w:val="superscript"/>
          <w:lang w:bidi="en-US"/>
        </w:rPr>
        <w:footnoteReference w:id="47"/>
      </w:r>
      <w:r w:rsidRPr="00CC3534">
        <w:rPr>
          <w:rFonts w:eastAsia="Times New Roman" w:cs="Times New Roman"/>
          <w:sz w:val="24"/>
          <w:szCs w:val="24"/>
          <w:lang w:bidi="en-US"/>
        </w:rPr>
        <w:t>. Tymczasem, jak podkreślaliśmy w poprzednich wystąpieniach, procedura skargowa nie ma zastosowania do sytuacji, w których kobietom odmawia się legalnej aborcji ze względu na sumienie czy religię</w:t>
      </w:r>
      <w:r w:rsidRPr="00CC3534">
        <w:rPr>
          <w:rFonts w:eastAsia="Times New Roman" w:cs="Times New Roman"/>
          <w:sz w:val="24"/>
          <w:szCs w:val="24"/>
          <w:vertAlign w:val="superscript"/>
          <w:lang w:bidi="en-US"/>
        </w:rPr>
        <w:footnoteReference w:id="48"/>
      </w:r>
      <w:r w:rsidRPr="00CC3534">
        <w:rPr>
          <w:rFonts w:eastAsia="Times New Roman" w:cs="Times New Roman"/>
          <w:sz w:val="24"/>
          <w:szCs w:val="24"/>
          <w:lang w:bidi="en-US"/>
        </w:rPr>
        <w:t>, zaś twierdzenie władz polskich, że obecnie z procedury skargowej można skorzystać w celu zakwestionowania odmowy wykonania świadczenia na podstawie klauzuli sumienia stanowi wprowadzenie w błąd. O ile zgodnie z prawem polskim lekarze są uprawnieni do odmowy świadczenia ze względu na sumienie lub religię, o tyle nie jest jasne, na jakiej podstawie kobiety chcące skorzystać z przysługującego im prawa do legalnej opieki w zakresie zdrowia reprodukcyjnego mogłyby złożyć skargę, gdy lekarze powołują się na klauzulę sumienia.</w:t>
      </w:r>
    </w:p>
    <w:p w:rsidR="00624593" w:rsidRPr="00CC3534" w:rsidRDefault="00624593" w:rsidP="00987EB2">
      <w:pPr>
        <w:keepNext/>
        <w:keepLines/>
        <w:widowControl w:val="0"/>
        <w:numPr>
          <w:ilvl w:val="0"/>
          <w:numId w:val="33"/>
        </w:numPr>
        <w:tabs>
          <w:tab w:val="left" w:pos="355"/>
        </w:tabs>
        <w:spacing w:before="120" w:after="0" w:line="240" w:lineRule="auto"/>
        <w:jc w:val="both"/>
        <w:outlineLvl w:val="1"/>
        <w:rPr>
          <w:rFonts w:eastAsia="Times New Roman" w:cs="Times New Roman"/>
          <w:b/>
          <w:bCs/>
          <w:sz w:val="24"/>
          <w:szCs w:val="24"/>
          <w:lang w:bidi="en-US"/>
        </w:rPr>
      </w:pPr>
      <w:r w:rsidRPr="00CC3534">
        <w:rPr>
          <w:rFonts w:eastAsia="Times New Roman" w:cs="Times New Roman"/>
          <w:b/>
          <w:bCs/>
          <w:sz w:val="24"/>
          <w:szCs w:val="24"/>
          <w:lang w:bidi="en-US"/>
        </w:rPr>
        <w:t>Niewystarczające informacje na temat możliwości skorzystania z legalnych usług aborcyjnych przez kobiety i nastolatki</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We wszystkich trzech sprawach skarżące napotkały przeszkody w dostępie do legalnych usług w zakresie zdrowia reprodukcyjnego w wyniku sprzecznych a wręcz wprowadzających w błąd informacji na temat wymogów, które muszą spełnić, oraz procedur, których muszą przestrzegać.</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W swoich niedawnych wystąpieniach Polska twierdzi, że wprowadzono przejrzyste i skuteczne procedury zapewniające kobietom wiarygodne informacje na temat kroków, jakie powinny podjąć w celu uzyskania legalnych usług w zakresie zdrowia reprodukcyjnego</w:t>
      </w:r>
      <w:r w:rsidRPr="00CC3534">
        <w:rPr>
          <w:rFonts w:eastAsia="Times New Roman" w:cs="Times New Roman"/>
          <w:sz w:val="24"/>
          <w:szCs w:val="24"/>
          <w:vertAlign w:val="superscript"/>
          <w:lang w:bidi="en-US"/>
        </w:rPr>
        <w:footnoteReference w:id="49"/>
      </w:r>
      <w:r w:rsidRPr="00CC3534">
        <w:rPr>
          <w:rFonts w:eastAsia="Times New Roman" w:cs="Times New Roman"/>
          <w:sz w:val="24"/>
          <w:szCs w:val="24"/>
          <w:lang w:bidi="en-US"/>
        </w:rPr>
        <w:t xml:space="preserve">. W tym </w:t>
      </w:r>
      <w:r w:rsidRPr="00CC3534">
        <w:rPr>
          <w:rFonts w:eastAsia="Times New Roman" w:cs="Times New Roman"/>
          <w:sz w:val="24"/>
          <w:szCs w:val="24"/>
          <w:lang w:bidi="en-US"/>
        </w:rPr>
        <w:lastRenderedPageBreak/>
        <w:t>względzie odsyła do istniejących ram prawnych dotyczących przekazywania informacji pacjentom.</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Tymczasem państwo nadal nie przekazało informacji na temat podjętych lub przewidywanych środków mających na celu zagwarantowanie kobietom i nastolatkom chcącym skorzystać ze zgodnej z prawem aborcji uzyskania odpowiednich i wystarczających informacji na temat sposobu skorzystania z ich prawa do zgodnej z prawem aborcji.</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Obecnie brak jest wytycznych dla placówek i pracowników służby zdrowia w zakresie udzielania informacji na temat legalnej aborcji, wymogów, które pacjentki muszą spełnić i kroków, które muszą podjąć, oraz tego, gdzie w Polsce świadczy się usługi aborcyjne. Brak tych wytycznych doprowadził do tego, że niektóre placówki służby zdrowia bezzasadnie nakładają na kobiety chcące skorzystać z legalnej aborcji dodatkowe wymagania. W 2019 r. Federacja na rzecz Kobiet i Planowania Rodziny podjęła się aktualizacji oceny z 2016 r. dotyczącej dostępu do legalnej aborcji w szpitalach w największych miastach Polski</w:t>
      </w:r>
      <w:r w:rsidRPr="00CC3534">
        <w:rPr>
          <w:rFonts w:eastAsia="Times New Roman" w:cs="Times New Roman"/>
          <w:sz w:val="24"/>
          <w:szCs w:val="24"/>
          <w:vertAlign w:val="superscript"/>
          <w:lang w:bidi="en-US"/>
        </w:rPr>
        <w:footnoteReference w:id="50"/>
      </w:r>
      <w:r w:rsidRPr="00CC3534">
        <w:rPr>
          <w:rFonts w:eastAsia="Times New Roman" w:cs="Times New Roman"/>
          <w:sz w:val="24"/>
          <w:szCs w:val="24"/>
          <w:lang w:bidi="en-US"/>
        </w:rPr>
        <w:t>. Z przekazanych przez szpitale informacji wynikało, że nakładają one wiele barier i wymogów, które nie znajdują potwierdzenia w żadnej podstawie prawnej</w:t>
      </w:r>
      <w:r w:rsidRPr="00CC3534">
        <w:rPr>
          <w:rFonts w:eastAsia="Times New Roman" w:cs="Times New Roman"/>
          <w:sz w:val="24"/>
          <w:szCs w:val="24"/>
          <w:vertAlign w:val="superscript"/>
          <w:lang w:bidi="en-US"/>
        </w:rPr>
        <w:footnoteReference w:id="51"/>
      </w:r>
      <w:r w:rsidRPr="00CC3534">
        <w:rPr>
          <w:rFonts w:eastAsia="Times New Roman" w:cs="Times New Roman"/>
          <w:sz w:val="24"/>
          <w:szCs w:val="24"/>
          <w:lang w:bidi="en-US"/>
        </w:rPr>
        <w:t>. Do wymogów tych należą m.in. obowiązkowe konsultacje psychologiczne w hospicjum perinatalnym, dodatkowe badania medyczne i powtórne badania lekarskie, przedstawianie trudnych do uzyskania zaświadczeń i zgód, takich jak zaświadczenie od Krajowego Konsultanta ds. Ginekologii i Położnictwa lub zgoda Komisji Bioetycznej, oraz zwoływanie konsultacji medycznych w placówkach służby zdrowia w celu ustalenia, czy kobieta spełnia przesłanki przeprowadzenia legalnej aborcji.</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Ostatnie badania przeprowadzone przez organizacje pozarządowe potwierdzają, że kobiety nadal napotykają wiele barier w dostępie do niezbędnych i zasadniczych informacji na temat tego, jak uzyskać dostęp do legalnej opieki okołoaborcyjnej. Na przykład Centrum Medyczne Ujastek Sp. z o.o. w stolicy Małopolski (Krakowie), które podpisało z Narodowym Funduszem Zdrowia umowę o świadczenie usług ginekologicznych, odmówiło ujawnienia informacji na temat procedury, jaką stosuje wobec kobiet chcących skorzystać z legalnych usług aborcyjnych. Szpital uznał, że nie jest to informacja publiczna</w:t>
      </w:r>
      <w:r w:rsidRPr="00CC3534">
        <w:rPr>
          <w:rFonts w:eastAsia="Times New Roman" w:cs="Times New Roman"/>
          <w:sz w:val="24"/>
          <w:szCs w:val="24"/>
          <w:vertAlign w:val="superscript"/>
          <w:lang w:bidi="en-US"/>
        </w:rPr>
        <w:footnoteReference w:id="52"/>
      </w:r>
      <w:r w:rsidRPr="00CC3534">
        <w:rPr>
          <w:rFonts w:eastAsia="Times New Roman" w:cs="Times New Roman"/>
          <w:sz w:val="24"/>
          <w:szCs w:val="24"/>
          <w:lang w:bidi="en-US"/>
        </w:rPr>
        <w:t>.</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Ponadto w samym 2019 r. Federacja na rzecz Kobiet i Planowania Rodziny interweniowała w prawie 100 sprawach dotyczących arbitralnej odmowy świadczenia legalnych usług aborcyjnych lub nałożenia dodatkowych bezprawnych barier w dostępie do legalnej aborcji. Niektóre kobiety, które spełniały przesłanki przeprowadzenia legalnych usług aborcyjnych w Polsce, mimo wszystko decydowały się na wyjazd do innego kraju, aby tam uzyskać dostęp do bezpiecznej i legalnej opieki i uniknąć upokorzeń, opóźnień i ryzyka odmowy świadczenia w szpitalach polskich.</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 xml:space="preserve">Brak wytycznych dla pracowników służby zdrowia i przedstawicieli zawodów medycznych, publicznych kampanii informacyjnych, ulotek dla kobiet chcących skorzystać z legalnej aborcji czy jakichkolwiek innych środków, które zapewniłyby kobietom przystępne informacje na temat tego, jak mogą skorzystać z prawa do legalnej aborcji i gdzie wykonuje się zabiegi aborcji, oznacza, że Polska nie wdrożyła kluczowego wymogu wynikającego z wyroków </w:t>
      </w:r>
      <w:r w:rsidRPr="00CC3534">
        <w:rPr>
          <w:rFonts w:eastAsia="Times New Roman" w:cs="Times New Roman"/>
          <w:sz w:val="24"/>
          <w:szCs w:val="24"/>
          <w:lang w:bidi="en-US"/>
        </w:rPr>
        <w:lastRenderedPageBreak/>
        <w:t>Trybunału i decyzji Komitetu Ministrów.</w:t>
      </w:r>
    </w:p>
    <w:p w:rsidR="00624593" w:rsidRPr="00CC3534" w:rsidRDefault="00624593" w:rsidP="00987EB2">
      <w:pPr>
        <w:keepNext/>
        <w:keepLines/>
        <w:widowControl w:val="0"/>
        <w:numPr>
          <w:ilvl w:val="0"/>
          <w:numId w:val="33"/>
        </w:numPr>
        <w:tabs>
          <w:tab w:val="left" w:pos="355"/>
        </w:tabs>
        <w:spacing w:before="120" w:after="0" w:line="240" w:lineRule="auto"/>
        <w:jc w:val="both"/>
        <w:outlineLvl w:val="1"/>
        <w:rPr>
          <w:rFonts w:eastAsia="Times New Roman" w:cs="Times New Roman"/>
          <w:b/>
          <w:bCs/>
          <w:sz w:val="24"/>
          <w:szCs w:val="24"/>
          <w:lang w:bidi="en-US"/>
        </w:rPr>
      </w:pPr>
      <w:r w:rsidRPr="00CC3534">
        <w:rPr>
          <w:rFonts w:eastAsia="Times New Roman" w:cs="Times New Roman"/>
          <w:b/>
          <w:bCs/>
          <w:sz w:val="24"/>
          <w:szCs w:val="24"/>
          <w:lang w:bidi="en-US"/>
        </w:rPr>
        <w:t>Niewywiązywanie się z umów zawartych z Narodowym Funduszem Zdrowia</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W swoim ostatnim stanowisku Polska ponownie podkreśla, że placówki służby zdrowia są zobowiązane na mocy umów zawartych z Narodowym Funduszem Zdrowia do świadczenia legalnych usług aborcyjnych, a niewywiązywanie się z tych umów może skutkować wszczęciem postępowania wyjaśniającego</w:t>
      </w:r>
      <w:r w:rsidRPr="00CC3534">
        <w:rPr>
          <w:rFonts w:eastAsia="Times New Roman" w:cs="Times New Roman"/>
          <w:sz w:val="24"/>
          <w:szCs w:val="24"/>
          <w:vertAlign w:val="superscript"/>
          <w:lang w:bidi="en-US"/>
        </w:rPr>
        <w:footnoteReference w:id="53"/>
      </w:r>
      <w:r w:rsidRPr="00CC3534">
        <w:rPr>
          <w:rFonts w:eastAsia="Times New Roman" w:cs="Times New Roman"/>
          <w:sz w:val="24"/>
          <w:szCs w:val="24"/>
          <w:lang w:bidi="en-US"/>
        </w:rPr>
        <w:t>. Władze wskazują również, że w 2018 r. do Narodowego Funduszu Zdrowia ani do regionalnych oddziałów NFZ nie wpłynęły żadne informacje dotyczące niewywiązywania się przez placówki służby zdrowia z obowiązków umownych związanych ze świadczeniami aborcyjnymi.</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Z badań przeprowadzonych przez organizacje pozarządowe wynika jednak, że znaczna liczba placówek służby zdrowia nie świadczy legalnych usług aborcyjnych, a tym samym co do zasady narusza swoje zobowiązania umowne wobec Narodowego Funduszu Zdrowia. Przykładowo w 2017 r. legalne aborcje przeprowadzono w zaledwie 45 jednostkach w Polsce, co stanowi zaledwie 9% wszystkich 478 placówek, z którymi Narodowy Fundusz Zdrowia podpisał umowę o świadczenie legalnych usług aborcyjnych</w:t>
      </w:r>
      <w:r w:rsidRPr="00CC3534">
        <w:rPr>
          <w:rFonts w:eastAsia="Times New Roman" w:cs="Times New Roman"/>
          <w:sz w:val="24"/>
          <w:szCs w:val="24"/>
          <w:vertAlign w:val="superscript"/>
          <w:lang w:bidi="en-US"/>
        </w:rPr>
        <w:footnoteReference w:id="54"/>
      </w:r>
      <w:r w:rsidRPr="00CC3534">
        <w:rPr>
          <w:rFonts w:eastAsia="Times New Roman" w:cs="Times New Roman"/>
          <w:sz w:val="24"/>
          <w:szCs w:val="24"/>
          <w:lang w:bidi="en-US"/>
        </w:rPr>
        <w:t>. Państwo nie podjęło jednak żadnych skutecznych środków w celu wprowadzenia mechanizmów monitorowania zapewniających wywiązywanie się z tych umów i gwarantujących, by niedociągnięcia w tym zakresie były usuwane poprzez pociąganie do odpowiedzialności osób odpowiedzialnych.</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Ponadto Narodowy Fundusz Zdrowia wykazał ograniczone zainteresowanie badaniem zgłoszeń dotyczących naruszeń zobowiązań umownych. W 2019 r. Federacja na rzecz Kobiet i Planowania Rodziny wystosowała do Narodowego Funduszu Zdrowia pismo, w którym przedstawiła informacje uzyskane bezpośrednio od szpitali dotyczące dodatkowych barier i wymogów, które wiele szpitali bez żadnej podstawy prawnej nakłada na kobiety chcące skorzystać z legalnej aborcji. Narodowy Fundusz Zdrowia udzielił odpowiedzi, że rozpatruje jedynie skargi od indywidualnych pacjentek</w:t>
      </w:r>
      <w:r w:rsidRPr="00CC3534">
        <w:rPr>
          <w:rFonts w:eastAsia="Times New Roman" w:cs="Times New Roman"/>
          <w:sz w:val="24"/>
          <w:szCs w:val="24"/>
          <w:vertAlign w:val="superscript"/>
          <w:lang w:bidi="en-US"/>
        </w:rPr>
        <w:footnoteReference w:id="55"/>
      </w:r>
      <w:r w:rsidRPr="00CC3534">
        <w:rPr>
          <w:rFonts w:eastAsia="Times New Roman" w:cs="Times New Roman"/>
          <w:sz w:val="24"/>
          <w:szCs w:val="24"/>
          <w:lang w:bidi="en-US"/>
        </w:rPr>
        <w:t>. W 2019 r. Federacja na rzecz Kobiet i Planowania Rodziny złożyła do Narodowego Funduszu Zdrowia indywidualną skargę w imieniu kobiety, której odmówiono legalnej aborcji z powołaniem się na klauzulę sumienia i która nie została skierowana do innego świadczeniodawcy ani innej placówki. Narodowy Fundusz Zdrowia udzielił wówczas odpowiedzi, że nie zajmuje się sprawami dotyczącymi klauzuli sumienia.</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Jak już wcześniej podkreślaliśmy w naszych wystąpieniach</w:t>
      </w:r>
      <w:r w:rsidRPr="00CC3534">
        <w:rPr>
          <w:rFonts w:eastAsia="Times New Roman" w:cs="Times New Roman"/>
          <w:sz w:val="24"/>
          <w:szCs w:val="24"/>
          <w:vertAlign w:val="superscript"/>
          <w:lang w:bidi="en-US"/>
        </w:rPr>
        <w:footnoteReference w:id="56"/>
      </w:r>
      <w:r w:rsidRPr="00CC3534">
        <w:rPr>
          <w:rFonts w:eastAsia="Times New Roman" w:cs="Times New Roman"/>
          <w:sz w:val="24"/>
          <w:szCs w:val="24"/>
          <w:lang w:bidi="en-US"/>
        </w:rPr>
        <w:t xml:space="preserve">, całkowicie bezzasadne i wprowadzające w błąd jest sugerowanie, że kobiety poszukujące pilnego dostępu do legalnej aborcji mogłyby skutecznie złożyć skargę na naruszenia umowne w ramach mechanizmu skorzystania z przysługującego im prawa do aborcji. Możliwość złożenia skargi do Narodowego Funduszu Zdrowia w celu wszczęcia „postępowania wyjaśniającego” w żaden sposób nie stanowi skutecznego środka prawnego dla kobiet chcących skorzystać z prawa do aborcji. Nie </w:t>
      </w:r>
      <w:r w:rsidRPr="00CC3534">
        <w:rPr>
          <w:rFonts w:eastAsia="Times New Roman" w:cs="Times New Roman"/>
          <w:sz w:val="24"/>
          <w:szCs w:val="24"/>
          <w:lang w:bidi="en-US"/>
        </w:rPr>
        <w:lastRenderedPageBreak/>
        <w:t xml:space="preserve">dość, że decyzja o wszczęciu postępowania wyjaśniającego leży całkowicie w gestii Funduszu, to jeszcze postępowanie to może być długotrwałe i będzie prowadzone jedynie </w:t>
      </w:r>
      <w:r w:rsidRPr="00CC3534">
        <w:rPr>
          <w:rFonts w:eastAsia="Times New Roman" w:cs="Times New Roman"/>
          <w:i/>
          <w:iCs/>
          <w:sz w:val="24"/>
          <w:szCs w:val="24"/>
          <w:lang w:bidi="en-US"/>
        </w:rPr>
        <w:t>post factum</w:t>
      </w:r>
      <w:r w:rsidRPr="00CC3534">
        <w:rPr>
          <w:rFonts w:eastAsia="Times New Roman" w:cs="Times New Roman"/>
          <w:sz w:val="24"/>
          <w:szCs w:val="24"/>
          <w:lang w:bidi="en-US"/>
        </w:rPr>
        <w:t>, a jego efektem nie będzie wydanie w odpowiednim terminie decyzji zobowiązującej do przeprowadzenia legalnej aborcji u kobiety czy nastolatki. Tym samym jest ona w sposób oczywisty całkowicie nieskuteczna jako mechanizm, za pomocą którego kobiety i nastolatki mogą egzekwować uprawnienia do legalnych usług aborcyjnych i w odpowiednim czasie i zapobiegawczo</w:t>
      </w:r>
      <w:r w:rsidRPr="00CC3534">
        <w:rPr>
          <w:rFonts w:eastAsia="Times New Roman" w:cs="Times New Roman"/>
          <w:sz w:val="24"/>
          <w:szCs w:val="24"/>
          <w:vertAlign w:val="superscript"/>
          <w:lang w:bidi="en-US"/>
        </w:rPr>
        <w:footnoteReference w:id="57"/>
      </w:r>
      <w:r w:rsidRPr="00CC3534">
        <w:rPr>
          <w:rFonts w:eastAsia="Times New Roman" w:cs="Times New Roman"/>
          <w:sz w:val="24"/>
          <w:szCs w:val="24"/>
          <w:lang w:bidi="en-US"/>
        </w:rPr>
        <w:t>.</w:t>
      </w:r>
    </w:p>
    <w:p w:rsidR="00624593" w:rsidRPr="00CC3534" w:rsidRDefault="00624593" w:rsidP="00987EB2">
      <w:pPr>
        <w:keepNext/>
        <w:keepLines/>
        <w:widowControl w:val="0"/>
        <w:numPr>
          <w:ilvl w:val="0"/>
          <w:numId w:val="33"/>
        </w:numPr>
        <w:tabs>
          <w:tab w:val="left" w:pos="355"/>
        </w:tabs>
        <w:spacing w:before="120" w:after="0" w:line="240" w:lineRule="auto"/>
        <w:jc w:val="both"/>
        <w:outlineLvl w:val="1"/>
        <w:rPr>
          <w:rFonts w:eastAsia="Times New Roman" w:cs="Times New Roman"/>
          <w:b/>
          <w:bCs/>
          <w:sz w:val="24"/>
          <w:szCs w:val="24"/>
          <w:lang w:bidi="en-US"/>
        </w:rPr>
      </w:pPr>
      <w:r w:rsidRPr="00CC3534">
        <w:rPr>
          <w:rFonts w:eastAsia="Times New Roman" w:cs="Times New Roman"/>
          <w:b/>
          <w:bCs/>
          <w:sz w:val="24"/>
          <w:szCs w:val="24"/>
          <w:lang w:bidi="en-US"/>
        </w:rPr>
        <w:t>Zapewnienie poszanowania poufności danych pacjenta</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W swoich ostatnich wystąpieniach Polska odnosi się do istniejących ram prawnych dotyczących ochrony poufności danych pacjentów oraz procesu akredytacji, który ma zapewnić, by pracownicy służby zdrowia i placówki medyczne działały zgodnie z ustalonymi normami</w:t>
      </w:r>
      <w:r w:rsidRPr="00CC3534">
        <w:rPr>
          <w:rFonts w:eastAsia="Times New Roman" w:cs="Times New Roman"/>
          <w:sz w:val="24"/>
          <w:szCs w:val="24"/>
          <w:vertAlign w:val="superscript"/>
          <w:lang w:bidi="en-US"/>
        </w:rPr>
        <w:footnoteReference w:id="58"/>
      </w:r>
      <w:r w:rsidRPr="00CC3534">
        <w:rPr>
          <w:rFonts w:eastAsia="Times New Roman" w:cs="Times New Roman"/>
          <w:sz w:val="24"/>
          <w:szCs w:val="24"/>
          <w:lang w:bidi="en-US"/>
        </w:rPr>
        <w:t>. Przedstawia również programy szkoleniowe dla pracowników służby zdrowia w zakresie praw pacjenta, w tym dla osób specjalizujących się w położnictwie i ginekologii</w:t>
      </w:r>
      <w:r w:rsidRPr="00CC3534">
        <w:rPr>
          <w:rFonts w:eastAsia="Times New Roman" w:cs="Times New Roman"/>
          <w:sz w:val="24"/>
          <w:szCs w:val="24"/>
          <w:vertAlign w:val="superscript"/>
          <w:lang w:bidi="en-US"/>
        </w:rPr>
        <w:footnoteReference w:id="59"/>
      </w:r>
      <w:r w:rsidRPr="00CC3534">
        <w:rPr>
          <w:rFonts w:eastAsia="Times New Roman" w:cs="Times New Roman"/>
          <w:sz w:val="24"/>
          <w:szCs w:val="24"/>
          <w:lang w:bidi="en-US"/>
        </w:rPr>
        <w:t xml:space="preserve">. Państwo ponownie twierdzi, że naruszenia poufności danych pacjentów w sprawie </w:t>
      </w:r>
      <w:r w:rsidRPr="00CC3534">
        <w:rPr>
          <w:rFonts w:eastAsia="Times New Roman" w:cs="Times New Roman"/>
          <w:i/>
          <w:iCs/>
          <w:sz w:val="24"/>
          <w:szCs w:val="24"/>
          <w:lang w:bidi="en-US"/>
        </w:rPr>
        <w:t>P. i S.</w:t>
      </w:r>
      <w:r w:rsidRPr="00CC3534">
        <w:rPr>
          <w:rFonts w:eastAsia="Times New Roman" w:cs="Times New Roman"/>
          <w:sz w:val="24"/>
          <w:szCs w:val="24"/>
          <w:lang w:bidi="en-US"/>
        </w:rPr>
        <w:t xml:space="preserve"> miały charakter incydentalny i były spowodowane czynnikiem ludzkim</w:t>
      </w:r>
      <w:r w:rsidRPr="00CC3534">
        <w:rPr>
          <w:rFonts w:eastAsia="Times New Roman" w:cs="Times New Roman"/>
          <w:sz w:val="24"/>
          <w:szCs w:val="24"/>
          <w:vertAlign w:val="superscript"/>
          <w:lang w:bidi="en-US"/>
        </w:rPr>
        <w:footnoteReference w:id="60"/>
      </w:r>
      <w:r w:rsidRPr="00CC3534">
        <w:rPr>
          <w:rFonts w:eastAsia="Times New Roman" w:cs="Times New Roman"/>
          <w:sz w:val="24"/>
          <w:szCs w:val="24"/>
          <w:lang w:bidi="en-US"/>
        </w:rPr>
        <w:t>.</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Jednakże w swoim stanowisku Polska ponownie nie odniosła się do podstawowych przyczyn braku poszanowania przez pracowników medycznych przepisów prawa dotyczących poufności w sprawie</w:t>
      </w:r>
      <w:r w:rsidRPr="00CC3534">
        <w:rPr>
          <w:rFonts w:eastAsia="Times New Roman" w:cs="Times New Roman"/>
          <w:i/>
          <w:iCs/>
          <w:sz w:val="24"/>
          <w:szCs w:val="24"/>
          <w:lang w:bidi="en-US"/>
        </w:rPr>
        <w:t xml:space="preserve"> P. i S.</w:t>
      </w:r>
      <w:r w:rsidRPr="00CC3534">
        <w:rPr>
          <w:rFonts w:eastAsia="Times New Roman" w:cs="Times New Roman"/>
          <w:sz w:val="24"/>
          <w:szCs w:val="24"/>
          <w:lang w:bidi="en-US"/>
        </w:rPr>
        <w:t>, a państwo nie podjęło żadnych środków w celu dochodzenia odpowiedzialności za te naruszenia lub naprawienia poważnych uchybień w zakresie nadzoru i egzekwowania prawa, które doprowadziły do naruszeń tajemnicy lekarskiej w tej sprawie. Pomimo powagi naruszeń w zakresie poufności danych pacjentów w tej sprawie nie podjęto żadnych środków w celu pociągnięcia do odpowiedzialności osób odpowiedzialnych lub zapobieżenia podobnym naruszeniom w przyszłości. W rzeczywistości postępowanie w sprawie naruszenia tajemnicy lekarskiej zostało umorzone z powodu niemożności ustalenia przez władze okoliczności towarzyszących temu naruszeniu oraz ustalenia osób za nie odpowiedzialnych</w:t>
      </w:r>
      <w:r w:rsidRPr="00CC3534">
        <w:rPr>
          <w:rFonts w:eastAsia="Times New Roman" w:cs="Times New Roman"/>
          <w:sz w:val="24"/>
          <w:szCs w:val="24"/>
          <w:vertAlign w:val="superscript"/>
          <w:lang w:bidi="en-US"/>
        </w:rPr>
        <w:footnoteReference w:id="61"/>
      </w:r>
      <w:r w:rsidRPr="00CC3534">
        <w:rPr>
          <w:rFonts w:eastAsia="Times New Roman" w:cs="Times New Roman"/>
          <w:sz w:val="24"/>
          <w:szCs w:val="24"/>
          <w:lang w:bidi="en-US"/>
        </w:rPr>
        <w:t>. Ponadto nie wprowadzono żadnych ukierunkowanych programów szkoleniowych ani innych środków zapobiegawczych, aby zapobiec podobnym naruszeniom w przyszłości.</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W swojej ostatniej decyzji Komitet Ministrów wezwał władze polskie do przyjęcia środków mających na celu zwiększenie skuteczności wdrażania istniejących mechanizmów ochrony poufności danych pacjentów. Tymczasem władze polskie do dnia dzisiejszego nie przyjęły takich środków.</w:t>
      </w:r>
    </w:p>
    <w:p w:rsidR="00624593" w:rsidRPr="00CC3534" w:rsidRDefault="00624593" w:rsidP="00987EB2">
      <w:pPr>
        <w:keepNext/>
        <w:keepLines/>
        <w:widowControl w:val="0"/>
        <w:numPr>
          <w:ilvl w:val="0"/>
          <w:numId w:val="33"/>
        </w:numPr>
        <w:tabs>
          <w:tab w:val="left" w:pos="355"/>
        </w:tabs>
        <w:spacing w:before="120" w:after="0" w:line="240" w:lineRule="auto"/>
        <w:jc w:val="both"/>
        <w:outlineLvl w:val="1"/>
        <w:rPr>
          <w:rFonts w:eastAsia="Times New Roman" w:cs="Times New Roman"/>
          <w:b/>
          <w:bCs/>
          <w:sz w:val="24"/>
          <w:szCs w:val="24"/>
          <w:lang w:bidi="en-US"/>
        </w:rPr>
      </w:pPr>
      <w:r w:rsidRPr="00CC3534">
        <w:rPr>
          <w:rFonts w:eastAsia="Times New Roman" w:cs="Times New Roman"/>
          <w:b/>
          <w:bCs/>
          <w:sz w:val="24"/>
          <w:szCs w:val="24"/>
          <w:lang w:bidi="en-US"/>
        </w:rPr>
        <w:t>Zapewnienie nastolatkom chcącym skorzystać z legalnych usług aborcyjnych traktowania z szacunkiem</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 xml:space="preserve">W wyroku w sprawie </w:t>
      </w:r>
      <w:r w:rsidRPr="00CC3534">
        <w:rPr>
          <w:rFonts w:eastAsia="Times New Roman" w:cs="Times New Roman"/>
          <w:i/>
          <w:iCs/>
          <w:sz w:val="24"/>
          <w:szCs w:val="24"/>
          <w:lang w:bidi="en-US"/>
        </w:rPr>
        <w:t xml:space="preserve">P. i S. </w:t>
      </w:r>
      <w:r w:rsidRPr="00CC3534">
        <w:rPr>
          <w:rFonts w:eastAsia="Times New Roman" w:cs="Times New Roman"/>
          <w:sz w:val="24"/>
          <w:szCs w:val="24"/>
          <w:lang w:bidi="en-US"/>
        </w:rPr>
        <w:t xml:space="preserve">Trybunał uznał, że „nie uwzględniono w należyty sposób </w:t>
      </w:r>
      <w:r w:rsidRPr="00CC3534">
        <w:rPr>
          <w:rFonts w:eastAsia="Times New Roman" w:cs="Times New Roman"/>
          <w:sz w:val="24"/>
          <w:szCs w:val="24"/>
          <w:lang w:bidi="en-US"/>
        </w:rPr>
        <w:lastRenderedPageBreak/>
        <w:t>wrażliwości i młodego wieku pierwszej skarżącej oraz jej własnych poglądów i uczuć”</w:t>
      </w:r>
      <w:r w:rsidRPr="00CC3534">
        <w:rPr>
          <w:rFonts w:eastAsia="Times New Roman" w:cs="Times New Roman"/>
          <w:sz w:val="24"/>
          <w:szCs w:val="24"/>
          <w:vertAlign w:val="superscript"/>
          <w:lang w:bidi="en-US"/>
        </w:rPr>
        <w:footnoteReference w:id="62"/>
      </w:r>
      <w:r w:rsidRPr="00CC3534">
        <w:rPr>
          <w:rFonts w:eastAsia="Times New Roman" w:cs="Times New Roman"/>
          <w:sz w:val="24"/>
          <w:szCs w:val="24"/>
          <w:lang w:bidi="en-US"/>
        </w:rPr>
        <w:t xml:space="preserve"> oraz że „pierwsza skarżąca była traktowana przez władze w sposób godny ubolewania, a jej cierpienie osiągnęło minimalny próg dotkliwości zgodnie z art. 3 Konwencji”</w:t>
      </w:r>
      <w:r w:rsidRPr="00CC3534">
        <w:rPr>
          <w:rFonts w:eastAsia="Times New Roman" w:cs="Times New Roman"/>
          <w:sz w:val="24"/>
          <w:szCs w:val="24"/>
          <w:vertAlign w:val="superscript"/>
          <w:lang w:bidi="en-US"/>
        </w:rPr>
        <w:footnoteReference w:id="63"/>
      </w:r>
      <w:r w:rsidRPr="00CC3534">
        <w:rPr>
          <w:rFonts w:eastAsia="Times New Roman" w:cs="Times New Roman"/>
          <w:sz w:val="24"/>
          <w:szCs w:val="24"/>
          <w:lang w:bidi="en-US"/>
        </w:rPr>
        <w:t>.</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W swoim ostatnim stanowisku Polska ponownie przedstawiła istniejące regulacje prawne dotyczące dostępu nastolatków do legalnych usług i informacji w zakresie zdrowia reprodukcyjnego, jak również istniejące obowiązki zawodowe podmiotów świadczących usługi zdrowotne w zakresie traktowania swoich pacjentów z szacunkiem. Przekazała również informacje dotyczące konsultacji w zakresie położnictwa i ginekologii udzielanych pacjentkom poniżej 18 roku życia</w:t>
      </w:r>
      <w:r w:rsidRPr="00CC3534">
        <w:rPr>
          <w:rFonts w:eastAsia="Times New Roman" w:cs="Times New Roman"/>
          <w:sz w:val="24"/>
          <w:szCs w:val="24"/>
          <w:vertAlign w:val="superscript"/>
          <w:lang w:bidi="en-US"/>
        </w:rPr>
        <w:footnoteReference w:id="64"/>
      </w:r>
      <w:r w:rsidRPr="00CC3534">
        <w:rPr>
          <w:rFonts w:eastAsia="Times New Roman" w:cs="Times New Roman"/>
          <w:sz w:val="24"/>
          <w:szCs w:val="24"/>
          <w:lang w:bidi="en-US"/>
        </w:rPr>
        <w:t>.</w:t>
      </w: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Nie przekazano jednak żadnych informacji na temat środków przyjętych lub planowanych w celu konkretnego zajęcia się sytuacją i potrzebami nastolatek chcących skorzystać z legalnej aborcji, które znalazły się w szczególnie trudnej sytuacji. Wymaga to przyjęcia ukierunkowanych i konkretnych środków, w tym wytycznych i programów szkoleniowych dla pracowników służby zdrowia.</w:t>
      </w:r>
    </w:p>
    <w:p w:rsidR="009552FD"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t>Ponadto należy zauważyć, że zamiast przyjęcia pozytywnych środków w celu uwzględnienia szczególnej sytuacji i potrzeb nastolatków, polskie władze rozważają obecnie przyjęcie regresywnych środków, które zagroziłyby dostępowi nastolatków do informacji i edukacji w zakresie zdrowia reprodukcyjnego. Obecnie Sejm RP rozpatruje projekt ustawy „Stop pedofilii”</w:t>
      </w:r>
      <w:r w:rsidRPr="00CC3534">
        <w:rPr>
          <w:rFonts w:eastAsia="Times New Roman" w:cs="Times New Roman"/>
          <w:sz w:val="24"/>
          <w:szCs w:val="24"/>
          <w:vertAlign w:val="superscript"/>
          <w:lang w:bidi="en-US"/>
        </w:rPr>
        <w:footnoteReference w:id="65"/>
      </w:r>
      <w:r w:rsidRPr="00CC3534">
        <w:rPr>
          <w:rFonts w:eastAsia="Times New Roman" w:cs="Times New Roman"/>
          <w:sz w:val="24"/>
          <w:szCs w:val="24"/>
          <w:lang w:bidi="en-US"/>
        </w:rPr>
        <w:t>. Projekt ustawy powstał z inicjatywy obywatelskiej prowadzonej przez „Pro – Prawo do Życia” i proponuje nowelizację art. 200b Kodeksu karnego</w:t>
      </w:r>
      <w:r w:rsidRPr="00CC3534">
        <w:rPr>
          <w:rFonts w:eastAsia="Times New Roman" w:cs="Times New Roman"/>
          <w:sz w:val="24"/>
          <w:szCs w:val="24"/>
          <w:vertAlign w:val="superscript"/>
          <w:lang w:bidi="en-US"/>
        </w:rPr>
        <w:footnoteReference w:id="66"/>
      </w:r>
      <w:r w:rsidRPr="00CC3534">
        <w:rPr>
          <w:rFonts w:eastAsia="Times New Roman" w:cs="Times New Roman"/>
          <w:sz w:val="24"/>
          <w:szCs w:val="24"/>
          <w:lang w:bidi="en-US"/>
        </w:rPr>
        <w:t>. Projekt ustawy ma na celu zakazanie „demoralizacji i seksualizacji dzieci”</w:t>
      </w:r>
      <w:r w:rsidRPr="00CC3534">
        <w:rPr>
          <w:rFonts w:eastAsia="Times New Roman" w:cs="Times New Roman"/>
          <w:sz w:val="24"/>
          <w:szCs w:val="24"/>
          <w:vertAlign w:val="superscript"/>
          <w:lang w:bidi="en-US"/>
        </w:rPr>
        <w:footnoteReference w:id="67"/>
      </w:r>
      <w:r w:rsidRPr="00CC3534">
        <w:rPr>
          <w:rFonts w:eastAsia="Times New Roman" w:cs="Times New Roman"/>
          <w:sz w:val="24"/>
          <w:szCs w:val="24"/>
          <w:lang w:bidi="en-US"/>
        </w:rPr>
        <w:t>. Zgodnie z projektem nowelizacji wszystkim osobom – lekarzom, wychowawcom, nauczycielom, pracownikom służby zdrowia – zajmującym się prowadzeniem jakiejkolwiek formy edukacji seksualnej lub udzielaniem informacji na temat zdrowia seksualnego i reprodukcyjnego młodzieży grozi kara trzech lat pozbawienia wolności. W przypadku przyjęcia projektu nowelizacja pozbawi nastolatków dostępu do informacji i edukacji na temat ich seksualności i może jeszcze bardziej ograniczyć ich dostęp do informacji i usług w zakresie zdrowia seksualnego i reprodukcyjnego.</w:t>
      </w:r>
      <w:r w:rsidR="009552FD" w:rsidRPr="00CC3534">
        <w:rPr>
          <w:rFonts w:eastAsia="Times New Roman" w:cs="Times New Roman"/>
          <w:sz w:val="24"/>
          <w:szCs w:val="24"/>
          <w:lang w:bidi="en-US"/>
        </w:rPr>
        <w:t xml:space="preserve"> </w:t>
      </w:r>
    </w:p>
    <w:p w:rsidR="00A90CCD" w:rsidRDefault="00A90CCD" w:rsidP="00CC3534">
      <w:pPr>
        <w:widowControl w:val="0"/>
        <w:spacing w:before="120" w:after="0" w:line="240" w:lineRule="auto"/>
        <w:jc w:val="both"/>
        <w:rPr>
          <w:rFonts w:eastAsia="Times New Roman" w:cs="Times New Roman"/>
          <w:sz w:val="24"/>
          <w:szCs w:val="24"/>
          <w:lang w:bidi="en-US"/>
        </w:rPr>
      </w:pPr>
    </w:p>
    <w:p w:rsidR="00624593" w:rsidRPr="00CC3534" w:rsidRDefault="00624593" w:rsidP="00CC3534">
      <w:pPr>
        <w:widowControl w:val="0"/>
        <w:spacing w:before="120" w:after="0" w:line="240" w:lineRule="auto"/>
        <w:jc w:val="both"/>
        <w:rPr>
          <w:rFonts w:eastAsia="Times New Roman" w:cs="Times New Roman"/>
          <w:sz w:val="24"/>
          <w:szCs w:val="24"/>
          <w:lang w:bidi="en-US"/>
        </w:rPr>
      </w:pPr>
      <w:r w:rsidRPr="00CC3534">
        <w:rPr>
          <w:rFonts w:eastAsia="Times New Roman" w:cs="Times New Roman"/>
          <w:sz w:val="24"/>
          <w:szCs w:val="24"/>
          <w:lang w:bidi="en-US"/>
        </w:rPr>
        <w:lastRenderedPageBreak/>
        <w:t>Załącznik 1</w:t>
      </w:r>
    </w:p>
    <w:p w:rsidR="00624593" w:rsidRPr="00CC3534" w:rsidRDefault="00624593" w:rsidP="007A3194">
      <w:pPr>
        <w:rPr>
          <w:rFonts w:eastAsia="Times New Roman" w:cs="Times New Roman"/>
          <w:b/>
          <w:bCs/>
          <w:sz w:val="24"/>
          <w:szCs w:val="24"/>
          <w:lang w:bidi="en-US"/>
        </w:rPr>
      </w:pPr>
      <w:r w:rsidRPr="00CC3534">
        <w:rPr>
          <w:rFonts w:eastAsia="Times New Roman" w:cs="Times New Roman"/>
          <w:b/>
          <w:bCs/>
          <w:sz w:val="24"/>
          <w:szCs w:val="24"/>
          <w:lang w:bidi="en-US"/>
        </w:rPr>
        <w:t>Oficjalne dane statystyczne dotyczące legalnych aborcji w latach 1993 - 2018 według wskazań do aborcji</w:t>
      </w:r>
      <w:r w:rsidRPr="00CC3534">
        <w:rPr>
          <w:rFonts w:eastAsia="Times New Roman" w:cs="Times New Roman"/>
          <w:sz w:val="24"/>
          <w:szCs w:val="24"/>
          <w:vertAlign w:val="superscript"/>
          <w:lang w:bidi="en-US"/>
        </w:rPr>
        <w:footnoteReference w:id="68"/>
      </w:r>
    </w:p>
    <w:tbl>
      <w:tblPr>
        <w:tblOverlap w:val="never"/>
        <w:tblW w:w="0" w:type="auto"/>
        <w:jc w:val="center"/>
        <w:tblLayout w:type="fixed"/>
        <w:tblCellMar>
          <w:left w:w="10" w:type="dxa"/>
          <w:right w:w="10" w:type="dxa"/>
        </w:tblCellMar>
        <w:tblLook w:val="0000" w:firstRow="0" w:lastRow="0" w:firstColumn="0" w:lastColumn="0" w:noHBand="0" w:noVBand="0"/>
      </w:tblPr>
      <w:tblGrid>
        <w:gridCol w:w="1282"/>
        <w:gridCol w:w="1560"/>
        <w:gridCol w:w="1421"/>
        <w:gridCol w:w="1349"/>
        <w:gridCol w:w="1531"/>
        <w:gridCol w:w="1541"/>
      </w:tblGrid>
      <w:tr w:rsidR="00624593" w:rsidRPr="00CC3534" w:rsidTr="00253219">
        <w:trPr>
          <w:trHeight w:hRule="exact" w:val="269"/>
          <w:jc w:val="center"/>
        </w:trPr>
        <w:tc>
          <w:tcPr>
            <w:tcW w:w="1282" w:type="dxa"/>
            <w:tcBorders>
              <w:top w:val="single" w:sz="4" w:space="0" w:color="auto"/>
              <w:left w:val="single" w:sz="4" w:space="0" w:color="auto"/>
            </w:tcBorders>
            <w:shd w:val="clear" w:color="auto" w:fill="DEEAF6"/>
            <w:vAlign w:val="bottom"/>
          </w:tcPr>
          <w:p w:rsidR="00624593" w:rsidRPr="00CC3534" w:rsidRDefault="00624593" w:rsidP="00CC3534">
            <w:pPr>
              <w:widowControl w:val="0"/>
              <w:spacing w:after="0" w:line="240" w:lineRule="auto"/>
              <w:jc w:val="center"/>
              <w:rPr>
                <w:rFonts w:eastAsia="Times New Roman" w:cs="Times New Roman"/>
                <w:b/>
                <w:sz w:val="20"/>
                <w:szCs w:val="20"/>
                <w:lang w:bidi="en-US"/>
              </w:rPr>
            </w:pPr>
            <w:r w:rsidRPr="00CC3534">
              <w:rPr>
                <w:rFonts w:eastAsia="Times New Roman" w:cs="Times New Roman"/>
                <w:b/>
                <w:bCs/>
                <w:sz w:val="20"/>
                <w:szCs w:val="20"/>
                <w:lang w:bidi="en-US"/>
              </w:rPr>
              <w:t>Rok</w:t>
            </w:r>
          </w:p>
        </w:tc>
        <w:tc>
          <w:tcPr>
            <w:tcW w:w="1560" w:type="dxa"/>
            <w:tcBorders>
              <w:top w:val="single" w:sz="4" w:space="0" w:color="auto"/>
              <w:left w:val="single" w:sz="4" w:space="0" w:color="auto"/>
            </w:tcBorders>
            <w:shd w:val="clear" w:color="auto" w:fill="DEEAF6"/>
            <w:vAlign w:val="bottom"/>
          </w:tcPr>
          <w:p w:rsidR="00624593" w:rsidRPr="00CC3534" w:rsidRDefault="00624593" w:rsidP="00CC3534">
            <w:pPr>
              <w:widowControl w:val="0"/>
              <w:spacing w:after="0" w:line="240" w:lineRule="auto"/>
              <w:jc w:val="center"/>
              <w:rPr>
                <w:rFonts w:eastAsia="Times New Roman" w:cs="Times New Roman"/>
                <w:b/>
                <w:sz w:val="20"/>
                <w:szCs w:val="20"/>
                <w:lang w:bidi="en-US"/>
              </w:rPr>
            </w:pPr>
            <w:r w:rsidRPr="00CC3534">
              <w:rPr>
                <w:rFonts w:eastAsia="Times New Roman" w:cs="Times New Roman"/>
                <w:b/>
                <w:bCs/>
                <w:sz w:val="20"/>
                <w:szCs w:val="20"/>
                <w:lang w:bidi="en-US"/>
              </w:rPr>
              <w:t>Ogółem</w:t>
            </w:r>
          </w:p>
        </w:tc>
        <w:tc>
          <w:tcPr>
            <w:tcW w:w="5842" w:type="dxa"/>
            <w:gridSpan w:val="4"/>
            <w:tcBorders>
              <w:top w:val="single" w:sz="4" w:space="0" w:color="auto"/>
              <w:left w:val="single" w:sz="4" w:space="0" w:color="auto"/>
              <w:right w:val="single" w:sz="4" w:space="0" w:color="auto"/>
            </w:tcBorders>
            <w:shd w:val="clear" w:color="auto" w:fill="DEEAF6"/>
            <w:vAlign w:val="bottom"/>
          </w:tcPr>
          <w:p w:rsidR="00624593" w:rsidRPr="00CC3534" w:rsidRDefault="00624593" w:rsidP="00CC3534">
            <w:pPr>
              <w:widowControl w:val="0"/>
              <w:spacing w:after="0" w:line="240" w:lineRule="auto"/>
              <w:jc w:val="center"/>
              <w:rPr>
                <w:rFonts w:eastAsia="Times New Roman" w:cs="Times New Roman"/>
                <w:b/>
                <w:sz w:val="20"/>
                <w:szCs w:val="20"/>
                <w:lang w:bidi="en-US"/>
              </w:rPr>
            </w:pPr>
            <w:r w:rsidRPr="00CC3534">
              <w:rPr>
                <w:rFonts w:eastAsia="Times New Roman" w:cs="Times New Roman"/>
                <w:b/>
                <w:bCs/>
                <w:sz w:val="20"/>
                <w:szCs w:val="20"/>
                <w:lang w:bidi="en-US"/>
              </w:rPr>
              <w:t>Przyczyny legalnej aborcji</w:t>
            </w:r>
          </w:p>
        </w:tc>
      </w:tr>
      <w:tr w:rsidR="00624593" w:rsidRPr="00CC3534" w:rsidTr="00253219">
        <w:trPr>
          <w:trHeight w:hRule="exact" w:val="1022"/>
          <w:jc w:val="center"/>
        </w:trPr>
        <w:tc>
          <w:tcPr>
            <w:tcW w:w="1282" w:type="dxa"/>
            <w:tcBorders>
              <w:top w:val="single" w:sz="4" w:space="0" w:color="auto"/>
              <w:left w:val="single" w:sz="4" w:space="0" w:color="auto"/>
            </w:tcBorders>
            <w:shd w:val="clear" w:color="auto" w:fill="FFFFFF"/>
          </w:tcPr>
          <w:p w:rsidR="00624593" w:rsidRPr="00CC3534" w:rsidRDefault="00624593" w:rsidP="00CC3534">
            <w:pPr>
              <w:widowControl w:val="0"/>
              <w:spacing w:after="0" w:line="240" w:lineRule="auto"/>
              <w:jc w:val="center"/>
              <w:rPr>
                <w:rFonts w:eastAsia="Arial Unicode MS" w:cs="Arial Unicode MS"/>
                <w:b/>
                <w:color w:val="000000"/>
                <w:sz w:val="20"/>
                <w:szCs w:val="20"/>
                <w:lang w:bidi="en-US"/>
              </w:rPr>
            </w:pPr>
          </w:p>
        </w:tc>
        <w:tc>
          <w:tcPr>
            <w:tcW w:w="1560" w:type="dxa"/>
            <w:tcBorders>
              <w:top w:val="single" w:sz="4" w:space="0" w:color="auto"/>
              <w:left w:val="single" w:sz="4" w:space="0" w:color="auto"/>
            </w:tcBorders>
            <w:shd w:val="clear" w:color="auto" w:fill="FFFFFF"/>
          </w:tcPr>
          <w:p w:rsidR="00624593" w:rsidRPr="00CC3534" w:rsidRDefault="00624593" w:rsidP="00CC3534">
            <w:pPr>
              <w:widowControl w:val="0"/>
              <w:spacing w:after="0" w:line="240" w:lineRule="auto"/>
              <w:jc w:val="center"/>
              <w:rPr>
                <w:rFonts w:eastAsia="Arial Unicode MS" w:cs="Arial Unicode MS"/>
                <w:b/>
                <w:color w:val="000000"/>
                <w:sz w:val="20"/>
                <w:szCs w:val="20"/>
                <w:lang w:bidi="en-US"/>
              </w:rPr>
            </w:pPr>
          </w:p>
        </w:tc>
        <w:tc>
          <w:tcPr>
            <w:tcW w:w="1421" w:type="dxa"/>
            <w:tcBorders>
              <w:top w:val="single" w:sz="4" w:space="0" w:color="auto"/>
              <w:left w:val="single" w:sz="4" w:space="0" w:color="auto"/>
            </w:tcBorders>
            <w:shd w:val="clear" w:color="auto" w:fill="FFFFFF"/>
          </w:tcPr>
          <w:p w:rsidR="00624593" w:rsidRPr="00CC3534" w:rsidRDefault="00624593" w:rsidP="00CC3534">
            <w:pPr>
              <w:widowControl w:val="0"/>
              <w:spacing w:after="0" w:line="240" w:lineRule="auto"/>
              <w:jc w:val="center"/>
              <w:rPr>
                <w:rFonts w:eastAsia="Times New Roman" w:cs="Times New Roman"/>
                <w:b/>
                <w:sz w:val="20"/>
                <w:szCs w:val="20"/>
                <w:lang w:bidi="en-US"/>
              </w:rPr>
            </w:pPr>
            <w:r w:rsidRPr="00CC3534">
              <w:rPr>
                <w:rFonts w:eastAsia="Times New Roman" w:cs="Times New Roman"/>
                <w:b/>
                <w:sz w:val="20"/>
                <w:szCs w:val="20"/>
                <w:lang w:bidi="en-US"/>
              </w:rPr>
              <w:t>Przyczyny społeczne</w:t>
            </w:r>
          </w:p>
        </w:tc>
        <w:tc>
          <w:tcPr>
            <w:tcW w:w="1349" w:type="dxa"/>
            <w:tcBorders>
              <w:top w:val="single" w:sz="4" w:space="0" w:color="auto"/>
              <w:left w:val="single" w:sz="4" w:space="0" w:color="auto"/>
            </w:tcBorders>
            <w:shd w:val="clear" w:color="auto" w:fill="FFFFFF"/>
            <w:vAlign w:val="bottom"/>
          </w:tcPr>
          <w:p w:rsidR="00624593" w:rsidRPr="00CC3534" w:rsidRDefault="00624593" w:rsidP="00CC3534">
            <w:pPr>
              <w:widowControl w:val="0"/>
              <w:tabs>
                <w:tab w:val="left" w:pos="840"/>
              </w:tabs>
              <w:spacing w:after="0" w:line="240" w:lineRule="auto"/>
              <w:jc w:val="center"/>
              <w:rPr>
                <w:rFonts w:eastAsia="Times New Roman" w:cs="Times New Roman"/>
                <w:b/>
                <w:sz w:val="20"/>
                <w:szCs w:val="20"/>
                <w:lang w:bidi="en-US"/>
              </w:rPr>
            </w:pPr>
            <w:r w:rsidRPr="00CC3534">
              <w:rPr>
                <w:rFonts w:eastAsia="Times New Roman" w:cs="Times New Roman"/>
                <w:b/>
                <w:sz w:val="20"/>
                <w:szCs w:val="20"/>
                <w:lang w:bidi="en-US"/>
              </w:rPr>
              <w:t>Zagrożenie życia</w:t>
            </w:r>
          </w:p>
          <w:p w:rsidR="00624593" w:rsidRPr="00CC3534" w:rsidRDefault="00624593" w:rsidP="00CC3534">
            <w:pPr>
              <w:widowControl w:val="0"/>
              <w:spacing w:after="0" w:line="240" w:lineRule="auto"/>
              <w:jc w:val="center"/>
              <w:rPr>
                <w:rFonts w:eastAsia="Times New Roman" w:cs="Times New Roman"/>
                <w:b/>
                <w:sz w:val="20"/>
                <w:szCs w:val="20"/>
                <w:lang w:bidi="en-US"/>
              </w:rPr>
            </w:pPr>
            <w:r w:rsidRPr="00CC3534">
              <w:rPr>
                <w:rFonts w:eastAsia="Times New Roman" w:cs="Times New Roman"/>
                <w:b/>
                <w:sz w:val="20"/>
                <w:szCs w:val="20"/>
                <w:lang w:bidi="en-US"/>
              </w:rPr>
              <w:t>lub zdrowia kobiety</w:t>
            </w:r>
          </w:p>
        </w:tc>
        <w:tc>
          <w:tcPr>
            <w:tcW w:w="1531" w:type="dxa"/>
            <w:tcBorders>
              <w:top w:val="single" w:sz="4" w:space="0" w:color="auto"/>
              <w:left w:val="single" w:sz="4" w:space="0" w:color="auto"/>
            </w:tcBorders>
            <w:shd w:val="clear" w:color="auto" w:fill="FFFFFF"/>
          </w:tcPr>
          <w:p w:rsidR="00CC3534" w:rsidRDefault="00CC3534" w:rsidP="00CC3534">
            <w:pPr>
              <w:widowControl w:val="0"/>
              <w:spacing w:after="0" w:line="240" w:lineRule="auto"/>
              <w:jc w:val="center"/>
              <w:rPr>
                <w:rFonts w:eastAsia="Times New Roman" w:cs="Times New Roman"/>
                <w:b/>
                <w:sz w:val="20"/>
                <w:szCs w:val="20"/>
                <w:lang w:bidi="en-US"/>
              </w:rPr>
            </w:pPr>
          </w:p>
          <w:p w:rsidR="00624593" w:rsidRPr="00CC3534" w:rsidRDefault="00624593" w:rsidP="00CC3534">
            <w:pPr>
              <w:widowControl w:val="0"/>
              <w:spacing w:after="0" w:line="240" w:lineRule="auto"/>
              <w:jc w:val="center"/>
              <w:rPr>
                <w:rFonts w:eastAsia="Times New Roman" w:cs="Times New Roman"/>
                <w:b/>
                <w:sz w:val="20"/>
                <w:szCs w:val="20"/>
                <w:lang w:bidi="en-US"/>
              </w:rPr>
            </w:pPr>
            <w:r w:rsidRPr="00CC3534">
              <w:rPr>
                <w:rFonts w:eastAsia="Times New Roman" w:cs="Times New Roman"/>
                <w:b/>
                <w:sz w:val="20"/>
                <w:szCs w:val="20"/>
                <w:lang w:bidi="en-US"/>
              </w:rPr>
              <w:t>Poważne upośledzenie płodu</w:t>
            </w:r>
          </w:p>
        </w:tc>
        <w:tc>
          <w:tcPr>
            <w:tcW w:w="1541" w:type="dxa"/>
            <w:tcBorders>
              <w:top w:val="single" w:sz="4" w:space="0" w:color="auto"/>
              <w:left w:val="single" w:sz="4" w:space="0" w:color="auto"/>
              <w:right w:val="single" w:sz="4" w:space="0" w:color="auto"/>
            </w:tcBorders>
            <w:shd w:val="clear" w:color="auto" w:fill="FFFFFF"/>
            <w:vAlign w:val="bottom"/>
          </w:tcPr>
          <w:p w:rsidR="00624593" w:rsidRPr="00CC3534" w:rsidRDefault="00624593" w:rsidP="00CC3534">
            <w:pPr>
              <w:widowControl w:val="0"/>
              <w:spacing w:after="0" w:line="240" w:lineRule="auto"/>
              <w:jc w:val="center"/>
              <w:rPr>
                <w:rFonts w:eastAsia="Times New Roman" w:cs="Times New Roman"/>
                <w:b/>
                <w:sz w:val="20"/>
                <w:szCs w:val="20"/>
                <w:lang w:bidi="en-US"/>
              </w:rPr>
            </w:pPr>
            <w:r w:rsidRPr="00CC3534">
              <w:rPr>
                <w:rFonts w:eastAsia="Times New Roman" w:cs="Times New Roman"/>
                <w:b/>
                <w:sz w:val="20"/>
                <w:szCs w:val="20"/>
                <w:lang w:bidi="en-US"/>
              </w:rPr>
              <w:t>Ciąża będąca wynikiem czynu zabronionego</w:t>
            </w:r>
          </w:p>
        </w:tc>
      </w:tr>
      <w:tr w:rsidR="00624593" w:rsidRPr="00CC3534" w:rsidTr="00253219">
        <w:trPr>
          <w:trHeight w:hRule="exact" w:val="293"/>
          <w:jc w:val="center"/>
        </w:trPr>
        <w:tc>
          <w:tcPr>
            <w:tcW w:w="1282"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1993</w:t>
            </w:r>
          </w:p>
        </w:tc>
        <w:tc>
          <w:tcPr>
            <w:tcW w:w="1560"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685</w:t>
            </w:r>
          </w:p>
        </w:tc>
        <w:tc>
          <w:tcPr>
            <w:tcW w:w="142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w:t>
            </w:r>
          </w:p>
        </w:tc>
        <w:tc>
          <w:tcPr>
            <w:tcW w:w="1349" w:type="dxa"/>
            <w:tcBorders>
              <w:top w:val="single" w:sz="4" w:space="0" w:color="auto"/>
              <w:left w:val="single" w:sz="4" w:space="0" w:color="auto"/>
            </w:tcBorders>
            <w:shd w:val="clear" w:color="auto" w:fill="FFFFFF"/>
          </w:tcPr>
          <w:p w:rsidR="00624593" w:rsidRPr="00CC3534" w:rsidRDefault="00624593" w:rsidP="00624593">
            <w:pPr>
              <w:widowControl w:val="0"/>
              <w:spacing w:after="0" w:line="240" w:lineRule="auto"/>
              <w:rPr>
                <w:rFonts w:eastAsia="Arial Unicode MS" w:cs="Arial Unicode MS"/>
                <w:color w:val="000000"/>
                <w:sz w:val="10"/>
                <w:szCs w:val="10"/>
                <w:lang w:bidi="en-US"/>
              </w:rPr>
            </w:pPr>
          </w:p>
        </w:tc>
        <w:tc>
          <w:tcPr>
            <w:tcW w:w="1531" w:type="dxa"/>
            <w:tcBorders>
              <w:top w:val="single" w:sz="4" w:space="0" w:color="auto"/>
              <w:left w:val="single" w:sz="4" w:space="0" w:color="auto"/>
            </w:tcBorders>
            <w:shd w:val="clear" w:color="auto" w:fill="FFFFFF"/>
          </w:tcPr>
          <w:p w:rsidR="00624593" w:rsidRPr="00CC3534" w:rsidRDefault="00624593" w:rsidP="00624593">
            <w:pPr>
              <w:widowControl w:val="0"/>
              <w:spacing w:after="0" w:line="240" w:lineRule="auto"/>
              <w:rPr>
                <w:rFonts w:eastAsia="Arial Unicode MS" w:cs="Arial Unicode MS"/>
                <w:color w:val="000000"/>
                <w:sz w:val="10"/>
                <w:szCs w:val="10"/>
                <w:lang w:bidi="en-US"/>
              </w:rPr>
            </w:pPr>
          </w:p>
        </w:tc>
        <w:tc>
          <w:tcPr>
            <w:tcW w:w="1541" w:type="dxa"/>
            <w:tcBorders>
              <w:top w:val="single" w:sz="4" w:space="0" w:color="auto"/>
              <w:left w:val="single" w:sz="4" w:space="0" w:color="auto"/>
              <w:right w:val="single" w:sz="4" w:space="0" w:color="auto"/>
            </w:tcBorders>
            <w:shd w:val="clear" w:color="auto" w:fill="FFFFFF"/>
          </w:tcPr>
          <w:p w:rsidR="00624593" w:rsidRPr="00CC3534" w:rsidRDefault="00624593" w:rsidP="00624593">
            <w:pPr>
              <w:widowControl w:val="0"/>
              <w:spacing w:after="0" w:line="240" w:lineRule="auto"/>
              <w:rPr>
                <w:rFonts w:eastAsia="Arial Unicode MS" w:cs="Arial Unicode MS"/>
                <w:color w:val="000000"/>
                <w:sz w:val="10"/>
                <w:szCs w:val="10"/>
                <w:lang w:bidi="en-US"/>
              </w:rPr>
            </w:pPr>
          </w:p>
        </w:tc>
      </w:tr>
      <w:tr w:rsidR="00624593" w:rsidRPr="00CC3534" w:rsidTr="00253219">
        <w:trPr>
          <w:trHeight w:hRule="exact" w:val="293"/>
          <w:jc w:val="center"/>
        </w:trPr>
        <w:tc>
          <w:tcPr>
            <w:tcW w:w="1282"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1994</w:t>
            </w:r>
          </w:p>
        </w:tc>
        <w:tc>
          <w:tcPr>
            <w:tcW w:w="1560"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782</w:t>
            </w:r>
          </w:p>
        </w:tc>
        <w:tc>
          <w:tcPr>
            <w:tcW w:w="142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w:t>
            </w:r>
          </w:p>
        </w:tc>
        <w:tc>
          <w:tcPr>
            <w:tcW w:w="1349"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689</w:t>
            </w:r>
          </w:p>
        </w:tc>
        <w:tc>
          <w:tcPr>
            <w:tcW w:w="153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74</w:t>
            </w:r>
          </w:p>
        </w:tc>
        <w:tc>
          <w:tcPr>
            <w:tcW w:w="1541" w:type="dxa"/>
            <w:tcBorders>
              <w:top w:val="single" w:sz="4" w:space="0" w:color="auto"/>
              <w:left w:val="single" w:sz="4" w:space="0" w:color="auto"/>
              <w:right w:val="single" w:sz="4" w:space="0" w:color="auto"/>
            </w:tcBorders>
            <w:shd w:val="clear" w:color="auto" w:fill="FFFFFF"/>
            <w:vAlign w:val="center"/>
          </w:tcPr>
          <w:p w:rsidR="00624593" w:rsidRPr="00CC3534" w:rsidRDefault="00624593" w:rsidP="00624593">
            <w:pPr>
              <w:widowControl w:val="0"/>
              <w:spacing w:after="0" w:line="240" w:lineRule="auto"/>
              <w:jc w:val="both"/>
              <w:rPr>
                <w:rFonts w:eastAsia="Times New Roman" w:cs="Times New Roman"/>
                <w:lang w:bidi="en-US"/>
              </w:rPr>
            </w:pPr>
            <w:r w:rsidRPr="00CC3534">
              <w:rPr>
                <w:rFonts w:eastAsia="Times New Roman" w:cs="Times New Roman"/>
                <w:lang w:bidi="en-US"/>
              </w:rPr>
              <w:t>19</w:t>
            </w:r>
          </w:p>
        </w:tc>
      </w:tr>
      <w:tr w:rsidR="00624593" w:rsidRPr="00CC3534" w:rsidTr="00253219">
        <w:trPr>
          <w:trHeight w:hRule="exact" w:val="298"/>
          <w:jc w:val="center"/>
        </w:trPr>
        <w:tc>
          <w:tcPr>
            <w:tcW w:w="1282"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1995</w:t>
            </w:r>
          </w:p>
        </w:tc>
        <w:tc>
          <w:tcPr>
            <w:tcW w:w="1560"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559</w:t>
            </w:r>
          </w:p>
        </w:tc>
        <w:tc>
          <w:tcPr>
            <w:tcW w:w="142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w:t>
            </w:r>
          </w:p>
        </w:tc>
        <w:tc>
          <w:tcPr>
            <w:tcW w:w="1349"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519</w:t>
            </w:r>
          </w:p>
        </w:tc>
        <w:tc>
          <w:tcPr>
            <w:tcW w:w="153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33</w:t>
            </w:r>
          </w:p>
        </w:tc>
        <w:tc>
          <w:tcPr>
            <w:tcW w:w="1541" w:type="dxa"/>
            <w:tcBorders>
              <w:top w:val="single" w:sz="4" w:space="0" w:color="auto"/>
              <w:left w:val="single" w:sz="4" w:space="0" w:color="auto"/>
              <w:right w:val="single" w:sz="4" w:space="0" w:color="auto"/>
            </w:tcBorders>
            <w:shd w:val="clear" w:color="auto" w:fill="FFFFFF"/>
            <w:vAlign w:val="center"/>
          </w:tcPr>
          <w:p w:rsidR="00624593" w:rsidRPr="00CC3534" w:rsidRDefault="00624593" w:rsidP="00624593">
            <w:pPr>
              <w:widowControl w:val="0"/>
              <w:spacing w:after="0" w:line="240" w:lineRule="auto"/>
              <w:jc w:val="both"/>
              <w:rPr>
                <w:rFonts w:eastAsia="Times New Roman" w:cs="Times New Roman"/>
                <w:lang w:bidi="en-US"/>
              </w:rPr>
            </w:pPr>
            <w:r w:rsidRPr="00CC3534">
              <w:rPr>
                <w:rFonts w:eastAsia="Times New Roman" w:cs="Times New Roman"/>
                <w:lang w:bidi="en-US"/>
              </w:rPr>
              <w:t>7</w:t>
            </w:r>
          </w:p>
        </w:tc>
      </w:tr>
      <w:tr w:rsidR="00624593" w:rsidRPr="00CC3534" w:rsidTr="00253219">
        <w:trPr>
          <w:trHeight w:hRule="exact" w:val="293"/>
          <w:jc w:val="center"/>
        </w:trPr>
        <w:tc>
          <w:tcPr>
            <w:tcW w:w="1282"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1996</w:t>
            </w:r>
          </w:p>
        </w:tc>
        <w:tc>
          <w:tcPr>
            <w:tcW w:w="1560"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505</w:t>
            </w:r>
          </w:p>
        </w:tc>
        <w:tc>
          <w:tcPr>
            <w:tcW w:w="142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w:t>
            </w:r>
          </w:p>
        </w:tc>
        <w:tc>
          <w:tcPr>
            <w:tcW w:w="1349"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457</w:t>
            </w:r>
          </w:p>
        </w:tc>
        <w:tc>
          <w:tcPr>
            <w:tcW w:w="153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40</w:t>
            </w:r>
          </w:p>
        </w:tc>
        <w:tc>
          <w:tcPr>
            <w:tcW w:w="1541" w:type="dxa"/>
            <w:tcBorders>
              <w:top w:val="single" w:sz="4" w:space="0" w:color="auto"/>
              <w:left w:val="single" w:sz="4" w:space="0" w:color="auto"/>
              <w:right w:val="single" w:sz="4" w:space="0" w:color="auto"/>
            </w:tcBorders>
            <w:shd w:val="clear" w:color="auto" w:fill="FFFFFF"/>
            <w:vAlign w:val="center"/>
          </w:tcPr>
          <w:p w:rsidR="00624593" w:rsidRPr="00CC3534" w:rsidRDefault="00624593" w:rsidP="00624593">
            <w:pPr>
              <w:widowControl w:val="0"/>
              <w:spacing w:after="0" w:line="240" w:lineRule="auto"/>
              <w:jc w:val="both"/>
              <w:rPr>
                <w:rFonts w:eastAsia="Times New Roman" w:cs="Times New Roman"/>
                <w:lang w:bidi="en-US"/>
              </w:rPr>
            </w:pPr>
            <w:r w:rsidRPr="00CC3534">
              <w:rPr>
                <w:rFonts w:eastAsia="Times New Roman" w:cs="Times New Roman"/>
                <w:lang w:bidi="en-US"/>
              </w:rPr>
              <w:t>8</w:t>
            </w:r>
          </w:p>
        </w:tc>
      </w:tr>
      <w:tr w:rsidR="00624593" w:rsidRPr="00CC3534" w:rsidTr="00253219">
        <w:trPr>
          <w:trHeight w:hRule="exact" w:val="293"/>
          <w:jc w:val="center"/>
        </w:trPr>
        <w:tc>
          <w:tcPr>
            <w:tcW w:w="1282" w:type="dxa"/>
            <w:tcBorders>
              <w:top w:val="single" w:sz="4" w:space="0" w:color="auto"/>
              <w:left w:val="single" w:sz="4" w:space="0" w:color="auto"/>
            </w:tcBorders>
            <w:shd w:val="clear" w:color="auto" w:fill="FFFFFF"/>
            <w:vAlign w:val="bottom"/>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1997</w:t>
            </w:r>
          </w:p>
        </w:tc>
        <w:tc>
          <w:tcPr>
            <w:tcW w:w="1560" w:type="dxa"/>
            <w:tcBorders>
              <w:top w:val="single" w:sz="4" w:space="0" w:color="auto"/>
              <w:left w:val="single" w:sz="4" w:space="0" w:color="auto"/>
            </w:tcBorders>
            <w:shd w:val="clear" w:color="auto" w:fill="FFFFFF"/>
            <w:vAlign w:val="bottom"/>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3 047</w:t>
            </w:r>
          </w:p>
        </w:tc>
        <w:tc>
          <w:tcPr>
            <w:tcW w:w="1421" w:type="dxa"/>
            <w:tcBorders>
              <w:top w:val="single" w:sz="4" w:space="0" w:color="auto"/>
              <w:left w:val="single" w:sz="4" w:space="0" w:color="auto"/>
            </w:tcBorders>
            <w:shd w:val="clear" w:color="auto" w:fill="FFFFFF"/>
            <w:vAlign w:val="bottom"/>
          </w:tcPr>
          <w:p w:rsidR="00624593" w:rsidRPr="00CC3534" w:rsidRDefault="00624593" w:rsidP="00624593">
            <w:pPr>
              <w:widowControl w:val="0"/>
              <w:spacing w:after="0" w:line="240" w:lineRule="auto"/>
              <w:rPr>
                <w:rFonts w:eastAsia="Times New Roman" w:cs="Times New Roman"/>
                <w:sz w:val="11"/>
                <w:szCs w:val="11"/>
                <w:lang w:bidi="en-US"/>
              </w:rPr>
            </w:pPr>
            <w:r w:rsidRPr="00CC3534">
              <w:rPr>
                <w:rFonts w:eastAsia="Times New Roman" w:cs="Times New Roman"/>
                <w:lang w:bidi="en-US"/>
              </w:rPr>
              <w:t>2 524</w:t>
            </w:r>
            <w:r w:rsidRPr="00CC3534">
              <w:rPr>
                <w:rFonts w:eastAsia="Arial" w:cs="Times New Roman"/>
                <w:b/>
                <w:bCs/>
                <w:vertAlign w:val="superscript"/>
                <w:lang w:bidi="en-US"/>
              </w:rPr>
              <w:footnoteReference w:id="69"/>
            </w:r>
          </w:p>
        </w:tc>
        <w:tc>
          <w:tcPr>
            <w:tcW w:w="1349" w:type="dxa"/>
            <w:tcBorders>
              <w:top w:val="single" w:sz="4" w:space="0" w:color="auto"/>
              <w:left w:val="single" w:sz="4" w:space="0" w:color="auto"/>
            </w:tcBorders>
            <w:shd w:val="clear" w:color="auto" w:fill="FFFFFF"/>
            <w:vAlign w:val="bottom"/>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409</w:t>
            </w:r>
          </w:p>
        </w:tc>
        <w:tc>
          <w:tcPr>
            <w:tcW w:w="1531" w:type="dxa"/>
            <w:tcBorders>
              <w:top w:val="single" w:sz="4" w:space="0" w:color="auto"/>
              <w:left w:val="single" w:sz="4" w:space="0" w:color="auto"/>
            </w:tcBorders>
            <w:shd w:val="clear" w:color="auto" w:fill="FFFFFF"/>
            <w:vAlign w:val="bottom"/>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107</w:t>
            </w:r>
          </w:p>
        </w:tc>
        <w:tc>
          <w:tcPr>
            <w:tcW w:w="1541" w:type="dxa"/>
            <w:tcBorders>
              <w:top w:val="single" w:sz="4" w:space="0" w:color="auto"/>
              <w:left w:val="single" w:sz="4" w:space="0" w:color="auto"/>
              <w:right w:val="single" w:sz="4" w:space="0" w:color="auto"/>
            </w:tcBorders>
            <w:shd w:val="clear" w:color="auto" w:fill="FFFFFF"/>
            <w:vAlign w:val="bottom"/>
          </w:tcPr>
          <w:p w:rsidR="00624593" w:rsidRPr="00CC3534" w:rsidRDefault="00624593" w:rsidP="00624593">
            <w:pPr>
              <w:widowControl w:val="0"/>
              <w:spacing w:after="0" w:line="240" w:lineRule="auto"/>
              <w:jc w:val="both"/>
              <w:rPr>
                <w:rFonts w:eastAsia="Times New Roman" w:cs="Times New Roman"/>
                <w:lang w:bidi="en-US"/>
              </w:rPr>
            </w:pPr>
            <w:r w:rsidRPr="00CC3534">
              <w:rPr>
                <w:rFonts w:eastAsia="Times New Roman" w:cs="Times New Roman"/>
                <w:lang w:bidi="en-US"/>
              </w:rPr>
              <w:t>7</w:t>
            </w:r>
          </w:p>
        </w:tc>
      </w:tr>
      <w:tr w:rsidR="00624593" w:rsidRPr="00CC3534" w:rsidTr="00253219">
        <w:trPr>
          <w:trHeight w:hRule="exact" w:val="293"/>
          <w:jc w:val="center"/>
        </w:trPr>
        <w:tc>
          <w:tcPr>
            <w:tcW w:w="1282"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1998</w:t>
            </w:r>
          </w:p>
        </w:tc>
        <w:tc>
          <w:tcPr>
            <w:tcW w:w="1560"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310</w:t>
            </w:r>
          </w:p>
        </w:tc>
        <w:tc>
          <w:tcPr>
            <w:tcW w:w="142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w:t>
            </w:r>
          </w:p>
        </w:tc>
        <w:tc>
          <w:tcPr>
            <w:tcW w:w="1349"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211</w:t>
            </w:r>
          </w:p>
        </w:tc>
        <w:tc>
          <w:tcPr>
            <w:tcW w:w="153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46</w:t>
            </w:r>
          </w:p>
        </w:tc>
        <w:tc>
          <w:tcPr>
            <w:tcW w:w="1541" w:type="dxa"/>
            <w:tcBorders>
              <w:top w:val="single" w:sz="4" w:space="0" w:color="auto"/>
              <w:left w:val="single" w:sz="4" w:space="0" w:color="auto"/>
              <w:right w:val="single" w:sz="4" w:space="0" w:color="auto"/>
            </w:tcBorders>
            <w:shd w:val="clear" w:color="auto" w:fill="FFFFFF"/>
            <w:vAlign w:val="center"/>
          </w:tcPr>
          <w:p w:rsidR="00624593" w:rsidRPr="00CC3534" w:rsidRDefault="00624593" w:rsidP="00624593">
            <w:pPr>
              <w:widowControl w:val="0"/>
              <w:spacing w:after="0" w:line="240" w:lineRule="auto"/>
              <w:jc w:val="both"/>
              <w:rPr>
                <w:rFonts w:eastAsia="Times New Roman" w:cs="Times New Roman"/>
                <w:lang w:bidi="en-US"/>
              </w:rPr>
            </w:pPr>
            <w:r w:rsidRPr="00CC3534">
              <w:rPr>
                <w:rFonts w:eastAsia="Times New Roman" w:cs="Times New Roman"/>
                <w:lang w:bidi="en-US"/>
              </w:rPr>
              <w:t>53</w:t>
            </w:r>
          </w:p>
        </w:tc>
      </w:tr>
      <w:tr w:rsidR="00624593" w:rsidRPr="00CC3534" w:rsidTr="00253219">
        <w:trPr>
          <w:trHeight w:hRule="exact" w:val="298"/>
          <w:jc w:val="center"/>
        </w:trPr>
        <w:tc>
          <w:tcPr>
            <w:tcW w:w="1282"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1999</w:t>
            </w:r>
          </w:p>
        </w:tc>
        <w:tc>
          <w:tcPr>
            <w:tcW w:w="1560"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151*</w:t>
            </w:r>
          </w:p>
        </w:tc>
        <w:tc>
          <w:tcPr>
            <w:tcW w:w="142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w:t>
            </w:r>
          </w:p>
        </w:tc>
        <w:tc>
          <w:tcPr>
            <w:tcW w:w="1349"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94</w:t>
            </w:r>
          </w:p>
        </w:tc>
        <w:tc>
          <w:tcPr>
            <w:tcW w:w="153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50</w:t>
            </w:r>
          </w:p>
        </w:tc>
        <w:tc>
          <w:tcPr>
            <w:tcW w:w="1541" w:type="dxa"/>
            <w:tcBorders>
              <w:top w:val="single" w:sz="4" w:space="0" w:color="auto"/>
              <w:left w:val="single" w:sz="4" w:space="0" w:color="auto"/>
              <w:right w:val="single" w:sz="4" w:space="0" w:color="auto"/>
            </w:tcBorders>
            <w:shd w:val="clear" w:color="auto" w:fill="FFFFFF"/>
            <w:vAlign w:val="center"/>
          </w:tcPr>
          <w:p w:rsidR="00624593" w:rsidRPr="00CC3534" w:rsidRDefault="00624593" w:rsidP="00624593">
            <w:pPr>
              <w:widowControl w:val="0"/>
              <w:spacing w:after="0" w:line="240" w:lineRule="auto"/>
              <w:jc w:val="both"/>
              <w:rPr>
                <w:rFonts w:eastAsia="Times New Roman" w:cs="Times New Roman"/>
                <w:lang w:bidi="en-US"/>
              </w:rPr>
            </w:pPr>
            <w:r w:rsidRPr="00CC3534">
              <w:rPr>
                <w:rFonts w:eastAsia="Times New Roman" w:cs="Times New Roman"/>
                <w:lang w:bidi="en-US"/>
              </w:rPr>
              <w:t>1</w:t>
            </w:r>
          </w:p>
        </w:tc>
      </w:tr>
      <w:tr w:rsidR="00624593" w:rsidRPr="00CC3534" w:rsidTr="00253219">
        <w:trPr>
          <w:trHeight w:hRule="exact" w:val="293"/>
          <w:jc w:val="center"/>
        </w:trPr>
        <w:tc>
          <w:tcPr>
            <w:tcW w:w="1282"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2000</w:t>
            </w:r>
          </w:p>
        </w:tc>
        <w:tc>
          <w:tcPr>
            <w:tcW w:w="1560"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138</w:t>
            </w:r>
          </w:p>
        </w:tc>
        <w:tc>
          <w:tcPr>
            <w:tcW w:w="142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w:t>
            </w:r>
          </w:p>
        </w:tc>
        <w:tc>
          <w:tcPr>
            <w:tcW w:w="1349"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81</w:t>
            </w:r>
          </w:p>
        </w:tc>
        <w:tc>
          <w:tcPr>
            <w:tcW w:w="153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55</w:t>
            </w:r>
          </w:p>
        </w:tc>
        <w:tc>
          <w:tcPr>
            <w:tcW w:w="1541" w:type="dxa"/>
            <w:tcBorders>
              <w:top w:val="single" w:sz="4" w:space="0" w:color="auto"/>
              <w:left w:val="single" w:sz="4" w:space="0" w:color="auto"/>
              <w:right w:val="single" w:sz="4" w:space="0" w:color="auto"/>
            </w:tcBorders>
            <w:shd w:val="clear" w:color="auto" w:fill="FFFFFF"/>
            <w:vAlign w:val="center"/>
          </w:tcPr>
          <w:p w:rsidR="00624593" w:rsidRPr="00CC3534" w:rsidRDefault="00624593" w:rsidP="00624593">
            <w:pPr>
              <w:widowControl w:val="0"/>
              <w:spacing w:after="0" w:line="240" w:lineRule="auto"/>
              <w:jc w:val="both"/>
              <w:rPr>
                <w:rFonts w:eastAsia="Times New Roman" w:cs="Times New Roman"/>
                <w:lang w:bidi="en-US"/>
              </w:rPr>
            </w:pPr>
            <w:r w:rsidRPr="00CC3534">
              <w:rPr>
                <w:rFonts w:eastAsia="Times New Roman" w:cs="Times New Roman"/>
                <w:lang w:bidi="en-US"/>
              </w:rPr>
              <w:t>2</w:t>
            </w:r>
          </w:p>
        </w:tc>
      </w:tr>
      <w:tr w:rsidR="00624593" w:rsidRPr="00CC3534" w:rsidTr="00253219">
        <w:trPr>
          <w:trHeight w:hRule="exact" w:val="293"/>
          <w:jc w:val="center"/>
        </w:trPr>
        <w:tc>
          <w:tcPr>
            <w:tcW w:w="1282"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2001</w:t>
            </w:r>
          </w:p>
        </w:tc>
        <w:tc>
          <w:tcPr>
            <w:tcW w:w="1560"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124</w:t>
            </w:r>
          </w:p>
        </w:tc>
        <w:tc>
          <w:tcPr>
            <w:tcW w:w="142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w:t>
            </w:r>
          </w:p>
        </w:tc>
        <w:tc>
          <w:tcPr>
            <w:tcW w:w="1349"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63</w:t>
            </w:r>
          </w:p>
        </w:tc>
        <w:tc>
          <w:tcPr>
            <w:tcW w:w="153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56</w:t>
            </w:r>
          </w:p>
        </w:tc>
        <w:tc>
          <w:tcPr>
            <w:tcW w:w="1541" w:type="dxa"/>
            <w:tcBorders>
              <w:top w:val="single" w:sz="4" w:space="0" w:color="auto"/>
              <w:left w:val="single" w:sz="4" w:space="0" w:color="auto"/>
              <w:right w:val="single" w:sz="4" w:space="0" w:color="auto"/>
            </w:tcBorders>
            <w:shd w:val="clear" w:color="auto" w:fill="FFFFFF"/>
            <w:vAlign w:val="center"/>
          </w:tcPr>
          <w:p w:rsidR="00624593" w:rsidRPr="00CC3534" w:rsidRDefault="00624593" w:rsidP="00624593">
            <w:pPr>
              <w:widowControl w:val="0"/>
              <w:spacing w:after="0" w:line="240" w:lineRule="auto"/>
              <w:jc w:val="both"/>
              <w:rPr>
                <w:rFonts w:eastAsia="Times New Roman" w:cs="Times New Roman"/>
                <w:lang w:bidi="en-US"/>
              </w:rPr>
            </w:pPr>
            <w:r w:rsidRPr="00CC3534">
              <w:rPr>
                <w:rFonts w:eastAsia="Times New Roman" w:cs="Times New Roman"/>
                <w:lang w:bidi="en-US"/>
              </w:rPr>
              <w:t>5</w:t>
            </w:r>
          </w:p>
        </w:tc>
      </w:tr>
      <w:tr w:rsidR="00624593" w:rsidRPr="00CC3534" w:rsidTr="00253219">
        <w:trPr>
          <w:trHeight w:hRule="exact" w:val="293"/>
          <w:jc w:val="center"/>
        </w:trPr>
        <w:tc>
          <w:tcPr>
            <w:tcW w:w="1282"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2002</w:t>
            </w:r>
          </w:p>
        </w:tc>
        <w:tc>
          <w:tcPr>
            <w:tcW w:w="1560"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159</w:t>
            </w:r>
          </w:p>
        </w:tc>
        <w:tc>
          <w:tcPr>
            <w:tcW w:w="142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w:t>
            </w:r>
          </w:p>
        </w:tc>
        <w:tc>
          <w:tcPr>
            <w:tcW w:w="1349"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71</w:t>
            </w:r>
          </w:p>
        </w:tc>
        <w:tc>
          <w:tcPr>
            <w:tcW w:w="153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82</w:t>
            </w:r>
          </w:p>
        </w:tc>
        <w:tc>
          <w:tcPr>
            <w:tcW w:w="1541" w:type="dxa"/>
            <w:tcBorders>
              <w:top w:val="single" w:sz="4" w:space="0" w:color="auto"/>
              <w:left w:val="single" w:sz="4" w:space="0" w:color="auto"/>
              <w:right w:val="single" w:sz="4" w:space="0" w:color="auto"/>
            </w:tcBorders>
            <w:shd w:val="clear" w:color="auto" w:fill="FFFFFF"/>
            <w:vAlign w:val="center"/>
          </w:tcPr>
          <w:p w:rsidR="00624593" w:rsidRPr="00CC3534" w:rsidRDefault="00624593" w:rsidP="00624593">
            <w:pPr>
              <w:widowControl w:val="0"/>
              <w:spacing w:after="0" w:line="240" w:lineRule="auto"/>
              <w:jc w:val="both"/>
              <w:rPr>
                <w:rFonts w:eastAsia="Times New Roman" w:cs="Times New Roman"/>
                <w:lang w:bidi="en-US"/>
              </w:rPr>
            </w:pPr>
            <w:r w:rsidRPr="00CC3534">
              <w:rPr>
                <w:rFonts w:eastAsia="Times New Roman" w:cs="Times New Roman"/>
                <w:lang w:bidi="en-US"/>
              </w:rPr>
              <w:t>6</w:t>
            </w:r>
          </w:p>
        </w:tc>
      </w:tr>
      <w:tr w:rsidR="00624593" w:rsidRPr="00CC3534" w:rsidTr="00253219">
        <w:trPr>
          <w:trHeight w:hRule="exact" w:val="264"/>
          <w:jc w:val="center"/>
        </w:trPr>
        <w:tc>
          <w:tcPr>
            <w:tcW w:w="1282"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2003</w:t>
            </w:r>
          </w:p>
        </w:tc>
        <w:tc>
          <w:tcPr>
            <w:tcW w:w="1560"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174</w:t>
            </w:r>
          </w:p>
        </w:tc>
        <w:tc>
          <w:tcPr>
            <w:tcW w:w="142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w:t>
            </w:r>
          </w:p>
        </w:tc>
        <w:tc>
          <w:tcPr>
            <w:tcW w:w="1349"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59</w:t>
            </w:r>
          </w:p>
        </w:tc>
        <w:tc>
          <w:tcPr>
            <w:tcW w:w="153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112</w:t>
            </w:r>
          </w:p>
        </w:tc>
        <w:tc>
          <w:tcPr>
            <w:tcW w:w="1541" w:type="dxa"/>
            <w:tcBorders>
              <w:top w:val="single" w:sz="4" w:space="0" w:color="auto"/>
              <w:left w:val="single" w:sz="4" w:space="0" w:color="auto"/>
              <w:right w:val="single" w:sz="4" w:space="0" w:color="auto"/>
            </w:tcBorders>
            <w:shd w:val="clear" w:color="auto" w:fill="FFFFFF"/>
            <w:vAlign w:val="center"/>
          </w:tcPr>
          <w:p w:rsidR="00624593" w:rsidRPr="00CC3534" w:rsidRDefault="00624593" w:rsidP="00624593">
            <w:pPr>
              <w:widowControl w:val="0"/>
              <w:spacing w:after="0" w:line="240" w:lineRule="auto"/>
              <w:jc w:val="both"/>
              <w:rPr>
                <w:rFonts w:eastAsia="Times New Roman" w:cs="Times New Roman"/>
                <w:lang w:bidi="en-US"/>
              </w:rPr>
            </w:pPr>
            <w:r w:rsidRPr="00CC3534">
              <w:rPr>
                <w:rFonts w:eastAsia="Times New Roman" w:cs="Times New Roman"/>
                <w:lang w:bidi="en-US"/>
              </w:rPr>
              <w:t>3</w:t>
            </w:r>
          </w:p>
        </w:tc>
      </w:tr>
      <w:tr w:rsidR="00624593" w:rsidRPr="00CC3534" w:rsidTr="00253219">
        <w:trPr>
          <w:trHeight w:hRule="exact" w:val="264"/>
          <w:jc w:val="center"/>
        </w:trPr>
        <w:tc>
          <w:tcPr>
            <w:tcW w:w="1282"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2004</w:t>
            </w:r>
          </w:p>
        </w:tc>
        <w:tc>
          <w:tcPr>
            <w:tcW w:w="1560"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193</w:t>
            </w:r>
          </w:p>
        </w:tc>
        <w:tc>
          <w:tcPr>
            <w:tcW w:w="142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w:t>
            </w:r>
          </w:p>
        </w:tc>
        <w:tc>
          <w:tcPr>
            <w:tcW w:w="1349"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62</w:t>
            </w:r>
          </w:p>
        </w:tc>
        <w:tc>
          <w:tcPr>
            <w:tcW w:w="153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128</w:t>
            </w:r>
          </w:p>
        </w:tc>
        <w:tc>
          <w:tcPr>
            <w:tcW w:w="1541" w:type="dxa"/>
            <w:tcBorders>
              <w:top w:val="single" w:sz="4" w:space="0" w:color="auto"/>
              <w:left w:val="single" w:sz="4" w:space="0" w:color="auto"/>
              <w:right w:val="single" w:sz="4" w:space="0" w:color="auto"/>
            </w:tcBorders>
            <w:shd w:val="clear" w:color="auto" w:fill="FFFFFF"/>
            <w:vAlign w:val="center"/>
          </w:tcPr>
          <w:p w:rsidR="00624593" w:rsidRPr="00CC3534" w:rsidRDefault="00624593" w:rsidP="00624593">
            <w:pPr>
              <w:widowControl w:val="0"/>
              <w:spacing w:after="0" w:line="240" w:lineRule="auto"/>
              <w:jc w:val="both"/>
              <w:rPr>
                <w:rFonts w:eastAsia="Times New Roman" w:cs="Times New Roman"/>
                <w:lang w:bidi="en-US"/>
              </w:rPr>
            </w:pPr>
            <w:r w:rsidRPr="00CC3534">
              <w:rPr>
                <w:rFonts w:eastAsia="Times New Roman" w:cs="Times New Roman"/>
                <w:lang w:bidi="en-US"/>
              </w:rPr>
              <w:t>3</w:t>
            </w:r>
          </w:p>
        </w:tc>
      </w:tr>
      <w:tr w:rsidR="00624593" w:rsidRPr="00CC3534" w:rsidTr="00253219">
        <w:trPr>
          <w:trHeight w:hRule="exact" w:val="264"/>
          <w:jc w:val="center"/>
        </w:trPr>
        <w:tc>
          <w:tcPr>
            <w:tcW w:w="1282"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2005</w:t>
            </w:r>
          </w:p>
        </w:tc>
        <w:tc>
          <w:tcPr>
            <w:tcW w:w="1560"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225</w:t>
            </w:r>
          </w:p>
        </w:tc>
        <w:tc>
          <w:tcPr>
            <w:tcW w:w="142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w:t>
            </w:r>
          </w:p>
        </w:tc>
        <w:tc>
          <w:tcPr>
            <w:tcW w:w="1349"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54</w:t>
            </w:r>
          </w:p>
        </w:tc>
        <w:tc>
          <w:tcPr>
            <w:tcW w:w="153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168</w:t>
            </w:r>
          </w:p>
        </w:tc>
        <w:tc>
          <w:tcPr>
            <w:tcW w:w="1541" w:type="dxa"/>
            <w:tcBorders>
              <w:top w:val="single" w:sz="4" w:space="0" w:color="auto"/>
              <w:left w:val="single" w:sz="4" w:space="0" w:color="auto"/>
              <w:right w:val="single" w:sz="4" w:space="0" w:color="auto"/>
            </w:tcBorders>
            <w:shd w:val="clear" w:color="auto" w:fill="FFFFFF"/>
            <w:vAlign w:val="center"/>
          </w:tcPr>
          <w:p w:rsidR="00624593" w:rsidRPr="00CC3534" w:rsidRDefault="00624593" w:rsidP="00624593">
            <w:pPr>
              <w:widowControl w:val="0"/>
              <w:spacing w:after="0" w:line="240" w:lineRule="auto"/>
              <w:jc w:val="both"/>
              <w:rPr>
                <w:rFonts w:eastAsia="Times New Roman" w:cs="Times New Roman"/>
                <w:lang w:bidi="en-US"/>
              </w:rPr>
            </w:pPr>
            <w:r w:rsidRPr="00CC3534">
              <w:rPr>
                <w:rFonts w:eastAsia="Times New Roman" w:cs="Times New Roman"/>
                <w:lang w:bidi="en-US"/>
              </w:rPr>
              <w:t>3</w:t>
            </w:r>
          </w:p>
        </w:tc>
      </w:tr>
      <w:tr w:rsidR="00624593" w:rsidRPr="00CC3534" w:rsidTr="00253219">
        <w:trPr>
          <w:trHeight w:hRule="exact" w:val="264"/>
          <w:jc w:val="center"/>
        </w:trPr>
        <w:tc>
          <w:tcPr>
            <w:tcW w:w="1282"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2006</w:t>
            </w:r>
          </w:p>
        </w:tc>
        <w:tc>
          <w:tcPr>
            <w:tcW w:w="1560"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340</w:t>
            </w:r>
          </w:p>
        </w:tc>
        <w:tc>
          <w:tcPr>
            <w:tcW w:w="142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w:t>
            </w:r>
          </w:p>
        </w:tc>
        <w:tc>
          <w:tcPr>
            <w:tcW w:w="1349"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82</w:t>
            </w:r>
          </w:p>
        </w:tc>
        <w:tc>
          <w:tcPr>
            <w:tcW w:w="153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246</w:t>
            </w:r>
          </w:p>
        </w:tc>
        <w:tc>
          <w:tcPr>
            <w:tcW w:w="1541" w:type="dxa"/>
            <w:tcBorders>
              <w:top w:val="single" w:sz="4" w:space="0" w:color="auto"/>
              <w:left w:val="single" w:sz="4" w:space="0" w:color="auto"/>
              <w:right w:val="single" w:sz="4" w:space="0" w:color="auto"/>
            </w:tcBorders>
            <w:shd w:val="clear" w:color="auto" w:fill="FFFFFF"/>
            <w:vAlign w:val="center"/>
          </w:tcPr>
          <w:p w:rsidR="00624593" w:rsidRPr="00CC3534" w:rsidRDefault="00624593" w:rsidP="00624593">
            <w:pPr>
              <w:widowControl w:val="0"/>
              <w:spacing w:after="0" w:line="240" w:lineRule="auto"/>
              <w:jc w:val="both"/>
              <w:rPr>
                <w:rFonts w:eastAsia="Times New Roman" w:cs="Times New Roman"/>
                <w:lang w:bidi="en-US"/>
              </w:rPr>
            </w:pPr>
            <w:r w:rsidRPr="00CC3534">
              <w:rPr>
                <w:rFonts w:eastAsia="Times New Roman" w:cs="Times New Roman"/>
                <w:lang w:bidi="en-US"/>
              </w:rPr>
              <w:t>12</w:t>
            </w:r>
          </w:p>
        </w:tc>
      </w:tr>
      <w:tr w:rsidR="00624593" w:rsidRPr="00CC3534" w:rsidTr="00253219">
        <w:trPr>
          <w:trHeight w:hRule="exact" w:val="259"/>
          <w:jc w:val="center"/>
        </w:trPr>
        <w:tc>
          <w:tcPr>
            <w:tcW w:w="1282"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2007</w:t>
            </w:r>
          </w:p>
        </w:tc>
        <w:tc>
          <w:tcPr>
            <w:tcW w:w="1560"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322</w:t>
            </w:r>
          </w:p>
        </w:tc>
        <w:tc>
          <w:tcPr>
            <w:tcW w:w="142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w:t>
            </w:r>
          </w:p>
        </w:tc>
        <w:tc>
          <w:tcPr>
            <w:tcW w:w="1349"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37</w:t>
            </w:r>
          </w:p>
        </w:tc>
        <w:tc>
          <w:tcPr>
            <w:tcW w:w="153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282</w:t>
            </w:r>
          </w:p>
        </w:tc>
        <w:tc>
          <w:tcPr>
            <w:tcW w:w="1541" w:type="dxa"/>
            <w:tcBorders>
              <w:top w:val="single" w:sz="4" w:space="0" w:color="auto"/>
              <w:left w:val="single" w:sz="4" w:space="0" w:color="auto"/>
              <w:right w:val="single" w:sz="4" w:space="0" w:color="auto"/>
            </w:tcBorders>
            <w:shd w:val="clear" w:color="auto" w:fill="FFFFFF"/>
            <w:vAlign w:val="center"/>
          </w:tcPr>
          <w:p w:rsidR="00624593" w:rsidRPr="00CC3534" w:rsidRDefault="00624593" w:rsidP="00624593">
            <w:pPr>
              <w:widowControl w:val="0"/>
              <w:spacing w:after="0" w:line="240" w:lineRule="auto"/>
              <w:jc w:val="both"/>
              <w:rPr>
                <w:rFonts w:eastAsia="Times New Roman" w:cs="Times New Roman"/>
                <w:lang w:bidi="en-US"/>
              </w:rPr>
            </w:pPr>
            <w:r w:rsidRPr="00CC3534">
              <w:rPr>
                <w:rFonts w:eastAsia="Times New Roman" w:cs="Times New Roman"/>
                <w:lang w:bidi="en-US"/>
              </w:rPr>
              <w:t>3</w:t>
            </w:r>
          </w:p>
        </w:tc>
      </w:tr>
      <w:tr w:rsidR="00624593" w:rsidRPr="00CC3534" w:rsidTr="00253219">
        <w:trPr>
          <w:trHeight w:hRule="exact" w:val="264"/>
          <w:jc w:val="center"/>
        </w:trPr>
        <w:tc>
          <w:tcPr>
            <w:tcW w:w="1282"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2008</w:t>
            </w:r>
          </w:p>
        </w:tc>
        <w:tc>
          <w:tcPr>
            <w:tcW w:w="1560"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499</w:t>
            </w:r>
          </w:p>
        </w:tc>
        <w:tc>
          <w:tcPr>
            <w:tcW w:w="142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w:t>
            </w:r>
          </w:p>
        </w:tc>
        <w:tc>
          <w:tcPr>
            <w:tcW w:w="1349"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32</w:t>
            </w:r>
          </w:p>
        </w:tc>
        <w:tc>
          <w:tcPr>
            <w:tcW w:w="153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467</w:t>
            </w:r>
          </w:p>
        </w:tc>
        <w:tc>
          <w:tcPr>
            <w:tcW w:w="1541" w:type="dxa"/>
            <w:tcBorders>
              <w:top w:val="single" w:sz="4" w:space="0" w:color="auto"/>
              <w:left w:val="single" w:sz="4" w:space="0" w:color="auto"/>
              <w:right w:val="single" w:sz="4" w:space="0" w:color="auto"/>
            </w:tcBorders>
            <w:shd w:val="clear" w:color="auto" w:fill="FFFFFF"/>
            <w:vAlign w:val="center"/>
          </w:tcPr>
          <w:p w:rsidR="00624593" w:rsidRPr="00CC3534" w:rsidRDefault="00624593" w:rsidP="00624593">
            <w:pPr>
              <w:widowControl w:val="0"/>
              <w:spacing w:after="0" w:line="240" w:lineRule="auto"/>
              <w:jc w:val="both"/>
              <w:rPr>
                <w:rFonts w:eastAsia="Times New Roman" w:cs="Times New Roman"/>
                <w:lang w:bidi="en-US"/>
              </w:rPr>
            </w:pPr>
            <w:r w:rsidRPr="00CC3534">
              <w:rPr>
                <w:rFonts w:eastAsia="Times New Roman" w:cs="Times New Roman"/>
                <w:lang w:bidi="en-US"/>
              </w:rPr>
              <w:t>0</w:t>
            </w:r>
          </w:p>
        </w:tc>
      </w:tr>
      <w:tr w:rsidR="00624593" w:rsidRPr="00CC3534" w:rsidTr="00253219">
        <w:trPr>
          <w:trHeight w:hRule="exact" w:val="264"/>
          <w:jc w:val="center"/>
        </w:trPr>
        <w:tc>
          <w:tcPr>
            <w:tcW w:w="1282"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2009</w:t>
            </w:r>
          </w:p>
        </w:tc>
        <w:tc>
          <w:tcPr>
            <w:tcW w:w="1560"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538</w:t>
            </w:r>
          </w:p>
        </w:tc>
        <w:tc>
          <w:tcPr>
            <w:tcW w:w="142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w:t>
            </w:r>
          </w:p>
        </w:tc>
        <w:tc>
          <w:tcPr>
            <w:tcW w:w="1349"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27</w:t>
            </w:r>
          </w:p>
        </w:tc>
        <w:tc>
          <w:tcPr>
            <w:tcW w:w="153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510</w:t>
            </w:r>
          </w:p>
        </w:tc>
        <w:tc>
          <w:tcPr>
            <w:tcW w:w="1541" w:type="dxa"/>
            <w:tcBorders>
              <w:top w:val="single" w:sz="4" w:space="0" w:color="auto"/>
              <w:left w:val="single" w:sz="4" w:space="0" w:color="auto"/>
              <w:right w:val="single" w:sz="4" w:space="0" w:color="auto"/>
            </w:tcBorders>
            <w:shd w:val="clear" w:color="auto" w:fill="FFFFFF"/>
            <w:vAlign w:val="center"/>
          </w:tcPr>
          <w:p w:rsidR="00624593" w:rsidRPr="00CC3534" w:rsidRDefault="00624593" w:rsidP="00624593">
            <w:pPr>
              <w:widowControl w:val="0"/>
              <w:spacing w:after="0" w:line="240" w:lineRule="auto"/>
              <w:jc w:val="both"/>
              <w:rPr>
                <w:rFonts w:eastAsia="Times New Roman" w:cs="Times New Roman"/>
                <w:lang w:bidi="en-US"/>
              </w:rPr>
            </w:pPr>
            <w:r w:rsidRPr="00CC3534">
              <w:rPr>
                <w:rFonts w:eastAsia="Times New Roman" w:cs="Times New Roman"/>
                <w:lang w:bidi="en-US"/>
              </w:rPr>
              <w:t>1</w:t>
            </w:r>
          </w:p>
        </w:tc>
      </w:tr>
      <w:tr w:rsidR="00624593" w:rsidRPr="00CC3534" w:rsidTr="00253219">
        <w:trPr>
          <w:trHeight w:hRule="exact" w:val="264"/>
          <w:jc w:val="center"/>
        </w:trPr>
        <w:tc>
          <w:tcPr>
            <w:tcW w:w="1282"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2010</w:t>
            </w:r>
          </w:p>
        </w:tc>
        <w:tc>
          <w:tcPr>
            <w:tcW w:w="1560"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641</w:t>
            </w:r>
          </w:p>
        </w:tc>
        <w:tc>
          <w:tcPr>
            <w:tcW w:w="142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w:t>
            </w:r>
          </w:p>
        </w:tc>
        <w:tc>
          <w:tcPr>
            <w:tcW w:w="1349"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27</w:t>
            </w:r>
          </w:p>
        </w:tc>
        <w:tc>
          <w:tcPr>
            <w:tcW w:w="153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614</w:t>
            </w:r>
          </w:p>
        </w:tc>
        <w:tc>
          <w:tcPr>
            <w:tcW w:w="1541" w:type="dxa"/>
            <w:tcBorders>
              <w:top w:val="single" w:sz="4" w:space="0" w:color="auto"/>
              <w:left w:val="single" w:sz="4" w:space="0" w:color="auto"/>
              <w:right w:val="single" w:sz="4" w:space="0" w:color="auto"/>
            </w:tcBorders>
            <w:shd w:val="clear" w:color="auto" w:fill="FFFFFF"/>
            <w:vAlign w:val="center"/>
          </w:tcPr>
          <w:p w:rsidR="00624593" w:rsidRPr="00CC3534" w:rsidRDefault="00624593" w:rsidP="00624593">
            <w:pPr>
              <w:widowControl w:val="0"/>
              <w:spacing w:after="0" w:line="240" w:lineRule="auto"/>
              <w:jc w:val="both"/>
              <w:rPr>
                <w:rFonts w:eastAsia="Times New Roman" w:cs="Times New Roman"/>
                <w:lang w:bidi="en-US"/>
              </w:rPr>
            </w:pPr>
            <w:r w:rsidRPr="00CC3534">
              <w:rPr>
                <w:rFonts w:eastAsia="Times New Roman" w:cs="Times New Roman"/>
                <w:lang w:bidi="en-US"/>
              </w:rPr>
              <w:t>0</w:t>
            </w:r>
          </w:p>
        </w:tc>
      </w:tr>
      <w:tr w:rsidR="00624593" w:rsidRPr="00CC3534" w:rsidTr="00253219">
        <w:trPr>
          <w:trHeight w:hRule="exact" w:val="264"/>
          <w:jc w:val="center"/>
        </w:trPr>
        <w:tc>
          <w:tcPr>
            <w:tcW w:w="1282"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2011</w:t>
            </w:r>
          </w:p>
        </w:tc>
        <w:tc>
          <w:tcPr>
            <w:tcW w:w="1560"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669</w:t>
            </w:r>
          </w:p>
        </w:tc>
        <w:tc>
          <w:tcPr>
            <w:tcW w:w="142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w:t>
            </w:r>
          </w:p>
        </w:tc>
        <w:tc>
          <w:tcPr>
            <w:tcW w:w="1349"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49</w:t>
            </w:r>
          </w:p>
        </w:tc>
        <w:tc>
          <w:tcPr>
            <w:tcW w:w="153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620</w:t>
            </w:r>
          </w:p>
        </w:tc>
        <w:tc>
          <w:tcPr>
            <w:tcW w:w="1541" w:type="dxa"/>
            <w:tcBorders>
              <w:top w:val="single" w:sz="4" w:space="0" w:color="auto"/>
              <w:left w:val="single" w:sz="4" w:space="0" w:color="auto"/>
              <w:right w:val="single" w:sz="4" w:space="0" w:color="auto"/>
            </w:tcBorders>
            <w:shd w:val="clear" w:color="auto" w:fill="FFFFFF"/>
            <w:vAlign w:val="center"/>
          </w:tcPr>
          <w:p w:rsidR="00624593" w:rsidRPr="00CC3534" w:rsidRDefault="00624593" w:rsidP="00624593">
            <w:pPr>
              <w:widowControl w:val="0"/>
              <w:spacing w:after="0" w:line="240" w:lineRule="auto"/>
              <w:jc w:val="both"/>
              <w:rPr>
                <w:rFonts w:eastAsia="Times New Roman" w:cs="Times New Roman"/>
                <w:lang w:bidi="en-US"/>
              </w:rPr>
            </w:pPr>
            <w:r w:rsidRPr="00CC3534">
              <w:rPr>
                <w:rFonts w:eastAsia="Times New Roman" w:cs="Times New Roman"/>
                <w:lang w:bidi="en-US"/>
              </w:rPr>
              <w:t>0</w:t>
            </w:r>
          </w:p>
        </w:tc>
      </w:tr>
      <w:tr w:rsidR="00624593" w:rsidRPr="00CC3534" w:rsidTr="00253219">
        <w:trPr>
          <w:trHeight w:hRule="exact" w:val="259"/>
          <w:jc w:val="center"/>
        </w:trPr>
        <w:tc>
          <w:tcPr>
            <w:tcW w:w="1282"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2012</w:t>
            </w:r>
          </w:p>
        </w:tc>
        <w:tc>
          <w:tcPr>
            <w:tcW w:w="1560"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752</w:t>
            </w:r>
          </w:p>
        </w:tc>
        <w:tc>
          <w:tcPr>
            <w:tcW w:w="142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w:t>
            </w:r>
          </w:p>
        </w:tc>
        <w:tc>
          <w:tcPr>
            <w:tcW w:w="1349"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50</w:t>
            </w:r>
          </w:p>
        </w:tc>
        <w:tc>
          <w:tcPr>
            <w:tcW w:w="153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701</w:t>
            </w:r>
          </w:p>
        </w:tc>
        <w:tc>
          <w:tcPr>
            <w:tcW w:w="1541" w:type="dxa"/>
            <w:tcBorders>
              <w:top w:val="single" w:sz="4" w:space="0" w:color="auto"/>
              <w:left w:val="single" w:sz="4" w:space="0" w:color="auto"/>
              <w:right w:val="single" w:sz="4" w:space="0" w:color="auto"/>
            </w:tcBorders>
            <w:shd w:val="clear" w:color="auto" w:fill="FFFFFF"/>
            <w:vAlign w:val="center"/>
          </w:tcPr>
          <w:p w:rsidR="00624593" w:rsidRPr="00CC3534" w:rsidRDefault="00624593" w:rsidP="00624593">
            <w:pPr>
              <w:widowControl w:val="0"/>
              <w:spacing w:after="0" w:line="240" w:lineRule="auto"/>
              <w:jc w:val="both"/>
              <w:rPr>
                <w:rFonts w:eastAsia="Times New Roman" w:cs="Times New Roman"/>
                <w:lang w:bidi="en-US"/>
              </w:rPr>
            </w:pPr>
            <w:r w:rsidRPr="00CC3534">
              <w:rPr>
                <w:rFonts w:eastAsia="Times New Roman" w:cs="Times New Roman"/>
                <w:lang w:bidi="en-US"/>
              </w:rPr>
              <w:t>1</w:t>
            </w:r>
          </w:p>
        </w:tc>
      </w:tr>
      <w:tr w:rsidR="00624593" w:rsidRPr="00CC3534" w:rsidTr="00253219">
        <w:trPr>
          <w:trHeight w:hRule="exact" w:val="264"/>
          <w:jc w:val="center"/>
        </w:trPr>
        <w:tc>
          <w:tcPr>
            <w:tcW w:w="1282"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2013</w:t>
            </w:r>
          </w:p>
        </w:tc>
        <w:tc>
          <w:tcPr>
            <w:tcW w:w="1560"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744</w:t>
            </w:r>
          </w:p>
        </w:tc>
        <w:tc>
          <w:tcPr>
            <w:tcW w:w="142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w:t>
            </w:r>
          </w:p>
        </w:tc>
        <w:tc>
          <w:tcPr>
            <w:tcW w:w="1349"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23</w:t>
            </w:r>
          </w:p>
        </w:tc>
        <w:tc>
          <w:tcPr>
            <w:tcW w:w="153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718</w:t>
            </w:r>
          </w:p>
        </w:tc>
        <w:tc>
          <w:tcPr>
            <w:tcW w:w="1541" w:type="dxa"/>
            <w:tcBorders>
              <w:top w:val="single" w:sz="4" w:space="0" w:color="auto"/>
              <w:left w:val="single" w:sz="4" w:space="0" w:color="auto"/>
              <w:right w:val="single" w:sz="4" w:space="0" w:color="auto"/>
            </w:tcBorders>
            <w:shd w:val="clear" w:color="auto" w:fill="FFFFFF"/>
            <w:vAlign w:val="center"/>
          </w:tcPr>
          <w:p w:rsidR="00624593" w:rsidRPr="00CC3534" w:rsidRDefault="00624593" w:rsidP="00624593">
            <w:pPr>
              <w:widowControl w:val="0"/>
              <w:spacing w:after="0" w:line="240" w:lineRule="auto"/>
              <w:jc w:val="both"/>
              <w:rPr>
                <w:rFonts w:eastAsia="Times New Roman" w:cs="Times New Roman"/>
                <w:lang w:bidi="en-US"/>
              </w:rPr>
            </w:pPr>
            <w:r w:rsidRPr="00CC3534">
              <w:rPr>
                <w:rFonts w:eastAsia="Times New Roman" w:cs="Times New Roman"/>
                <w:lang w:bidi="en-US"/>
              </w:rPr>
              <w:t>3</w:t>
            </w:r>
          </w:p>
        </w:tc>
      </w:tr>
      <w:tr w:rsidR="00624593" w:rsidRPr="00CC3534" w:rsidTr="00253219">
        <w:trPr>
          <w:trHeight w:hRule="exact" w:val="264"/>
          <w:jc w:val="center"/>
        </w:trPr>
        <w:tc>
          <w:tcPr>
            <w:tcW w:w="1282"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2014</w:t>
            </w:r>
          </w:p>
        </w:tc>
        <w:tc>
          <w:tcPr>
            <w:tcW w:w="1560"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971</w:t>
            </w:r>
          </w:p>
        </w:tc>
        <w:tc>
          <w:tcPr>
            <w:tcW w:w="142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w:t>
            </w:r>
          </w:p>
        </w:tc>
        <w:tc>
          <w:tcPr>
            <w:tcW w:w="1349"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48</w:t>
            </w:r>
          </w:p>
        </w:tc>
        <w:tc>
          <w:tcPr>
            <w:tcW w:w="153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921</w:t>
            </w:r>
          </w:p>
        </w:tc>
        <w:tc>
          <w:tcPr>
            <w:tcW w:w="1541" w:type="dxa"/>
            <w:tcBorders>
              <w:top w:val="single" w:sz="4" w:space="0" w:color="auto"/>
              <w:left w:val="single" w:sz="4" w:space="0" w:color="auto"/>
              <w:right w:val="single" w:sz="4" w:space="0" w:color="auto"/>
            </w:tcBorders>
            <w:shd w:val="clear" w:color="auto" w:fill="FFFFFF"/>
            <w:vAlign w:val="center"/>
          </w:tcPr>
          <w:p w:rsidR="00624593" w:rsidRPr="00CC3534" w:rsidRDefault="00624593" w:rsidP="00624593">
            <w:pPr>
              <w:widowControl w:val="0"/>
              <w:spacing w:after="0" w:line="240" w:lineRule="auto"/>
              <w:jc w:val="both"/>
              <w:rPr>
                <w:rFonts w:eastAsia="Times New Roman" w:cs="Times New Roman"/>
                <w:lang w:bidi="en-US"/>
              </w:rPr>
            </w:pPr>
            <w:r w:rsidRPr="00CC3534">
              <w:rPr>
                <w:rFonts w:eastAsia="Times New Roman" w:cs="Times New Roman"/>
                <w:lang w:bidi="en-US"/>
              </w:rPr>
              <w:t>2</w:t>
            </w:r>
          </w:p>
        </w:tc>
      </w:tr>
      <w:tr w:rsidR="00624593" w:rsidRPr="00CC3534" w:rsidTr="00253219">
        <w:trPr>
          <w:trHeight w:hRule="exact" w:val="264"/>
          <w:jc w:val="center"/>
        </w:trPr>
        <w:tc>
          <w:tcPr>
            <w:tcW w:w="1282" w:type="dxa"/>
            <w:tcBorders>
              <w:top w:val="single" w:sz="4" w:space="0" w:color="auto"/>
              <w:left w:val="single" w:sz="4" w:space="0" w:color="auto"/>
            </w:tcBorders>
            <w:shd w:val="clear" w:color="auto" w:fill="FFFFFF"/>
            <w:vAlign w:val="bottom"/>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2015</w:t>
            </w:r>
          </w:p>
        </w:tc>
        <w:tc>
          <w:tcPr>
            <w:tcW w:w="1560" w:type="dxa"/>
            <w:tcBorders>
              <w:top w:val="single" w:sz="4" w:space="0" w:color="auto"/>
              <w:left w:val="single" w:sz="4" w:space="0" w:color="auto"/>
            </w:tcBorders>
            <w:shd w:val="clear" w:color="auto" w:fill="FFFFFF"/>
            <w:vAlign w:val="bottom"/>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1 040</w:t>
            </w:r>
          </w:p>
        </w:tc>
        <w:tc>
          <w:tcPr>
            <w:tcW w:w="1421" w:type="dxa"/>
            <w:tcBorders>
              <w:top w:val="single" w:sz="4" w:space="0" w:color="auto"/>
              <w:left w:val="single" w:sz="4" w:space="0" w:color="auto"/>
            </w:tcBorders>
            <w:shd w:val="clear" w:color="auto" w:fill="FFFFFF"/>
            <w:vAlign w:val="bottom"/>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w:t>
            </w:r>
          </w:p>
        </w:tc>
        <w:tc>
          <w:tcPr>
            <w:tcW w:w="1349" w:type="dxa"/>
            <w:tcBorders>
              <w:top w:val="single" w:sz="4" w:space="0" w:color="auto"/>
              <w:left w:val="single" w:sz="4" w:space="0" w:color="auto"/>
            </w:tcBorders>
            <w:shd w:val="clear" w:color="auto" w:fill="FFFFFF"/>
            <w:vAlign w:val="bottom"/>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43</w:t>
            </w:r>
          </w:p>
        </w:tc>
        <w:tc>
          <w:tcPr>
            <w:tcW w:w="1531" w:type="dxa"/>
            <w:tcBorders>
              <w:top w:val="single" w:sz="4" w:space="0" w:color="auto"/>
              <w:left w:val="single" w:sz="4" w:space="0" w:color="auto"/>
            </w:tcBorders>
            <w:shd w:val="clear" w:color="auto" w:fill="FFFFFF"/>
            <w:vAlign w:val="bottom"/>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996</w:t>
            </w:r>
          </w:p>
        </w:tc>
        <w:tc>
          <w:tcPr>
            <w:tcW w:w="1541" w:type="dxa"/>
            <w:tcBorders>
              <w:top w:val="single" w:sz="4" w:space="0" w:color="auto"/>
              <w:left w:val="single" w:sz="4" w:space="0" w:color="auto"/>
              <w:right w:val="single" w:sz="4" w:space="0" w:color="auto"/>
            </w:tcBorders>
            <w:shd w:val="clear" w:color="auto" w:fill="FFFFFF"/>
            <w:vAlign w:val="bottom"/>
          </w:tcPr>
          <w:p w:rsidR="00624593" w:rsidRPr="00CC3534" w:rsidRDefault="00624593" w:rsidP="00624593">
            <w:pPr>
              <w:widowControl w:val="0"/>
              <w:spacing w:after="0" w:line="240" w:lineRule="auto"/>
              <w:jc w:val="both"/>
              <w:rPr>
                <w:rFonts w:eastAsia="Times New Roman" w:cs="Times New Roman"/>
                <w:lang w:bidi="en-US"/>
              </w:rPr>
            </w:pPr>
            <w:r w:rsidRPr="00CC3534">
              <w:rPr>
                <w:rFonts w:eastAsia="Times New Roman" w:cs="Times New Roman"/>
                <w:lang w:bidi="en-US"/>
              </w:rPr>
              <w:t>1</w:t>
            </w:r>
          </w:p>
        </w:tc>
      </w:tr>
      <w:tr w:rsidR="00624593" w:rsidRPr="00CC3534" w:rsidTr="00253219">
        <w:trPr>
          <w:trHeight w:hRule="exact" w:val="259"/>
          <w:jc w:val="center"/>
        </w:trPr>
        <w:tc>
          <w:tcPr>
            <w:tcW w:w="1282" w:type="dxa"/>
            <w:tcBorders>
              <w:top w:val="single" w:sz="4" w:space="0" w:color="auto"/>
              <w:left w:val="single" w:sz="4" w:space="0" w:color="auto"/>
            </w:tcBorders>
            <w:shd w:val="clear" w:color="auto" w:fill="FFFFFF"/>
            <w:vAlign w:val="bottom"/>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2016</w:t>
            </w:r>
          </w:p>
        </w:tc>
        <w:tc>
          <w:tcPr>
            <w:tcW w:w="1560" w:type="dxa"/>
            <w:tcBorders>
              <w:top w:val="single" w:sz="4" w:space="0" w:color="auto"/>
              <w:left w:val="single" w:sz="4" w:space="0" w:color="auto"/>
            </w:tcBorders>
            <w:shd w:val="clear" w:color="auto" w:fill="FFFFFF"/>
            <w:vAlign w:val="bottom"/>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1 098</w:t>
            </w:r>
          </w:p>
        </w:tc>
        <w:tc>
          <w:tcPr>
            <w:tcW w:w="142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w:t>
            </w:r>
          </w:p>
        </w:tc>
        <w:tc>
          <w:tcPr>
            <w:tcW w:w="1349" w:type="dxa"/>
            <w:tcBorders>
              <w:top w:val="single" w:sz="4" w:space="0" w:color="auto"/>
              <w:left w:val="single" w:sz="4" w:space="0" w:color="auto"/>
            </w:tcBorders>
            <w:shd w:val="clear" w:color="auto" w:fill="FFFFFF"/>
            <w:vAlign w:val="bottom"/>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55</w:t>
            </w:r>
          </w:p>
        </w:tc>
        <w:tc>
          <w:tcPr>
            <w:tcW w:w="1531" w:type="dxa"/>
            <w:tcBorders>
              <w:top w:val="single" w:sz="4" w:space="0" w:color="auto"/>
              <w:left w:val="single" w:sz="4" w:space="0" w:color="auto"/>
            </w:tcBorders>
            <w:shd w:val="clear" w:color="auto" w:fill="FFFFFF"/>
            <w:vAlign w:val="bottom"/>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1 042</w:t>
            </w:r>
          </w:p>
        </w:tc>
        <w:tc>
          <w:tcPr>
            <w:tcW w:w="1541" w:type="dxa"/>
            <w:tcBorders>
              <w:top w:val="single" w:sz="4" w:space="0" w:color="auto"/>
              <w:left w:val="single" w:sz="4" w:space="0" w:color="auto"/>
              <w:right w:val="single" w:sz="4" w:space="0" w:color="auto"/>
            </w:tcBorders>
            <w:shd w:val="clear" w:color="auto" w:fill="FFFFFF"/>
            <w:vAlign w:val="bottom"/>
          </w:tcPr>
          <w:p w:rsidR="00624593" w:rsidRPr="00CC3534" w:rsidRDefault="00624593" w:rsidP="00624593">
            <w:pPr>
              <w:widowControl w:val="0"/>
              <w:spacing w:after="0" w:line="240" w:lineRule="auto"/>
              <w:jc w:val="both"/>
              <w:rPr>
                <w:rFonts w:eastAsia="Times New Roman" w:cs="Times New Roman"/>
                <w:lang w:bidi="en-US"/>
              </w:rPr>
            </w:pPr>
            <w:r w:rsidRPr="00CC3534">
              <w:rPr>
                <w:rFonts w:eastAsia="Times New Roman" w:cs="Times New Roman"/>
                <w:lang w:bidi="en-US"/>
              </w:rPr>
              <w:t>1</w:t>
            </w:r>
          </w:p>
        </w:tc>
      </w:tr>
      <w:tr w:rsidR="00624593" w:rsidRPr="00CC3534" w:rsidTr="00253219">
        <w:trPr>
          <w:trHeight w:hRule="exact" w:val="264"/>
          <w:jc w:val="center"/>
        </w:trPr>
        <w:tc>
          <w:tcPr>
            <w:tcW w:w="1282" w:type="dxa"/>
            <w:tcBorders>
              <w:top w:val="single" w:sz="4" w:space="0" w:color="auto"/>
              <w:left w:val="single" w:sz="4" w:space="0" w:color="auto"/>
            </w:tcBorders>
            <w:shd w:val="clear" w:color="auto" w:fill="FFFFFF"/>
            <w:vAlign w:val="bottom"/>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2017</w:t>
            </w:r>
          </w:p>
        </w:tc>
        <w:tc>
          <w:tcPr>
            <w:tcW w:w="1560" w:type="dxa"/>
            <w:tcBorders>
              <w:top w:val="single" w:sz="4" w:space="0" w:color="auto"/>
              <w:left w:val="single" w:sz="4" w:space="0" w:color="auto"/>
            </w:tcBorders>
            <w:shd w:val="clear" w:color="auto" w:fill="FFFFFF"/>
            <w:vAlign w:val="bottom"/>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1 057</w:t>
            </w:r>
          </w:p>
        </w:tc>
        <w:tc>
          <w:tcPr>
            <w:tcW w:w="1421" w:type="dxa"/>
            <w:tcBorders>
              <w:top w:val="single" w:sz="4" w:space="0" w:color="auto"/>
              <w:left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w:t>
            </w:r>
          </w:p>
        </w:tc>
        <w:tc>
          <w:tcPr>
            <w:tcW w:w="1349" w:type="dxa"/>
            <w:tcBorders>
              <w:top w:val="single" w:sz="4" w:space="0" w:color="auto"/>
              <w:left w:val="single" w:sz="4" w:space="0" w:color="auto"/>
            </w:tcBorders>
            <w:shd w:val="clear" w:color="auto" w:fill="FFFFFF"/>
            <w:vAlign w:val="bottom"/>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22</w:t>
            </w:r>
          </w:p>
        </w:tc>
        <w:tc>
          <w:tcPr>
            <w:tcW w:w="1531" w:type="dxa"/>
            <w:tcBorders>
              <w:top w:val="single" w:sz="4" w:space="0" w:color="auto"/>
              <w:left w:val="single" w:sz="4" w:space="0" w:color="auto"/>
            </w:tcBorders>
            <w:shd w:val="clear" w:color="auto" w:fill="FFFFFF"/>
            <w:vAlign w:val="bottom"/>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1 035</w:t>
            </w:r>
          </w:p>
        </w:tc>
        <w:tc>
          <w:tcPr>
            <w:tcW w:w="1541" w:type="dxa"/>
            <w:tcBorders>
              <w:top w:val="single" w:sz="4" w:space="0" w:color="auto"/>
              <w:left w:val="single" w:sz="4" w:space="0" w:color="auto"/>
              <w:right w:val="single" w:sz="4" w:space="0" w:color="auto"/>
            </w:tcBorders>
            <w:shd w:val="clear" w:color="auto" w:fill="FFFFFF"/>
            <w:vAlign w:val="bottom"/>
          </w:tcPr>
          <w:p w:rsidR="00624593" w:rsidRPr="00CC3534" w:rsidRDefault="00624593" w:rsidP="00624593">
            <w:pPr>
              <w:widowControl w:val="0"/>
              <w:spacing w:after="0" w:line="240" w:lineRule="auto"/>
              <w:jc w:val="both"/>
              <w:rPr>
                <w:rFonts w:eastAsia="Times New Roman" w:cs="Times New Roman"/>
                <w:lang w:bidi="en-US"/>
              </w:rPr>
            </w:pPr>
            <w:r w:rsidRPr="00CC3534">
              <w:rPr>
                <w:rFonts w:eastAsia="Times New Roman" w:cs="Times New Roman"/>
                <w:lang w:bidi="en-US"/>
              </w:rPr>
              <w:t>0</w:t>
            </w:r>
          </w:p>
        </w:tc>
      </w:tr>
      <w:tr w:rsidR="00624593" w:rsidRPr="00CC3534" w:rsidTr="00253219">
        <w:trPr>
          <w:trHeight w:hRule="exact" w:val="274"/>
          <w:jc w:val="center"/>
        </w:trPr>
        <w:tc>
          <w:tcPr>
            <w:tcW w:w="1282" w:type="dxa"/>
            <w:tcBorders>
              <w:top w:val="single" w:sz="4" w:space="0" w:color="auto"/>
              <w:left w:val="single" w:sz="4" w:space="0" w:color="auto"/>
              <w:bottom w:val="single" w:sz="4" w:space="0" w:color="auto"/>
            </w:tcBorders>
            <w:shd w:val="clear" w:color="auto" w:fill="FFFFFF"/>
            <w:vAlign w:val="bottom"/>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2018</w:t>
            </w:r>
          </w:p>
        </w:tc>
        <w:tc>
          <w:tcPr>
            <w:tcW w:w="1560" w:type="dxa"/>
            <w:tcBorders>
              <w:top w:val="single" w:sz="4" w:space="0" w:color="auto"/>
              <w:left w:val="single" w:sz="4" w:space="0" w:color="auto"/>
              <w:bottom w:val="single" w:sz="4" w:space="0" w:color="auto"/>
            </w:tcBorders>
            <w:shd w:val="clear" w:color="auto" w:fill="FFFFFF"/>
            <w:vAlign w:val="bottom"/>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1 076</w:t>
            </w:r>
          </w:p>
        </w:tc>
        <w:tc>
          <w:tcPr>
            <w:tcW w:w="1421" w:type="dxa"/>
            <w:tcBorders>
              <w:top w:val="single" w:sz="4" w:space="0" w:color="auto"/>
              <w:left w:val="single" w:sz="4" w:space="0" w:color="auto"/>
              <w:bottom w:val="single" w:sz="4" w:space="0" w:color="auto"/>
            </w:tcBorders>
            <w:shd w:val="clear" w:color="auto" w:fill="FFFFFF"/>
            <w:vAlign w:val="center"/>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w:t>
            </w:r>
          </w:p>
        </w:tc>
        <w:tc>
          <w:tcPr>
            <w:tcW w:w="1349" w:type="dxa"/>
            <w:tcBorders>
              <w:top w:val="single" w:sz="4" w:space="0" w:color="auto"/>
              <w:left w:val="single" w:sz="4" w:space="0" w:color="auto"/>
              <w:bottom w:val="single" w:sz="4" w:space="0" w:color="auto"/>
            </w:tcBorders>
            <w:shd w:val="clear" w:color="auto" w:fill="FFFFFF"/>
            <w:vAlign w:val="bottom"/>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25</w:t>
            </w:r>
          </w:p>
        </w:tc>
        <w:tc>
          <w:tcPr>
            <w:tcW w:w="1531" w:type="dxa"/>
            <w:tcBorders>
              <w:top w:val="single" w:sz="4" w:space="0" w:color="auto"/>
              <w:left w:val="single" w:sz="4" w:space="0" w:color="auto"/>
              <w:bottom w:val="single" w:sz="4" w:space="0" w:color="auto"/>
            </w:tcBorders>
            <w:shd w:val="clear" w:color="auto" w:fill="FFFFFF"/>
            <w:vAlign w:val="bottom"/>
          </w:tcPr>
          <w:p w:rsidR="00624593" w:rsidRPr="00CC3534" w:rsidRDefault="00624593" w:rsidP="00624593">
            <w:pPr>
              <w:widowControl w:val="0"/>
              <w:spacing w:after="0" w:line="240" w:lineRule="auto"/>
              <w:rPr>
                <w:rFonts w:eastAsia="Times New Roman" w:cs="Times New Roman"/>
                <w:lang w:bidi="en-US"/>
              </w:rPr>
            </w:pPr>
            <w:r w:rsidRPr="00CC3534">
              <w:rPr>
                <w:rFonts w:eastAsia="Times New Roman" w:cs="Times New Roman"/>
                <w:lang w:bidi="en-US"/>
              </w:rPr>
              <w:t>1 050</w:t>
            </w:r>
          </w:p>
        </w:tc>
        <w:tc>
          <w:tcPr>
            <w:tcW w:w="1541" w:type="dxa"/>
            <w:tcBorders>
              <w:top w:val="single" w:sz="4" w:space="0" w:color="auto"/>
              <w:left w:val="single" w:sz="4" w:space="0" w:color="auto"/>
              <w:bottom w:val="single" w:sz="4" w:space="0" w:color="auto"/>
              <w:right w:val="single" w:sz="4" w:space="0" w:color="auto"/>
            </w:tcBorders>
            <w:shd w:val="clear" w:color="auto" w:fill="FFFFFF"/>
            <w:vAlign w:val="bottom"/>
          </w:tcPr>
          <w:p w:rsidR="00624593" w:rsidRPr="00CC3534" w:rsidRDefault="00624593" w:rsidP="00624593">
            <w:pPr>
              <w:widowControl w:val="0"/>
              <w:spacing w:after="0" w:line="240" w:lineRule="auto"/>
              <w:jc w:val="both"/>
              <w:rPr>
                <w:rFonts w:eastAsia="Times New Roman" w:cs="Times New Roman"/>
                <w:lang w:bidi="en-US"/>
              </w:rPr>
            </w:pPr>
            <w:r w:rsidRPr="00CC3534">
              <w:rPr>
                <w:rFonts w:eastAsia="Times New Roman" w:cs="Times New Roman"/>
                <w:lang w:bidi="en-US"/>
              </w:rPr>
              <w:t>1</w:t>
            </w:r>
          </w:p>
        </w:tc>
      </w:tr>
    </w:tbl>
    <w:p w:rsidR="00624593" w:rsidRPr="00CC3534" w:rsidRDefault="00624593" w:rsidP="00624593">
      <w:pPr>
        <w:widowControl w:val="0"/>
        <w:spacing w:after="0" w:line="240" w:lineRule="auto"/>
        <w:rPr>
          <w:rFonts w:eastAsia="Times New Roman" w:cs="Times New Roman"/>
          <w:sz w:val="20"/>
          <w:szCs w:val="20"/>
          <w:lang w:bidi="en-US"/>
        </w:rPr>
      </w:pPr>
      <w:r w:rsidRPr="00CC3534">
        <w:rPr>
          <w:rFonts w:eastAsia="Times New Roman" w:cs="Times New Roman"/>
          <w:sz w:val="20"/>
          <w:szCs w:val="20"/>
          <w:lang w:bidi="en-US"/>
        </w:rPr>
        <w:t>* Chociaż w sprawozdaniu rządu podano ogólną liczbę aborcji w 1999 r. jako 151, liczba aborcji wymienionych w ramach poszczególnych przyczyn wynosi tylko 145.</w:t>
      </w:r>
    </w:p>
    <w:p w:rsidR="00624593" w:rsidRPr="00CC3534" w:rsidRDefault="00624593" w:rsidP="00624593">
      <w:pPr>
        <w:widowControl w:val="0"/>
        <w:spacing w:after="259" w:line="1" w:lineRule="exact"/>
        <w:rPr>
          <w:rFonts w:eastAsia="Arial Unicode MS" w:cs="Arial Unicode MS"/>
          <w:color w:val="000000"/>
          <w:sz w:val="24"/>
          <w:szCs w:val="24"/>
          <w:lang w:bidi="en-US"/>
        </w:rPr>
      </w:pPr>
    </w:p>
    <w:p w:rsidR="00624593" w:rsidRPr="00CC3534" w:rsidRDefault="00624593" w:rsidP="00CC3534">
      <w:pPr>
        <w:widowControl w:val="0"/>
        <w:spacing w:before="120" w:after="0" w:line="240" w:lineRule="auto"/>
        <w:rPr>
          <w:rFonts w:eastAsia="Times New Roman" w:cs="Times New Roman"/>
          <w:sz w:val="24"/>
          <w:szCs w:val="24"/>
          <w:lang w:bidi="en-US"/>
        </w:rPr>
      </w:pPr>
      <w:r w:rsidRPr="00CC3534">
        <w:rPr>
          <w:rFonts w:eastAsia="Times New Roman" w:cs="Times New Roman"/>
          <w:sz w:val="24"/>
          <w:szCs w:val="24"/>
          <w:lang w:bidi="en-US"/>
        </w:rPr>
        <w:t xml:space="preserve">Załącznik 2 </w:t>
      </w:r>
    </w:p>
    <w:p w:rsidR="00CC3534" w:rsidRPr="00CC3534" w:rsidRDefault="00624593" w:rsidP="00CC3534">
      <w:pPr>
        <w:widowControl w:val="0"/>
        <w:spacing w:before="120" w:after="0" w:line="240" w:lineRule="auto"/>
        <w:rPr>
          <w:rFonts w:eastAsia="Times New Roman" w:cs="Times New Roman"/>
          <w:b/>
          <w:bCs/>
          <w:sz w:val="24"/>
          <w:szCs w:val="24"/>
          <w:lang w:bidi="en-US"/>
        </w:rPr>
      </w:pPr>
      <w:r w:rsidRPr="00CC3534">
        <w:rPr>
          <w:rFonts w:eastAsia="Times New Roman" w:cs="Times New Roman"/>
          <w:b/>
          <w:bCs/>
          <w:sz w:val="24"/>
          <w:szCs w:val="24"/>
          <w:lang w:bidi="en-US"/>
        </w:rPr>
        <w:t>Legalne aborcje według wieku kobiet (2018, 2017) oraz badania prenatalne według wieku kobiet i województw (2017)</w:t>
      </w:r>
      <w:r w:rsidRPr="00CC3534">
        <w:rPr>
          <w:rFonts w:eastAsia="Times New Roman" w:cs="Times New Roman"/>
          <w:sz w:val="24"/>
          <w:szCs w:val="24"/>
          <w:vertAlign w:val="superscript"/>
          <w:lang w:bidi="en-US"/>
        </w:rPr>
        <w:footnoteReference w:id="70"/>
      </w:r>
    </w:p>
    <w:p w:rsidR="00624593" w:rsidRPr="00CC3534" w:rsidRDefault="00624593" w:rsidP="00624593">
      <w:pPr>
        <w:widowControl w:val="0"/>
        <w:spacing w:after="400" w:line="240" w:lineRule="auto"/>
        <w:rPr>
          <w:rFonts w:ascii="Times New Roman" w:eastAsia="Times New Roman" w:hAnsi="Times New Roman" w:cs="Times New Roman"/>
          <w:b/>
          <w:bCs/>
          <w:sz w:val="28"/>
          <w:szCs w:val="28"/>
          <w:lang w:bidi="en-US"/>
        </w:rPr>
      </w:pPr>
      <w:r>
        <w:rPr>
          <w:noProof/>
          <w:lang w:eastAsia="pl-PL"/>
        </w:rPr>
        <w:lastRenderedPageBreak/>
        <w:drawing>
          <wp:anchor distT="0" distB="0" distL="114300" distR="114300" simplePos="0" relativeHeight="251668480" behindDoc="1" locked="0" layoutInCell="1" allowOverlap="1" wp14:anchorId="380410FC" wp14:editId="0F0C77A8">
            <wp:simplePos x="0" y="0"/>
            <wp:positionH relativeFrom="column">
              <wp:posOffset>0</wp:posOffset>
            </wp:positionH>
            <wp:positionV relativeFrom="paragraph">
              <wp:posOffset>433705</wp:posOffset>
            </wp:positionV>
            <wp:extent cx="3126740" cy="2070100"/>
            <wp:effectExtent l="0" t="0" r="0" b="6350"/>
            <wp:wrapTight wrapText="bothSides">
              <wp:wrapPolygon edited="0">
                <wp:start x="0" y="0"/>
                <wp:lineTo x="0" y="21467"/>
                <wp:lineTo x="21451" y="21467"/>
                <wp:lineTo x="21451"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26740" cy="2070100"/>
                    </a:xfrm>
                    <a:prstGeom prst="rect">
                      <a:avLst/>
                    </a:prstGeom>
                  </pic:spPr>
                </pic:pic>
              </a:graphicData>
            </a:graphic>
          </wp:anchor>
        </w:drawing>
      </w:r>
    </w:p>
    <w:p w:rsidR="00624593" w:rsidRPr="00624593" w:rsidRDefault="00624593" w:rsidP="00624593">
      <w:pPr>
        <w:widowControl w:val="0"/>
        <w:spacing w:after="220" w:line="252" w:lineRule="auto"/>
        <w:jc w:val="center"/>
        <w:rPr>
          <w:rFonts w:ascii="Calibri" w:eastAsia="Calibri" w:hAnsi="Calibri" w:cs="Calibri"/>
          <w:b/>
          <w:bCs/>
          <w:color w:val="595959"/>
          <w:sz w:val="20"/>
          <w:szCs w:val="20"/>
          <w:lang w:bidi="en-US"/>
        </w:rPr>
      </w:pPr>
      <w:r w:rsidRPr="00624593">
        <w:rPr>
          <w:rFonts w:ascii="Calibri" w:eastAsia="Calibri" w:hAnsi="Calibri" w:cs="Calibri"/>
          <w:b/>
          <w:bCs/>
          <w:color w:val="595959"/>
          <w:sz w:val="20"/>
          <w:szCs w:val="20"/>
          <w:lang w:bidi="en-US"/>
        </w:rPr>
        <w:t>Liczba legalnych aborcji w 2018 r., 2017 r. według wieku kobiet</w:t>
      </w:r>
      <w:r w:rsidRPr="00624593">
        <w:rPr>
          <w:rFonts w:ascii="Calibri" w:eastAsia="Calibri" w:hAnsi="Calibri" w:cs="Calibri"/>
          <w:b/>
          <w:bCs/>
          <w:color w:val="595959"/>
          <w:sz w:val="20"/>
          <w:szCs w:val="20"/>
          <w:lang w:bidi="en-US"/>
        </w:rPr>
        <w:br/>
      </w:r>
    </w:p>
    <w:p w:rsidR="00624593" w:rsidRPr="00624593" w:rsidRDefault="00624593" w:rsidP="00624593">
      <w:pPr>
        <w:framePr w:w="5158" w:h="3211" w:hSpace="850" w:wrap="notBeside" w:vAnchor="text" w:hAnchor="text" w:y="-3"/>
        <w:widowControl w:val="0"/>
        <w:spacing w:after="0" w:line="240" w:lineRule="auto"/>
        <w:rPr>
          <w:rFonts w:ascii="Arial Unicode MS" w:eastAsia="Arial Unicode MS" w:hAnsi="Arial Unicode MS" w:cs="Arial Unicode MS"/>
          <w:color w:val="000000"/>
          <w:sz w:val="2"/>
          <w:szCs w:val="2"/>
          <w:lang w:bidi="en-US"/>
        </w:rPr>
      </w:pPr>
    </w:p>
    <w:p w:rsidR="00624593" w:rsidRPr="00624593" w:rsidRDefault="00624593" w:rsidP="00624593">
      <w:pPr>
        <w:widowControl w:val="0"/>
        <w:spacing w:after="0" w:line="1" w:lineRule="exact"/>
        <w:rPr>
          <w:rFonts w:ascii="Arial Unicode MS" w:eastAsia="Arial Unicode MS" w:hAnsi="Arial Unicode MS" w:cs="Arial Unicode MS"/>
          <w:color w:val="000000"/>
          <w:sz w:val="24"/>
          <w:szCs w:val="24"/>
          <w:lang w:bidi="en-US"/>
        </w:rPr>
      </w:pPr>
    </w:p>
    <w:p w:rsidR="00624593" w:rsidRPr="00624593" w:rsidRDefault="00624593" w:rsidP="00624593">
      <w:pPr>
        <w:widowControl w:val="0"/>
        <w:spacing w:after="0" w:line="233" w:lineRule="auto"/>
        <w:jc w:val="center"/>
        <w:rPr>
          <w:rFonts w:ascii="Calibri" w:eastAsia="Calibri" w:hAnsi="Calibri" w:cs="Calibri"/>
          <w:b/>
          <w:bCs/>
          <w:color w:val="707070"/>
          <w:sz w:val="16"/>
          <w:szCs w:val="16"/>
          <w:lang w:bidi="en-US"/>
        </w:rPr>
      </w:pPr>
    </w:p>
    <w:p w:rsidR="00624593" w:rsidRPr="00624593" w:rsidRDefault="00624593" w:rsidP="00624593">
      <w:pPr>
        <w:widowControl w:val="0"/>
        <w:spacing w:after="0" w:line="233" w:lineRule="auto"/>
        <w:jc w:val="center"/>
        <w:rPr>
          <w:rFonts w:ascii="Calibri" w:eastAsia="Calibri" w:hAnsi="Calibri" w:cs="Calibri"/>
          <w:b/>
          <w:bCs/>
          <w:color w:val="707070"/>
          <w:sz w:val="16"/>
          <w:szCs w:val="16"/>
          <w:lang w:bidi="en-US"/>
        </w:rPr>
      </w:pPr>
    </w:p>
    <w:p w:rsidR="00624593" w:rsidRPr="00624593" w:rsidRDefault="00624593" w:rsidP="00624593">
      <w:pPr>
        <w:widowControl w:val="0"/>
        <w:spacing w:after="0" w:line="233" w:lineRule="auto"/>
        <w:jc w:val="center"/>
        <w:rPr>
          <w:rFonts w:ascii="Calibri" w:eastAsia="Calibri" w:hAnsi="Calibri" w:cs="Calibri"/>
          <w:b/>
          <w:bCs/>
          <w:color w:val="707070"/>
          <w:sz w:val="20"/>
          <w:szCs w:val="16"/>
          <w:lang w:bidi="en-US"/>
        </w:rPr>
      </w:pPr>
      <w:r w:rsidRPr="00624593">
        <w:rPr>
          <w:rFonts w:ascii="Calibri" w:eastAsia="Calibri" w:hAnsi="Calibri" w:cs="Calibri"/>
          <w:b/>
          <w:bCs/>
          <w:color w:val="707070"/>
          <w:sz w:val="20"/>
          <w:szCs w:val="16"/>
          <w:lang w:bidi="en-US"/>
        </w:rPr>
        <w:t>Realizacja programu badań prenatalnych w 2017 r. według wieku kobiet i województw</w:t>
      </w:r>
    </w:p>
    <w:p w:rsidR="00624593" w:rsidRPr="00624593" w:rsidRDefault="00624593" w:rsidP="00624593">
      <w:pPr>
        <w:widowControl w:val="0"/>
        <w:spacing w:after="0" w:line="233" w:lineRule="auto"/>
        <w:jc w:val="center"/>
        <w:rPr>
          <w:rFonts w:ascii="Calibri" w:eastAsia="Calibri" w:hAnsi="Calibri" w:cs="Calibri"/>
          <w:b/>
          <w:bCs/>
          <w:color w:val="707070"/>
          <w:sz w:val="20"/>
          <w:szCs w:val="16"/>
          <w:lang w:bidi="en-US"/>
        </w:rPr>
      </w:pPr>
    </w:p>
    <w:p w:rsidR="00624593" w:rsidRPr="00624593" w:rsidRDefault="00624593" w:rsidP="00624593">
      <w:pPr>
        <w:widowControl w:val="0"/>
        <w:spacing w:after="0" w:line="240" w:lineRule="auto"/>
        <w:jc w:val="center"/>
        <w:rPr>
          <w:rFonts w:ascii="Arial Unicode MS" w:eastAsia="Arial Unicode MS" w:hAnsi="Arial Unicode MS" w:cs="Arial Unicode MS"/>
          <w:color w:val="000000"/>
          <w:sz w:val="2"/>
          <w:szCs w:val="2"/>
          <w:lang w:bidi="en-US"/>
        </w:rPr>
      </w:pPr>
      <w:r w:rsidRPr="00624593">
        <w:rPr>
          <w:rFonts w:ascii="Arial Unicode MS" w:eastAsia="Arial Unicode MS" w:hAnsi="Arial Unicode MS" w:cs="Arial Unicode MS"/>
          <w:noProof/>
          <w:color w:val="000000"/>
          <w:sz w:val="24"/>
          <w:szCs w:val="24"/>
          <w:lang w:eastAsia="pl-PL"/>
        </w:rPr>
        <w:drawing>
          <wp:inline distT="0" distB="0" distL="0" distR="0" wp14:anchorId="1B20F6B9" wp14:editId="5AA5DFA9">
            <wp:extent cx="5504815" cy="2780030"/>
            <wp:effectExtent l="0" t="0" r="0" b="0"/>
            <wp:docPr id="6"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a:stretch/>
                  </pic:blipFill>
                  <pic:spPr>
                    <a:xfrm>
                      <a:off x="0" y="0"/>
                      <a:ext cx="5504815" cy="2780030"/>
                    </a:xfrm>
                    <a:prstGeom prst="rect">
                      <a:avLst/>
                    </a:prstGeom>
                  </pic:spPr>
                </pic:pic>
              </a:graphicData>
            </a:graphic>
          </wp:inline>
        </w:drawing>
      </w:r>
    </w:p>
    <w:p w:rsidR="00624593" w:rsidRPr="00624593" w:rsidRDefault="00624593" w:rsidP="00624593">
      <w:pPr>
        <w:widowControl w:val="0"/>
        <w:tabs>
          <w:tab w:val="left" w:pos="4258"/>
        </w:tabs>
        <w:spacing w:after="0" w:line="240" w:lineRule="auto"/>
        <w:ind w:left="3269"/>
        <w:rPr>
          <w:rFonts w:ascii="Calibri" w:eastAsia="Calibri" w:hAnsi="Calibri" w:cs="Calibri"/>
          <w:b/>
          <w:bCs/>
          <w:color w:val="707070"/>
          <w:sz w:val="11"/>
          <w:szCs w:val="11"/>
          <w:lang w:bidi="en-US"/>
        </w:rPr>
      </w:pPr>
      <w:r w:rsidRPr="00624593">
        <w:rPr>
          <w:rFonts w:ascii="Arial" w:eastAsia="Calibri" w:hAnsi="Arial" w:cs="Calibri"/>
          <w:b/>
          <w:bCs/>
          <w:color w:val="6498C8"/>
          <w:sz w:val="11"/>
          <w:szCs w:val="11"/>
          <w:lang w:bidi="en-US"/>
        </w:rPr>
        <w:t xml:space="preserve">■ </w:t>
      </w:r>
      <w:r w:rsidRPr="00624593">
        <w:rPr>
          <w:rFonts w:ascii="Arial" w:eastAsia="Calibri" w:hAnsi="Arial" w:cs="Calibri"/>
          <w:b/>
          <w:bCs/>
          <w:color w:val="707070"/>
          <w:sz w:val="11"/>
          <w:szCs w:val="11"/>
          <w:lang w:bidi="en-US"/>
        </w:rPr>
        <w:t>poniżej 35</w:t>
      </w:r>
      <w:r w:rsidRPr="00624593">
        <w:rPr>
          <w:rFonts w:ascii="Arial" w:eastAsia="Calibri" w:hAnsi="Arial" w:cs="Calibri"/>
          <w:b/>
          <w:bCs/>
          <w:color w:val="707070"/>
          <w:sz w:val="11"/>
          <w:szCs w:val="11"/>
          <w:lang w:bidi="en-US"/>
        </w:rPr>
        <w:tab/>
      </w:r>
      <w:r w:rsidRPr="00624593">
        <w:rPr>
          <w:rFonts w:ascii="Arial" w:eastAsia="Calibri" w:hAnsi="Arial" w:cs="Calibri"/>
          <w:b/>
          <w:bCs/>
          <w:color w:val="E3803C"/>
          <w:sz w:val="11"/>
          <w:szCs w:val="11"/>
          <w:lang w:bidi="en-US"/>
        </w:rPr>
        <w:t xml:space="preserve">■ </w:t>
      </w:r>
      <w:r w:rsidRPr="00624593">
        <w:rPr>
          <w:rFonts w:ascii="Arial" w:eastAsia="Calibri" w:hAnsi="Arial" w:cs="Calibri"/>
          <w:b/>
          <w:bCs/>
          <w:color w:val="707070"/>
          <w:sz w:val="11"/>
          <w:szCs w:val="11"/>
          <w:lang w:bidi="en-US"/>
        </w:rPr>
        <w:t>35 lub więcej</w:t>
      </w:r>
    </w:p>
    <w:p w:rsidR="00624593" w:rsidRDefault="00624593">
      <w:pPr>
        <w:rPr>
          <w:sz w:val="24"/>
          <w:szCs w:val="24"/>
          <w:u w:val="single"/>
        </w:rPr>
      </w:pPr>
    </w:p>
    <w:p w:rsidR="007872D2" w:rsidRDefault="007872D2">
      <w:pPr>
        <w:rPr>
          <w:sz w:val="24"/>
          <w:szCs w:val="24"/>
          <w:u w:val="single"/>
        </w:rPr>
      </w:pPr>
      <w:r>
        <w:rPr>
          <w:sz w:val="24"/>
          <w:szCs w:val="24"/>
          <w:u w:val="single"/>
        </w:rPr>
        <w:t xml:space="preserve">Odpowiedź rządu z dnia 5 lutego 2020 r. </w:t>
      </w:r>
    </w:p>
    <w:p w:rsidR="004F1B75" w:rsidRPr="004F1B75" w:rsidRDefault="004F1B75" w:rsidP="004F1B75">
      <w:pPr>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W odpowiedzi na komunikację z dnia 22 stycznia 2020 Centrum Praw Reprodukcyjnych I Federacji na rzecz Kobiet i Planowania Rodziny dotyczącą wykonywania wyroków Europejskiego Trybunału Praw Człowieka w sprawach T</w:t>
      </w:r>
      <w:r w:rsidRPr="004F1B75">
        <w:rPr>
          <w:rFonts w:eastAsia="Times New Roman" w:cs="Times New Roman"/>
          <w:i/>
          <w:sz w:val="24"/>
          <w:szCs w:val="24"/>
          <w:lang w:eastAsia="pl-PL"/>
        </w:rPr>
        <w:t>ysiąc p. Polsce</w:t>
      </w:r>
      <w:r w:rsidRPr="004F1B75">
        <w:rPr>
          <w:rFonts w:eastAsia="Times New Roman" w:cs="Times New Roman"/>
          <w:sz w:val="24"/>
          <w:szCs w:val="24"/>
          <w:lang w:eastAsia="pl-PL"/>
        </w:rPr>
        <w:t xml:space="preserve">, </w:t>
      </w:r>
      <w:r w:rsidRPr="004F1B75">
        <w:rPr>
          <w:rFonts w:eastAsia="Times New Roman" w:cs="Times New Roman"/>
          <w:i/>
          <w:sz w:val="24"/>
          <w:szCs w:val="24"/>
          <w:lang w:eastAsia="pl-PL"/>
        </w:rPr>
        <w:t xml:space="preserve">R.R. p. Polsce </w:t>
      </w:r>
      <w:r w:rsidRPr="004F1B75">
        <w:rPr>
          <w:rFonts w:eastAsia="Times New Roman" w:cs="Times New Roman"/>
          <w:sz w:val="24"/>
          <w:szCs w:val="24"/>
          <w:lang w:eastAsia="pl-PL"/>
        </w:rPr>
        <w:t xml:space="preserve">i </w:t>
      </w:r>
      <w:r w:rsidRPr="004F1B75">
        <w:rPr>
          <w:rFonts w:eastAsia="Times New Roman" w:cs="Times New Roman"/>
          <w:i/>
          <w:sz w:val="24"/>
          <w:szCs w:val="24"/>
          <w:lang w:eastAsia="pl-PL"/>
        </w:rPr>
        <w:t>P. i S. p. Polsce</w:t>
      </w:r>
      <w:r w:rsidRPr="004F1B75">
        <w:rPr>
          <w:rFonts w:eastAsia="Times New Roman" w:cs="Times New Roman"/>
          <w:sz w:val="24"/>
          <w:szCs w:val="24"/>
          <w:lang w:eastAsia="pl-PL"/>
        </w:rPr>
        <w:t>, rząd Polski chciałby przekazać następujące uwagi.</w:t>
      </w:r>
    </w:p>
    <w:p w:rsidR="004F1B75" w:rsidRPr="004F1B75" w:rsidRDefault="004F1B75" w:rsidP="004F1B75">
      <w:pPr>
        <w:spacing w:before="120" w:after="0" w:line="240" w:lineRule="auto"/>
        <w:jc w:val="both"/>
        <w:rPr>
          <w:rFonts w:eastAsia="Times New Roman" w:cs="TimesNewRomanPS-BoldMT"/>
          <w:b/>
          <w:bCs/>
          <w:sz w:val="24"/>
          <w:szCs w:val="24"/>
          <w:lang w:eastAsia="pl-PL"/>
        </w:rPr>
      </w:pPr>
      <w:r w:rsidRPr="004F1B75">
        <w:rPr>
          <w:rFonts w:eastAsia="Times New Roman" w:cs="TimesNewRomanPS-BoldMT"/>
          <w:b/>
          <w:bCs/>
          <w:sz w:val="24"/>
          <w:szCs w:val="24"/>
          <w:lang w:eastAsia="pl-PL"/>
        </w:rPr>
        <w:t>1. Skuteczna i terminowa procedura sprzeciwu w przypadku sporów z lekarzami i między nimi w zakresie prawa do legalnej opieki aborcyjnej i badań prenatalnych</w:t>
      </w:r>
    </w:p>
    <w:p w:rsidR="004F1B75" w:rsidRPr="004F1B75" w:rsidRDefault="004F1B75" w:rsidP="004F1B75">
      <w:pPr>
        <w:spacing w:before="120" w:after="0" w:line="240" w:lineRule="auto"/>
        <w:jc w:val="both"/>
        <w:rPr>
          <w:rFonts w:eastAsia="Times New Roman" w:cs="TimesNewRomanPS-BoldMT"/>
          <w:bCs/>
          <w:sz w:val="24"/>
          <w:szCs w:val="24"/>
          <w:lang w:eastAsia="pl-PL"/>
        </w:rPr>
      </w:pPr>
      <w:r w:rsidRPr="004F1B75">
        <w:rPr>
          <w:rFonts w:eastAsia="Times New Roman" w:cs="TimesNewRomanPS-BoldMT"/>
          <w:bCs/>
          <w:sz w:val="24"/>
          <w:szCs w:val="24"/>
          <w:lang w:eastAsia="pl-PL"/>
        </w:rPr>
        <w:lastRenderedPageBreak/>
        <w:t>Odnosząc się do skutecznego środka prawnego w przypadku w przypadku sporów z lekarzami i między nimi w zakresie prawa do legalnej opieki aborcyjnej i badań prenatalnych, w tym w sytuacjach kiedy kobietom odmówiono przeprowadzenia zabiegu przerwania ciąży, wystawienia skierowania na badania prenatalne, a także w przypadku nieprzeprowadzenia badań prenatalnych pomimo skierowania, jest nim prawo pacjenta do wniesienia sprzeciwu w stosunku do opinii lub orzeczenia lekarza.</w:t>
      </w:r>
    </w:p>
    <w:p w:rsidR="004F1B75" w:rsidRPr="004F1B75" w:rsidRDefault="004F1B75" w:rsidP="004F1B75">
      <w:pPr>
        <w:spacing w:before="120" w:after="0" w:line="240" w:lineRule="auto"/>
        <w:jc w:val="both"/>
        <w:rPr>
          <w:rFonts w:eastAsia="Times New Roman" w:cs="TimesNewRomanPS-BoldMT"/>
          <w:bCs/>
          <w:sz w:val="24"/>
          <w:szCs w:val="24"/>
          <w:lang w:eastAsia="pl-PL"/>
        </w:rPr>
      </w:pPr>
      <w:r w:rsidRPr="004F1B75">
        <w:rPr>
          <w:rFonts w:eastAsia="Times New Roman" w:cs="TimesNewRomanPS-BoldMT"/>
          <w:bCs/>
          <w:sz w:val="24"/>
          <w:szCs w:val="24"/>
          <w:lang w:eastAsia="pl-PL"/>
        </w:rPr>
        <w:t>Należy przypomnieć, że prawo do sprzeciwu wobec opinii albo orzeczenia lekarza zostało wprowadzone do polskiego porządku prawnego przepisami ustawy z dnia 6 listopada 2008 r. o prawach pacjenta i Rzeczniku Praw Pacjenta, przede wszystkim w celu wykonania wyroku Europejskiego Trybunału Praw Człowieka w sprawie Tysiąc p. Polsce. Prawo to ma charakter generalny, czyli nie zostało zawężone wyłącznie do przypadku odmowy wykonania zabiegu przerwania ciąży w okolicznościach określonych przepisami ustawy z dnia 7 stycznia 1993 r. o planowaniu rodziny, ochronie płodu ludzkiego i warunkach dopuszczalności przerywania ciąży. Uogólnienie wspomnianej normy było działaniem celowym, mającym na celu ochronę wszystkim pacjentom, w sytuacji w której opinia lub orzeczenie lekarza ma wpływ na prawa lub obowiązki wynikające z przepisów prawa (oraz w sytuacji, w której dla dochodzenia tych praw nie została przewidziana inna droga odwoławcza). Odmowa wykonania przez lekarza zabiegu przerwania ciąży – bez względu na przesłankę warunkującą przeprowadzenie tego zabiegu w danym przypadku, jak również niezależnie od powodu odmowy jego wykonania – wpływa na prawa pacjentki.</w:t>
      </w:r>
    </w:p>
    <w:p w:rsidR="004F1B75" w:rsidRPr="004F1B75" w:rsidRDefault="004F1B75" w:rsidP="004F1B75">
      <w:pPr>
        <w:spacing w:before="120" w:after="0" w:line="240" w:lineRule="auto"/>
        <w:jc w:val="both"/>
        <w:rPr>
          <w:rFonts w:eastAsia="Times New Roman" w:cs="TimesNewRomanPS-BoldMT"/>
          <w:bCs/>
          <w:sz w:val="24"/>
          <w:szCs w:val="24"/>
          <w:lang w:eastAsia="pl-PL"/>
        </w:rPr>
      </w:pPr>
      <w:r w:rsidRPr="004F1B75">
        <w:rPr>
          <w:rFonts w:eastAsia="Times New Roman" w:cs="TimesNewRomanPS-BoldMT"/>
          <w:bCs/>
          <w:sz w:val="24"/>
          <w:szCs w:val="24"/>
          <w:lang w:eastAsia="pl-PL"/>
        </w:rPr>
        <w:t xml:space="preserve">Należy jednak zauważyć, że lekarz może powstrzymać się od wykonania świadczeń zdrowotnych niezgodnych z jego sumieniem (z wyjątkiem sytuacji, gdy zwłoka w udzieleniu pomocy lekarskiej mogłaby spowodować niebezpieczeństwo utraty życia, ciężkiego uszkodzenia ciała lub ciężkiego rozstroju zdrowia). Jednakże, tę decyzję lekarz ma obowiązek uzasadnić i odnotować w dokumentacji medycznej. </w:t>
      </w:r>
    </w:p>
    <w:p w:rsidR="004F1B75" w:rsidRPr="004F1B75" w:rsidRDefault="004F1B75" w:rsidP="006E596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NewRomanPS-BoldMT"/>
          <w:bCs/>
          <w:sz w:val="24"/>
          <w:szCs w:val="24"/>
          <w:lang w:eastAsia="pl-PL"/>
        </w:rPr>
        <w:t>Obowiązek ten odnosi się do każdej odmowy wykonania świadczenia niezgodnego z sumieniem czy religią, tj. do wszystkich okoliczności, zgodnie z którymi przerwanie ciąży jest dopuszczalne. Zatem każda taka odmowa, biorąc pod uwagę, że musi być uzasadniona i udokumentowana w odpowiedniej dokumentacji medycznej oraz że wpływa na prawo</w:t>
      </w:r>
      <w:r w:rsidRPr="004F1B75">
        <w:rPr>
          <w:rFonts w:eastAsia="Times New Roman" w:cs="Times New Roman"/>
          <w:sz w:val="24"/>
          <w:szCs w:val="24"/>
          <w:lang w:eastAsia="pl-PL"/>
        </w:rPr>
        <w:t xml:space="preserve"> pacjenta do otrzymania świadczenia medycznego, powinna być uznana za opinię lekarza i może stanowić podstawę do sprzeciwu. Sprzeciw jest zatem we wszystkich takich przypadkach mechanizmem odwoławczym, prowadzącym do realizacji prawa do świadczenia opieki zdrowotnej. Liczba zarzutów rozpatrywanych przez Komisję Lekarską w poprzednich latach została podana prz</w:t>
      </w:r>
      <w:r w:rsidR="008E6740">
        <w:rPr>
          <w:rFonts w:eastAsia="Times New Roman" w:cs="Times New Roman"/>
          <w:sz w:val="24"/>
          <w:szCs w:val="24"/>
          <w:lang w:eastAsia="pl-PL"/>
        </w:rPr>
        <w:t>ez Rząd w poprzednich komunikacjach</w:t>
      </w:r>
      <w:r w:rsidRPr="004F1B75">
        <w:rPr>
          <w:rFonts w:eastAsia="Times New Roman" w:cs="Times New Roman"/>
          <w:sz w:val="24"/>
          <w:szCs w:val="24"/>
          <w:lang w:eastAsia="pl-PL"/>
        </w:rPr>
        <w:t>, w tym w odpowiedzi na komunikację Centrum Praw Reprodukcyjnych z 22 lutego 2019 r.</w:t>
      </w:r>
    </w:p>
    <w:p w:rsidR="004F1B75" w:rsidRPr="004F1B75" w:rsidRDefault="004F1B75" w:rsidP="004F1B75">
      <w:pPr>
        <w:autoSpaceDE w:val="0"/>
        <w:autoSpaceDN w:val="0"/>
        <w:adjustRightInd w:val="0"/>
        <w:spacing w:before="120" w:after="0" w:line="240" w:lineRule="auto"/>
        <w:rPr>
          <w:rFonts w:eastAsia="Times New Roman" w:cs="Times New Roman"/>
          <w:sz w:val="24"/>
          <w:szCs w:val="24"/>
          <w:lang w:eastAsia="pl-PL"/>
        </w:rPr>
      </w:pPr>
      <w:r w:rsidRPr="004F1B75">
        <w:rPr>
          <w:rFonts w:eastAsia="Times New Roman" w:cs="Times New Roman"/>
          <w:sz w:val="24"/>
          <w:szCs w:val="24"/>
          <w:lang w:eastAsia="pl-PL"/>
        </w:rPr>
        <w:t xml:space="preserve">Należy również wskazać, że od 2011 r. informacje w zakresie prawa pacjenta do zgłaszania sprzeciwu wobec opinii albo orzeczenia lekarza, w szczególności wynikających z przepisów prawa wymogów formalnych wniesienia sprzeciwu, są dostępne na stronie internetowej Rzecznika Praw Pacjenta </w:t>
      </w:r>
      <w:hyperlink r:id="rId13" w:history="1">
        <w:r w:rsidRPr="004F1B75">
          <w:rPr>
            <w:rFonts w:eastAsia="Times New Roman" w:cs="Times New Roman"/>
            <w:sz w:val="24"/>
            <w:szCs w:val="24"/>
            <w:lang w:eastAsia="pl-PL"/>
          </w:rPr>
          <w:t>www.bpp.gov.pl</w:t>
        </w:r>
      </w:hyperlink>
      <w:r w:rsidRPr="004F1B75">
        <w:rPr>
          <w:rFonts w:eastAsia="Times New Roman" w:cs="Times New Roman"/>
          <w:sz w:val="24"/>
          <w:szCs w:val="24"/>
          <w:lang w:eastAsia="pl-PL"/>
        </w:rPr>
        <w:t xml:space="preserve"> w zakładce „Prawo do zgłoszenia sprzeciwu”. Na początku 2015 r. zamieszczone na stronie informacje zostały doprecyzowane i rozszerzone, aby pacjenci mieli pełniejszą informację o zasadach i warunkach wnoszenia sprzeciwu. </w:t>
      </w:r>
    </w:p>
    <w:p w:rsidR="004F1B75" w:rsidRPr="004F1B75" w:rsidRDefault="004F1B75" w:rsidP="004F1B75">
      <w:pPr>
        <w:spacing w:before="120" w:after="0" w:line="240" w:lineRule="auto"/>
        <w:jc w:val="both"/>
        <w:rPr>
          <w:rFonts w:eastAsia="Times New Roman" w:cs="TimesNewRomanPS-BoldMT"/>
          <w:b/>
          <w:bCs/>
          <w:sz w:val="24"/>
          <w:szCs w:val="24"/>
          <w:lang w:eastAsia="pl-PL"/>
        </w:rPr>
      </w:pPr>
      <w:r w:rsidRPr="004F1B75">
        <w:rPr>
          <w:rFonts w:eastAsia="Times New Roman" w:cs="TimesNewRomanPS-BoldMT"/>
          <w:b/>
          <w:bCs/>
          <w:sz w:val="24"/>
          <w:szCs w:val="24"/>
          <w:lang w:eastAsia="pl-PL"/>
        </w:rPr>
        <w:t>2. Skuteczne działania zapewniające kobietom ubiegającym się o legalną aborcję odpowiednią informację o warunkach i procedurach dostępu do legalnej aborcji</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lastRenderedPageBreak/>
        <w:t>Rząd jest zdania, że skuteczne środki gwarantujące kobietom dostęp do rzetelnych informacji o warunkach i procedurach dostępu do legalnej aborcji już istnieją w Polsce. Prawo pacjenta do informacji jest prawem ustawowo gwarantowanym i realizowanym w praktyce. Istnieją również jasne i skuteczne procedury odnośnie do świadczenia opieki zdrowotnej w zakresie legalnego przerwania ciąży, które dostarczają kobietom rzetelnych informacji o działaniach, jakie należy podjąć w celu uzyskania przedmiotowego świadczenia medycznego w sytuacji odmowy jego wykonania przez lekarza z powodu przyczyn związanych z sumieniem.</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W związku z tym, że przerwanie ciąży (w okolicznościach określonych przepisami ustawy z dnia 7 stycznia 1993 r. o planowaniu rodziny, ochronie płodu ludzkiego i warunkach dopuszczalności przerywania ciąży) należy do świadczeń gwarantowanych w świetle obowiązujących przepisów zapewnienie jego realizacji (oraz obowiązek informacyjny w tym zakresie) jest odpowiedzialnością świadczeniodawcy, tj. podmiotu leczniczego.</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W świetle obowiązujących przepisów, w szczególności rozporządzenia Ministra Zdrowia z dnia 8 września 2015 r. w sprawie ogólnych warunków umów o udzielanie świadczeń opieki zdrowotnej wszystkie podmioty lecznicze (szpitale), które zawarły kontrakt z Narodowym Funduszem Zdrowia mają obowiązek udzielania świadczeń w nim przewidzianych – w pełnym zakresie i zgodnie z obowiązującym prawem. Stosowanie klauzuli sumienia nie powinno tego obowiązku naruszać. Podpisując umowę o udzielenie świadczeń opieki zdrowotnej świadczeniodawca zobowiązuje się do realizacji wszystkich świadczeń określonych jako gwarantowane w stosownych rozporządzeniach wykonawczych do ustawy o świadczeniach opieki zdrowotnej finansowanych ze środków publicznych. Brak możliwości</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udzielenia świadczeń stanowi nienależyte wykonanie umowy. Odmowa wykonania zabiegu przerwania ciąży w przypadkach określonych w ustawie z dnia 7 stycznia 1993 r. o planowaniu rodziny, ochronie płodu ludzkiego i warunkach dopuszczalności przerywania ciąży, przez świadczeniodawcę realizującego umowę w zakresie położnictwo i ginekologia, z równoczesnym niewskazaniem podmiotu leczniczego, gdzie kobieta ma możliwość skorzystania z dostępu do przedmiotowego świadczenia, jest sytuacją nieprawidłowego realizowania zawartej umowy.</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 xml:space="preserve">Jednocześnie, zgodnie z przepisami ustawy z dnia 15 kwietnia 2011 r. o działalności leczniczej podmiot wykonujący działalność leczniczą podaje do wiadomości publicznej informacje o zakresie i rodzajach udzielanych świadczeń zdrowotnych. Podmiot wykonujący działalność leczniczą, na wniosek pacjenta, udziela ponadto szczegółowych informacji na temat udzielanych świadczeń zdrowotnych, w szczególności informacji dotyczących stosowanych metod diagnostycznych lub terapeutycznych oraz jakości i bezpieczeństwa tych metod. </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Zatem w przypadku, kiedy lekarz odmówi pacjentce przeprowadzenia zabiegu przerwania ciąży powołując się na tzw. „klauzulę sumienia”, obowiązek informacyjny odnośnie sposobu realizacji w tym zakresie umowy z NFZ leży po stronie świadczeniodawcy, tj. podmiotu leczniczego, w którym lekarz powstrzymał się od wykonania świadczenia niezgodnego z sumieniem (na marginesie należy zaznaczyć, że „klauzula sumienia” jest prawem lekarza, nie może powoływać się na nią podmiot leczniczy). Procedura ta jest prawnie uregulowana i ma charakter generalny, a więc odnosi się do wszystkich świadczeń opieki zdrowotnej</w:t>
      </w:r>
    </w:p>
    <w:p w:rsidR="004F1B75" w:rsidRPr="004F1B75" w:rsidRDefault="004F1B75" w:rsidP="004F1B75">
      <w:pPr>
        <w:spacing w:before="120" w:after="0" w:line="240" w:lineRule="auto"/>
        <w:jc w:val="both"/>
        <w:rPr>
          <w:rFonts w:eastAsia="Times New Roman" w:cs="TimesNewRomanPS-BoldMT"/>
          <w:b/>
          <w:bCs/>
          <w:sz w:val="24"/>
          <w:szCs w:val="24"/>
          <w:lang w:eastAsia="pl-PL"/>
        </w:rPr>
      </w:pPr>
      <w:r w:rsidRPr="004F1B75">
        <w:rPr>
          <w:rFonts w:eastAsia="Times New Roman" w:cs="TimesNewRomanPS-BoldMT"/>
          <w:b/>
          <w:bCs/>
          <w:sz w:val="24"/>
          <w:szCs w:val="24"/>
          <w:lang w:eastAsia="pl-PL"/>
        </w:rPr>
        <w:t>3. Skuteczne ramy prawne i proceduralne gwarantujące kobietom i młodym dziewczętom pełną i rzetelną informację umożliwiającą podejmowanie świadomych decyzji o ciąży</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lastRenderedPageBreak/>
        <w:t>Kwestia przekazywania pacjentkom małoletnim informacji została uregulowana w sposób generalny (tj. odnoszący się do wszystkich sytuacji udzielania świadczeń, a więc również związanych z przerwaniem ciąży) przepisami ustawy z dnia 6 listopada 2008 r. o prawach pacjenta i Rzeczniku Praw Pacjenta. Zgodnie z art. 9 ww. ustawy pacjent, w tym małoletni, który ukończył 16 lat, lub jego przedstawiciel ustawowy mają prawo do uzyskania od osoby wykonującej zawód medyczny przystępnej informacji o stanie zdrowia pacjenta, rozpoznaniu, proponowanych oraz możliwych metodach diagnostycznych i leczniczych, dających się przewidzieć następstwach ich zastosowania albo zaniechania, wynikach leczenia oraz rokowaniu, w zakresie udzielanych przez tę osobę świadczeń zdrowotnych oraz zgodnie z posiadanymi przez nią uprawnieniami. Pacjent, który nie ukończył 16 lat ma prawo do uzyskania od osoby wykonującej zawód medyczny informacji w zakresie i formie potrzebnej do prawidłowego przebiegu procesu diagnostycznego lub terapeutycznego.</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 xml:space="preserve">Należy również zauważyć, że ustawa z dnia 7 stycznia 1993 r. o planowaniu rodziny, ochronie płodu ludzkiego i warunkach dopuszczalności przerywania ciąży w preambule wskazuje, że uznaje prawo do odpowiedzialnego decydowania o posiadaniu dzieci oraz nakłada na państwo obowiązek umożliwienia podejmowania decyzji w tym zakresie. Zgodnie z art. 2 ust. 2 ww. ustawy organy administracji rządowej oraz samorządu terytorialnego, w zakresie swoich kompetencji są obowiązane zapewnić obywatelom swobodny dostęp do metod i środków służących dla świadomej prokreacji. </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Przepisy ustawy z dnia 27 sierpnia 2004 r. o świadczeniach opieki zdrowotnej finansowanych ze środków publicznych oraz rozporządzenia Ministra Zdrowia z dnia 6 listopada 2013 r. w sprawie świadczeń gwarantowanych z zakresu ambulatoryjnej opieki specjalistycznej zapewniają małoletnim kobietom opiekę zdrowotną obejmującą specjalistyczne świadczenia zdrowotne z zakresu ginekologii i położnictwa: porada położniczo-ginekologiczna i porada ginekologiczna dla dziewcząt. W ramach tych porad jest zapewniana w szczególności opieka w zakresie zdrowia prokreacyjnego.</w:t>
      </w:r>
    </w:p>
    <w:p w:rsidR="004F1B75" w:rsidRPr="004F1B75" w:rsidRDefault="004F1B75" w:rsidP="004F1B75">
      <w:pPr>
        <w:spacing w:before="120" w:after="0" w:line="240" w:lineRule="auto"/>
        <w:jc w:val="both"/>
        <w:rPr>
          <w:rFonts w:eastAsia="Times New Roman" w:cs="TimesNewRomanPS-BoldMT"/>
          <w:b/>
          <w:bCs/>
          <w:sz w:val="24"/>
          <w:szCs w:val="24"/>
          <w:lang w:eastAsia="pl-PL"/>
        </w:rPr>
      </w:pPr>
      <w:r w:rsidRPr="004F1B75">
        <w:rPr>
          <w:rFonts w:eastAsia="Times New Roman" w:cs="TimesNewRomanPS-BoldMT"/>
          <w:b/>
          <w:bCs/>
          <w:sz w:val="24"/>
          <w:szCs w:val="24"/>
          <w:lang w:eastAsia="pl-PL"/>
        </w:rPr>
        <w:t>4. Skuteczne środki gwarantujące, że stosowanie „klauzuli sumienia” nie ogranicza ani nie opóźnia dostępu kobiet do legalnej aborcji lub badań prenatalnych</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Należy zauważyć, że w świetle obowiązujących przepisów, w tym przede wszystkim rozporządzenia Ministra Zdrowia z dnia 8 września 2015 r. w sprawie ogólnych warunków umów o udzielanie świadczeń opieki zdrowotnej wszystkie podmioty lecznicze (szpitale), które zawarły kontrakt z NFZ mają obowiązek udzielania świadczeń w nim przewidzianych – w pełnym zakresie i zgodnie z obowiązującym prawem.</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 xml:space="preserve">Mając na uwadze powyższe oraz ze względu na fakt, iż przerwanie ciąży jest świadczeniem gwarantowanym, w świetle prawa, za jego realizację odpowiada świadczeniodawca (placówka medyczna). Korzystanie z klauzuli sumienia nie powinno naruszać tego obowiązku.  </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Podpisując umowę o udzielenie świadczeń opieki zdrowotnej świadczeniodawca zobowiązuje się do realizacji wszystkich świadczeń określonych jako gwarantowane w stosownych rozporządzeniach wykonawczych do ustawy o świadczeniach opieki zdrowotnej finansowanych ze środków publicznych. Brak możliwości udzielenia świadczeń stanowi nienależyte wykonanie umowy.</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 xml:space="preserve">Lista świadczeń gwarantowanych związanych z przerywaniem ciąży znajduje się w rozporządzeniu Ministra Zdrowia z dnia 22 listopada 2013 r. w sprawie świadczeń </w:t>
      </w:r>
      <w:r w:rsidRPr="004F1B75">
        <w:rPr>
          <w:rFonts w:eastAsia="Times New Roman" w:cs="Times New Roman"/>
          <w:sz w:val="24"/>
          <w:szCs w:val="24"/>
          <w:lang w:eastAsia="pl-PL"/>
        </w:rPr>
        <w:lastRenderedPageBreak/>
        <w:t>gwarantowanych z zakresu leczenia szpitalnego. Odmowa wykonania zabiegu przerwania ciąży w przypadkach określonych w ustawie z dnia 7 stycznia 1993 r. o planowaniu rodziny, ochronie płodu ludzkiego i warunkach dopuszczalności przerywania ciąży, przez świadczeniodawcę realizującego umowę w zakresie położnictwo i ginekologia, z równoczesnym niewskazaniem podmiotu leczniczego, gdzie kobieta ma możliwość skorzystania z dostępu do przedmiotowego świadczenia, jest sytuacją nieprawidłowego realizowania zawartej umowy. Kwestia zapewnienia realizacji świadczeń oraz realizacji prawa pacjenta do informacji o możliwości uzyskania świadczenia jest zatem w polskim porządku prawnym uregulowana. Odpowiedzialność w tym zakresie spoczywa na świadczeniodawcy – podmiocie leczniczym.</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Narodowy Fundusz Zdrowia nadzoruje wypełnianie zobowiązań umownych wynikających z zawartych z nim umów. Wszelkie zgłaszane skargi lub informacje o nieprawidłowym realizowaniu przez świadczeniodawców umów z Narodowym Funduszem Zdrowia są podstawą do wszczęcia postępowania wyjaśniającego. Przykłady działań podejmowanych w tym zakresie przez oddziały wojewódzkie Funduszu były kilkukrotnie prezentowane we wcześniejszych informacjach rządu. W informacji uzyskanej z NFZ wynika, że w 2018 r. w Centrali NFZ ani w oddziałach wojewódzkich nie odnotowano takich zgłoszeń. Należy również zaznaczyć, że do okręgowych sądów lekarskich ani do Naczelnego Sądu Lekarskiego nie wpłynęły żadne sprawy związane z powołaniem się na klauzulę sumienia przez lekarza i odmową przeprowadzenia zabiegu przerwania ciąży.</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Należy również zaznaczyć, że sumienie będąc kategorią indywidualną nie jest prawnie Zdefiniowane, dlatego też możliwość powstrzymania się od wykonania świadczenia nie odnosi się zatem wyłącznie do zabiegu przerwania ciąży, ale także do innych świadczeń, które lekarz uzna za niezgodne z własnym sumieniem. Tym samym normy o charakterze ogólnym, które można zastosować do wszystkich przypadków powołania się na klauzulę sumienia i wynikającej z tego niemożności udzielenia gwarantowanej opieki zdrowotnej, wydają się być właściwym sposobem uregulowania postępowania w takich przypadkach.</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Należy podkreślić, że podobnie jak w przypadku wszystkich świadczeń opieki zdrowotnej finansowanych ze środków publicznych, informacji o podmiotach świadczących usługi z zakresu położnictwa i ginekologii udzielają oddziały okręgowe Narodowego Funduszu Zdrowia. Dodatkowo pomocna jest w tym bezpłatna infolinia dla pacjenta.</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Rząd chce poinformować, że powyższe uregulowania znalazły odzwierciedlenie w „Zaleceniach konsultantów krajowych w dziedzinie położnictwa i ginekologii oraz perinatologii dotyczące opieki nad pacjentkami podejmującymi decyzję o zakończeniu ciąży w warunkach dopuszczalnych na podstawie ustawy z dnia 7 stycznia 1993 r. o planowaniu rodziny, ochronie płodu ludzkiego i warunkach dopuszczalności przerywania ciąży”, opracowanych w maju 2019 r. W dokumencie tym również podkreślono, że każdy szpital, który zawarł z NFZ umowę o wykonywanie świadczeń zdrowotnych z zakresu położnictwa i ginekologii, zobowiązany jest do zapewnienia przeprowadzenia stosownej procedury w omawianym zakresie (zgodnie z wykazem świadczeń gwarantowanych z zakresu leczenia  szpitalnego). Konsultanci podkreślają również, że „naruszenie prawa w tym zakresie może skutkować nałożeniem kar umownych przez NFZ, wytoczeniem powództwa cywilnego przez pacjentkę, jak również sankcjami nakładanymi przez Rzecznika Praw Pacjenta.” Zalecenia zostały przekazane właściwym konsultantom wojewódzkim.</w:t>
      </w:r>
    </w:p>
    <w:p w:rsidR="004F1B75" w:rsidRPr="004F1B75" w:rsidRDefault="004F1B75" w:rsidP="004F1B75">
      <w:pPr>
        <w:spacing w:before="120" w:after="0" w:line="240" w:lineRule="auto"/>
        <w:jc w:val="both"/>
        <w:rPr>
          <w:rFonts w:eastAsia="Times New Roman" w:cs="TimesNewRomanPS-BoldMT"/>
          <w:b/>
          <w:bCs/>
          <w:sz w:val="24"/>
          <w:szCs w:val="24"/>
          <w:lang w:eastAsia="pl-PL"/>
        </w:rPr>
      </w:pPr>
      <w:r w:rsidRPr="004F1B75">
        <w:rPr>
          <w:rFonts w:eastAsia="Times New Roman" w:cs="TimesNewRomanPS-BoldMT"/>
          <w:b/>
          <w:bCs/>
          <w:sz w:val="24"/>
          <w:szCs w:val="24"/>
          <w:lang w:eastAsia="pl-PL"/>
        </w:rPr>
        <w:lastRenderedPageBreak/>
        <w:t>5. Wzmocnione procedury egzekwowania prawa i środki mające na celu pociągnięcie pracowników służby zdrowia i lekarzy do odpowiedzialności za niewypełnienie zobowiązań prawnych w zakresie świadczenia zgodnych z prawem usług medycznych i informacji o zdrowiu reprodukcyjnym</w:t>
      </w:r>
    </w:p>
    <w:p w:rsidR="004F1B75" w:rsidRPr="004F1B75" w:rsidRDefault="004F1B75" w:rsidP="004F1B75">
      <w:pPr>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Jak wskazano powyżej, NFZ sprawuje nadzór nad wypełnianiem zobowiązań umownych wynikających z zawartych z nim umów. Wszelkie skargi lub inne informacje o nieprawidłowej realizacji przez świadczeniodawcę umowy z NFZ stanowią podstawę do wszczęcia postępowania wyjaśniającego. Przykłady działań oddziałów Narodowego Funduszu Zdrowia zostały już przedstawione we wcześniejszych komunikacjach rządu.</w:t>
      </w:r>
    </w:p>
    <w:p w:rsidR="004F1B75" w:rsidRPr="004F1B75" w:rsidRDefault="004F1B75" w:rsidP="004F1B75">
      <w:pPr>
        <w:spacing w:before="120" w:after="0" w:line="240" w:lineRule="auto"/>
        <w:jc w:val="both"/>
        <w:rPr>
          <w:rFonts w:eastAsia="Times New Roman" w:cs="TimesNewRomanPS-BoldMT"/>
          <w:b/>
          <w:bCs/>
          <w:sz w:val="24"/>
          <w:szCs w:val="24"/>
          <w:lang w:eastAsia="pl-PL"/>
        </w:rPr>
      </w:pPr>
      <w:r w:rsidRPr="004F1B75">
        <w:rPr>
          <w:rFonts w:eastAsia="Times New Roman" w:cs="TimesNewRomanPS-BoldMT"/>
          <w:b/>
          <w:bCs/>
          <w:sz w:val="24"/>
          <w:szCs w:val="24"/>
          <w:lang w:eastAsia="pl-PL"/>
        </w:rPr>
        <w:t xml:space="preserve">6. </w:t>
      </w:r>
      <w:r w:rsidRPr="004F1B75">
        <w:rPr>
          <w:rFonts w:eastAsia="Times New Roman" w:cs="Arial-BoldMT"/>
          <w:b/>
          <w:bCs/>
          <w:sz w:val="24"/>
          <w:szCs w:val="24"/>
          <w:lang w:eastAsia="pl-PL"/>
        </w:rPr>
        <w:t>Skuteczne środki mające na celu zwiększenie ochrony poufności danych pacjentów</w:t>
      </w:r>
    </w:p>
    <w:p w:rsidR="004F1B75" w:rsidRPr="004F1B75" w:rsidRDefault="004F1B75" w:rsidP="004F1B75">
      <w:pPr>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Obowiązujące przepisy prawa szczegółowo regulują kwestię obowiązku zachowania poufności informacji o pacjencie przez personel medyczny oraz odpowiedzialność za nieprzestrzeganie tych informacji.</w:t>
      </w:r>
    </w:p>
    <w:p w:rsidR="004F1B75" w:rsidRPr="004F1B75" w:rsidRDefault="004F1B75" w:rsidP="004F1B75">
      <w:pPr>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Obowiązek przestrzegania tajemnicy lekarskiej został uregulowany przede wszystkim</w:t>
      </w:r>
      <w:r w:rsidR="006E5965">
        <w:rPr>
          <w:rFonts w:eastAsia="Times New Roman" w:cs="Times New Roman"/>
          <w:sz w:val="24"/>
          <w:szCs w:val="24"/>
          <w:lang w:eastAsia="pl-PL"/>
        </w:rPr>
        <w:t xml:space="preserve"> </w:t>
      </w:r>
      <w:r w:rsidRPr="004F1B75">
        <w:rPr>
          <w:rFonts w:eastAsia="Times New Roman" w:cs="Times New Roman"/>
          <w:sz w:val="24"/>
          <w:szCs w:val="24"/>
          <w:lang w:eastAsia="pl-PL"/>
        </w:rPr>
        <w:t>przepisami:</w:t>
      </w:r>
    </w:p>
    <w:p w:rsidR="004F1B75" w:rsidRPr="004F1B75" w:rsidRDefault="004F1B75" w:rsidP="004F1B75">
      <w:pPr>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1) ustawy z dnia 5 grudnia 1996 r. o zawodach lekarza i lekarza dentysty;</w:t>
      </w:r>
    </w:p>
    <w:p w:rsidR="004F1B75" w:rsidRPr="004F1B75" w:rsidRDefault="004F1B75" w:rsidP="004F1B75">
      <w:pPr>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2) ustawy z dnia 6 listopada 2008 r. o prawach pacjenta i Rzeczniku Praw Pacjenta;</w:t>
      </w:r>
    </w:p>
    <w:p w:rsidR="004F1B75" w:rsidRPr="004F1B75" w:rsidRDefault="004F1B75" w:rsidP="004F1B75">
      <w:pPr>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Wynika on również z Kodeksu Etyki Lekarskiej.</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Wprawdzie z powyższych regulacji – poza obowiązkiem zachowania tajemnicy lekarskiej – wynika również obowiązek lekarza do czuwania nad tym, by osoby asystujące lub pomagające mu w pracy przestrzegały tajemnicy zawodowej, a prawo pacjenta do tajemnicy informacji z nim związanych odnosi się wprost do wszystkich zawodów medycznych, niemniej jednak należy wskazać, że w przypadku zawodów o tym charakterze innym niż zawód lekarza obowiązek zachowania tajemnicy został uregulowany również w przepisach odrębnych. Informacje w tym zakresie zostały już przedstawione we wcześniejszych komunikacjach rządu.</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Ponadto, należy zaznaczyć, że w odniesieniu do czynności podejmowanych na gruncie ustawy z dnia 7 stycznia 1993 r. o planowaniu rodziny, ochronie płodu ludzkiego i warunkach dopuszczalności przerywania ciąży przepis art. 4c ust. 1 wprowadza dodatkowo odrębne zobowiązanie do zachowania tajemnicy, wskazując, że osoby wykonujące czynności wynikające z ustawy są obowiązane do zachowania w tajemnicy wszystkiego, o czym powzięły wiadomość w związku z wykonywaniem tych czynności, stosownie do odrębnych przepisów.</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Obowiązujące w Polsce przepisy prawne w sposób szczegółowy regulują kwestię obowiązku personelu szpitala zachowania w tajemnicy informacji dotyczących pacjenta oraz kwestie odpowiedzialności za niezachowanie tej tajemnicy.</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 xml:space="preserve">W odniesieniu do danych dotyczących przestrzegania tajemnicy lekarskiej i odpowiedzialności zawodowej lekarzy należy zauważyć, że w latach 2008-2017 okręgowe sądy lekarskie prowadziły 30 spraw w przedmiocie złamania tajemnicy lekarskiej. W 17 z tych spraw orzeczono karę upomnienia, w 4 – nagany, a w 9 sprawach sąd orzekł o uniewinnieniu. Naczelny Sąd Lekarski orzekał w tym okresie w 17 takich sprawach, z których w 5 przypadkach orzekł karę upomnienia, w 1 – karę nagany, a w 1 – karę pieniężną. W 5 przypadkach orzekł o uchyleniu orzeczeń okręgowych sądów lekarskich, w 3 przypadkach o uniewinnieniu, a w 2 o umorzeniu. </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lastRenderedPageBreak/>
        <w:t>Prawo pacjenta do tajemnicy informacji z nim związanych jest jednym z praw, których przestrzeganie analizuje Rzecznik Praw Pacjenta. Zgodnie z danymi zawartymi w Sprawozdaniu dotyczącym przestrzegania praw pacjenta na terytorium Rzeczypospolitej Polskiej w okresie od dnia 1 stycznia 2017 r. do dnia 31 grudnia 2018 r. naruszenie ww. prawa stwierdzono w 2013 r. w 2 przypadkach, w 2014 r. w 4 przypadkach, w 2015 r. w 11 przypadkach, w 2016 r. w 7 przypadkach i w 2017 r. w 8 przypadkach i w 2018 r. w 6 przypadkach (co stanowiło odpowiednio od 1%-2% wszystkich naruszeń stwierdzonych w wyniku przeprowadzonych w tych latach postępowań wyjaśniających). Rzecznik Praw Pacjenta doszedł zatem do wniosku, że prawo pacjenta do poufności informacji o nim jest co do zasady przestrzegane.</w:t>
      </w:r>
    </w:p>
    <w:p w:rsidR="004F1B75" w:rsidRPr="004F1B75" w:rsidRDefault="004F1B75" w:rsidP="004F1B75">
      <w:pPr>
        <w:autoSpaceDE w:val="0"/>
        <w:autoSpaceDN w:val="0"/>
        <w:adjustRightInd w:val="0"/>
        <w:spacing w:before="120" w:after="0" w:line="240" w:lineRule="auto"/>
        <w:jc w:val="both"/>
        <w:rPr>
          <w:rFonts w:eastAsia="Times New Roman" w:cs="Arial"/>
          <w:sz w:val="24"/>
          <w:szCs w:val="24"/>
          <w:lang w:eastAsia="pl-PL"/>
        </w:rPr>
      </w:pPr>
      <w:r w:rsidRPr="004F1B75">
        <w:rPr>
          <w:rFonts w:eastAsia="Times New Roman" w:cs="Times New Roman"/>
          <w:sz w:val="24"/>
          <w:szCs w:val="24"/>
          <w:lang w:eastAsia="pl-PL"/>
        </w:rPr>
        <w:t>W konsekwencji należy stwierdzić, że przypadki naruszenia tajemnicy lekarskiej miały charakter incydentalny i wynikały z czynnika ludzkiego. Naruszenie tajemnicy lekarskiej w sprawie</w:t>
      </w:r>
      <w:r w:rsidRPr="004F1B75">
        <w:rPr>
          <w:rFonts w:eastAsia="Times New Roman" w:cs="Arial"/>
          <w:sz w:val="24"/>
          <w:szCs w:val="24"/>
          <w:lang w:eastAsia="pl-PL"/>
        </w:rPr>
        <w:t xml:space="preserve"> </w:t>
      </w:r>
      <w:r w:rsidRPr="004F1B75">
        <w:rPr>
          <w:rFonts w:eastAsia="Times New Roman" w:cs="Arial"/>
          <w:i/>
          <w:sz w:val="24"/>
          <w:szCs w:val="24"/>
          <w:lang w:eastAsia="pl-PL"/>
        </w:rPr>
        <w:t xml:space="preserve">P. i </w:t>
      </w:r>
      <w:r w:rsidRPr="004F1B75">
        <w:rPr>
          <w:rFonts w:eastAsia="Times New Roman" w:cs="Arial"/>
          <w:sz w:val="24"/>
          <w:szCs w:val="24"/>
          <w:lang w:eastAsia="pl-PL"/>
        </w:rPr>
        <w:t>S</w:t>
      </w:r>
      <w:r w:rsidRPr="004F1B75">
        <w:rPr>
          <w:rFonts w:eastAsia="Times New Roman" w:cs="Arial"/>
          <w:i/>
          <w:sz w:val="24"/>
          <w:szCs w:val="24"/>
          <w:lang w:eastAsia="pl-PL"/>
        </w:rPr>
        <w:t xml:space="preserve">. p. </w:t>
      </w:r>
      <w:r w:rsidRPr="004F1B75">
        <w:rPr>
          <w:rFonts w:eastAsia="Times New Roman" w:cs="Times New Roman"/>
          <w:i/>
          <w:sz w:val="24"/>
          <w:szCs w:val="24"/>
          <w:lang w:eastAsia="pl-PL"/>
        </w:rPr>
        <w:t>Polsce</w:t>
      </w:r>
      <w:r w:rsidRPr="004F1B75">
        <w:rPr>
          <w:rFonts w:eastAsia="Times New Roman" w:cs="Times New Roman"/>
          <w:sz w:val="24"/>
          <w:szCs w:val="24"/>
          <w:lang w:eastAsia="pl-PL"/>
        </w:rPr>
        <w:t xml:space="preserve"> również miało taki charakter.</w:t>
      </w:r>
      <w:r w:rsidRPr="004F1B75">
        <w:rPr>
          <w:rFonts w:eastAsia="Times New Roman" w:cs="Arial"/>
          <w:i/>
          <w:sz w:val="24"/>
          <w:szCs w:val="24"/>
          <w:lang w:eastAsia="pl-PL"/>
        </w:rPr>
        <w:t xml:space="preserve"> </w:t>
      </w:r>
      <w:r w:rsidRPr="004F1B75">
        <w:rPr>
          <w:rFonts w:eastAsia="Times New Roman" w:cs="Arial"/>
          <w:sz w:val="24"/>
          <w:szCs w:val="24"/>
          <w:lang w:eastAsia="pl-PL"/>
        </w:rPr>
        <w:t xml:space="preserve"> </w:t>
      </w:r>
    </w:p>
    <w:p w:rsidR="004F1B75" w:rsidRPr="004F1B75" w:rsidRDefault="004F1B75" w:rsidP="004F1B75">
      <w:pPr>
        <w:autoSpaceDE w:val="0"/>
        <w:autoSpaceDN w:val="0"/>
        <w:adjustRightInd w:val="0"/>
        <w:spacing w:before="120" w:after="0" w:line="240" w:lineRule="auto"/>
        <w:jc w:val="both"/>
        <w:rPr>
          <w:rFonts w:eastAsia="Times New Roman" w:cs="Arial"/>
          <w:b/>
          <w:sz w:val="24"/>
          <w:szCs w:val="24"/>
          <w:lang w:eastAsia="pl-PL"/>
        </w:rPr>
      </w:pPr>
      <w:r w:rsidRPr="004F1B75">
        <w:rPr>
          <w:rFonts w:eastAsia="Times New Roman" w:cs="Arial"/>
          <w:b/>
          <w:sz w:val="24"/>
          <w:szCs w:val="24"/>
          <w:lang w:eastAsia="pl-PL"/>
        </w:rPr>
        <w:t>7. Środki mające na celu zapewnienie młodocianym osobom starającym się o usługi w zakresie zdrowia reprodukcyjnego traktowanie z szacunkiem</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 xml:space="preserve">W przypadku małoletniej do przeprowadzenia zabiegu przerwania ciąży jest wymagana pisemna zgoda jej przedstawiciela ustawowego. W przypadku małoletniej powyżej 13 roku życia jest wymagana również jej pisemna zgoda. W przypadku małoletniej poniżej 13 roku życia jest wymagana zgoda sądu opiekuńczego, a małoletnia ma prawo do wyrażenia własnej opinii. W przypadku kobiety ubezwłasnowolnionej całkowicie jest wymagana także pisemna zgoda tej osoby, chyba że na wyrażenie zgody nie pozwala stan jej zdrowia psychicznego. W razie braku zgody przedstawiciela ustawowego, do przerwania ciąży jest wymagana zgoda sądu opiekuńczego. </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Kwestia przekazywania pacjentkom małoletnim informacji została uregulowana w sposób generalny (tj. odnoszący się do wszystkich sytuacji udzielania świadczeń, a więc również związanych z przerwaniem ciąży) przepisami ustawy z dnia 6 listopada 2008 r. o prawach pacjenta i Rzeczniku Praw Pacjenta.</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Zgodnie z art. 9 pacjent, w tym małoletni, który ukończył 16 lat, lub jego przedstawiciel ustawowy mają prawo do uzyskania od osoby wykonującej zawód medyczny przystępnej informacji o stanie zdrowia pacjenta, rozpoznaniu, proponowanych oraz możliwych metodach diagnostycznych i leczniczych, dających się przewidzieć następstwach ich zastosowania albo zaniechania, wynikach leczenia oraz rokowaniu, w zakresie udzielanych przez tę osobę świadczeń zdrowotnych oraz zgodnie z posiadanymi przez nią uprawnieniami. Pacjent, który nie ukończył 16 lat ma prawo do uzyskania od osoby wykonującej zawód medyczny informacji w zakresie i formie potrzebnej do prawidłowego przebiegu procesu diagnostycznego lub terapeutycznego.</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 xml:space="preserve">Należy zwrócić uwagę, że programy przed- i podyplomowego kształcenia lekarzy zawierają tematykę związaną z prawami pacjenta, w tym w zakresie przestrzegania tajemnicy lekarskiej oraz prawa do sprzeciwu wobec opinii lub orzeczenia lekarza. Zgodnie ze standardami edukacji medycznej opisanymi rozporządzeniu Ministra Nauki i Szkolnictwa Wyższego z dnia 9 maja 2012 r. w sprawie standardów kształcenia dla kierunków studiów: lekarskiego, lekarsko-dentystycznego, farmacji, pielęgniarstwa i położnictwa, lekarz poznaje główne pojęcia, teorie, zasady i reguły etyczne służące jako ogólne ramy właściwego interpretowania i analizowania zagadnień moralno-medycznych.  </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lastRenderedPageBreak/>
        <w:t>Ponadto lekarz ma obowiązek informowania pacjenta o celu, przebiegu i ewentualnym ryzyku proponowanych działań diagnostycznych lub terapeutycznych oraz ma obowiązek uzyskania na nie świadomej zgody pacjenta.</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Lekarz zobowiązany jest przestrzegać praw pacjenta, w tym: prawa do ochrony danych osobowych, prawa do intymności, prawa do poszanowania godności, prawa do informacji o stanie zdrowia, prawa do tajemnicy informacji związanych z pacjentem, prawa do wyrażenia świadomej zgody na leczenie lub odstąpienie od niego, prawa do świadczeń zdrowotnych, prawa do zgłaszania niepożądanego działania produktu leczniczego oraz prawa do godnej śmierci.</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 xml:space="preserve">Standardy wymagają od lekarza znajomości zasad tajemnicy lekarskiej, prowadzenia dokumentacji medycznej, odpowiedzialności karnej, cywilnej i zawodowej lekarza. </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W trakcie odbywania stażu podyplomowego, którego celem jest pogłębienie wiedzy teoretycznej oraz poznanie, utrwalenie i przyswojenie praktycznych umiejętności z zakresu zapobiegania, rozpoznawania, leczenia i rehabilitacji najczęściej występujących chorób, lekarz poznaje zasady wykonywania zawodu lekarza, w tym zagadnienia związane z prawami pacjenta. Staż ma również na celu kształtowanie postaw lekarzy i lekarzy dentystów w oparciu o system norm etycznych zawartych w przysiędze i przykazaniu Hipokratesa, w Powszechnej Deklaracji Praw Człowieka, Deklaracji helsińskiej i tokijskiej, Deklaracji genewskiej, polskim Kodeksie Etyki Lekarskiej (KEL) oraz w Europejskiej konwencji bioetycznej.</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Odnosząc się do treści programu specjalizacji w dziedzinie położnictwo i ginekologia należy wskazać, że w każdym programie szkolenia specjalizacyjnego w poszczególnych dziedzinach medycyny jest wpisany obowiązkowy kurs w zakresie prawa medycznego. Oczekuje się, że lekarz po ukończeniu kursu wykaże się znajomością podstawowych przepisów prawa w zakresie wykonywania zawodu lekarza oraz odpowiedzialności.</w:t>
      </w:r>
    </w:p>
    <w:p w:rsidR="004F1B75" w:rsidRPr="004F1B75" w:rsidRDefault="004F1B75" w:rsidP="004F1B75">
      <w:pPr>
        <w:autoSpaceDE w:val="0"/>
        <w:autoSpaceDN w:val="0"/>
        <w:adjustRightInd w:val="0"/>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Zakres wiedzy jaką lekarz otrzymuje w trakcie trwania ww. kursu to m.in. uprawnienia i obowiązki zawodowe lekarza oraz prawa pacjenta (pojęcie świadomej zgody, prawo do odmowy udzielenia świadczenia).</w:t>
      </w:r>
    </w:p>
    <w:p w:rsidR="004F1B75" w:rsidRPr="004F1B75" w:rsidRDefault="004F1B75" w:rsidP="004F1B75">
      <w:pPr>
        <w:spacing w:before="120" w:after="0" w:line="240" w:lineRule="auto"/>
        <w:jc w:val="both"/>
        <w:rPr>
          <w:rFonts w:eastAsia="Times New Roman" w:cs="Times New Roman"/>
          <w:bCs/>
          <w:sz w:val="24"/>
          <w:szCs w:val="24"/>
          <w:lang w:eastAsia="pl-PL"/>
        </w:rPr>
      </w:pPr>
      <w:r w:rsidRPr="004F1B75">
        <w:rPr>
          <w:rFonts w:eastAsia="Times New Roman" w:cs="Times New Roman"/>
          <w:bCs/>
          <w:sz w:val="24"/>
          <w:szCs w:val="24"/>
          <w:lang w:eastAsia="pl-PL"/>
        </w:rPr>
        <w:t>Kolejnym kursem obowiązkowym dla lekarzy odbywających szkolenie specjalizacyjne we wszystkich dziedzinach medycyny jest kurs z zakresu zdrowia publicznego, w ramach którego lekarze zostają zapoznani m.in. z etycznymi podstawami zdrowia publicznego (prawa człowieka a system opieki zdrowotnej, etyczne modele systemów opieki zdrowotnej, wolność indywidualna i jej granice w obszarze polityki zdrowotnej, wartość autonomii pacjenta, prywatność) oraz z zagadnieniami zdrowia publicznego w wybranych regulacjach bioetycznych: regulacje etyczne samorządów zawodów medycznych, Europejska Konwencja Bioetyczna.</w:t>
      </w:r>
    </w:p>
    <w:p w:rsidR="004F1B75" w:rsidRPr="004F1B75" w:rsidRDefault="004F1B75" w:rsidP="004F1B75">
      <w:pPr>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Celem takiego szkolenia specjalizacyjnego jest przygotowanie lekarza do samodzielnego prowadzenia podstawowej i specjalistycznej opieki profilaktyczno-leczniczej z zakresu położnictwa i ginekologii, nad kobietą w poszczególnych okresach jej życia, tak aby zawód ten charakteryzował: kompetencja , innowacyjność, wrażliwość oraz właściwa postawa etyczna i moralna.</w:t>
      </w:r>
    </w:p>
    <w:p w:rsidR="004F1B75" w:rsidRPr="004F1B75" w:rsidRDefault="004F1B75" w:rsidP="004F1B75">
      <w:pPr>
        <w:spacing w:before="120" w:after="0" w:line="240" w:lineRule="auto"/>
        <w:jc w:val="both"/>
        <w:rPr>
          <w:rFonts w:eastAsia="Times New Roman" w:cs="Times New Roman"/>
          <w:sz w:val="24"/>
          <w:szCs w:val="24"/>
          <w:lang w:eastAsia="pl-PL"/>
        </w:rPr>
      </w:pPr>
      <w:r w:rsidRPr="004F1B75">
        <w:rPr>
          <w:rFonts w:eastAsia="Times New Roman" w:cs="Times New Roman"/>
          <w:sz w:val="24"/>
          <w:szCs w:val="24"/>
          <w:lang w:eastAsia="pl-PL"/>
        </w:rPr>
        <w:t xml:space="preserve">W trakcie szkolenia specjalistycznego od lekarza oczekuje się opanowania pełnego zakresu wymaganej aktualnej wiedzy określonej w programie, nabycia niezbędnej biegłości w </w:t>
      </w:r>
      <w:r w:rsidRPr="004F1B75">
        <w:rPr>
          <w:rFonts w:eastAsia="Times New Roman" w:cs="Times New Roman"/>
          <w:sz w:val="24"/>
          <w:szCs w:val="24"/>
          <w:lang w:eastAsia="pl-PL"/>
        </w:rPr>
        <w:lastRenderedPageBreak/>
        <w:t>wykonywaniu zabiegów i stosowania procedur medycznych oraz wystarczającego doświadczenia praktycznego (zawodowego).</w:t>
      </w:r>
    </w:p>
    <w:p w:rsidR="004F1B75" w:rsidRPr="004F1B75" w:rsidRDefault="004F1B75" w:rsidP="004F1B75">
      <w:pPr>
        <w:spacing w:before="120" w:after="0" w:line="240" w:lineRule="auto"/>
        <w:jc w:val="both"/>
        <w:rPr>
          <w:rFonts w:eastAsia="Times New Roman" w:cs="Times New Roman"/>
          <w:bCs/>
          <w:sz w:val="24"/>
          <w:szCs w:val="24"/>
          <w:lang w:eastAsia="pl-PL"/>
        </w:rPr>
      </w:pPr>
      <w:r w:rsidRPr="004F1B75">
        <w:rPr>
          <w:rFonts w:eastAsia="Times New Roman" w:cs="Times New Roman"/>
          <w:bCs/>
          <w:sz w:val="24"/>
          <w:szCs w:val="24"/>
          <w:lang w:eastAsia="pl-PL"/>
        </w:rPr>
        <w:t>Ponadto od lekarza oczekuje się umiejętności właściwego traktowania pacjenta jako osoby, odpowiedniego sposobu porozumiewania się z pacjentem i jego rodziną, udzielania rzetelnej i wyważonej informacji medycznej oraz udzielania wsparcia psychologicznego, a także umiejętność doboru indywidualnego postępowania diagnostyczno-medycznego odpowiedniego do sytuacji klinicznej.</w:t>
      </w:r>
    </w:p>
    <w:p w:rsidR="004F1B75" w:rsidRPr="004F1B75" w:rsidRDefault="004F1B75" w:rsidP="004F1B75">
      <w:pPr>
        <w:spacing w:before="120" w:after="0" w:line="240" w:lineRule="auto"/>
        <w:jc w:val="both"/>
        <w:rPr>
          <w:rFonts w:eastAsia="Times New Roman" w:cs="Times New Roman"/>
          <w:bCs/>
          <w:sz w:val="24"/>
          <w:szCs w:val="24"/>
          <w:lang w:eastAsia="pl-PL"/>
        </w:rPr>
      </w:pPr>
      <w:r w:rsidRPr="004F1B75">
        <w:rPr>
          <w:rFonts w:eastAsia="Times New Roman" w:cs="Times New Roman"/>
          <w:bCs/>
          <w:sz w:val="24"/>
          <w:szCs w:val="24"/>
          <w:lang w:eastAsia="pl-PL"/>
        </w:rPr>
        <w:t>Podobny charakter ma kształcenie przed- i podyplomowe pielęgniarek i położnych.</w:t>
      </w:r>
    </w:p>
    <w:p w:rsidR="007872D2" w:rsidRDefault="007872D2" w:rsidP="00F24A3C">
      <w:pPr>
        <w:pStyle w:val="Nagwek1"/>
        <w:jc w:val="both"/>
        <w:rPr>
          <w:rFonts w:asciiTheme="minorHAnsi" w:hAnsiTheme="minorHAnsi"/>
          <w:sz w:val="28"/>
          <w:szCs w:val="28"/>
        </w:rPr>
      </w:pPr>
    </w:p>
    <w:p w:rsidR="007872D2" w:rsidRPr="00B708A0" w:rsidRDefault="007872D2" w:rsidP="007872D2">
      <w:pPr>
        <w:pStyle w:val="Nagwek1"/>
        <w:jc w:val="both"/>
        <w:rPr>
          <w:rFonts w:asciiTheme="minorHAnsi" w:hAnsiTheme="minorHAnsi"/>
          <w:sz w:val="28"/>
          <w:szCs w:val="28"/>
        </w:rPr>
      </w:pPr>
      <w:bookmarkStart w:id="10" w:name="_Toc69124147"/>
      <w:r w:rsidRPr="00B708A0">
        <w:rPr>
          <w:rFonts w:asciiTheme="minorHAnsi" w:hAnsiTheme="minorHAnsi"/>
          <w:sz w:val="28"/>
          <w:szCs w:val="28"/>
        </w:rPr>
        <w:t xml:space="preserve">Komunikacja </w:t>
      </w:r>
      <w:r>
        <w:rPr>
          <w:rFonts w:asciiTheme="minorHAnsi" w:hAnsiTheme="minorHAnsi"/>
          <w:sz w:val="28"/>
          <w:szCs w:val="28"/>
        </w:rPr>
        <w:t xml:space="preserve">Komisarza Praw Człowieka Rady Europy </w:t>
      </w:r>
      <w:r w:rsidRPr="00B708A0">
        <w:rPr>
          <w:rFonts w:asciiTheme="minorHAnsi" w:hAnsiTheme="minorHAnsi"/>
          <w:sz w:val="28"/>
          <w:szCs w:val="28"/>
        </w:rPr>
        <w:t>w sprawie wykonania wyrok</w:t>
      </w:r>
      <w:r>
        <w:rPr>
          <w:rFonts w:asciiTheme="minorHAnsi" w:hAnsiTheme="minorHAnsi"/>
          <w:sz w:val="28"/>
          <w:szCs w:val="28"/>
        </w:rPr>
        <w:t>ów</w:t>
      </w:r>
      <w:r w:rsidRPr="00B708A0">
        <w:rPr>
          <w:rFonts w:asciiTheme="minorHAnsi" w:hAnsiTheme="minorHAnsi"/>
          <w:sz w:val="28"/>
          <w:szCs w:val="28"/>
        </w:rPr>
        <w:t xml:space="preserve"> Europejskiego Trybunału Praw Człowieka </w:t>
      </w:r>
      <w:r w:rsidRPr="00F24A3C">
        <w:rPr>
          <w:rFonts w:asciiTheme="minorHAnsi" w:hAnsiTheme="minorHAnsi"/>
          <w:i/>
          <w:sz w:val="28"/>
          <w:szCs w:val="28"/>
        </w:rPr>
        <w:t>Tysiąc p. Polsce</w:t>
      </w:r>
      <w:r w:rsidRPr="00F24A3C">
        <w:rPr>
          <w:rFonts w:asciiTheme="minorHAnsi" w:hAnsiTheme="minorHAnsi"/>
          <w:sz w:val="28"/>
          <w:szCs w:val="28"/>
        </w:rPr>
        <w:t xml:space="preserve">, </w:t>
      </w:r>
      <w:r w:rsidRPr="00F24A3C">
        <w:rPr>
          <w:rFonts w:asciiTheme="minorHAnsi" w:hAnsiTheme="minorHAnsi"/>
          <w:i/>
          <w:sz w:val="28"/>
          <w:szCs w:val="28"/>
        </w:rPr>
        <w:t>R.R. p. Polsce</w:t>
      </w:r>
      <w:r w:rsidRPr="00F24A3C">
        <w:rPr>
          <w:rFonts w:asciiTheme="minorHAnsi" w:hAnsiTheme="minorHAnsi"/>
          <w:sz w:val="28"/>
          <w:szCs w:val="28"/>
        </w:rPr>
        <w:t xml:space="preserve"> i </w:t>
      </w:r>
      <w:r w:rsidRPr="00F24A3C">
        <w:rPr>
          <w:rFonts w:asciiTheme="minorHAnsi" w:hAnsiTheme="minorHAnsi"/>
          <w:i/>
          <w:sz w:val="28"/>
          <w:szCs w:val="28"/>
        </w:rPr>
        <w:t>P. i S. p. Polsce</w:t>
      </w:r>
      <w:r w:rsidRPr="00B708A0">
        <w:rPr>
          <w:rFonts w:asciiTheme="minorHAnsi" w:hAnsiTheme="minorHAnsi"/>
          <w:sz w:val="28"/>
          <w:szCs w:val="28"/>
        </w:rPr>
        <w:t xml:space="preserve"> z dnia 2</w:t>
      </w:r>
      <w:r>
        <w:rPr>
          <w:rFonts w:asciiTheme="minorHAnsi" w:hAnsiTheme="minorHAnsi"/>
          <w:sz w:val="28"/>
          <w:szCs w:val="28"/>
        </w:rPr>
        <w:t>9</w:t>
      </w:r>
      <w:r w:rsidRPr="00B708A0">
        <w:rPr>
          <w:rFonts w:asciiTheme="minorHAnsi" w:hAnsiTheme="minorHAnsi"/>
          <w:sz w:val="28"/>
          <w:szCs w:val="28"/>
        </w:rPr>
        <w:t xml:space="preserve"> </w:t>
      </w:r>
      <w:r>
        <w:rPr>
          <w:rFonts w:asciiTheme="minorHAnsi" w:hAnsiTheme="minorHAnsi"/>
          <w:sz w:val="28"/>
          <w:szCs w:val="28"/>
        </w:rPr>
        <w:t>stycznia</w:t>
      </w:r>
      <w:r w:rsidRPr="00B708A0">
        <w:rPr>
          <w:rFonts w:asciiTheme="minorHAnsi" w:hAnsiTheme="minorHAnsi"/>
          <w:sz w:val="28"/>
          <w:szCs w:val="28"/>
        </w:rPr>
        <w:t xml:space="preserve"> 2020 r.</w:t>
      </w:r>
      <w:bookmarkEnd w:id="10"/>
      <w:r w:rsidRPr="00B708A0">
        <w:rPr>
          <w:rFonts w:asciiTheme="minorHAnsi" w:hAnsiTheme="minorHAnsi"/>
          <w:sz w:val="28"/>
          <w:szCs w:val="28"/>
        </w:rPr>
        <w:t xml:space="preserve">   </w:t>
      </w:r>
    </w:p>
    <w:p w:rsidR="00ED526F" w:rsidRDefault="00ED526F" w:rsidP="00ED526F">
      <w:pPr>
        <w:rPr>
          <w:sz w:val="24"/>
          <w:szCs w:val="24"/>
          <w:u w:val="single"/>
        </w:rPr>
      </w:pPr>
    </w:p>
    <w:p w:rsidR="007872D2" w:rsidRDefault="00ED526F" w:rsidP="00ED526F">
      <w:pPr>
        <w:rPr>
          <w:sz w:val="24"/>
          <w:szCs w:val="24"/>
          <w:u w:val="single"/>
        </w:rPr>
      </w:pPr>
      <w:r w:rsidRPr="00ED526F">
        <w:rPr>
          <w:sz w:val="24"/>
          <w:szCs w:val="24"/>
          <w:u w:val="single"/>
        </w:rPr>
        <w:t>Treść</w:t>
      </w:r>
      <w:r w:rsidR="007872D2" w:rsidRPr="00ED526F">
        <w:rPr>
          <w:sz w:val="24"/>
          <w:szCs w:val="24"/>
          <w:u w:val="single"/>
        </w:rPr>
        <w:t xml:space="preserve"> komunikacji </w:t>
      </w:r>
    </w:p>
    <w:p w:rsidR="00253219" w:rsidRPr="009552FD" w:rsidRDefault="00253219" w:rsidP="00C53C38">
      <w:pPr>
        <w:keepNext/>
        <w:keepLines/>
        <w:widowControl w:val="0"/>
        <w:spacing w:after="120" w:line="240" w:lineRule="auto"/>
        <w:outlineLvl w:val="2"/>
        <w:rPr>
          <w:rFonts w:eastAsia="Arial" w:cs="Arial"/>
          <w:b/>
          <w:bCs/>
          <w:sz w:val="24"/>
          <w:szCs w:val="24"/>
          <w:lang w:bidi="en-US"/>
        </w:rPr>
      </w:pPr>
      <w:r w:rsidRPr="009552FD">
        <w:rPr>
          <w:rFonts w:eastAsia="Arial" w:cs="Arial"/>
          <w:b/>
          <w:bCs/>
          <w:sz w:val="24"/>
          <w:szCs w:val="24"/>
          <w:lang w:bidi="en-US"/>
        </w:rPr>
        <w:t>Wprowadzenie</w:t>
      </w:r>
    </w:p>
    <w:p w:rsidR="00253219" w:rsidRPr="00C53C38" w:rsidRDefault="00253219" w:rsidP="00987EB2">
      <w:pPr>
        <w:pStyle w:val="Akapitzlist"/>
        <w:widowControl w:val="0"/>
        <w:numPr>
          <w:ilvl w:val="0"/>
          <w:numId w:val="48"/>
        </w:numPr>
        <w:tabs>
          <w:tab w:val="left" w:pos="720"/>
        </w:tabs>
        <w:spacing w:before="120" w:after="0" w:line="240" w:lineRule="auto"/>
        <w:ind w:hanging="357"/>
        <w:contextualSpacing w:val="0"/>
        <w:jc w:val="both"/>
        <w:rPr>
          <w:rFonts w:eastAsia="Arial" w:cs="Arial"/>
          <w:sz w:val="24"/>
          <w:szCs w:val="24"/>
          <w:lang w:bidi="en-US"/>
        </w:rPr>
      </w:pPr>
      <w:r w:rsidRPr="00C53C38">
        <w:rPr>
          <w:rFonts w:eastAsia="Arial" w:cs="Arial"/>
          <w:sz w:val="24"/>
          <w:szCs w:val="24"/>
          <w:lang w:bidi="en-US"/>
        </w:rPr>
        <w:t>Niniejsze wystąpienie Komisarza Praw Człowieka Rady Europy (zwanego dalej „Komisarzem”) skierowane jest do Komitetu Ministrów Rady Europy, zgodnie z Regułą 9.4 Regulaminu Komitetu Ministrów</w:t>
      </w:r>
      <w:r w:rsidRPr="00C53C38">
        <w:rPr>
          <w:bCs/>
          <w:sz w:val="24"/>
          <w:szCs w:val="24"/>
          <w:vertAlign w:val="superscript"/>
          <w:lang w:bidi="en-US"/>
        </w:rPr>
        <w:footnoteReference w:id="71"/>
      </w:r>
      <w:r w:rsidRPr="00C53C38">
        <w:rPr>
          <w:rFonts w:eastAsia="Arial" w:cs="Arial"/>
          <w:sz w:val="24"/>
          <w:szCs w:val="24"/>
          <w:lang w:bidi="en-US"/>
        </w:rPr>
        <w:t xml:space="preserve">, w kontekście nadzoru nad wykonaniem wyroków Europejskiego Trybunału Praw Człowieka w sprawach </w:t>
      </w:r>
      <w:r w:rsidRPr="00C53C38">
        <w:rPr>
          <w:rFonts w:eastAsia="Arial" w:cs="Arial"/>
          <w:i/>
          <w:iCs/>
          <w:sz w:val="24"/>
          <w:szCs w:val="24"/>
          <w:lang w:bidi="en-US"/>
        </w:rPr>
        <w:t>Tysiąc p</w:t>
      </w:r>
      <w:r w:rsidR="00BA2C68">
        <w:rPr>
          <w:rFonts w:eastAsia="Arial" w:cs="Arial"/>
          <w:i/>
          <w:iCs/>
          <w:sz w:val="24"/>
          <w:szCs w:val="24"/>
          <w:lang w:bidi="en-US"/>
        </w:rPr>
        <w:t>.</w:t>
      </w:r>
      <w:r w:rsidRPr="00C53C38">
        <w:rPr>
          <w:rFonts w:eastAsia="Arial" w:cs="Arial"/>
          <w:i/>
          <w:iCs/>
          <w:sz w:val="24"/>
          <w:szCs w:val="24"/>
          <w:lang w:bidi="en-US"/>
        </w:rPr>
        <w:t xml:space="preserve"> Polsce</w:t>
      </w:r>
      <w:r w:rsidRPr="00C53C38">
        <w:rPr>
          <w:rFonts w:eastAsia="Arial" w:cs="Arial"/>
          <w:sz w:val="24"/>
          <w:szCs w:val="24"/>
          <w:lang w:bidi="en-US"/>
        </w:rPr>
        <w:t xml:space="preserve"> (skarga nr 5410/03), </w:t>
      </w:r>
      <w:r w:rsidRPr="00C53C38">
        <w:rPr>
          <w:rFonts w:eastAsia="Arial" w:cs="Arial"/>
          <w:i/>
          <w:iCs/>
          <w:sz w:val="24"/>
          <w:szCs w:val="24"/>
          <w:lang w:bidi="en-US"/>
        </w:rPr>
        <w:t>R. R. p</w:t>
      </w:r>
      <w:r w:rsidR="00BA2C68">
        <w:rPr>
          <w:rFonts w:eastAsia="Arial" w:cs="Arial"/>
          <w:i/>
          <w:iCs/>
          <w:sz w:val="24"/>
          <w:szCs w:val="24"/>
          <w:lang w:bidi="en-US"/>
        </w:rPr>
        <w:t>.</w:t>
      </w:r>
      <w:r w:rsidRPr="00C53C38">
        <w:rPr>
          <w:rFonts w:eastAsia="Arial" w:cs="Arial"/>
          <w:i/>
          <w:iCs/>
          <w:sz w:val="24"/>
          <w:szCs w:val="24"/>
          <w:lang w:bidi="en-US"/>
        </w:rPr>
        <w:t xml:space="preserve"> Polsce</w:t>
      </w:r>
      <w:r w:rsidRPr="00C53C38">
        <w:rPr>
          <w:rFonts w:eastAsia="Arial" w:cs="Arial"/>
          <w:sz w:val="24"/>
          <w:szCs w:val="24"/>
          <w:lang w:bidi="en-US"/>
        </w:rPr>
        <w:t xml:space="preserve"> (skarga nr 27617/04) oraz </w:t>
      </w:r>
      <w:r w:rsidR="00BA2C68">
        <w:rPr>
          <w:rFonts w:eastAsia="Arial" w:cs="Arial"/>
          <w:i/>
          <w:iCs/>
          <w:sz w:val="24"/>
          <w:szCs w:val="24"/>
          <w:lang w:bidi="en-US"/>
        </w:rPr>
        <w:t>P. i S. p.</w:t>
      </w:r>
      <w:r w:rsidRPr="00C53C38">
        <w:rPr>
          <w:rFonts w:eastAsia="Arial" w:cs="Arial"/>
          <w:i/>
          <w:iCs/>
          <w:sz w:val="24"/>
          <w:szCs w:val="24"/>
          <w:lang w:bidi="en-US"/>
        </w:rPr>
        <w:t xml:space="preserve"> Polsce</w:t>
      </w:r>
      <w:r w:rsidRPr="00C53C38">
        <w:rPr>
          <w:rFonts w:eastAsia="Arial" w:cs="Arial"/>
          <w:sz w:val="24"/>
          <w:szCs w:val="24"/>
          <w:lang w:bidi="en-US"/>
        </w:rPr>
        <w:t xml:space="preserve"> (skarga nr 57375/08).</w:t>
      </w:r>
    </w:p>
    <w:p w:rsidR="00253219" w:rsidRPr="00C53C38" w:rsidRDefault="00253219" w:rsidP="00987EB2">
      <w:pPr>
        <w:pStyle w:val="Akapitzlist"/>
        <w:widowControl w:val="0"/>
        <w:numPr>
          <w:ilvl w:val="0"/>
          <w:numId w:val="48"/>
        </w:numPr>
        <w:tabs>
          <w:tab w:val="left" w:pos="720"/>
        </w:tabs>
        <w:spacing w:before="120" w:after="0" w:line="240" w:lineRule="auto"/>
        <w:ind w:hanging="357"/>
        <w:contextualSpacing w:val="0"/>
        <w:jc w:val="both"/>
        <w:rPr>
          <w:rFonts w:eastAsia="Arial" w:cs="Arial"/>
          <w:sz w:val="24"/>
          <w:szCs w:val="24"/>
          <w:lang w:bidi="en-US"/>
        </w:rPr>
      </w:pPr>
      <w:r w:rsidRPr="00C53C38">
        <w:rPr>
          <w:rFonts w:eastAsia="Arial" w:cs="Arial"/>
          <w:sz w:val="24"/>
          <w:szCs w:val="24"/>
          <w:lang w:bidi="en-US"/>
        </w:rPr>
        <w:t xml:space="preserve">Każda z tych spraw odnosi się do jednej z trzech różnych sytuacji, w których prawo polskie dopuszcza przerwanie ciąży. Sprawa </w:t>
      </w:r>
      <w:r w:rsidR="00BA2C68">
        <w:rPr>
          <w:rFonts w:eastAsia="Arial" w:cs="Arial"/>
          <w:i/>
          <w:iCs/>
          <w:sz w:val="24"/>
          <w:szCs w:val="24"/>
          <w:lang w:bidi="en-US"/>
        </w:rPr>
        <w:t>Tysiąc p.</w:t>
      </w:r>
      <w:r w:rsidRPr="00C53C38">
        <w:rPr>
          <w:rFonts w:eastAsia="Arial" w:cs="Arial"/>
          <w:i/>
          <w:iCs/>
          <w:sz w:val="24"/>
          <w:szCs w:val="24"/>
          <w:lang w:bidi="en-US"/>
        </w:rPr>
        <w:t xml:space="preserve"> Polsce</w:t>
      </w:r>
      <w:r w:rsidRPr="00C53C38">
        <w:rPr>
          <w:rFonts w:eastAsia="Arial" w:cs="Arial"/>
          <w:sz w:val="24"/>
          <w:szCs w:val="24"/>
          <w:lang w:bidi="en-US"/>
        </w:rPr>
        <w:t xml:space="preserve"> dotyczyła istnienia zagrożenia dla zdrowia ciężarnej kobiety. Sprawa </w:t>
      </w:r>
      <w:r w:rsidR="00BA2C68">
        <w:rPr>
          <w:rFonts w:eastAsia="Arial" w:cs="Arial"/>
          <w:i/>
          <w:iCs/>
          <w:sz w:val="24"/>
          <w:szCs w:val="24"/>
          <w:lang w:bidi="en-US"/>
        </w:rPr>
        <w:t>R. R. p.</w:t>
      </w:r>
      <w:r w:rsidRPr="00C53C38">
        <w:rPr>
          <w:rFonts w:eastAsia="Arial" w:cs="Arial"/>
          <w:i/>
          <w:iCs/>
          <w:sz w:val="24"/>
          <w:szCs w:val="24"/>
          <w:lang w:bidi="en-US"/>
        </w:rPr>
        <w:t xml:space="preserve"> Polsce</w:t>
      </w:r>
      <w:r w:rsidRPr="00C53C38">
        <w:rPr>
          <w:rFonts w:eastAsia="Arial" w:cs="Arial"/>
          <w:sz w:val="24"/>
          <w:szCs w:val="24"/>
          <w:lang w:bidi="en-US"/>
        </w:rPr>
        <w:t xml:space="preserve"> dotyczyła możliwości wystąpienia wad rozwojowych płodu jako podstawy prawnej przerwania ciąży. Sprawa </w:t>
      </w:r>
      <w:r w:rsidR="00BA2C68">
        <w:rPr>
          <w:rFonts w:eastAsia="Arial" w:cs="Arial"/>
          <w:i/>
          <w:iCs/>
          <w:sz w:val="24"/>
          <w:szCs w:val="24"/>
          <w:lang w:bidi="en-US"/>
        </w:rPr>
        <w:t xml:space="preserve">P. i S. p. </w:t>
      </w:r>
      <w:r w:rsidRPr="00C53C38">
        <w:rPr>
          <w:rFonts w:eastAsia="Arial" w:cs="Arial"/>
          <w:i/>
          <w:iCs/>
          <w:sz w:val="24"/>
          <w:szCs w:val="24"/>
          <w:lang w:bidi="en-US"/>
        </w:rPr>
        <w:t>Polsce</w:t>
      </w:r>
      <w:r w:rsidRPr="00C53C38">
        <w:rPr>
          <w:rFonts w:eastAsia="Arial" w:cs="Arial"/>
          <w:sz w:val="24"/>
          <w:szCs w:val="24"/>
          <w:lang w:bidi="en-US"/>
        </w:rPr>
        <w:t xml:space="preserve"> dotyczyła nieudzielenia przez władze rzetelnej informacji na temat warunków i procedur dostępu do zgodnego z prawem przerwania ciąży będącej wynikiem zgwałcenia. We wszystkich trzech sprawach Trybunał stwierdził naruszenie art. 8 Europejskiej Konwencji Praw Człowieka (prawo do poszanowania życia prywatnego i rodzinnego) ze względu na brak dostępu do legalnej aborcji; dodatkowo w dwóch ostatnich sprawach stwierdził również naruszenie art. 3 Europejskiej Konwencji Praw Człowieka (zakaz tortur i nieludzkiego lub poniżającego traktowania) ze względu na sposób, w jaki władze traktowały kobiety, które chciały poddać się legalnej aborcji lub prenatalnym badaniom genetycznym w związku z legalną aborcją.</w:t>
      </w:r>
    </w:p>
    <w:p w:rsidR="00253219" w:rsidRPr="00C53C38" w:rsidRDefault="00253219" w:rsidP="00987EB2">
      <w:pPr>
        <w:pStyle w:val="Akapitzlist"/>
        <w:widowControl w:val="0"/>
        <w:numPr>
          <w:ilvl w:val="0"/>
          <w:numId w:val="48"/>
        </w:numPr>
        <w:tabs>
          <w:tab w:val="left" w:pos="720"/>
        </w:tabs>
        <w:spacing w:before="120" w:after="0" w:line="240" w:lineRule="auto"/>
        <w:ind w:hanging="357"/>
        <w:contextualSpacing w:val="0"/>
        <w:jc w:val="both"/>
        <w:rPr>
          <w:rFonts w:eastAsia="Arial" w:cs="Arial"/>
          <w:sz w:val="24"/>
          <w:szCs w:val="24"/>
          <w:lang w:bidi="en-US"/>
        </w:rPr>
      </w:pPr>
      <w:r w:rsidRPr="00C53C38">
        <w:rPr>
          <w:rFonts w:eastAsia="Arial" w:cs="Arial"/>
          <w:sz w:val="24"/>
          <w:szCs w:val="24"/>
          <w:lang w:bidi="en-US"/>
        </w:rPr>
        <w:t xml:space="preserve">Zgodnie ze swoim mandatem Komisarz wspiera skuteczne przestrzeganie praw człowieka; pomaga państwom członkowskim we wdrażaniu instrumentów Rady Europy dotyczących praw człowieka, w szczególności Europejskiej Konwencji Praw Człowieka; wskazuje ewentualne niedociągnięcia w prawie i praktyce dotyczącej praw człowieka, a także </w:t>
      </w:r>
      <w:r w:rsidRPr="00C53C38">
        <w:rPr>
          <w:rFonts w:eastAsia="Arial" w:cs="Arial"/>
          <w:sz w:val="24"/>
          <w:szCs w:val="24"/>
          <w:lang w:bidi="en-US"/>
        </w:rPr>
        <w:lastRenderedPageBreak/>
        <w:t>udziela porad i informacji dotyczących ochrony praw człowieka w całym regionie</w:t>
      </w:r>
      <w:r w:rsidRPr="00C53C38">
        <w:rPr>
          <w:rFonts w:eastAsia="Arial" w:cs="Arial"/>
          <w:bCs/>
          <w:sz w:val="24"/>
          <w:szCs w:val="24"/>
          <w:vertAlign w:val="superscript"/>
          <w:lang w:bidi="en-US"/>
        </w:rPr>
        <w:footnoteReference w:id="72"/>
      </w:r>
      <w:r w:rsidRPr="00C53C38">
        <w:rPr>
          <w:rFonts w:eastAsia="Arial" w:cs="Arial"/>
          <w:sz w:val="24"/>
          <w:szCs w:val="24"/>
          <w:lang w:bidi="en-US"/>
        </w:rPr>
        <w:t>.</w:t>
      </w:r>
    </w:p>
    <w:p w:rsidR="00253219" w:rsidRPr="00C53C38" w:rsidRDefault="00253219" w:rsidP="00987EB2">
      <w:pPr>
        <w:pStyle w:val="Akapitzlist"/>
        <w:widowControl w:val="0"/>
        <w:numPr>
          <w:ilvl w:val="0"/>
          <w:numId w:val="48"/>
        </w:numPr>
        <w:tabs>
          <w:tab w:val="left" w:pos="720"/>
        </w:tabs>
        <w:spacing w:before="120" w:after="0" w:line="240" w:lineRule="auto"/>
        <w:ind w:hanging="357"/>
        <w:contextualSpacing w:val="0"/>
        <w:jc w:val="both"/>
        <w:rPr>
          <w:rFonts w:eastAsia="Arial" w:cs="Arial"/>
          <w:sz w:val="24"/>
          <w:szCs w:val="24"/>
          <w:lang w:bidi="en-US"/>
        </w:rPr>
      </w:pPr>
      <w:r w:rsidRPr="00C53C38">
        <w:rPr>
          <w:rFonts w:eastAsia="Arial" w:cs="Arial"/>
          <w:sz w:val="24"/>
          <w:szCs w:val="24"/>
          <w:lang w:bidi="en-US"/>
        </w:rPr>
        <w:t>Ochrona praw człowieka kobiet i równość płci są dla Komisarz kwestiami priorytetowymi i są szeroko omawiane zarówno w ramach jej wizyt krajowych, jak i prac tematycznych. Wspieranie i ochrona zdrowia i praw seksualnych i reprodukcyjnych kobiet jest zasadniczym elementem zobowiązań państw członkowskich do poszanowania i gwarantowania praw człowieka kobiet oraz do umacniania równości płci.</w:t>
      </w:r>
    </w:p>
    <w:p w:rsidR="00253219" w:rsidRPr="00C53C38" w:rsidRDefault="00253219" w:rsidP="00987EB2">
      <w:pPr>
        <w:pStyle w:val="Akapitzlist"/>
        <w:widowControl w:val="0"/>
        <w:numPr>
          <w:ilvl w:val="0"/>
          <w:numId w:val="48"/>
        </w:numPr>
        <w:tabs>
          <w:tab w:val="left" w:pos="720"/>
        </w:tabs>
        <w:spacing w:before="120" w:after="0" w:line="240" w:lineRule="auto"/>
        <w:ind w:hanging="357"/>
        <w:contextualSpacing w:val="0"/>
        <w:jc w:val="both"/>
        <w:rPr>
          <w:rFonts w:eastAsia="Arial" w:cs="Arial"/>
          <w:sz w:val="24"/>
          <w:szCs w:val="24"/>
          <w:lang w:bidi="en-US"/>
        </w:rPr>
      </w:pPr>
      <w:r w:rsidRPr="00C53C38">
        <w:rPr>
          <w:rFonts w:eastAsia="Arial" w:cs="Arial"/>
          <w:sz w:val="24"/>
          <w:szCs w:val="24"/>
          <w:lang w:bidi="en-US"/>
        </w:rPr>
        <w:t>Niniejsze wystąpienie ma na celu pomoc Komitetowi Ministrów w zbadaniu tych trzech spraw oraz zwrócenie uwagi na utrzymujące się problemy dotyczące dostępu kobiet do zdrowia seksualnego i reprodukcyjnego oraz praw w Polsce, a w szczególności do bezpiecznej i legalnej opieki aborcyjnej. Podstawą sporządzenia niniejszego wstąpienia były prace Komisarz dotyczące Polski, w szczególności jej raport z czerwca 2019 r., sporządzony po wizycie w Polsce w marcu 2019 r.</w:t>
      </w:r>
      <w:r w:rsidRPr="00C53C38">
        <w:rPr>
          <w:rFonts w:eastAsia="Arial" w:cs="Arial"/>
          <w:bCs/>
          <w:sz w:val="24"/>
          <w:szCs w:val="24"/>
          <w:vertAlign w:val="superscript"/>
          <w:lang w:bidi="en-US"/>
        </w:rPr>
        <w:footnoteReference w:id="73"/>
      </w:r>
      <w:r w:rsidRPr="00C53C38">
        <w:rPr>
          <w:rFonts w:eastAsia="Arial" w:cs="Arial"/>
          <w:sz w:val="24"/>
          <w:szCs w:val="24"/>
          <w:lang w:bidi="en-US"/>
        </w:rPr>
        <w:t xml:space="preserve"> Opiera się ono również na zaleceniach zawartych w dokumencie tematycznym dotyczącym zdrowia i praw seksualnych i reprodukcyjne kobiet w Europie, który został opublikowany przez Biuro Komisarza w 2017 r.</w:t>
      </w:r>
      <w:r w:rsidRPr="00C53C38">
        <w:rPr>
          <w:rFonts w:eastAsia="Arial" w:cs="Arial"/>
          <w:bCs/>
          <w:sz w:val="24"/>
          <w:szCs w:val="24"/>
          <w:vertAlign w:val="superscript"/>
          <w:lang w:bidi="en-US"/>
        </w:rPr>
        <w:footnoteReference w:id="74"/>
      </w:r>
      <w:r w:rsidRPr="00C53C38">
        <w:rPr>
          <w:rFonts w:eastAsia="Arial" w:cs="Arial"/>
          <w:sz w:val="24"/>
          <w:szCs w:val="24"/>
          <w:lang w:bidi="en-US"/>
        </w:rPr>
        <w:t>, a także na prowadzonym przez Komisarz stałym monitoringu sytuacji w zakresie praw człowieka w Polsce.</w:t>
      </w:r>
    </w:p>
    <w:p w:rsidR="00253219" w:rsidRPr="00C53C38" w:rsidRDefault="00253219" w:rsidP="00987EB2">
      <w:pPr>
        <w:pStyle w:val="Akapitzlist"/>
        <w:widowControl w:val="0"/>
        <w:numPr>
          <w:ilvl w:val="0"/>
          <w:numId w:val="48"/>
        </w:numPr>
        <w:tabs>
          <w:tab w:val="left" w:pos="720"/>
        </w:tabs>
        <w:spacing w:before="120" w:after="0" w:line="240" w:lineRule="auto"/>
        <w:ind w:hanging="357"/>
        <w:contextualSpacing w:val="0"/>
        <w:jc w:val="both"/>
        <w:rPr>
          <w:rFonts w:eastAsia="Arial" w:cs="Arial"/>
          <w:sz w:val="24"/>
          <w:szCs w:val="24"/>
          <w:lang w:bidi="en-US"/>
        </w:rPr>
      </w:pPr>
      <w:r w:rsidRPr="00C53C38">
        <w:rPr>
          <w:rFonts w:eastAsia="Arial" w:cs="Arial"/>
          <w:sz w:val="24"/>
          <w:szCs w:val="24"/>
          <w:lang w:bidi="en-US"/>
        </w:rPr>
        <w:t>W części I niniejszego pisemnego wystąpienia skupiono się na ramach prawnych i praktyce w zakresie dostępu do legalnej aborcji, na stosowaniu tak zwanej „klauzuli sumienia” (tj. odmowy wykonania aborcji ze względów sumienia) oraz na dostępnych środkach odwoławczych. Część II zawiera uwagi na temat częstości przeprowadzania aborcji w Polsce oraz ograniczonej dostępności legalnej aborcji w niektórych częściach kraju, a także braku oficjalnych, aktualnych danych w tym zakresie. W części III Komisarz podejmuje próbę przedstawienia tych kwestii na tle ogólnego kontekstu zdrowia i praw seksualnych i reprodukcyjnych kobiet w Polsce, analizując pewne alarmujące wydarzenia w tym zakresie. Po tych trzech częściach Komisarz przedstawia swoje wnioski.</w:t>
      </w:r>
    </w:p>
    <w:p w:rsidR="00253219" w:rsidRPr="00DD5F1A" w:rsidRDefault="00253219" w:rsidP="00987EB2">
      <w:pPr>
        <w:pStyle w:val="Akapitzlist"/>
        <w:keepNext/>
        <w:keepLines/>
        <w:widowControl w:val="0"/>
        <w:numPr>
          <w:ilvl w:val="0"/>
          <w:numId w:val="50"/>
        </w:numPr>
        <w:spacing w:before="120" w:after="0" w:line="240" w:lineRule="auto"/>
        <w:contextualSpacing w:val="0"/>
        <w:jc w:val="both"/>
        <w:outlineLvl w:val="2"/>
        <w:rPr>
          <w:rFonts w:eastAsia="Arial" w:cs="Arial"/>
          <w:b/>
          <w:bCs/>
          <w:sz w:val="24"/>
          <w:szCs w:val="24"/>
          <w:lang w:bidi="en-US"/>
        </w:rPr>
      </w:pPr>
      <w:r w:rsidRPr="00DD5F1A">
        <w:rPr>
          <w:rFonts w:eastAsia="Arial" w:cs="Arial"/>
          <w:b/>
          <w:bCs/>
          <w:sz w:val="24"/>
          <w:szCs w:val="24"/>
          <w:lang w:bidi="en-US"/>
        </w:rPr>
        <w:t>Ramy prawne i praktyka w zakresie dostępu do legalnej aborcji, stosowania klauzuli sumienia w Polsce oraz dostępne środki odwoławcze</w:t>
      </w:r>
    </w:p>
    <w:p w:rsidR="00253219" w:rsidRPr="009552FD" w:rsidRDefault="00253219" w:rsidP="00987EB2">
      <w:pPr>
        <w:pStyle w:val="Akapitzlist"/>
        <w:widowControl w:val="0"/>
        <w:numPr>
          <w:ilvl w:val="0"/>
          <w:numId w:val="48"/>
        </w:numPr>
        <w:tabs>
          <w:tab w:val="left" w:pos="720"/>
        </w:tabs>
        <w:spacing w:before="120" w:after="0" w:line="240" w:lineRule="auto"/>
        <w:ind w:hanging="357"/>
        <w:contextualSpacing w:val="0"/>
        <w:jc w:val="both"/>
        <w:rPr>
          <w:rFonts w:eastAsia="Arial" w:cs="Arial"/>
          <w:sz w:val="24"/>
          <w:szCs w:val="24"/>
          <w:lang w:bidi="en-US"/>
        </w:rPr>
      </w:pPr>
      <w:r w:rsidRPr="009552FD">
        <w:rPr>
          <w:rFonts w:eastAsia="Arial" w:cs="Arial"/>
          <w:sz w:val="24"/>
          <w:szCs w:val="24"/>
          <w:lang w:bidi="en-US"/>
        </w:rPr>
        <w:t>Komisarz przypomina, że polskie przepisy dotyczące przerywania ciąży nadal należą do najbardziej restrykcyjnych w Europie. Aborcja jest dopuszczalna jedynie w trzech przypadkach – gdy istnieje zagrożenie dla zdrowia lub życia kobiety, ciężkie upośledzenie płodu lub gdy ciąża jest skutkiem przestępstwa na tle seksualnym. Poza tymi trzema sytuacjami aborcja jest uznawana za przestępstwo, a lekarzom lub innym osobom, które dokonują aborcji, grozi kara pozbawienia wolności do lat trzech.</w:t>
      </w:r>
    </w:p>
    <w:p w:rsidR="00253219" w:rsidRPr="009552FD" w:rsidRDefault="00253219" w:rsidP="00987EB2">
      <w:pPr>
        <w:pStyle w:val="Akapitzlist"/>
        <w:widowControl w:val="0"/>
        <w:numPr>
          <w:ilvl w:val="0"/>
          <w:numId w:val="48"/>
        </w:numPr>
        <w:tabs>
          <w:tab w:val="left" w:pos="720"/>
        </w:tabs>
        <w:spacing w:before="120" w:after="0" w:line="240" w:lineRule="auto"/>
        <w:ind w:hanging="357"/>
        <w:contextualSpacing w:val="0"/>
        <w:jc w:val="both"/>
        <w:rPr>
          <w:rFonts w:eastAsia="Arial" w:cs="Arial"/>
          <w:sz w:val="24"/>
          <w:szCs w:val="24"/>
          <w:lang w:bidi="en-US"/>
        </w:rPr>
      </w:pPr>
      <w:r w:rsidRPr="009552FD">
        <w:rPr>
          <w:rFonts w:eastAsia="Arial" w:cs="Arial"/>
          <w:sz w:val="24"/>
          <w:szCs w:val="24"/>
          <w:lang w:bidi="en-US"/>
        </w:rPr>
        <w:t>Wszyscy poprzednicy Komisarz wyrazili zaniepokojenie zakresem lub praktycznym działaniem polskiego ustawodawstwa dotyczącego dostępu do aborcji, a w szczególności zastosowaniem klauzuli sumienia, zauważając, że spowodowało to poważne i niemożliwe do pokonania przeszkody w korzystaniu przez kobiety z ich prawa do dostępu do bezpiecznej i legalnej aborcji</w:t>
      </w:r>
      <w:r w:rsidRPr="009552FD">
        <w:rPr>
          <w:rFonts w:eastAsia="Arial" w:cs="Arial"/>
          <w:bCs/>
          <w:sz w:val="24"/>
          <w:szCs w:val="24"/>
          <w:vertAlign w:val="superscript"/>
          <w:lang w:bidi="en-US"/>
        </w:rPr>
        <w:footnoteReference w:id="75"/>
      </w:r>
      <w:r w:rsidRPr="009552FD">
        <w:rPr>
          <w:rFonts w:eastAsia="Arial" w:cs="Arial"/>
          <w:sz w:val="24"/>
          <w:szCs w:val="24"/>
          <w:lang w:bidi="en-US"/>
        </w:rPr>
        <w:t xml:space="preserve">.W tym względzie Komisarz zauważa, że do 2015 r. lekarze </w:t>
      </w:r>
      <w:r w:rsidRPr="009552FD">
        <w:rPr>
          <w:rFonts w:eastAsia="Arial" w:cs="Arial"/>
          <w:sz w:val="24"/>
          <w:szCs w:val="24"/>
          <w:lang w:bidi="en-US"/>
        </w:rPr>
        <w:lastRenderedPageBreak/>
        <w:t>powołujący się na klauzulę sumienia byli prawnie zobowiązani do kierowania kobiet chcących skorzystać z aborcji do innej placówki lub innego lekarza oraz do uzasadnienia i należytego odnotowania swojej decyzji w dokumentacji medycznej. W październiku 2015 r. Trybunał Konstytucyjny uznał jednak ten obowiązek za niezgodny z Konstytucją RP, stwierdzając, że narusza on chronioną przez Konstytucję RP wolność sumienia i wyznania oraz zauważył, że ustawodawca powinien był ustanowić inne, bardziej praktyczne sposoby informowania pacjentek o tym, w jaki sposób mogą skutecznie uzyskać dostęp do opieki medycznej, do której mają prawo.</w:t>
      </w:r>
    </w:p>
    <w:p w:rsidR="00253219" w:rsidRPr="009552FD" w:rsidRDefault="00253219" w:rsidP="00987EB2">
      <w:pPr>
        <w:pStyle w:val="Akapitzlist"/>
        <w:widowControl w:val="0"/>
        <w:numPr>
          <w:ilvl w:val="0"/>
          <w:numId w:val="48"/>
        </w:numPr>
        <w:tabs>
          <w:tab w:val="left" w:pos="720"/>
        </w:tabs>
        <w:spacing w:before="120" w:after="0" w:line="240" w:lineRule="auto"/>
        <w:ind w:hanging="357"/>
        <w:contextualSpacing w:val="0"/>
        <w:jc w:val="both"/>
        <w:rPr>
          <w:rFonts w:eastAsia="Arial" w:cs="Arial"/>
          <w:sz w:val="24"/>
          <w:szCs w:val="24"/>
          <w:lang w:bidi="en-US"/>
        </w:rPr>
      </w:pPr>
      <w:r w:rsidRPr="009552FD">
        <w:rPr>
          <w:rFonts w:eastAsia="Arial" w:cs="Arial"/>
          <w:sz w:val="24"/>
          <w:szCs w:val="24"/>
          <w:lang w:bidi="en-US"/>
        </w:rPr>
        <w:t>Od 2014 r. nie zebrano żadnych oficjalnych danych na temat częstości powoływania się na klauzulę sumienia w celu usprawiedliwiania odmowy wykonania zgodnej z prawem aborcji. Wobec braku takich danych Komisarz przyjmuje do wiadomości doniesienia wskazujące, że praktyka powoływania się na tę klauzulę w ostatnim czasie staje się w Polsce coraz bardziej powszechna. W związku z tym zauważa w szczególności, że od 2014 r. prawie 4 tys. polskich lekarzy podpisało „Deklarację wiary lekarzy katolickich i studentów medycyny w przedmiocie płciowości i płodności ludzkiej”, w której podjęli zobowiązanie do przestrzegania „prawa Bożego” w swojej działalności zawodowej odrzucając aborcję, antykoncepcję i zapłodnienie in vitro. Komisarz uzyskała informację, że w niektórych placówkach opieki zdrowotnej – w tym publicznych – pod tą deklaracją podpisali się praktycznie wszyscy lekarze. Chociaż władze polskie uważają, że zakłady opieki zdrowotnej są zobowiązane do kierowania pacjentek, którym pracownicy służby zdrowia odmawiają świadczenia na podstawie klauzuli sumienia, do innych podmiotów świadczących usługi medyczne oraz do udzielania informacji w tym zakresie, Komisarz uważa, że obecnie obowiązujące przepisy nie przewidują wyraźnego obowiązku takiego postępowania, a praktyka w tym zakresie nie jest utrwalona i pozostaje daleka od jednolitości.</w:t>
      </w:r>
    </w:p>
    <w:p w:rsidR="00253219" w:rsidRPr="009552FD" w:rsidRDefault="00253219" w:rsidP="00987EB2">
      <w:pPr>
        <w:pStyle w:val="Akapitzlist"/>
        <w:widowControl w:val="0"/>
        <w:numPr>
          <w:ilvl w:val="0"/>
          <w:numId w:val="48"/>
        </w:numPr>
        <w:tabs>
          <w:tab w:val="left" w:pos="720"/>
        </w:tabs>
        <w:spacing w:before="120" w:after="0" w:line="240" w:lineRule="auto"/>
        <w:ind w:hanging="357"/>
        <w:contextualSpacing w:val="0"/>
        <w:jc w:val="both"/>
        <w:rPr>
          <w:rFonts w:eastAsia="Arial" w:cs="Arial"/>
          <w:sz w:val="24"/>
          <w:szCs w:val="24"/>
          <w:lang w:bidi="en-US"/>
        </w:rPr>
      </w:pPr>
      <w:r w:rsidRPr="009552FD">
        <w:rPr>
          <w:rFonts w:eastAsia="Arial" w:cs="Arial"/>
          <w:sz w:val="24"/>
          <w:szCs w:val="24"/>
          <w:lang w:bidi="en-US"/>
        </w:rPr>
        <w:t xml:space="preserve">Jeśli chodzi o dostępne w polskim prawie środki odwoławcze od odmowy wykonania usług medycznych związanych ze zdrowiem seksualnym i reprodukcyjnym, Komisarz nie wydaje się, aby można je było uznać za skuteczne. Zdaniem władz, do środków tych należy sprzeciw wnoszony do Rzecznika Praw Pacjenta (procedura, która została wprowadzona w 2009 r. w związku z wydaniem wyroku w sprawie </w:t>
      </w:r>
      <w:r w:rsidRPr="009552FD">
        <w:rPr>
          <w:rFonts w:eastAsia="Arial" w:cs="Arial"/>
          <w:i/>
          <w:iCs/>
          <w:sz w:val="24"/>
          <w:szCs w:val="24"/>
          <w:lang w:bidi="en-US"/>
        </w:rPr>
        <w:t>Tysiąc p</w:t>
      </w:r>
      <w:r w:rsidR="00BA2C68">
        <w:rPr>
          <w:rFonts w:eastAsia="Arial" w:cs="Arial"/>
          <w:i/>
          <w:iCs/>
          <w:sz w:val="24"/>
          <w:szCs w:val="24"/>
          <w:lang w:bidi="en-US"/>
        </w:rPr>
        <w:t>.</w:t>
      </w:r>
      <w:r w:rsidRPr="009552FD">
        <w:rPr>
          <w:rFonts w:eastAsia="Arial" w:cs="Arial"/>
          <w:i/>
          <w:iCs/>
          <w:sz w:val="24"/>
          <w:szCs w:val="24"/>
          <w:lang w:bidi="en-US"/>
        </w:rPr>
        <w:t xml:space="preserve"> Polsce</w:t>
      </w:r>
      <w:r w:rsidRPr="009552FD">
        <w:rPr>
          <w:rFonts w:eastAsia="Arial" w:cs="Arial"/>
          <w:sz w:val="24"/>
          <w:szCs w:val="24"/>
          <w:lang w:bidi="en-US"/>
        </w:rPr>
        <w:t>) oraz skargi wnoszone do Narodowego Funduszu Zdrowia. W odniesieniu do pierwszego z nich Komisarz wskazuje, że już w 2016 r. jej poprzednik zauważył, że ta ogólna procedura jest zbyt zawiła, długa i nieskuteczna oraz że nie stanowi terminowego i skutecznego mechanizmu, za pomocą którego ciężarne kobiety mogłyby zakwestionować odmowę wykonania badań prenatalnych lub legalnej aborcji</w:t>
      </w:r>
      <w:r w:rsidRPr="009552FD">
        <w:rPr>
          <w:rFonts w:eastAsia="Arial" w:cs="Arial"/>
          <w:bCs/>
          <w:sz w:val="24"/>
          <w:szCs w:val="24"/>
          <w:vertAlign w:val="superscript"/>
          <w:lang w:bidi="en-US"/>
        </w:rPr>
        <w:footnoteReference w:id="76"/>
      </w:r>
      <w:r w:rsidRPr="009552FD">
        <w:rPr>
          <w:rFonts w:eastAsia="Arial" w:cs="Arial"/>
          <w:sz w:val="24"/>
          <w:szCs w:val="24"/>
          <w:lang w:bidi="en-US"/>
        </w:rPr>
        <w:t xml:space="preserve">. Zakres tego środka jest ogólny, co oznacza, że ma on zastosowanie do sprzeciwów wobec wszelkiego rodzaju świadczeń zdrowotnych i nie dotyczy w szczególności świadczeń w zakresie zdrowia seksualnego i reprodukcyjnego. 30-dniowego terminu na wydanie decyzji przez komisję lekarską nie można uznać za odpowiedni w przypadku badań prenatalnych czy aborcji. Kobietom nie zagwarantowano prawa kobiety do bycia wysłuchaną przez komisję lekarską, a nawet pozytywna decyzja komisji lekarskiej nie daje wyraźnej gwarancji, że kobieta będzie mogła uzyskać odpowiednie świadczenia. Jeśli chodzi o skargi do Narodowego Funduszu Zdrowia, </w:t>
      </w:r>
      <w:r w:rsidRPr="009552FD">
        <w:rPr>
          <w:rFonts w:eastAsia="Arial" w:cs="Arial"/>
          <w:sz w:val="24"/>
          <w:szCs w:val="24"/>
          <w:lang w:bidi="en-US"/>
        </w:rPr>
        <w:lastRenderedPageBreak/>
        <w:t>Komisarz stwierdza, że mechanizm ten, który dotyczy ogólnie niewywiązywania się świadczeniodawców z ich zobowiązań umownych wobec Funduszu, trudno uznać za narzędzie, które mogłoby zapewnić kobietom terminowe i skuteczne środki odwoławcze w odniesieniu do ich dostępu do aborcji czy badań prenatalnych. O braku zaufania pacjentów do obu tych środków prawnych świadczy również bardzo niska liczba sprzeciwów i skarg składanych corocznie przez kobiety w ciąży w związku z odmową udzielenia przez lekarzy świadczeń w zakresie zdrowia seksualnego i reprodukcyjnego.</w:t>
      </w:r>
    </w:p>
    <w:p w:rsidR="00C53C38" w:rsidRDefault="00253219" w:rsidP="00987EB2">
      <w:pPr>
        <w:pStyle w:val="Akapitzlist"/>
        <w:widowControl w:val="0"/>
        <w:numPr>
          <w:ilvl w:val="0"/>
          <w:numId w:val="48"/>
        </w:numPr>
        <w:tabs>
          <w:tab w:val="left" w:pos="720"/>
        </w:tabs>
        <w:spacing w:before="120" w:after="0" w:line="240" w:lineRule="auto"/>
        <w:ind w:hanging="357"/>
        <w:contextualSpacing w:val="0"/>
        <w:jc w:val="both"/>
        <w:rPr>
          <w:rFonts w:eastAsia="Arial" w:cs="Arial"/>
          <w:sz w:val="24"/>
          <w:szCs w:val="24"/>
          <w:lang w:bidi="en-US"/>
        </w:rPr>
      </w:pPr>
      <w:r w:rsidRPr="009552FD">
        <w:rPr>
          <w:rFonts w:eastAsia="Arial" w:cs="Arial"/>
          <w:sz w:val="24"/>
          <w:szCs w:val="24"/>
          <w:lang w:bidi="en-US"/>
        </w:rPr>
        <w:t xml:space="preserve">Komisarz przypomina, że podczas rozpatrywania przez Komitet Ministrów spraw </w:t>
      </w:r>
      <w:r w:rsidRPr="009552FD">
        <w:rPr>
          <w:rFonts w:eastAsia="Arial" w:cs="Arial"/>
          <w:i/>
          <w:iCs/>
          <w:sz w:val="24"/>
          <w:szCs w:val="24"/>
          <w:lang w:bidi="en-US"/>
        </w:rPr>
        <w:t>Tysiąc</w:t>
      </w:r>
      <w:r w:rsidRPr="009552FD">
        <w:rPr>
          <w:rFonts w:eastAsia="Arial" w:cs="Arial"/>
          <w:sz w:val="24"/>
          <w:szCs w:val="24"/>
          <w:lang w:bidi="en-US"/>
        </w:rPr>
        <w:t xml:space="preserve"> i </w:t>
      </w:r>
      <w:r w:rsidRPr="009552FD">
        <w:rPr>
          <w:rFonts w:eastAsia="Arial" w:cs="Arial"/>
          <w:i/>
          <w:iCs/>
          <w:sz w:val="24"/>
          <w:szCs w:val="24"/>
          <w:lang w:bidi="en-US"/>
        </w:rPr>
        <w:t>R. R.</w:t>
      </w:r>
      <w:r w:rsidRPr="009552FD">
        <w:rPr>
          <w:rFonts w:eastAsia="Arial" w:cs="Arial"/>
          <w:sz w:val="24"/>
          <w:szCs w:val="24"/>
          <w:lang w:bidi="en-US"/>
        </w:rPr>
        <w:t xml:space="preserve"> we wrześniu 2014 r. władze polskie zobowiązały się do zmiany prawa w celu uproszczenia i przyspieszenia procedury sprzeciw</w:t>
      </w:r>
      <w:r w:rsidR="00A85C43" w:rsidRPr="009552FD">
        <w:rPr>
          <w:rFonts w:eastAsia="Arial" w:cs="Arial"/>
          <w:sz w:val="24"/>
          <w:szCs w:val="24"/>
          <w:lang w:bidi="en-US"/>
        </w:rPr>
        <w:t>u</w:t>
      </w:r>
      <w:r w:rsidRPr="009552FD">
        <w:rPr>
          <w:rFonts w:eastAsia="Arial" w:cs="Arial"/>
          <w:sz w:val="24"/>
          <w:szCs w:val="24"/>
          <w:lang w:bidi="en-US"/>
        </w:rPr>
        <w:t xml:space="preserve"> do końca 2016 r., które to zobowiązanie ponowiły w stanowisku przesłanym do Komitetu w sierpniu 2016 r.</w:t>
      </w:r>
      <w:r w:rsidRPr="009552FD">
        <w:rPr>
          <w:rFonts w:eastAsia="Arial" w:cs="Arial"/>
          <w:bCs/>
          <w:sz w:val="24"/>
          <w:szCs w:val="24"/>
          <w:vertAlign w:val="superscript"/>
          <w:lang w:bidi="en-US"/>
        </w:rPr>
        <w:footnoteReference w:id="77"/>
      </w:r>
      <w:r w:rsidR="00C53C38">
        <w:rPr>
          <w:rFonts w:eastAsia="Arial" w:cs="Arial"/>
          <w:sz w:val="24"/>
          <w:szCs w:val="24"/>
          <w:lang w:bidi="en-US"/>
        </w:rPr>
        <w:t xml:space="preserve"> </w:t>
      </w:r>
      <w:r w:rsidRPr="009552FD">
        <w:rPr>
          <w:rFonts w:eastAsia="Arial" w:cs="Arial"/>
          <w:sz w:val="24"/>
          <w:szCs w:val="24"/>
          <w:lang w:bidi="en-US"/>
        </w:rPr>
        <w:t>Komisarz nie są jednak znane żadne postępy w tym zakresie i zauważa ona, że ramy prawne regulujące składanie sprzeciwów do Rzecznika Praw Pacjenta nadal nie zostały zmienione.</w:t>
      </w:r>
    </w:p>
    <w:p w:rsidR="00253219" w:rsidRPr="00C53C38" w:rsidRDefault="00253219" w:rsidP="00987EB2">
      <w:pPr>
        <w:pStyle w:val="Akapitzlist"/>
        <w:keepNext/>
        <w:keepLines/>
        <w:widowControl w:val="0"/>
        <w:numPr>
          <w:ilvl w:val="0"/>
          <w:numId w:val="50"/>
        </w:numPr>
        <w:spacing w:before="120" w:after="0" w:line="240" w:lineRule="auto"/>
        <w:contextualSpacing w:val="0"/>
        <w:jc w:val="both"/>
        <w:outlineLvl w:val="2"/>
        <w:rPr>
          <w:rFonts w:eastAsia="Arial" w:cs="Arial"/>
          <w:sz w:val="24"/>
          <w:szCs w:val="24"/>
          <w:lang w:bidi="en-US"/>
        </w:rPr>
      </w:pPr>
      <w:r w:rsidRPr="00C53C38">
        <w:rPr>
          <w:rFonts w:eastAsia="Arial" w:cs="Arial"/>
          <w:b/>
          <w:bCs/>
          <w:sz w:val="24"/>
          <w:szCs w:val="24"/>
          <w:lang w:bidi="en-US"/>
        </w:rPr>
        <w:t>Często</w:t>
      </w:r>
      <w:r w:rsidR="00C53C38">
        <w:rPr>
          <w:rFonts w:eastAsia="Arial" w:cs="Arial"/>
          <w:b/>
          <w:bCs/>
          <w:sz w:val="24"/>
          <w:szCs w:val="24"/>
          <w:lang w:bidi="en-US"/>
        </w:rPr>
        <w:t>tliwość</w:t>
      </w:r>
      <w:r w:rsidRPr="00C53C38">
        <w:rPr>
          <w:rFonts w:eastAsia="Arial" w:cs="Arial"/>
          <w:b/>
          <w:bCs/>
          <w:sz w:val="24"/>
          <w:szCs w:val="24"/>
          <w:lang w:bidi="en-US"/>
        </w:rPr>
        <w:t xml:space="preserve"> wykonywania aborcji w Polsce i dostęp do legalnej opieki aborcyjnej w całym</w:t>
      </w:r>
      <w:r w:rsidR="00A85C43" w:rsidRPr="00C53C38">
        <w:rPr>
          <w:rFonts w:eastAsia="Arial" w:cs="Arial"/>
          <w:b/>
          <w:bCs/>
          <w:sz w:val="24"/>
          <w:szCs w:val="24"/>
          <w:lang w:bidi="en-US"/>
        </w:rPr>
        <w:t xml:space="preserve"> </w:t>
      </w:r>
      <w:r w:rsidRPr="00C53C38">
        <w:rPr>
          <w:rFonts w:eastAsia="Arial" w:cs="Arial"/>
          <w:b/>
          <w:bCs/>
          <w:sz w:val="24"/>
          <w:szCs w:val="24"/>
          <w:lang w:bidi="en-US"/>
        </w:rPr>
        <w:t>kraju</w:t>
      </w:r>
    </w:p>
    <w:p w:rsidR="00253219" w:rsidRPr="009552FD" w:rsidRDefault="00253219" w:rsidP="00987EB2">
      <w:pPr>
        <w:pStyle w:val="Akapitzlist"/>
        <w:widowControl w:val="0"/>
        <w:numPr>
          <w:ilvl w:val="0"/>
          <w:numId w:val="48"/>
        </w:numPr>
        <w:tabs>
          <w:tab w:val="left" w:pos="720"/>
        </w:tabs>
        <w:spacing w:before="120" w:after="0" w:line="240" w:lineRule="auto"/>
        <w:ind w:hanging="357"/>
        <w:contextualSpacing w:val="0"/>
        <w:jc w:val="both"/>
        <w:rPr>
          <w:rFonts w:eastAsia="Arial" w:cs="Arial"/>
          <w:sz w:val="24"/>
          <w:szCs w:val="24"/>
          <w:lang w:bidi="en-US"/>
        </w:rPr>
      </w:pPr>
      <w:r w:rsidRPr="009552FD">
        <w:rPr>
          <w:rFonts w:eastAsia="Arial" w:cs="Arial"/>
          <w:sz w:val="24"/>
          <w:szCs w:val="24"/>
          <w:lang w:bidi="en-US"/>
        </w:rPr>
        <w:t>Polskie władze twierdzą, że w ciągu ostatniej dekady liczba aborcji przeprowadzanych w Polsce znacząco wzrosła, a od 2008 r. wręcz dwukrotnie. Według danych pozyskanych przez Ministerstwo Zdrowia, w 2015 r. przeprowadzono w Polsce 1040 zabiegów legalnego przerwania ciąży, w 2016 r. – 1098 zabiegów, a w 2017 r. – 1061 zabiegów.</w:t>
      </w:r>
    </w:p>
    <w:p w:rsidR="00253219" w:rsidRPr="00C53C38" w:rsidRDefault="00253219" w:rsidP="00987EB2">
      <w:pPr>
        <w:pStyle w:val="Akapitzlist"/>
        <w:widowControl w:val="0"/>
        <w:numPr>
          <w:ilvl w:val="0"/>
          <w:numId w:val="48"/>
        </w:numPr>
        <w:tabs>
          <w:tab w:val="left" w:pos="720"/>
        </w:tabs>
        <w:spacing w:before="120" w:after="0" w:line="240" w:lineRule="auto"/>
        <w:ind w:hanging="357"/>
        <w:contextualSpacing w:val="0"/>
        <w:jc w:val="both"/>
        <w:rPr>
          <w:rFonts w:eastAsia="Arial" w:cs="Arial"/>
          <w:sz w:val="24"/>
          <w:szCs w:val="24"/>
          <w:lang w:bidi="en-US"/>
        </w:rPr>
      </w:pPr>
      <w:r w:rsidRPr="00C53C38">
        <w:rPr>
          <w:rFonts w:eastAsia="Arial" w:cs="Arial"/>
          <w:sz w:val="24"/>
          <w:szCs w:val="24"/>
          <w:lang w:bidi="en-US"/>
        </w:rPr>
        <w:t xml:space="preserve">Dane podawane w tym zakresie przez polskie i międzynarodowe organizacje </w:t>
      </w:r>
      <w:r w:rsidRPr="00C53C38">
        <w:rPr>
          <w:rFonts w:eastAsia="Arial" w:cs="Arial"/>
          <w:bCs/>
          <w:sz w:val="24"/>
          <w:szCs w:val="24"/>
          <w:lang w:bidi="en-US"/>
        </w:rPr>
        <w:t>pozarządowe</w:t>
      </w:r>
      <w:r w:rsidRPr="00C53C38">
        <w:rPr>
          <w:rFonts w:eastAsia="Arial" w:cs="Arial"/>
          <w:sz w:val="24"/>
          <w:szCs w:val="24"/>
          <w:lang w:bidi="en-US"/>
        </w:rPr>
        <w:t xml:space="preserve"> zajmujące się prawami kobiet przedstawiają obraz dalece odbiegający od oficjalnej statystyki. Według tych grup co roku poza polskim publicznym systemem ochrony zdrowia wykonuje się od 80 tys. do 150 tys. aborcji, podczas gdy Ministerstwo Zdrowia szacowało w 2007 r., że liczba pozaustawowych aborcji wynosi ok. 10 tys. rocznie. Według szacunków Specjalnego Sprawozdawcy ONZ ds. powszechnego prawa do korzystania z najwyższych dostępnych standardów zdrowia fizycznego i psychicznego z 2010 r., liczba pozaustawowych aborcji w Polsce wynosi od 80 tys. do 180 tys. rocznie</w:t>
      </w:r>
      <w:r w:rsidRPr="00C53C38">
        <w:rPr>
          <w:rFonts w:eastAsia="Arial" w:cs="Arial"/>
          <w:bCs/>
          <w:sz w:val="24"/>
          <w:szCs w:val="24"/>
          <w:vertAlign w:val="superscript"/>
          <w:lang w:bidi="en-US"/>
        </w:rPr>
        <w:footnoteReference w:id="78"/>
      </w:r>
      <w:r w:rsidRPr="00C53C38">
        <w:rPr>
          <w:rFonts w:eastAsia="Arial" w:cs="Arial"/>
          <w:sz w:val="24"/>
          <w:szCs w:val="24"/>
          <w:lang w:bidi="en-US"/>
        </w:rPr>
        <w:t>.</w:t>
      </w:r>
    </w:p>
    <w:p w:rsidR="00253219" w:rsidRPr="009552FD" w:rsidRDefault="00253219" w:rsidP="00987EB2">
      <w:pPr>
        <w:pStyle w:val="Akapitzlist"/>
        <w:widowControl w:val="0"/>
        <w:numPr>
          <w:ilvl w:val="0"/>
          <w:numId w:val="48"/>
        </w:numPr>
        <w:tabs>
          <w:tab w:val="left" w:pos="720"/>
        </w:tabs>
        <w:spacing w:before="120" w:after="0" w:line="240" w:lineRule="auto"/>
        <w:ind w:hanging="357"/>
        <w:contextualSpacing w:val="0"/>
        <w:jc w:val="both"/>
        <w:rPr>
          <w:rFonts w:eastAsia="Arial" w:cs="Arial"/>
          <w:sz w:val="24"/>
          <w:szCs w:val="24"/>
          <w:lang w:bidi="en-US"/>
        </w:rPr>
      </w:pPr>
      <w:r w:rsidRPr="009552FD">
        <w:rPr>
          <w:rFonts w:eastAsia="Arial" w:cs="Arial"/>
          <w:sz w:val="24"/>
          <w:szCs w:val="24"/>
          <w:lang w:bidi="en-US"/>
        </w:rPr>
        <w:t>Ponadto Komisarz zauważa, że zdecydowana większość (około 95%) wszystkich legalnych aborcji przeprowadzanych w Polsce opiera się na prawnej podstawie, jaką jest wysokie prawdopodobieństwo ciężkiego i nieodwracalnego upośledzenia płodu lub nieuleczalnej choroby płodu. Tymczasem od władz Komisarz uzyskała informację, że w 2018 r. w Polsce nie odnotowano ani jednego żądania przerwania ciąży będącej wynikiem zgwałcenia, a w roku poprzednim odnotowano tylko jedno takie żądanie. Komisarz uważa, że niska oficjalna liczba legalnych aborcji oraz rzadkie przypadki składania wniosków o przerwanie ciąży w wyniku przestępstwa na tle seksualnym są sygnałami ostrzegawczymi, że ze względu na silną presję społeczną i stygmatyzację kobiet i dziewcząt chcących poddać się aborcji może dochodzić do dużej liczby pozaustawowych i potencjalnie niebezpiecznych aborcji lub migracji aborcyjnej.</w:t>
      </w:r>
    </w:p>
    <w:p w:rsidR="00253219" w:rsidRPr="009552FD" w:rsidRDefault="00253219" w:rsidP="00987EB2">
      <w:pPr>
        <w:pStyle w:val="Akapitzlist"/>
        <w:widowControl w:val="0"/>
        <w:numPr>
          <w:ilvl w:val="0"/>
          <w:numId w:val="48"/>
        </w:numPr>
        <w:tabs>
          <w:tab w:val="left" w:pos="720"/>
        </w:tabs>
        <w:spacing w:before="120" w:after="0" w:line="240" w:lineRule="auto"/>
        <w:ind w:hanging="357"/>
        <w:contextualSpacing w:val="0"/>
        <w:jc w:val="both"/>
        <w:rPr>
          <w:rFonts w:eastAsia="Arial" w:cs="Arial"/>
          <w:sz w:val="24"/>
          <w:szCs w:val="24"/>
          <w:lang w:bidi="en-US"/>
        </w:rPr>
      </w:pPr>
      <w:r w:rsidRPr="009552FD">
        <w:rPr>
          <w:rFonts w:eastAsia="Arial" w:cs="Arial"/>
          <w:sz w:val="24"/>
          <w:szCs w:val="24"/>
          <w:lang w:bidi="en-US"/>
        </w:rPr>
        <w:t xml:space="preserve">Komisarz zauważa ponadto, że dostępne dane dotyczące dostępu do aborcji w podziale geograficznym wydają się świadczyć o bardzo ograniczonej dostępności tego świadczenia </w:t>
      </w:r>
      <w:r w:rsidRPr="009552FD">
        <w:rPr>
          <w:rFonts w:eastAsia="Arial" w:cs="Arial"/>
          <w:sz w:val="24"/>
          <w:szCs w:val="24"/>
          <w:lang w:bidi="en-US"/>
        </w:rPr>
        <w:lastRenderedPageBreak/>
        <w:t>zdrowotnego w niektórych regionach Polski. Co ciekawe, dostęp do legalnej aborcji wydaje się być poważnie ograniczony lub całkowicie niemożliwy w niektórych szpitalach, a praktycznie w ogóle nie funkcjonuje w jednej dużej jednostce administracyjnej – w województwie podkarpackim w południowo-wschodniej Polsce. Według oficjalnego raportu rządowego z 1061 legalnych aborcji przeprowadzonych w Polsce w 2017 r. żadna nie została przeprowadzona w tym regionie, podczas gdy w 2016 r. przeprowadzono tam tylko 2 takie zabiegi</w:t>
      </w:r>
      <w:r w:rsidRPr="009552FD">
        <w:rPr>
          <w:rFonts w:eastAsia="Arial" w:cs="Arial"/>
          <w:bCs/>
          <w:sz w:val="24"/>
          <w:szCs w:val="24"/>
          <w:vertAlign w:val="superscript"/>
          <w:lang w:bidi="en-US"/>
        </w:rPr>
        <w:footnoteReference w:id="79"/>
      </w:r>
      <w:r w:rsidRPr="009552FD">
        <w:rPr>
          <w:rFonts w:eastAsia="Arial" w:cs="Arial"/>
          <w:sz w:val="24"/>
          <w:szCs w:val="24"/>
          <w:lang w:bidi="en-US"/>
        </w:rPr>
        <w:t>. Jak wspomniano w raporcie Komisarz z 2019 r., władze wykluczyły możliwość podjęcia decyzji o odwołaniu się do klauzuli sumienia przez całe instytucje, podkreślając, że jest to zawsze indywidualną decyzją danego lekarza. Jednakowoż władze przyznały, że w niektórych z ok. 800 szpitali w Polsce nie można przeprowadzić aborcji ani uzyskać opieki okołoaborcyjnej, a ponadto potwierdziły ograniczoną dostępność do aborcji na Podkarpaciu.</w:t>
      </w:r>
    </w:p>
    <w:p w:rsidR="00253219" w:rsidRPr="009552FD" w:rsidRDefault="00253219" w:rsidP="00987EB2">
      <w:pPr>
        <w:pStyle w:val="Akapitzlist"/>
        <w:widowControl w:val="0"/>
        <w:numPr>
          <w:ilvl w:val="0"/>
          <w:numId w:val="48"/>
        </w:numPr>
        <w:tabs>
          <w:tab w:val="left" w:pos="720"/>
        </w:tabs>
        <w:spacing w:before="120" w:after="0" w:line="240" w:lineRule="auto"/>
        <w:ind w:hanging="357"/>
        <w:contextualSpacing w:val="0"/>
        <w:jc w:val="both"/>
        <w:rPr>
          <w:rFonts w:eastAsia="Arial" w:cs="Arial"/>
          <w:sz w:val="24"/>
          <w:szCs w:val="24"/>
          <w:lang w:bidi="en-US"/>
        </w:rPr>
      </w:pPr>
      <w:r w:rsidRPr="009552FD">
        <w:rPr>
          <w:rFonts w:eastAsia="Arial" w:cs="Arial"/>
          <w:sz w:val="24"/>
          <w:szCs w:val="24"/>
          <w:lang w:bidi="en-US"/>
        </w:rPr>
        <w:t>Ściśle powiązanym problemem jest brak oficjalnych danych dotyczących dostępu do świadczeń w zakresie zdrowia seksualnego i reprodukcyjnego, co zdaniem Komisarza utrudnia zarówno dostęp do tych świadczeń w praktyce, jak i właściwą analizę sytuacji. Zauważa, że obecnie władze polskie nie gromadzą, nie analizują ani nie podają do wiadomości publicznej informacji na temat liczby, dostępności czy lokalizacji świadczeniodawców i pracowników służby zdrowia, którzy są przygotowani do przeprowadzania bezpiecznej i legalnej aborcji lub, odwrotnie, tych, którzy odmawiają wykonywania świadczeń w zakresie zdrowia seksualnego i reprodukcyjnego, powołując się na klauzulę sumienia. Jak wskazano w ostatnim raporcie Komisarz, władze polskie uznały, że pozyskiwanie takich informacji nie jest ani praktycznie możliwe ani istotne w świetle wyroku Trybunału Konstytucyjnego z 2015 r. oraz z uwagi na – w ich ocenie – całkowicie funkcjonalny system kierowania pacjentów do przysługujących im usług</w:t>
      </w:r>
      <w:r w:rsidRPr="009552FD">
        <w:rPr>
          <w:rFonts w:eastAsia="Arial" w:cs="Arial"/>
          <w:bCs/>
          <w:sz w:val="24"/>
          <w:szCs w:val="24"/>
          <w:vertAlign w:val="superscript"/>
          <w:lang w:bidi="en-US"/>
        </w:rPr>
        <w:footnoteReference w:id="80"/>
      </w:r>
      <w:r w:rsidRPr="009552FD">
        <w:rPr>
          <w:rFonts w:eastAsia="Arial" w:cs="Arial"/>
          <w:sz w:val="24"/>
          <w:szCs w:val="24"/>
          <w:lang w:bidi="en-US"/>
        </w:rPr>
        <w:t>. Chociaż w Internecie krążą nieoficjalne listy sygnatariuszy wspomnianej „Deklaracji wiary”, z którymi mogą zapoznać się pacjentki chcące uzyskać informacje, gdzie daremne byłoby szukanie pomocy, Komisarz podkreśla, że informacji tych nie można uznać za oficjalne. Jak wspomniano wcześniej, nie ma również aktualnych oficjalnych danych na temat powszechności stosowania klauzuli sumienia w celu odmowy legalnej aborcji, ani oficjalnych szacunków dotyczących rocznej liczby aborcji pozaustawowych czy migracji aborcyjnej.</w:t>
      </w:r>
    </w:p>
    <w:p w:rsidR="00253219" w:rsidRPr="009552FD" w:rsidRDefault="00253219" w:rsidP="00987EB2">
      <w:pPr>
        <w:pStyle w:val="Akapitzlist"/>
        <w:keepNext/>
        <w:keepLines/>
        <w:widowControl w:val="0"/>
        <w:numPr>
          <w:ilvl w:val="0"/>
          <w:numId w:val="50"/>
        </w:numPr>
        <w:spacing w:before="120" w:after="0" w:line="240" w:lineRule="auto"/>
        <w:contextualSpacing w:val="0"/>
        <w:jc w:val="both"/>
        <w:outlineLvl w:val="2"/>
        <w:rPr>
          <w:rFonts w:eastAsia="Arial" w:cs="Arial"/>
          <w:b/>
          <w:bCs/>
          <w:sz w:val="24"/>
          <w:szCs w:val="24"/>
          <w:lang w:bidi="en-US"/>
        </w:rPr>
      </w:pPr>
      <w:r w:rsidRPr="009552FD">
        <w:rPr>
          <w:rFonts w:eastAsia="Arial" w:cs="Arial"/>
          <w:b/>
          <w:bCs/>
          <w:sz w:val="24"/>
          <w:szCs w:val="24"/>
          <w:lang w:bidi="en-US"/>
        </w:rPr>
        <w:t>Dodatkowe uwagi na temat ogólnej sytuacji w zakresie zdrowia i praw seksualnych i</w:t>
      </w:r>
      <w:r w:rsidR="00C53C38">
        <w:rPr>
          <w:rFonts w:eastAsia="Arial" w:cs="Arial"/>
          <w:b/>
          <w:bCs/>
          <w:sz w:val="24"/>
          <w:szCs w:val="24"/>
          <w:lang w:bidi="en-US"/>
        </w:rPr>
        <w:t xml:space="preserve"> </w:t>
      </w:r>
      <w:r w:rsidRPr="009552FD">
        <w:rPr>
          <w:rFonts w:eastAsia="Arial" w:cs="Arial"/>
          <w:b/>
          <w:bCs/>
          <w:sz w:val="24"/>
          <w:szCs w:val="24"/>
          <w:lang w:bidi="en-US"/>
        </w:rPr>
        <w:t>reprodukcyjnych kobiet w Polsce</w:t>
      </w:r>
    </w:p>
    <w:p w:rsidR="00253219" w:rsidRPr="009552FD" w:rsidRDefault="00253219" w:rsidP="00987EB2">
      <w:pPr>
        <w:pStyle w:val="Akapitzlist"/>
        <w:widowControl w:val="0"/>
        <w:numPr>
          <w:ilvl w:val="0"/>
          <w:numId w:val="48"/>
        </w:numPr>
        <w:tabs>
          <w:tab w:val="left" w:pos="720"/>
        </w:tabs>
        <w:spacing w:before="120" w:after="0" w:line="240" w:lineRule="auto"/>
        <w:ind w:hanging="357"/>
        <w:contextualSpacing w:val="0"/>
        <w:jc w:val="both"/>
        <w:rPr>
          <w:rFonts w:eastAsia="Arial" w:cs="Arial"/>
          <w:sz w:val="24"/>
          <w:szCs w:val="24"/>
          <w:lang w:bidi="en-US"/>
        </w:rPr>
      </w:pPr>
      <w:r w:rsidRPr="009552FD">
        <w:rPr>
          <w:rFonts w:eastAsia="Arial" w:cs="Arial"/>
          <w:sz w:val="24"/>
          <w:szCs w:val="24"/>
          <w:lang w:bidi="en-US"/>
        </w:rPr>
        <w:t>Komisarz uważa, że właściwą analizę kwestii dostępu do bezpiecznej i legalnej aborcji należy przeprowadzić w bardziej ogólnym kontekście sytuacji w zakresie zdrowia i praw seksualnych i reprodukcyjnych kobiet w Polsce. W związku z tym pragnie zwrócić uwagę Komitetu Ministrów na kilka niepokojących regresywnych tendencji dotyczących zdrowia i praw seksualnych i reprodukcyjnych kobiet w Polsce w ostatnich latach, a w szczególności na:</w:t>
      </w:r>
    </w:p>
    <w:p w:rsidR="00253219" w:rsidRPr="009552FD" w:rsidRDefault="00253219" w:rsidP="00987EB2">
      <w:pPr>
        <w:keepNext/>
        <w:keepLines/>
        <w:widowControl w:val="0"/>
        <w:numPr>
          <w:ilvl w:val="0"/>
          <w:numId w:val="34"/>
        </w:numPr>
        <w:tabs>
          <w:tab w:val="left" w:pos="1805"/>
        </w:tabs>
        <w:spacing w:after="120" w:line="240" w:lineRule="auto"/>
        <w:ind w:left="1800" w:hanging="360"/>
        <w:jc w:val="both"/>
        <w:outlineLvl w:val="2"/>
        <w:rPr>
          <w:rFonts w:eastAsia="Arial" w:cs="Arial"/>
          <w:b/>
          <w:bCs/>
          <w:sz w:val="24"/>
          <w:szCs w:val="24"/>
          <w:lang w:bidi="en-US"/>
        </w:rPr>
      </w:pPr>
      <w:r w:rsidRPr="009552FD">
        <w:rPr>
          <w:rFonts w:eastAsia="Arial" w:cs="Arial"/>
          <w:b/>
          <w:bCs/>
          <w:sz w:val="24"/>
          <w:szCs w:val="24"/>
          <w:lang w:bidi="en-US"/>
        </w:rPr>
        <w:lastRenderedPageBreak/>
        <w:t>Inicjatywy mające na celu dalsze zaostrzenie przepisów dotyczących dostępu do bezpiecznej i legalnej aborcji</w:t>
      </w:r>
    </w:p>
    <w:p w:rsidR="00253219" w:rsidRPr="009552FD" w:rsidRDefault="00253219" w:rsidP="00987EB2">
      <w:pPr>
        <w:pStyle w:val="Akapitzlist"/>
        <w:widowControl w:val="0"/>
        <w:numPr>
          <w:ilvl w:val="0"/>
          <w:numId w:val="48"/>
        </w:numPr>
        <w:tabs>
          <w:tab w:val="left" w:pos="720"/>
        </w:tabs>
        <w:spacing w:before="120" w:after="0" w:line="240" w:lineRule="auto"/>
        <w:ind w:hanging="357"/>
        <w:contextualSpacing w:val="0"/>
        <w:jc w:val="both"/>
        <w:rPr>
          <w:rFonts w:eastAsia="Arial" w:cs="Arial"/>
          <w:sz w:val="24"/>
          <w:szCs w:val="24"/>
          <w:lang w:bidi="en-US"/>
        </w:rPr>
      </w:pPr>
      <w:r w:rsidRPr="009552FD">
        <w:rPr>
          <w:rFonts w:eastAsia="Arial" w:cs="Arial"/>
          <w:sz w:val="24"/>
          <w:szCs w:val="24"/>
          <w:lang w:bidi="en-US"/>
        </w:rPr>
        <w:t>Obywatelski projekt ustawy przewidującej całkowity zakaz aborcji z wyjątkiem przypadku zagrożenia życia kobiety, który złożono w Sejmie w 2016 r., skłonił tysiące demonstrantów do wyjścia w proteście na ulice w październiku tego samego roku. Chociaż projekt ten ostatecznie upadł, niedługo potem, w 2017 r., złożono kolejny obywatelski projekt ustawy „Stop aborcji”, w którym postulowano usunięcie możliwości przerwania ciąży w przypadku ciężkiego upośledzenia płodu, w tym w przypadkach, gdy takie upośledzenie jest śmiertelne; tym razem projekt przeszedł do dalszych prac i pozostaje złożony w niższej izbie parlamentu. Podczas wizyty Komisarz w Polsce w marcu 2019 r. władze poinformowały ją, że nie były zaangażowane w projekty obywatelskich ustaw podejmujących próbę zmiany przepisów dotyczących dostępu do aborcji, ani ich nie popierały, ponieważ uważały, że istniejący stan prawny jest odpowiedni i jest efektem „delikatnego kompromisu”. Komisarz podtrzymuje swoje stanowisko, że przyjęcie przepisów ograniczających istniejące prawo jeszcze bardziej oddali Polskę od jej zobowiązań wynikających z prawa międzynarodowego praw człowieka, ponieważ zagrozi prawu kobiet do wolności od złego traktowania i będzie sprzeczne z zasadą nieretrogresji, która zakazuje wszelkich środków ograniczających istniejące prawa w dziedzinie zdrowia</w:t>
      </w:r>
      <w:r w:rsidRPr="009552FD">
        <w:rPr>
          <w:rFonts w:eastAsia="Arial" w:cs="Arial"/>
          <w:bCs/>
          <w:sz w:val="24"/>
          <w:szCs w:val="24"/>
          <w:vertAlign w:val="superscript"/>
          <w:lang w:bidi="en-US"/>
        </w:rPr>
        <w:footnoteReference w:id="81"/>
      </w:r>
      <w:r w:rsidRPr="009552FD">
        <w:rPr>
          <w:rFonts w:eastAsia="Arial" w:cs="Arial"/>
          <w:sz w:val="24"/>
          <w:szCs w:val="24"/>
          <w:lang w:bidi="en-US"/>
        </w:rPr>
        <w:t>.</w:t>
      </w:r>
    </w:p>
    <w:p w:rsidR="00253219" w:rsidRPr="009552FD" w:rsidRDefault="00253219" w:rsidP="00987EB2">
      <w:pPr>
        <w:keepNext/>
        <w:keepLines/>
        <w:widowControl w:val="0"/>
        <w:numPr>
          <w:ilvl w:val="0"/>
          <w:numId w:val="34"/>
        </w:numPr>
        <w:tabs>
          <w:tab w:val="left" w:pos="1805"/>
        </w:tabs>
        <w:spacing w:before="120" w:after="0" w:line="240" w:lineRule="auto"/>
        <w:ind w:left="1440"/>
        <w:jc w:val="both"/>
        <w:outlineLvl w:val="2"/>
        <w:rPr>
          <w:rFonts w:eastAsia="Arial" w:cs="Arial"/>
          <w:b/>
          <w:bCs/>
          <w:sz w:val="24"/>
          <w:szCs w:val="24"/>
          <w:lang w:bidi="en-US"/>
        </w:rPr>
      </w:pPr>
      <w:r w:rsidRPr="009552FD">
        <w:rPr>
          <w:rFonts w:eastAsia="Arial" w:cs="Arial"/>
          <w:b/>
          <w:bCs/>
          <w:sz w:val="24"/>
          <w:szCs w:val="24"/>
          <w:lang w:bidi="en-US"/>
        </w:rPr>
        <w:t>Ograniczenie dostępu do antykoncepcji awaryjnej</w:t>
      </w:r>
    </w:p>
    <w:p w:rsidR="00253219" w:rsidRPr="009552FD" w:rsidRDefault="00253219" w:rsidP="00987EB2">
      <w:pPr>
        <w:pStyle w:val="Akapitzlist"/>
        <w:widowControl w:val="0"/>
        <w:numPr>
          <w:ilvl w:val="0"/>
          <w:numId w:val="48"/>
        </w:numPr>
        <w:tabs>
          <w:tab w:val="left" w:pos="720"/>
        </w:tabs>
        <w:spacing w:before="120" w:after="0" w:line="240" w:lineRule="auto"/>
        <w:ind w:hanging="357"/>
        <w:contextualSpacing w:val="0"/>
        <w:jc w:val="both"/>
        <w:rPr>
          <w:rFonts w:eastAsia="Arial" w:cs="Arial"/>
          <w:sz w:val="24"/>
          <w:szCs w:val="24"/>
          <w:lang w:bidi="en-US"/>
        </w:rPr>
      </w:pPr>
      <w:r w:rsidRPr="009552FD">
        <w:rPr>
          <w:rFonts w:eastAsia="Arial" w:cs="Arial"/>
          <w:sz w:val="24"/>
          <w:szCs w:val="24"/>
          <w:lang w:bidi="en-US"/>
        </w:rPr>
        <w:t>Problematyczny dostęp do bezpiecznej i legalnej aborcji w Polsce potęguje utrudniony dostęp do awaryjnej tabletki antykoncepcyjnej, której sprzedaż bez recepty, uznana za bezpieczną i dozwoloną w niemal wszystkich krajach Unii Europejskiej – w tym w Polsce od kwietnia 2015 r. – w lipcu 2017 r. została udostępniona wyłącznie na receptę. Polskie władze uzasadniały to posunięcie troską o bezpieczeństwo konsumentów, w tym koniecznością ograniczenia nadużywania pigułek przez małoletnich. Komisarz zauważa jednak, że w ciągu dwóch lat od dopuszczenia pigułki do sprzedaży bez recepty władze nie zebrały żadnych danych dotyczących sprzedaży tabletki ani szkodliwych skutków jej stosowania, a z nieoficjalnych badań wynika, że małoletni stanowili nie więcej niż 2% nabywców tej pigułki w Polsce. Komisarz została poinformowana o wielu przeszkodach, z jakimi borykają się obecnie kobiety i dziewczęta przy uzyskiwaniu recept na antykoncepcję awaryjną, w tym: odmowy lekarzy motywowane klauzulą sumienia, długi czas oczekiwania na wizytę u ginekologa lub wysokie koszty wizyty u ginekologa, wymóg uzyskania zgody opiekuna prawnego na skorzystanie z takiej konsultacji przez osoby niepełnoletnie, czy też brak utrzymywania odpowiednich zapasów lub niedostarczanie pigułki przez niektórych farmaceutów. Zauważa również, że stworzono nieformalną sieć lekarzy–ochotników, aby pomóc kobietom w dostępie do antykoncepcji awaryjnej w odpowiednim czasie. Jak wspomniano w raporcie Komisarz z 2019 r., władze nie planują obecnie ponownego udostępnienia antykoncepcji awaryjnej bez recepty. Biorąc jednak pod uwagę, że władze powinny skupić się na zapobieganiu niechcianym ciążom, a nie na ograniczaniu możliwości wyboru kobiet, Komisarz zaleca, aby władze podjęły wszelkie niezbędne działania w celu usunięcia barier w dostępie do antykoncepcji dla wszystkich kobiet w całej Polsce.</w:t>
      </w:r>
    </w:p>
    <w:p w:rsidR="00253219" w:rsidRPr="009552FD" w:rsidRDefault="00253219" w:rsidP="00987EB2">
      <w:pPr>
        <w:keepNext/>
        <w:keepLines/>
        <w:widowControl w:val="0"/>
        <w:numPr>
          <w:ilvl w:val="0"/>
          <w:numId w:val="34"/>
        </w:numPr>
        <w:tabs>
          <w:tab w:val="left" w:pos="1802"/>
        </w:tabs>
        <w:spacing w:before="120" w:after="0" w:line="240" w:lineRule="auto"/>
        <w:ind w:left="1800" w:hanging="360"/>
        <w:jc w:val="both"/>
        <w:outlineLvl w:val="2"/>
        <w:rPr>
          <w:rFonts w:eastAsia="Arial" w:cs="Arial"/>
          <w:b/>
          <w:bCs/>
          <w:sz w:val="24"/>
          <w:szCs w:val="24"/>
          <w:lang w:bidi="en-US"/>
        </w:rPr>
      </w:pPr>
      <w:r w:rsidRPr="009552FD">
        <w:rPr>
          <w:rFonts w:eastAsia="Arial" w:cs="Arial"/>
          <w:b/>
          <w:bCs/>
          <w:sz w:val="24"/>
          <w:szCs w:val="24"/>
          <w:lang w:bidi="en-US"/>
        </w:rPr>
        <w:lastRenderedPageBreak/>
        <w:t>Brak kompleksowej, dostosowanej do wieku i opartej na dowodach naukowych edukacji seksualnej</w:t>
      </w:r>
    </w:p>
    <w:p w:rsidR="00253219" w:rsidRPr="009552FD" w:rsidRDefault="00253219" w:rsidP="00987EB2">
      <w:pPr>
        <w:pStyle w:val="Akapitzlist"/>
        <w:widowControl w:val="0"/>
        <w:numPr>
          <w:ilvl w:val="0"/>
          <w:numId w:val="48"/>
        </w:numPr>
        <w:tabs>
          <w:tab w:val="left" w:pos="720"/>
        </w:tabs>
        <w:spacing w:before="120" w:after="0" w:line="240" w:lineRule="auto"/>
        <w:ind w:hanging="357"/>
        <w:contextualSpacing w:val="0"/>
        <w:jc w:val="both"/>
        <w:rPr>
          <w:rFonts w:eastAsia="Arial" w:cs="Arial"/>
          <w:sz w:val="24"/>
          <w:szCs w:val="24"/>
          <w:lang w:bidi="en-US"/>
        </w:rPr>
      </w:pPr>
      <w:r w:rsidRPr="009552FD">
        <w:rPr>
          <w:rFonts w:eastAsia="Arial" w:cs="Arial"/>
          <w:sz w:val="24"/>
          <w:szCs w:val="24"/>
          <w:lang w:bidi="en-US"/>
        </w:rPr>
        <w:t>W swoim raporcie z 2003 r. na temat Polski były komisarz Alvaro Gil-Robles</w:t>
      </w:r>
      <w:r w:rsidRPr="009552FD">
        <w:rPr>
          <w:rFonts w:eastAsia="Arial" w:cs="Arial"/>
          <w:bCs/>
          <w:sz w:val="24"/>
          <w:szCs w:val="24"/>
          <w:vertAlign w:val="superscript"/>
          <w:lang w:bidi="en-US"/>
        </w:rPr>
        <w:footnoteReference w:id="82"/>
      </w:r>
      <w:r w:rsidRPr="009552FD">
        <w:rPr>
          <w:rFonts w:eastAsia="Arial" w:cs="Arial"/>
          <w:sz w:val="24"/>
          <w:szCs w:val="24"/>
          <w:lang w:bidi="en-US"/>
        </w:rPr>
        <w:t xml:space="preserve"> zauważył, że obowiązkowa edukacja w zakresie zdrowia seksualnego i reprodukcyjnego została usunięta z programów nauczania w polskich szkołach w 1999 r. i zastąpiona w szkołach średnich programami przygotowania do życia w rodzinie. Kwestią tą zajął się ponownie były komisarz Thomas Hammarberg</w:t>
      </w:r>
      <w:r w:rsidRPr="009552FD">
        <w:rPr>
          <w:rFonts w:eastAsia="Arial" w:cs="Arial"/>
          <w:bCs/>
          <w:sz w:val="24"/>
          <w:szCs w:val="24"/>
          <w:vertAlign w:val="superscript"/>
          <w:lang w:bidi="en-US"/>
        </w:rPr>
        <w:footnoteReference w:id="83"/>
      </w:r>
      <w:r w:rsidRPr="009552FD">
        <w:rPr>
          <w:rFonts w:eastAsia="Arial" w:cs="Arial"/>
          <w:sz w:val="24"/>
          <w:szCs w:val="24"/>
          <w:lang w:bidi="en-US"/>
        </w:rPr>
        <w:t>, który w swoim Memorandum z 2007 r. zauważył, że uczestnictwo w takich zajęciach nie jest obowiązkowe, a co więcej, od niektórych nauczycieli prowadzących te zajęcia nie wymaga się żadnych szczególnych kwalifikacji w zakresie nauczania edukacji seksualnej. Decyzje o uczęszczaniu małoletnich uczniów na zajęcia podejmowali ich rodzice i według stanu na 2008 r. odsetek uczęszczających na takie zajęcia wahał się od zaledwie 46,3% do 77,2%, w zależności od rodzaju szkoły. Obawy dotyczące rodziców zwalniających swoje dzieci z takich zajęć oraz doniesienia o nauczycielach nieposiadających wystarczającego przeszkolenia i wiedzy w dziedzinie zdrowia i praw seksualnych i reprodukcyjnych zostały ponownie podniesione w raporcie krajowym z 2016 r. przez byłego komisarza Nilsa Muiznieksa</w:t>
      </w:r>
      <w:r w:rsidRPr="009552FD">
        <w:rPr>
          <w:rFonts w:eastAsia="Arial" w:cs="Arial"/>
          <w:bCs/>
          <w:sz w:val="24"/>
          <w:szCs w:val="24"/>
          <w:vertAlign w:val="superscript"/>
          <w:lang w:bidi="en-US"/>
        </w:rPr>
        <w:footnoteReference w:id="84"/>
      </w:r>
      <w:r w:rsidRPr="009552FD">
        <w:rPr>
          <w:rFonts w:eastAsia="Arial" w:cs="Arial"/>
          <w:sz w:val="24"/>
          <w:szCs w:val="24"/>
          <w:lang w:bidi="en-US"/>
        </w:rPr>
        <w:t>. W przeszłości zaniepokojenie brakami w zakresie edukacji seksualnej w Polsce wyrażały również inne instytucje praw człowieka, jak chociażby Komitet Praw Gospodarczych, Społecznych i Kulturalnych ONZ czy Grupa Robocza do spraw Dyskryminacji Kobiet w Prawie i Praktyce.</w:t>
      </w:r>
    </w:p>
    <w:p w:rsidR="00253219" w:rsidRPr="009552FD" w:rsidRDefault="00253219" w:rsidP="00987EB2">
      <w:pPr>
        <w:pStyle w:val="Akapitzlist"/>
        <w:widowControl w:val="0"/>
        <w:numPr>
          <w:ilvl w:val="0"/>
          <w:numId w:val="48"/>
        </w:numPr>
        <w:tabs>
          <w:tab w:val="left" w:pos="720"/>
        </w:tabs>
        <w:spacing w:before="120" w:after="0" w:line="240" w:lineRule="auto"/>
        <w:ind w:hanging="357"/>
        <w:contextualSpacing w:val="0"/>
        <w:jc w:val="both"/>
        <w:rPr>
          <w:rFonts w:eastAsia="Arial" w:cs="Arial"/>
          <w:sz w:val="24"/>
          <w:szCs w:val="24"/>
          <w:lang w:bidi="en-US"/>
        </w:rPr>
      </w:pPr>
      <w:r w:rsidRPr="009552FD">
        <w:rPr>
          <w:rFonts w:eastAsia="Arial" w:cs="Arial"/>
          <w:sz w:val="24"/>
          <w:szCs w:val="24"/>
          <w:lang w:bidi="en-US"/>
        </w:rPr>
        <w:t>W październiku 2019 r. w Sejmie RP został wprowadzony i dopuszczony do procedowania obywatelski projekt ustawy „Stop pedofilii”, który może mieć negatywny wpływ na prowadzenie edukacji seksualnej w polskich szkołach. Komisarz wezwała Parlament RP do odrzucenia projektu ustawy</w:t>
      </w:r>
      <w:r w:rsidRPr="009552FD">
        <w:rPr>
          <w:rFonts w:eastAsia="Arial" w:cs="Arial"/>
          <w:bCs/>
          <w:sz w:val="24"/>
          <w:szCs w:val="24"/>
          <w:vertAlign w:val="superscript"/>
          <w:lang w:bidi="en-US"/>
        </w:rPr>
        <w:footnoteReference w:id="85"/>
      </w:r>
      <w:r w:rsidRPr="009552FD">
        <w:rPr>
          <w:rFonts w:eastAsia="Arial" w:cs="Arial"/>
          <w:sz w:val="24"/>
          <w:szCs w:val="24"/>
          <w:lang w:bidi="en-US"/>
        </w:rPr>
        <w:t xml:space="preserve"> i ogólnie powtórzyła swoje zalecenie dla polskich władz, aby zapewnić nauczanie obowiązkowej, kompleksowej edukacji seksualnej, dostosowanej do wieku i opartej na dowodach we wszystkich szkołach w Polsce.</w:t>
      </w:r>
    </w:p>
    <w:p w:rsidR="00253219" w:rsidRPr="009552FD" w:rsidRDefault="00253219" w:rsidP="00987EB2">
      <w:pPr>
        <w:keepNext/>
        <w:keepLines/>
        <w:widowControl w:val="0"/>
        <w:numPr>
          <w:ilvl w:val="0"/>
          <w:numId w:val="34"/>
        </w:numPr>
        <w:tabs>
          <w:tab w:val="left" w:pos="1802"/>
        </w:tabs>
        <w:spacing w:before="120" w:after="0" w:line="240" w:lineRule="auto"/>
        <w:ind w:left="1440"/>
        <w:outlineLvl w:val="2"/>
        <w:rPr>
          <w:rFonts w:eastAsia="Arial" w:cs="Arial"/>
          <w:b/>
          <w:bCs/>
          <w:sz w:val="24"/>
          <w:szCs w:val="24"/>
          <w:lang w:bidi="en-US"/>
        </w:rPr>
      </w:pPr>
      <w:r w:rsidRPr="009552FD">
        <w:rPr>
          <w:rFonts w:eastAsia="Arial" w:cs="Arial"/>
          <w:b/>
          <w:bCs/>
          <w:sz w:val="24"/>
          <w:szCs w:val="24"/>
          <w:lang w:bidi="en-US"/>
        </w:rPr>
        <w:t>Kryminalizacja pomocy w przerwaniu ciąży</w:t>
      </w:r>
    </w:p>
    <w:p w:rsidR="00253219" w:rsidRPr="009552FD" w:rsidRDefault="00253219" w:rsidP="00987EB2">
      <w:pPr>
        <w:pStyle w:val="Akapitzlist"/>
        <w:widowControl w:val="0"/>
        <w:numPr>
          <w:ilvl w:val="0"/>
          <w:numId w:val="48"/>
        </w:numPr>
        <w:tabs>
          <w:tab w:val="left" w:pos="720"/>
        </w:tabs>
        <w:spacing w:before="120" w:after="0" w:line="240" w:lineRule="auto"/>
        <w:ind w:hanging="357"/>
        <w:contextualSpacing w:val="0"/>
        <w:jc w:val="both"/>
        <w:rPr>
          <w:rFonts w:eastAsia="Arial" w:cs="Arial"/>
          <w:sz w:val="24"/>
          <w:szCs w:val="24"/>
          <w:lang w:bidi="en-US"/>
        </w:rPr>
      </w:pPr>
      <w:r w:rsidRPr="009552FD">
        <w:rPr>
          <w:rFonts w:eastAsia="Arial" w:cs="Arial"/>
          <w:sz w:val="24"/>
          <w:szCs w:val="24"/>
          <w:lang w:bidi="en-US"/>
        </w:rPr>
        <w:t xml:space="preserve">Jak władze przypomniały Komisarz podczas jej ostatniej wizyty krajowej, kobiety w ciąży w Polsce nie ponoszą odpowiedzialności karnej za aborcję przeprowadzoną niezgodnie z obowiązującym prawem, ani nie są karane za migrację aborcyjną. Komisarz zauważa jednak, że pomoc w niezgodnym z prawem przerwaniu ciąży jest przestępstwem zagrożonym karą do trzech lat pozbawienia wolności, a z doniesień wynika, że co roku wydawanych jest kilkanaście wyroków skazujących. Komisarz zauważa, że w październiku 2017 r. Biuro Prokuratora Krajowego wydało instrukcję opracowaną przez instytut zewnętrzny dla prokuratury, w której wezwano wszystkich podległych prokuratorów do bardziej aktywnego ścigania wszystkich osób pomagających ciężarnym w poddaniu się aborcji poza polskim systemem prawnym np. poprzez udostępnienie środków medycznych wywołujących aborcję, finansowanie lub ułatwianie wyjazdu w celu dokonania aborcji za granicą, pośredniczenie w nawiązaniu kontaktu z kliniką aborcyjną bądź udostępnianie informacji w powyższym zakresie. Przedstawiciele organizacji pozarządowych poinformowali Komisarz, iż po rozesłaniu instrukcji nastąpił wzrost liczby wszczętych postępowań karnych. Jednocześnie poinformowano Komisarz, iż Prokuratura Krajowa nie </w:t>
      </w:r>
      <w:r w:rsidRPr="009552FD">
        <w:rPr>
          <w:rFonts w:eastAsia="Arial" w:cs="Arial"/>
          <w:sz w:val="24"/>
          <w:szCs w:val="24"/>
          <w:lang w:bidi="en-US"/>
        </w:rPr>
        <w:lastRenderedPageBreak/>
        <w:t>zebrała danych statystycznych dotyczących liczby postępowań karnych prowadzonych w powyższym zakresie.</w:t>
      </w:r>
    </w:p>
    <w:p w:rsidR="00253219" w:rsidRPr="009552FD" w:rsidRDefault="00253219" w:rsidP="00DD5F1A">
      <w:pPr>
        <w:keepNext/>
        <w:keepLines/>
        <w:widowControl w:val="0"/>
        <w:spacing w:before="120" w:after="0" w:line="240" w:lineRule="auto"/>
        <w:ind w:firstLine="360"/>
        <w:outlineLvl w:val="2"/>
        <w:rPr>
          <w:rFonts w:eastAsia="Arial" w:cs="Arial"/>
          <w:b/>
          <w:bCs/>
          <w:sz w:val="24"/>
          <w:szCs w:val="24"/>
          <w:lang w:bidi="en-US"/>
        </w:rPr>
      </w:pPr>
      <w:r w:rsidRPr="009552FD">
        <w:rPr>
          <w:rFonts w:eastAsia="Arial" w:cs="Arial"/>
          <w:b/>
          <w:bCs/>
          <w:sz w:val="24"/>
          <w:szCs w:val="24"/>
          <w:lang w:bidi="en-US"/>
        </w:rPr>
        <w:t>Wnioski</w:t>
      </w:r>
    </w:p>
    <w:p w:rsidR="00253219" w:rsidRPr="009552FD" w:rsidRDefault="00253219" w:rsidP="00987EB2">
      <w:pPr>
        <w:pStyle w:val="Akapitzlist"/>
        <w:widowControl w:val="0"/>
        <w:numPr>
          <w:ilvl w:val="0"/>
          <w:numId w:val="48"/>
        </w:numPr>
        <w:tabs>
          <w:tab w:val="left" w:pos="720"/>
        </w:tabs>
        <w:spacing w:before="120" w:after="0" w:line="240" w:lineRule="auto"/>
        <w:ind w:hanging="357"/>
        <w:contextualSpacing w:val="0"/>
        <w:jc w:val="both"/>
        <w:rPr>
          <w:rFonts w:eastAsia="Arial" w:cs="Arial"/>
          <w:sz w:val="24"/>
          <w:szCs w:val="24"/>
          <w:lang w:bidi="en-US"/>
        </w:rPr>
      </w:pPr>
      <w:r w:rsidRPr="009552FD">
        <w:rPr>
          <w:rFonts w:eastAsia="Arial" w:cs="Arial"/>
          <w:sz w:val="24"/>
          <w:szCs w:val="24"/>
          <w:lang w:bidi="en-US"/>
        </w:rPr>
        <w:t xml:space="preserve">W marcu 2020 r. minie trzynaście lat od wydania wyroku w sprawie </w:t>
      </w:r>
      <w:r w:rsidRPr="009552FD">
        <w:rPr>
          <w:rFonts w:eastAsia="Arial" w:cs="Arial"/>
          <w:i/>
          <w:iCs/>
          <w:sz w:val="24"/>
          <w:szCs w:val="24"/>
          <w:lang w:bidi="en-US"/>
        </w:rPr>
        <w:t>Tysiąc p</w:t>
      </w:r>
      <w:r w:rsidR="00BA2C68">
        <w:rPr>
          <w:rFonts w:eastAsia="Arial" w:cs="Arial"/>
          <w:i/>
          <w:iCs/>
          <w:sz w:val="24"/>
          <w:szCs w:val="24"/>
          <w:lang w:bidi="en-US"/>
        </w:rPr>
        <w:t>.</w:t>
      </w:r>
      <w:r w:rsidRPr="009552FD">
        <w:rPr>
          <w:rFonts w:eastAsia="Arial" w:cs="Arial"/>
          <w:i/>
          <w:iCs/>
          <w:sz w:val="24"/>
          <w:szCs w:val="24"/>
          <w:lang w:bidi="en-US"/>
        </w:rPr>
        <w:t xml:space="preserve"> Polsce</w:t>
      </w:r>
      <w:r w:rsidRPr="009552FD">
        <w:rPr>
          <w:rFonts w:eastAsia="Arial" w:cs="Arial"/>
          <w:sz w:val="24"/>
          <w:szCs w:val="24"/>
          <w:lang w:bidi="en-US"/>
        </w:rPr>
        <w:t xml:space="preserve">, pierwszej z trzech kluczowych spraw przeciwko Polsce dotyczących dostępu do bezpiecznej i legalnej aborcji przed Europejskim Trybunałem Praw Człowieka. Ponadto, od wydania wyroku w sprawie </w:t>
      </w:r>
      <w:r w:rsidRPr="009552FD">
        <w:rPr>
          <w:rFonts w:eastAsia="Arial" w:cs="Arial"/>
          <w:i/>
          <w:iCs/>
          <w:sz w:val="24"/>
          <w:szCs w:val="24"/>
          <w:lang w:bidi="en-US"/>
        </w:rPr>
        <w:t>P. i S. p</w:t>
      </w:r>
      <w:r w:rsidR="00BA2C68">
        <w:rPr>
          <w:rFonts w:eastAsia="Arial" w:cs="Arial"/>
          <w:i/>
          <w:iCs/>
          <w:sz w:val="24"/>
          <w:szCs w:val="24"/>
          <w:lang w:bidi="en-US"/>
        </w:rPr>
        <w:t>.</w:t>
      </w:r>
      <w:r w:rsidRPr="009552FD">
        <w:rPr>
          <w:rFonts w:eastAsia="Arial" w:cs="Arial"/>
          <w:i/>
          <w:iCs/>
          <w:sz w:val="24"/>
          <w:szCs w:val="24"/>
          <w:lang w:bidi="en-US"/>
        </w:rPr>
        <w:t xml:space="preserve"> Polsce</w:t>
      </w:r>
      <w:r w:rsidRPr="009552FD">
        <w:rPr>
          <w:rFonts w:eastAsia="Arial" w:cs="Arial"/>
          <w:sz w:val="24"/>
          <w:szCs w:val="24"/>
          <w:lang w:bidi="en-US"/>
        </w:rPr>
        <w:t>, ostatniej z tych spraw, upłynęło ponad siedem lat. Komisarz wyraża ubolewanie, że mimo upływu czasu polskie władze nie podjęły jeszcze odpowiednich działań w celu zapewnienia dostępu do legalnej aborcji w całej Polsce.</w:t>
      </w:r>
    </w:p>
    <w:p w:rsidR="00253219" w:rsidRPr="009552FD" w:rsidRDefault="00253219" w:rsidP="00987EB2">
      <w:pPr>
        <w:pStyle w:val="Akapitzlist"/>
        <w:widowControl w:val="0"/>
        <w:numPr>
          <w:ilvl w:val="0"/>
          <w:numId w:val="48"/>
        </w:numPr>
        <w:tabs>
          <w:tab w:val="left" w:pos="720"/>
        </w:tabs>
        <w:spacing w:before="120" w:after="0" w:line="240" w:lineRule="auto"/>
        <w:ind w:hanging="357"/>
        <w:contextualSpacing w:val="0"/>
        <w:jc w:val="both"/>
        <w:rPr>
          <w:rFonts w:eastAsia="Arial" w:cs="Arial"/>
          <w:sz w:val="24"/>
          <w:szCs w:val="24"/>
          <w:lang w:bidi="en-US"/>
        </w:rPr>
      </w:pPr>
      <w:r w:rsidRPr="009552FD">
        <w:rPr>
          <w:rFonts w:eastAsia="Arial" w:cs="Arial"/>
          <w:sz w:val="24"/>
          <w:szCs w:val="24"/>
          <w:lang w:bidi="en-US"/>
        </w:rPr>
        <w:t>Na podstawie pracy Komisarz w Polsce i jej spotkań z różnymi rozmówcami w tym kraju Komisarz odnosi wrażenie, że w ostatnich latach sytuacja w zakresie zdrowia seksualnego i reprodukcyjnego oraz praw w tym zakresie w Polsce nie tylko nie uległa poprawie, a wręcz uległa pogorszeniu. Jej zdaniem wiele jeszcze należy uczynić, aby zapewnić kobietom i dziewczętom dostęp do zdrowia seksualnego i reprodukcyjnego oraz praw w tym zakresie w Polsce, co stanowi zasadniczy element zagwarantowania praw człowieka kobiet i umacniania równości płci. Należy zapewnić im skuteczny dostęp do bezpiecznej i legalnej aborcji, w tym dostęp do rzetelnych informacji na temat związanych z tym warunków i procedur. W szczególności istnieje potrzeba pilnego zajęcia się istotnymi brakami w prawnych i instytucjonalnych ramach odmowy opartej na klauzuli sumienia, które poważnie utrudniają kobietom i dziewczętom w Polsce praktyczne dbanie o ich zdrowie seksualne i reprodukcyjne oraz korzystanie z praw seksualnych i reprodukcyjnych, nawet w tych bardzo ograniczonych sytuacjach, w których przerwanie ciąży jest legalne. Ponadto, chociaż Komisarz odnotowała w swoim raporcie z 2019 r. zmianę ogólnego nastawienia do kwestii aborcji i rosnące poparcie społeczne dla prawa kobiety do przerwania ciąży do 12. tygodnia, o czym świadczą badania opinii publicznej, to niemniej podkreśla, że kobiety chcące poddać się aborcji w Polsce nadal spotykają się z dużą presją społeczną i stygmatyzacją.</w:t>
      </w:r>
    </w:p>
    <w:p w:rsidR="00253219" w:rsidRPr="009552FD" w:rsidRDefault="00253219" w:rsidP="00987EB2">
      <w:pPr>
        <w:pStyle w:val="Akapitzlist"/>
        <w:widowControl w:val="0"/>
        <w:numPr>
          <w:ilvl w:val="0"/>
          <w:numId w:val="48"/>
        </w:numPr>
        <w:tabs>
          <w:tab w:val="left" w:pos="720"/>
        </w:tabs>
        <w:spacing w:before="120" w:after="0" w:line="240" w:lineRule="auto"/>
        <w:ind w:hanging="357"/>
        <w:contextualSpacing w:val="0"/>
        <w:jc w:val="both"/>
        <w:rPr>
          <w:rFonts w:eastAsia="Arial" w:cs="Arial"/>
          <w:sz w:val="24"/>
          <w:szCs w:val="24"/>
          <w:lang w:bidi="en-US"/>
        </w:rPr>
      </w:pPr>
      <w:r w:rsidRPr="009552FD">
        <w:rPr>
          <w:rFonts w:eastAsia="Arial" w:cs="Arial"/>
          <w:sz w:val="24"/>
          <w:szCs w:val="24"/>
          <w:lang w:bidi="en-US"/>
        </w:rPr>
        <w:t>Komisarz uważa zatem, że władze polskie powinny:</w:t>
      </w:r>
    </w:p>
    <w:p w:rsidR="00253219" w:rsidRPr="00DD5F1A" w:rsidRDefault="00253219" w:rsidP="00987EB2">
      <w:pPr>
        <w:pStyle w:val="Akapitzlist"/>
        <w:widowControl w:val="0"/>
        <w:numPr>
          <w:ilvl w:val="0"/>
          <w:numId w:val="49"/>
        </w:numPr>
        <w:tabs>
          <w:tab w:val="left" w:pos="1273"/>
        </w:tabs>
        <w:spacing w:after="120" w:line="240" w:lineRule="auto"/>
        <w:jc w:val="both"/>
        <w:rPr>
          <w:rFonts w:eastAsia="Arial" w:cs="Arial"/>
          <w:sz w:val="24"/>
          <w:szCs w:val="24"/>
          <w:lang w:bidi="en-US"/>
        </w:rPr>
      </w:pPr>
      <w:r w:rsidRPr="00DD5F1A">
        <w:rPr>
          <w:rFonts w:eastAsia="Arial" w:cs="Arial"/>
          <w:sz w:val="24"/>
          <w:szCs w:val="24"/>
          <w:lang w:bidi="en-US"/>
        </w:rPr>
        <w:t>pilnie przyjąć i skutecznie wdrożyć niezbędne przepisy mające na celu zapewnienie dostępności i możliwości korzystania w praktyce z legalnej aborcji, w szczególności poprzez</w:t>
      </w:r>
    </w:p>
    <w:p w:rsidR="00253219" w:rsidRPr="009552FD" w:rsidRDefault="00253219" w:rsidP="00987EB2">
      <w:pPr>
        <w:widowControl w:val="0"/>
        <w:numPr>
          <w:ilvl w:val="0"/>
          <w:numId w:val="35"/>
        </w:numPr>
        <w:tabs>
          <w:tab w:val="left" w:pos="1433"/>
        </w:tabs>
        <w:spacing w:after="120" w:line="240" w:lineRule="auto"/>
        <w:ind w:left="1440" w:hanging="360"/>
        <w:jc w:val="both"/>
        <w:rPr>
          <w:rFonts w:eastAsia="Arial" w:cs="Arial"/>
          <w:sz w:val="24"/>
          <w:szCs w:val="24"/>
          <w:lang w:bidi="en-US"/>
        </w:rPr>
      </w:pPr>
      <w:r w:rsidRPr="009552FD">
        <w:rPr>
          <w:rFonts w:eastAsia="Arial" w:cs="Arial"/>
          <w:sz w:val="24"/>
          <w:szCs w:val="24"/>
          <w:lang w:bidi="en-US"/>
        </w:rPr>
        <w:t>wprowadzenie jasnych, skutecznych i jednolitych procedur umożliwiających kobietom dostęp do legalnej aborcji, w tym szybkie kierowanie do alternatywnego i chętnego świadczeniodawcy w przypadku odmowy wykonania aborcji przez lekarza na podstawie klauzuli sumienia,</w:t>
      </w:r>
    </w:p>
    <w:p w:rsidR="00253219" w:rsidRPr="009552FD" w:rsidRDefault="00253219" w:rsidP="00987EB2">
      <w:pPr>
        <w:widowControl w:val="0"/>
        <w:numPr>
          <w:ilvl w:val="0"/>
          <w:numId w:val="35"/>
        </w:numPr>
        <w:tabs>
          <w:tab w:val="left" w:pos="1433"/>
        </w:tabs>
        <w:spacing w:after="120" w:line="240" w:lineRule="auto"/>
        <w:ind w:left="1440" w:hanging="360"/>
        <w:jc w:val="both"/>
        <w:rPr>
          <w:rFonts w:eastAsia="Arial" w:cs="Arial"/>
          <w:sz w:val="24"/>
          <w:szCs w:val="24"/>
          <w:lang w:bidi="en-US"/>
        </w:rPr>
      </w:pPr>
      <w:r w:rsidRPr="009552FD">
        <w:rPr>
          <w:rFonts w:eastAsia="Arial" w:cs="Arial"/>
          <w:sz w:val="24"/>
          <w:szCs w:val="24"/>
          <w:lang w:bidi="en-US"/>
        </w:rPr>
        <w:t>wprowadzenie konkretnych i praktycznych środków w celu zapewnienia kobietom chcącym poddać się legalnej aborcji odpowiednich informacji na temat kroków, jakie powinny podjąć, aby skorzystać ze swoich praw, w szczególności gdy ciąża jest wynikiem czynu zabronionego,</w:t>
      </w:r>
    </w:p>
    <w:p w:rsidR="00253219" w:rsidRPr="009552FD" w:rsidRDefault="00253219" w:rsidP="00987EB2">
      <w:pPr>
        <w:widowControl w:val="0"/>
        <w:numPr>
          <w:ilvl w:val="0"/>
          <w:numId w:val="35"/>
        </w:numPr>
        <w:tabs>
          <w:tab w:val="left" w:pos="1433"/>
        </w:tabs>
        <w:spacing w:after="120" w:line="240" w:lineRule="auto"/>
        <w:ind w:left="1440" w:hanging="360"/>
        <w:jc w:val="both"/>
        <w:rPr>
          <w:rFonts w:eastAsia="Arial" w:cs="Arial"/>
          <w:sz w:val="24"/>
          <w:szCs w:val="24"/>
          <w:lang w:bidi="en-US"/>
        </w:rPr>
      </w:pPr>
      <w:r w:rsidRPr="009552FD">
        <w:rPr>
          <w:rFonts w:eastAsia="Arial" w:cs="Arial"/>
          <w:sz w:val="24"/>
          <w:szCs w:val="24"/>
          <w:lang w:bidi="en-US"/>
        </w:rPr>
        <w:t>zmianę ustawy w celu uproszczenia i przyspieszenia procedury wnoszenia sprzeciwu do Rzecznika Praw Pacjenta,</w:t>
      </w:r>
    </w:p>
    <w:p w:rsidR="00253219" w:rsidRPr="009552FD" w:rsidRDefault="00253219" w:rsidP="00987EB2">
      <w:pPr>
        <w:widowControl w:val="0"/>
        <w:numPr>
          <w:ilvl w:val="0"/>
          <w:numId w:val="35"/>
        </w:numPr>
        <w:tabs>
          <w:tab w:val="left" w:pos="1433"/>
        </w:tabs>
        <w:spacing w:after="120" w:line="240" w:lineRule="auto"/>
        <w:ind w:left="1440" w:hanging="360"/>
        <w:jc w:val="both"/>
        <w:rPr>
          <w:rFonts w:eastAsia="Arial" w:cs="Arial"/>
          <w:sz w:val="24"/>
          <w:szCs w:val="24"/>
          <w:lang w:bidi="en-US"/>
        </w:rPr>
      </w:pPr>
      <w:r w:rsidRPr="009552FD">
        <w:rPr>
          <w:rFonts w:eastAsia="Arial" w:cs="Arial"/>
          <w:sz w:val="24"/>
          <w:szCs w:val="24"/>
          <w:lang w:bidi="en-US"/>
        </w:rPr>
        <w:t xml:space="preserve">zwalczanie, poprzez programy i strategie podnoszenia świadomości, stereotypów płciowych i stygmatyzacji aborcji, które mogą utrudniać dostęp do </w:t>
      </w:r>
      <w:r w:rsidRPr="009552FD">
        <w:rPr>
          <w:rFonts w:eastAsia="Arial" w:cs="Arial"/>
          <w:sz w:val="24"/>
          <w:szCs w:val="24"/>
          <w:lang w:bidi="en-US"/>
        </w:rPr>
        <w:lastRenderedPageBreak/>
        <w:t>usług aborcyjnych,</w:t>
      </w:r>
    </w:p>
    <w:p w:rsidR="00253219" w:rsidRPr="009552FD" w:rsidRDefault="00253219" w:rsidP="00987EB2">
      <w:pPr>
        <w:pStyle w:val="Akapitzlist"/>
        <w:widowControl w:val="0"/>
        <w:numPr>
          <w:ilvl w:val="0"/>
          <w:numId w:val="49"/>
        </w:numPr>
        <w:tabs>
          <w:tab w:val="left" w:pos="1273"/>
        </w:tabs>
        <w:spacing w:after="120" w:line="240" w:lineRule="auto"/>
        <w:jc w:val="both"/>
        <w:rPr>
          <w:rFonts w:eastAsia="Arial" w:cs="Arial"/>
          <w:sz w:val="24"/>
          <w:szCs w:val="24"/>
          <w:lang w:bidi="en-US"/>
        </w:rPr>
      </w:pPr>
      <w:r w:rsidRPr="009552FD">
        <w:rPr>
          <w:rFonts w:eastAsia="Arial" w:cs="Arial"/>
          <w:sz w:val="24"/>
          <w:szCs w:val="24"/>
          <w:lang w:bidi="en-US"/>
        </w:rPr>
        <w:t>monitorować i podawać do publicznej wiadomości liczbę, dostępność i lokalizację placówek służby zdrowia, które są przygotowane do przeprowadzania bezpiecznej i legalnej aborcji, jak również tych, które odmawiają wykonywania takich świadczeń z powodu klauzuli sumienia,</w:t>
      </w:r>
    </w:p>
    <w:p w:rsidR="00253219" w:rsidRPr="009552FD" w:rsidRDefault="00253219" w:rsidP="00987EB2">
      <w:pPr>
        <w:pStyle w:val="Akapitzlist"/>
        <w:widowControl w:val="0"/>
        <w:numPr>
          <w:ilvl w:val="0"/>
          <w:numId w:val="49"/>
        </w:numPr>
        <w:tabs>
          <w:tab w:val="left" w:pos="1273"/>
        </w:tabs>
        <w:spacing w:after="120" w:line="240" w:lineRule="auto"/>
        <w:jc w:val="both"/>
        <w:rPr>
          <w:rFonts w:eastAsia="Arial" w:cs="Arial"/>
          <w:sz w:val="24"/>
          <w:szCs w:val="24"/>
          <w:lang w:bidi="en-US"/>
        </w:rPr>
      </w:pPr>
      <w:r w:rsidRPr="009552FD">
        <w:rPr>
          <w:rFonts w:eastAsia="Arial" w:cs="Arial"/>
          <w:sz w:val="24"/>
          <w:szCs w:val="24"/>
          <w:lang w:bidi="en-US"/>
        </w:rPr>
        <w:t>monitorować, gromadzić i podawać do wiadomości publicznej dane dotyczące stosowania klauzuli sumienia przy odmowie przeprowadzenia legalnej aborcji oraz szacunkowe dane statystyczne dotyczące pozaustawowych aborcji i migracji aborcyjnych.</w:t>
      </w:r>
    </w:p>
    <w:p w:rsidR="00253219" w:rsidRPr="009552FD" w:rsidRDefault="00253219" w:rsidP="00987EB2">
      <w:pPr>
        <w:pStyle w:val="Akapitzlist"/>
        <w:widowControl w:val="0"/>
        <w:numPr>
          <w:ilvl w:val="0"/>
          <w:numId w:val="48"/>
        </w:numPr>
        <w:tabs>
          <w:tab w:val="left" w:pos="720"/>
        </w:tabs>
        <w:spacing w:before="120" w:after="0" w:line="240" w:lineRule="auto"/>
        <w:ind w:hanging="357"/>
        <w:contextualSpacing w:val="0"/>
        <w:jc w:val="both"/>
        <w:rPr>
          <w:rFonts w:eastAsia="Arial" w:cs="Arial"/>
          <w:sz w:val="24"/>
          <w:szCs w:val="24"/>
          <w:lang w:bidi="en-US"/>
        </w:rPr>
      </w:pPr>
      <w:r w:rsidRPr="009552FD">
        <w:rPr>
          <w:rFonts w:eastAsia="Arial" w:cs="Arial"/>
          <w:sz w:val="24"/>
          <w:szCs w:val="24"/>
          <w:lang w:bidi="en-US"/>
        </w:rPr>
        <w:t>Wreszcie, Komisarz przypomina o swoim zaleceniu, aby polskie władze zagwarantowały dostęp do bezpiecznej i legalnej aborcji poprzez uczynienie aborcji legalną na życzenie kobiety we wczesnej ciąży, a następnie przez cały okres ciąży, aby chronić zdrowie i życie kobiet oraz zapewnić wolność od złego traktowania. Dokument tematyczny dotyczący zdrowia i praw seksualnych i reprodukcyjnych kobiet w Europie zawiera szczegółowe zalecenia w tym zakresie, jak również w innych kwestiach dotyczących zdrowia i praw seksualnych i reprodukcyjnych kobiet.</w:t>
      </w:r>
    </w:p>
    <w:p w:rsidR="00253219" w:rsidRPr="00253219" w:rsidRDefault="00253219" w:rsidP="00ED526F">
      <w:pPr>
        <w:rPr>
          <w:sz w:val="24"/>
          <w:szCs w:val="24"/>
        </w:rPr>
      </w:pPr>
    </w:p>
    <w:p w:rsidR="007872D2" w:rsidRPr="00ED526F" w:rsidRDefault="007872D2" w:rsidP="007872D2">
      <w:pPr>
        <w:rPr>
          <w:sz w:val="24"/>
          <w:szCs w:val="24"/>
          <w:u w:val="single"/>
        </w:rPr>
      </w:pPr>
      <w:r w:rsidRPr="00112561">
        <w:rPr>
          <w:sz w:val="24"/>
          <w:szCs w:val="24"/>
          <w:u w:val="single"/>
        </w:rPr>
        <w:t xml:space="preserve">Odpowiedź rządu z dnia </w:t>
      </w:r>
      <w:r w:rsidR="00ED526F" w:rsidRPr="00112561">
        <w:rPr>
          <w:sz w:val="24"/>
          <w:szCs w:val="24"/>
          <w:u w:val="single"/>
        </w:rPr>
        <w:t>7 lutego 2020 r.</w:t>
      </w:r>
      <w:r w:rsidR="00ED526F" w:rsidRPr="00ED526F">
        <w:rPr>
          <w:sz w:val="24"/>
          <w:szCs w:val="24"/>
          <w:u w:val="single"/>
        </w:rPr>
        <w:t xml:space="preserve"> </w:t>
      </w:r>
    </w:p>
    <w:p w:rsidR="00112561" w:rsidRPr="00112561" w:rsidRDefault="00112561" w:rsidP="00112561">
      <w:pPr>
        <w:spacing w:before="120" w:after="0" w:line="240" w:lineRule="auto"/>
        <w:jc w:val="both"/>
        <w:rPr>
          <w:rFonts w:eastAsia="Times New Roman" w:cs="Times New Roman"/>
          <w:sz w:val="24"/>
          <w:szCs w:val="24"/>
          <w:lang w:eastAsia="pl-PL"/>
        </w:rPr>
      </w:pPr>
      <w:r w:rsidRPr="00112561">
        <w:rPr>
          <w:rFonts w:eastAsia="Times New Roman" w:cs="Times New Roman"/>
          <w:sz w:val="24"/>
          <w:szCs w:val="24"/>
          <w:lang w:eastAsia="pl-PL"/>
        </w:rPr>
        <w:t xml:space="preserve">W odpowiedzi na komunikację z dnia 27 stycznia 2020 r. Komisarza Praw Człowieka Rady Europy dotyczącą wykonania wyroków Europejskiego Trybunału Praw Człowieka w sprawach </w:t>
      </w:r>
      <w:r w:rsidRPr="00112561">
        <w:rPr>
          <w:rFonts w:eastAsia="Times New Roman" w:cs="Times New Roman"/>
          <w:i/>
          <w:sz w:val="24"/>
          <w:szCs w:val="24"/>
          <w:lang w:eastAsia="pl-PL"/>
        </w:rPr>
        <w:t>Tysiąc p. Polsce</w:t>
      </w:r>
      <w:r w:rsidRPr="00112561">
        <w:rPr>
          <w:rFonts w:eastAsia="Times New Roman" w:cs="Times New Roman"/>
          <w:sz w:val="24"/>
          <w:szCs w:val="24"/>
          <w:lang w:eastAsia="pl-PL"/>
        </w:rPr>
        <w:t xml:space="preserve">, </w:t>
      </w:r>
      <w:r w:rsidRPr="00112561">
        <w:rPr>
          <w:rFonts w:eastAsia="Times New Roman" w:cs="Times New Roman"/>
          <w:i/>
          <w:sz w:val="24"/>
          <w:szCs w:val="24"/>
          <w:lang w:eastAsia="pl-PL"/>
        </w:rPr>
        <w:t xml:space="preserve">R.R. p. Polsce </w:t>
      </w:r>
      <w:r w:rsidRPr="00112561">
        <w:rPr>
          <w:rFonts w:eastAsia="Times New Roman" w:cs="Times New Roman"/>
          <w:sz w:val="24"/>
          <w:szCs w:val="24"/>
          <w:lang w:eastAsia="pl-PL"/>
        </w:rPr>
        <w:t xml:space="preserve">i </w:t>
      </w:r>
      <w:r w:rsidRPr="00112561">
        <w:rPr>
          <w:rFonts w:eastAsia="Times New Roman" w:cs="Times New Roman"/>
          <w:i/>
          <w:sz w:val="24"/>
          <w:szCs w:val="24"/>
          <w:lang w:eastAsia="pl-PL"/>
        </w:rPr>
        <w:t>P. i S. p. Polsce</w:t>
      </w:r>
      <w:r w:rsidRPr="00112561">
        <w:rPr>
          <w:rFonts w:eastAsia="Times New Roman" w:cs="Times New Roman"/>
          <w:sz w:val="24"/>
          <w:szCs w:val="24"/>
          <w:lang w:eastAsia="pl-PL"/>
        </w:rPr>
        <w:t>, rząd Polski chciałby przedstawić następujące uwagi.</w:t>
      </w:r>
    </w:p>
    <w:p w:rsidR="00112561" w:rsidRPr="00112561" w:rsidRDefault="00112561" w:rsidP="00987EB2">
      <w:pPr>
        <w:numPr>
          <w:ilvl w:val="0"/>
          <w:numId w:val="43"/>
        </w:numPr>
        <w:spacing w:before="120" w:after="120" w:line="240" w:lineRule="auto"/>
        <w:jc w:val="both"/>
        <w:rPr>
          <w:rFonts w:eastAsia="Times New Roman" w:cs="TimesNewRomanPS-BoldMT"/>
          <w:b/>
          <w:bCs/>
          <w:sz w:val="24"/>
          <w:szCs w:val="24"/>
          <w:lang w:eastAsia="pl-PL"/>
        </w:rPr>
      </w:pPr>
      <w:r w:rsidRPr="00112561">
        <w:rPr>
          <w:rFonts w:eastAsia="Times New Roman" w:cs="TimesNewRomanPS-BoldMT"/>
          <w:b/>
          <w:bCs/>
          <w:sz w:val="24"/>
          <w:szCs w:val="24"/>
          <w:lang w:eastAsia="pl-PL"/>
        </w:rPr>
        <w:t xml:space="preserve">Ramy prawne i praktyka w zakresie dostępu do legalnej aborcji, stosowania klauzuli sumienia w Polsce oraz kwestii dostępnych środków prawnych (punkt I komunikacji) </w:t>
      </w:r>
    </w:p>
    <w:p w:rsidR="00112561" w:rsidRPr="00112561" w:rsidRDefault="00112561" w:rsidP="00112561">
      <w:pPr>
        <w:spacing w:before="120" w:after="0" w:line="240" w:lineRule="auto"/>
        <w:jc w:val="both"/>
        <w:rPr>
          <w:rFonts w:eastAsia="Times New Roman" w:cs="Times New Roman"/>
          <w:sz w:val="24"/>
          <w:szCs w:val="24"/>
          <w:lang w:eastAsia="pl-PL"/>
        </w:rPr>
      </w:pPr>
      <w:r w:rsidRPr="00112561">
        <w:rPr>
          <w:rFonts w:eastAsia="Times New Roman" w:cs="Times New Roman"/>
          <w:sz w:val="24"/>
          <w:szCs w:val="24"/>
          <w:lang w:eastAsia="pl-PL"/>
        </w:rPr>
        <w:t xml:space="preserve">W swojej komunikacji Komisarz podnosi, że polskie przepisy regulujące dostępność do zabiegów przerwania ciąży są jednymi z najbardziej restrykcyjnych w Europie. Należy jednak wskazać, że warunki dopuszczalności przerywania ciąży w Polsce nigdy nie były badane ani kwestionowane, przez Europejski Trybunał Praw Człowieka.  Regulacje obowiązujące w Polsce są zgodne z dokumentami zaakceptowanymi na forum międzynarodowym, tj.: Programem Działań Międzynarodowej Konferencji na rzecz Ludności i Rozwoju w Kairze z 1994 r. oraz Deklaracją Pekińską i Platformą Działania IV Światowej Konferencji ONZ w sprawie Kobiet w Pekinie z 1995 r. </w:t>
      </w:r>
    </w:p>
    <w:p w:rsidR="00112561" w:rsidRPr="00112561" w:rsidRDefault="00112561" w:rsidP="00112561">
      <w:pPr>
        <w:spacing w:before="120" w:after="0" w:line="240" w:lineRule="auto"/>
        <w:jc w:val="both"/>
        <w:rPr>
          <w:rFonts w:eastAsia="Times New Roman" w:cs="Times New Roman"/>
          <w:sz w:val="24"/>
          <w:szCs w:val="24"/>
          <w:lang w:eastAsia="pl-PL"/>
        </w:rPr>
      </w:pPr>
      <w:r w:rsidRPr="00112561">
        <w:rPr>
          <w:rFonts w:eastAsia="Times New Roman" w:cs="Times New Roman"/>
          <w:sz w:val="24"/>
          <w:szCs w:val="24"/>
          <w:lang w:eastAsia="pl-PL"/>
        </w:rPr>
        <w:t>Dodatkowo, należy podkreślić, że ustawa z dnia 7 stycznia 1993 r. o planowaniu rodziny, ochronie płodu ludzkiego i warunkach dopuszczalności przerywania ciąży jest rodzajem kompromisu pomiędzy silnie obecnymi w świadomości społecznej Polski dwoma przeciwstawnymi perspektywami postrzegania regulowanej materii</w:t>
      </w:r>
    </w:p>
    <w:p w:rsidR="00112561" w:rsidRPr="00112561" w:rsidRDefault="00112561" w:rsidP="00112561">
      <w:pPr>
        <w:spacing w:before="120" w:after="0" w:line="240" w:lineRule="auto"/>
        <w:jc w:val="both"/>
        <w:rPr>
          <w:rFonts w:eastAsia="Times New Roman" w:cs="Times New Roman"/>
          <w:sz w:val="24"/>
          <w:szCs w:val="24"/>
          <w:lang w:eastAsia="pl-PL"/>
        </w:rPr>
      </w:pPr>
      <w:r w:rsidRPr="00112561">
        <w:rPr>
          <w:rFonts w:eastAsia="Times New Roman" w:cs="Times New Roman"/>
          <w:sz w:val="24"/>
          <w:szCs w:val="24"/>
          <w:lang w:eastAsia="pl-PL"/>
        </w:rPr>
        <w:t xml:space="preserve">Wyrazem polaryzacji poglądów społecznych są podejmowane co pewien czas obywatelskie inicjatywy zmiany przepisów regulujących tę problematykę przewidujące zarówno zaostrzenie, jak i złagodzenie przepisów regulujących przerywanie ciąży Mając na uwadze panujący w tym zakresie dualizm, dotychczas nie były prowadzone żadne prace nad zmianą obowiązującej ustawy z dnia 7 stycznia 1993 r. </w:t>
      </w:r>
    </w:p>
    <w:p w:rsidR="00112561" w:rsidRPr="00112561" w:rsidRDefault="00112561" w:rsidP="00112561">
      <w:pPr>
        <w:spacing w:before="120" w:after="0" w:line="240" w:lineRule="auto"/>
        <w:jc w:val="both"/>
        <w:rPr>
          <w:rFonts w:eastAsia="Times New Roman" w:cs="Times New Roman"/>
          <w:sz w:val="24"/>
          <w:szCs w:val="24"/>
          <w:lang w:eastAsia="pl-PL"/>
        </w:rPr>
      </w:pPr>
      <w:r w:rsidRPr="00112561">
        <w:rPr>
          <w:rFonts w:eastAsia="Times New Roman" w:cs="Times New Roman"/>
          <w:sz w:val="24"/>
          <w:szCs w:val="24"/>
          <w:lang w:eastAsia="pl-PL"/>
        </w:rPr>
        <w:lastRenderedPageBreak/>
        <w:t xml:space="preserve">Komisarz odnosi się również do możliwości realizacji przepisów wskazanej powyżej ustawy w świetle obowiązujących przepisów regulujących stosowanie tzw. „klauzuli sumienia” po wejściu w życie wyroku Trybunału Konstytucyjnego z dnia 7 października 2015 r., sygn. akt K 12/14. </w:t>
      </w:r>
    </w:p>
    <w:p w:rsidR="00112561" w:rsidRPr="00112561" w:rsidRDefault="00112561" w:rsidP="00112561">
      <w:pPr>
        <w:spacing w:before="120" w:after="0" w:line="240" w:lineRule="auto"/>
        <w:jc w:val="both"/>
        <w:rPr>
          <w:rFonts w:eastAsia="Times New Roman" w:cs="Times New Roman"/>
          <w:sz w:val="24"/>
          <w:szCs w:val="24"/>
          <w:lang w:eastAsia="pl-PL"/>
        </w:rPr>
      </w:pPr>
      <w:r w:rsidRPr="00112561">
        <w:rPr>
          <w:rFonts w:eastAsia="Times New Roman" w:cs="Times New Roman"/>
          <w:sz w:val="24"/>
          <w:szCs w:val="24"/>
          <w:lang w:eastAsia="pl-PL"/>
        </w:rPr>
        <w:t xml:space="preserve">W tym zakresie należy zaznaczyć, że polski system prawny (art. 53 ust. 1 w związku z art. 31 ust. 3 Konstytucji RP), jak również akty prawa międzynarodowego (art. 18 Międzynarodowego Paktu Praw Obywatelskich i Politycznych, art. 18 Powszechnej Deklaracji Praw Człowieka) gwarantują prawo do wolności sumienia. W Polsce korzystanie przez lekarzy z tzw. „klauzuli sumienia” zostało uregulowane w sposób zapewniający z jednej strony realizację prawa lekarza do powstrzymania się od wykonania świadczenia niezgodnego z jego sumieniem, z drugiej umożliwiający pacjentowi uzyskanie świadczenia, do którego jest uprawniony (a także realizację prawa pacjenta do informacji). </w:t>
      </w:r>
    </w:p>
    <w:p w:rsidR="00112561" w:rsidRPr="00112561" w:rsidRDefault="00112561" w:rsidP="00112561">
      <w:pPr>
        <w:spacing w:before="120" w:after="0" w:line="240" w:lineRule="auto"/>
        <w:jc w:val="both"/>
        <w:rPr>
          <w:rFonts w:eastAsia="Times New Roman" w:cs="Times New Roman"/>
          <w:sz w:val="24"/>
          <w:szCs w:val="24"/>
          <w:lang w:eastAsia="pl-PL"/>
        </w:rPr>
      </w:pPr>
      <w:r w:rsidRPr="00112561">
        <w:rPr>
          <w:rFonts w:eastAsia="Times New Roman" w:cs="Times New Roman"/>
          <w:sz w:val="24"/>
          <w:szCs w:val="24"/>
          <w:lang w:eastAsia="pl-PL"/>
        </w:rPr>
        <w:t xml:space="preserve">Obecnie, zgodnie z art. 39 ustawy z dnia 5 grudnia 1996 r. o zawodach lekarza i lekarza dentysty, lekarz może powstrzymać się od wykonania świadczeń zdrowotnych niezgodnych z jego sumieniem, z zastrzeżeniem art. 30 tejże ustawy (w zakresie, w jakim przewiduje on obowiązek lekarza do udzielenia pomocy lekarskiej w każdym przypadku, gdy zwłoka w jej udzieleniu mogłaby spowodować niebezpieczeństwo utraty życia, ciężkiego uszkodzenia ciała lub ciężkiego rozstroju zdrowia). Taka odmowa musi być uzasadniona i odnotowana w dokumentacji medycznej. Lekarz wykonujący swój zawód na podstawie stosunku pracy lub w ramach służby ma ponadto obowiązek uprzedniego powiadomienia na piśmie przełożonego. </w:t>
      </w:r>
    </w:p>
    <w:p w:rsidR="00112561" w:rsidRPr="00112561" w:rsidRDefault="00112561" w:rsidP="00112561">
      <w:pPr>
        <w:spacing w:before="120" w:after="0" w:line="240" w:lineRule="auto"/>
        <w:jc w:val="both"/>
        <w:rPr>
          <w:rFonts w:eastAsia="Times New Roman" w:cs="Times New Roman"/>
          <w:sz w:val="24"/>
          <w:szCs w:val="24"/>
          <w:lang w:eastAsia="pl-PL"/>
        </w:rPr>
      </w:pPr>
      <w:r w:rsidRPr="00112561">
        <w:rPr>
          <w:rFonts w:eastAsia="Times New Roman" w:cs="Times New Roman"/>
          <w:sz w:val="24"/>
          <w:szCs w:val="24"/>
          <w:lang w:eastAsia="pl-PL"/>
        </w:rPr>
        <w:t>W związku z powyższym należy wskazać na obowiązujące przepisy ustawy z dnia 15 kwietnia 2011 r. o działalności leczniczej. Zgodnie z art. 14 ww. ustawy podmiot wykonujący działalność leczniczą podaje do wiadomości publicznej informacje o zakresie i rodzajach udzielanych świadczeń zdrowotnych. Podmiot wykonujący działalność leczniczą, na wniosek pacjenta, udziela ponadto szczegółowych informacji na temat udzielanych świadczeń zdrowotnych, w szczególności informacji dotyczących stosowanych metod diagnostycznych</w:t>
      </w:r>
      <w:r w:rsidR="00DD5F1A">
        <w:rPr>
          <w:rFonts w:eastAsia="Times New Roman" w:cs="Times New Roman"/>
          <w:sz w:val="24"/>
          <w:szCs w:val="24"/>
          <w:lang w:eastAsia="pl-PL"/>
        </w:rPr>
        <w:t xml:space="preserve"> l</w:t>
      </w:r>
      <w:r w:rsidRPr="00112561">
        <w:rPr>
          <w:rFonts w:eastAsia="Times New Roman" w:cs="Times New Roman"/>
          <w:sz w:val="24"/>
          <w:szCs w:val="24"/>
          <w:lang w:eastAsia="pl-PL"/>
        </w:rPr>
        <w:t>ub terapeutycznych oraz jakości i bezpieczeństwa tych metod.</w:t>
      </w:r>
    </w:p>
    <w:p w:rsidR="00112561" w:rsidRPr="00112561" w:rsidRDefault="00112561" w:rsidP="00112561">
      <w:pPr>
        <w:spacing w:before="120" w:after="0" w:line="240" w:lineRule="auto"/>
        <w:jc w:val="both"/>
        <w:rPr>
          <w:rFonts w:eastAsia="Times New Roman" w:cs="Times New Roman"/>
          <w:sz w:val="24"/>
          <w:szCs w:val="24"/>
          <w:lang w:eastAsia="pl-PL"/>
        </w:rPr>
      </w:pPr>
      <w:r w:rsidRPr="00112561">
        <w:rPr>
          <w:rFonts w:eastAsia="Times New Roman" w:cs="Times New Roman"/>
          <w:sz w:val="24"/>
          <w:szCs w:val="24"/>
          <w:lang w:eastAsia="pl-PL"/>
        </w:rPr>
        <w:t xml:space="preserve">Równolegle należy zaznaczyć, że świadczeniodawcy, udzielając gwarantowanych świadczeń opieki zdrowotnej, wykonują zobowiązania umowne wynikające z umowy zawieranej w tym zakresie z Narodowym Funduszem Zdrowia (dalej „NFZ”). Obligatoryjne postanowienia umów zawieranych ze świadczeniodawcami zostały określone w ogólnych warunkach umów o udzielanie świadczeń opieki zdrowotnej (dalej „OWU”) stanowiących załącznik do rozporządzenia Ministra Zdrowia z dnia 8 września 2015 r. w sprawie ogólnych warunków umów o udzielanie świadczeń opieki zdrowotnej. </w:t>
      </w:r>
    </w:p>
    <w:p w:rsidR="00112561" w:rsidRPr="00112561" w:rsidRDefault="00112561" w:rsidP="00112561">
      <w:pPr>
        <w:spacing w:before="120" w:after="0" w:line="240" w:lineRule="auto"/>
        <w:jc w:val="both"/>
        <w:rPr>
          <w:rFonts w:eastAsia="Times New Roman" w:cs="Times New Roman"/>
          <w:sz w:val="24"/>
          <w:szCs w:val="24"/>
          <w:lang w:eastAsia="pl-PL"/>
        </w:rPr>
      </w:pPr>
      <w:r w:rsidRPr="00112561">
        <w:rPr>
          <w:rFonts w:eastAsia="Times New Roman" w:cs="Times New Roman"/>
          <w:sz w:val="24"/>
          <w:szCs w:val="24"/>
          <w:lang w:eastAsia="pl-PL"/>
        </w:rPr>
        <w:t xml:space="preserve">Zgodnie z § 3 OWU, świadczeniodawca został zobowiązany do wykonywania umowy zgodnie z warunkami udzielania świadczeń określonymi w ustawie oraz przepisach wydanych na jej podstawie (w szczególności rozporządzeniach dot. świadczeń gwarantowanych), ogólnych warunkach oraz zgodnie ze szczegółowymi warunkami umów określonymi przez Prezesa NFZ, a także został zobowiązany do udzielania świadczeń świadczeniobiorcom z zachowaniem należytej staranności oraz do przestrzegania praw pacjenta. Co więcej należy wskazać, że zgodnie z § 9 ust. 1 OWU świadczeniodawca udziela świadczeń przez cały okres obowiązywania umowy, zgodnie z określonym w umowie harmonogramem pracy oraz planem rzeczowo-finansowym. </w:t>
      </w:r>
    </w:p>
    <w:p w:rsidR="00112561" w:rsidRPr="00112561" w:rsidRDefault="00112561" w:rsidP="00112561">
      <w:pPr>
        <w:spacing w:before="120" w:after="0" w:line="240" w:lineRule="auto"/>
        <w:jc w:val="both"/>
        <w:rPr>
          <w:rFonts w:eastAsia="Times New Roman" w:cs="Times New Roman"/>
          <w:sz w:val="24"/>
          <w:szCs w:val="24"/>
          <w:lang w:eastAsia="pl-PL"/>
        </w:rPr>
      </w:pPr>
      <w:r w:rsidRPr="00112561">
        <w:rPr>
          <w:rFonts w:eastAsia="Times New Roman" w:cs="Times New Roman"/>
          <w:sz w:val="24"/>
          <w:szCs w:val="24"/>
          <w:lang w:eastAsia="pl-PL"/>
        </w:rPr>
        <w:lastRenderedPageBreak/>
        <w:t>Ponadto należy podkreślić, że zgodnie z § 8 OWU świadczeniodawca zapewnia udzielanie świadczeń w sposób kompleksowy, obejmujący wykonanie niezbędnych badań, w tym badań laboratoryjnych i diagnostyki obrazowej, oraz procedur medycznych związanych z udzielaniem tych świadczeń. W związku z tym, w przypadku, gdy lekarz wykonujący zawód na podstawie stosunku pracy lub w ramach służby poinformuje świadczeniodawcę o odmowie udzielenia świadczenia w sytuacji określonej w art. 39 ustawy z dnia 5 grudnia 1996 r. o zawodach lekarza i lekarza dentysty, tzn. z powołaniem się na „klauzulę sumienia”, świadczeniodawca jest zobowiązany do zapewnienia wykonania tego świadczenia w inny sposób.</w:t>
      </w:r>
    </w:p>
    <w:p w:rsidR="00112561" w:rsidRPr="00112561" w:rsidRDefault="00112561" w:rsidP="00112561">
      <w:pPr>
        <w:spacing w:before="120" w:after="120" w:line="240" w:lineRule="auto"/>
        <w:jc w:val="both"/>
        <w:rPr>
          <w:rFonts w:eastAsia="Times New Roman" w:cs="Arial"/>
          <w:sz w:val="24"/>
          <w:szCs w:val="24"/>
          <w:lang w:eastAsia="pl-PL"/>
        </w:rPr>
      </w:pPr>
      <w:r w:rsidRPr="00112561">
        <w:rPr>
          <w:rFonts w:eastAsia="Times New Roman" w:cs="Arial"/>
          <w:sz w:val="24"/>
          <w:szCs w:val="24"/>
          <w:lang w:eastAsia="pl-PL"/>
        </w:rPr>
        <w:t>Świadczenie usług medycznych w danej placówce medycznej powinno być zorganizowane w taki sposób, aby zapewnić lekarzowi prawo wykonywania zawodu zgodnie z własnym sumieniem, a pacjentom zapewnić nieprzerwany dostęp do należnej im opieki zdrowotnej.</w:t>
      </w:r>
    </w:p>
    <w:p w:rsidR="00112561" w:rsidRPr="00112561" w:rsidRDefault="00112561" w:rsidP="00112561">
      <w:pPr>
        <w:spacing w:before="120" w:after="120" w:line="240" w:lineRule="auto"/>
        <w:jc w:val="both"/>
        <w:rPr>
          <w:rFonts w:eastAsia="Times New Roman" w:cs="Arial"/>
          <w:sz w:val="24"/>
          <w:szCs w:val="24"/>
          <w:lang w:eastAsia="pl-PL"/>
        </w:rPr>
      </w:pPr>
      <w:r w:rsidRPr="00112561">
        <w:rPr>
          <w:rFonts w:eastAsia="Times New Roman" w:cs="Arial"/>
          <w:sz w:val="24"/>
          <w:szCs w:val="24"/>
          <w:lang w:eastAsia="pl-PL"/>
        </w:rPr>
        <w:t>Co do zasady zatem wszystkie podmioty lecznicze (szpitale), które podpisały umowy z NFZ, zobowiązane są do świadczenia w nich zawartych usług medycznych - w pełnym zakresie i zgodnie z obowiązującymi przepisami. Skorzystanie z klauzuli sumienia nie powinno naruszać tego obowiązku.</w:t>
      </w:r>
    </w:p>
    <w:p w:rsidR="00112561" w:rsidRPr="00112561" w:rsidRDefault="00112561" w:rsidP="00112561">
      <w:pPr>
        <w:spacing w:before="120" w:after="120" w:line="240" w:lineRule="auto"/>
        <w:jc w:val="both"/>
        <w:rPr>
          <w:rFonts w:eastAsia="Times New Roman" w:cs="Times New Roman"/>
          <w:sz w:val="24"/>
          <w:szCs w:val="24"/>
          <w:lang w:eastAsia="pl-PL"/>
        </w:rPr>
      </w:pPr>
      <w:r w:rsidRPr="00112561">
        <w:rPr>
          <w:rFonts w:eastAsia="Times New Roman" w:cs="Times New Roman"/>
          <w:bCs/>
          <w:sz w:val="24"/>
          <w:szCs w:val="24"/>
          <w:lang w:eastAsia="pl-PL"/>
        </w:rPr>
        <w:t xml:space="preserve">Reasumując, w przypadku, kiedy lekarz powstrzyma się od wykonania świadczenia zdrowotnego niezgodnego z jego sumieniem, obowiązek informacyjny odnośnie sposobu realizacji w tym zakresie umowy z NFZ leży po stronie świadczeniodawcy, tj. podmiotu </w:t>
      </w:r>
      <w:r w:rsidRPr="00112561">
        <w:rPr>
          <w:rFonts w:eastAsia="Times New Roman" w:cs="Times New Roman"/>
          <w:sz w:val="24"/>
          <w:szCs w:val="24"/>
          <w:lang w:eastAsia="pl-PL"/>
        </w:rPr>
        <w:t>leczniczego, w którym lekarz powstrzymał się od wykonania tego świadczenia.</w:t>
      </w:r>
    </w:p>
    <w:p w:rsidR="00112561" w:rsidRPr="00112561" w:rsidRDefault="00112561" w:rsidP="00112561">
      <w:pPr>
        <w:spacing w:before="120" w:after="120" w:line="240" w:lineRule="auto"/>
        <w:jc w:val="both"/>
        <w:rPr>
          <w:rFonts w:eastAsia="Times New Roman" w:cs="Times New Roman"/>
          <w:sz w:val="24"/>
          <w:szCs w:val="24"/>
          <w:lang w:eastAsia="pl-PL"/>
        </w:rPr>
      </w:pPr>
      <w:r w:rsidRPr="00112561">
        <w:rPr>
          <w:rFonts w:eastAsia="Times New Roman" w:cs="Times New Roman"/>
          <w:sz w:val="24"/>
          <w:szCs w:val="24"/>
          <w:lang w:eastAsia="pl-PL"/>
        </w:rPr>
        <w:t xml:space="preserve">Powyżej przedstawiona procedura jest prawnie uregulowana i ma charakter generalny, a więc odnosi się do wszystkich świadczeń opieki zdrowotnej. Informacji na temat podmiotów udzielających świadczeń z zakresu położnictwa i ginekologii udzielają oddziały wojewódzkie Narodowego Funduszu Zdrowia. Pomocna w tym zakresie powinna być Telefoniczna Informacja Pacjenta. </w:t>
      </w:r>
    </w:p>
    <w:p w:rsidR="00112561" w:rsidRPr="00112561" w:rsidRDefault="00112561" w:rsidP="00112561">
      <w:pPr>
        <w:spacing w:before="120" w:after="120" w:line="240" w:lineRule="auto"/>
        <w:jc w:val="both"/>
        <w:rPr>
          <w:rFonts w:eastAsia="Times New Roman" w:cs="Times New Roman"/>
          <w:sz w:val="24"/>
          <w:szCs w:val="24"/>
          <w:lang w:eastAsia="pl-PL"/>
        </w:rPr>
      </w:pPr>
      <w:r w:rsidRPr="00112561">
        <w:rPr>
          <w:rFonts w:eastAsia="Times New Roman" w:cs="Times New Roman"/>
          <w:sz w:val="24"/>
          <w:szCs w:val="24"/>
          <w:lang w:eastAsia="pl-PL"/>
        </w:rPr>
        <w:t>Rząd pragnie wskazać, że powyższe uregulowania znalazły także odzwierciedlenie w „Zaleceniach konsultantów krajowych w dziedzinie położnictwa i ginekologii oraz perinatologii dotyczących opieki nad pacjentkami podejmującymi decyzję o zakończeniu ciąży w warunkach dopuszczalnych na podstawie ustawy z dnia 7 stycznia 1993 r. o planowaniu rodziny, ochronie płodu ludzkiego i warunkach dopuszczalności przerywania ciąży”, opracowanych w maju 2019 r. W zaleceniach podkreślono, że każdy szpital, który zawarł z NFZ umowę o wykonywanie świadczeń zdrowotnych z zakresu położnictwa i ginekologii, zobowiązany jest do zapewnienia przeprowadzenia stosownej procedury w omawianym zakresie (zgodnie z wykazem świadczeń gwarantowanych z zakresu leczenia szpitalnego). Konsultanci krajowi podkreślili w tych zaleceniach, że „naruszenie prawa w tym zakresie może skutkować nałożeniem kar umownych przez NFZ, wytoczeniem powództwa cywilnego przez pacjentkę, jak również sankcjami nakładanymi przez Rzecznika Praw Pacjenta.” Zalecenia zostały przekazane właściwym konsultantom wojewódzkim.</w:t>
      </w:r>
    </w:p>
    <w:p w:rsidR="00112561" w:rsidRPr="00112561" w:rsidRDefault="00112561" w:rsidP="00112561">
      <w:pPr>
        <w:spacing w:before="120" w:after="120" w:line="240" w:lineRule="auto"/>
        <w:jc w:val="both"/>
        <w:rPr>
          <w:rFonts w:eastAsia="Times New Roman" w:cs="Times New Roman"/>
          <w:sz w:val="24"/>
          <w:szCs w:val="24"/>
          <w:lang w:eastAsia="pl-PL"/>
        </w:rPr>
      </w:pPr>
      <w:r w:rsidRPr="00112561">
        <w:rPr>
          <w:rFonts w:eastAsia="Times New Roman" w:cs="Times New Roman"/>
          <w:sz w:val="24"/>
          <w:szCs w:val="24"/>
          <w:lang w:eastAsia="pl-PL"/>
        </w:rPr>
        <w:t xml:space="preserve">Odnosząc się do przywoływanych w komunikacji Komisarz tzw. „deklaracji wiary” należy wyjaśnić, że klauzula sumienia jest prawem lekarza i ma zastosowanie ad casu. Lekarz może powołać się na klauzulę sumienia, z wyjątkiem przypadku, gdy zwłoka w udzieleniu pomocy lekarskiej o tym charakterze mogłaby spowodować niebezpieczeństwo utraty życia, ciężkiego uszkodzenia ciała lub ciężkiego rozstroju zdrowia. Dlatego też klauzula sumienia znajduje zatem zastosowanie w bezpośredniej relacji lekarz – pacjent, lekarz nie może stwierdzić z wyprzedzeniem, czy ww. przypadek będzie miał miejsce. Istotnym jest również fakt, że </w:t>
      </w:r>
      <w:r w:rsidRPr="00112561">
        <w:rPr>
          <w:rFonts w:eastAsia="Times New Roman" w:cs="Times New Roman"/>
          <w:sz w:val="24"/>
          <w:szCs w:val="24"/>
          <w:lang w:eastAsia="pl-PL"/>
        </w:rPr>
        <w:lastRenderedPageBreak/>
        <w:t>sumienie jest kategorią indywidualną, na klauzulę sumienia powoływać się więc mogą tylko poszczególne osoby.</w:t>
      </w:r>
    </w:p>
    <w:p w:rsidR="00112561" w:rsidRPr="00112561" w:rsidRDefault="00112561" w:rsidP="00112561">
      <w:pPr>
        <w:spacing w:before="120" w:after="120" w:line="240" w:lineRule="auto"/>
        <w:jc w:val="both"/>
        <w:rPr>
          <w:rFonts w:eastAsia="Times New Roman" w:cs="Times New Roman"/>
          <w:sz w:val="24"/>
          <w:szCs w:val="24"/>
          <w:lang w:eastAsia="pl-PL"/>
        </w:rPr>
      </w:pPr>
      <w:r w:rsidRPr="00112561">
        <w:rPr>
          <w:rFonts w:eastAsia="Times New Roman" w:cs="Times New Roman"/>
          <w:sz w:val="24"/>
          <w:szCs w:val="24"/>
          <w:lang w:eastAsia="pl-PL"/>
        </w:rPr>
        <w:t xml:space="preserve">W swojej komunikacji Komisarz podniosła również kwestię prawa pacjenta do sprzeciwu wobec opinii albo orzeczenia lekarza oraz jego generalny charakter. Należy przypomnieć, że sprzeciw stanowi środek ochrony prawnej m.in. dla kobiet, którym odmówiono przeprowadzenia zabiegu przerwania ciąży, wystawienia skierowania na badania prenatalne, a także w przypadku nieprzeprowadzenia badań prenatalnych, pomimo skierowania. Zgodnie z ustawą z dnia 6 listopada 2008 r. o prawach pacjenta i Rzeczniku Praw Pacjenta pacjent może wnieść sprzeciw wobec opinii albo orzeczenia wydanego przez lekarza lub lekarza dentystę można wnieść do Komisji Lekarskiej działającej przy Rzeczniku Praw Pacjenta, jeżeli opinia albo orzeczenie ma wpływ na prawa lub obowiązki pacjenta wynikające z przepisów prawa. </w:t>
      </w:r>
    </w:p>
    <w:p w:rsidR="00112561" w:rsidRPr="00112561" w:rsidRDefault="00112561" w:rsidP="00112561">
      <w:pPr>
        <w:spacing w:before="120" w:after="120" w:line="240" w:lineRule="auto"/>
        <w:jc w:val="both"/>
        <w:rPr>
          <w:rFonts w:eastAsia="Times New Roman" w:cs="Times New Roman"/>
          <w:sz w:val="24"/>
          <w:szCs w:val="24"/>
          <w:lang w:eastAsia="pl-PL"/>
        </w:rPr>
      </w:pPr>
      <w:r w:rsidRPr="00112561">
        <w:rPr>
          <w:rFonts w:eastAsia="Times New Roman" w:cs="Times New Roman"/>
          <w:sz w:val="24"/>
          <w:szCs w:val="24"/>
          <w:lang w:eastAsia="pl-PL"/>
        </w:rPr>
        <w:t>Prawo pacjenta do sprzeciwu ma charakter generalny, a więc nie zostało zawężone wyłącznie do przypadku odmowy wykonania zabiegu przerwania ciąży w okolicznościach określonych przepisami ustawy 7 stycznia 1993 r. o planowaniu rodziny, ochronie płodu ludzkiego i warunkach dopuszczalności przerywania ciąży. Nadanie tej normie charakteru generalnego było działaniem celowym, którego intencją było zapewnienie ochrony wszystkim pacjentom, w sytuacji w której opinia lub orzeczenie lekarza ma wpływ na prawa lub obowiązki wynikające z przepisów prawa (oraz w sytuacji, w której dla dochodzenia tych praw nie została przewidziana inna droga odwoławcza). Odmowa wykonania przez lekarza zabiegu przerwania ciąży – bez względu na przesłankę warunkującą przeprowadzenie tego zabiegu w danym przypadku, jak również niezależnie od powodu odmowy jego wykonania – wpływa na prawa pacjentki. Fakt ten lekarz ma obowiązek uzasadnić i odnotować w dokumentacji medycznej. Obowiązek ten odnosi się do każdej odmowy wykonania świadczenia niezgodnego z sumieniem, w tym do wszystkich okoliczności, w których dopuszczalne jest  przeprowadzenie zabiegu przerwania ciąży. Każda taka odmowa, w związku z tym, że wymaga uzasadnienia i odnotowania w dokumentacji medycznej, a także z uwagi na fakt, że wpływa na prawo pacjentki do uzyskania świadczenia, powinna być traktowana jako opinia lekarza i może być przedmiotem sprzeciwu. Sprzeciw zatem jest w każdym takim przypadku mechanizmem odwoławczym, prowadzącym do egzekucji przysługującego prawa do świadczenia.</w:t>
      </w:r>
    </w:p>
    <w:p w:rsidR="00112561" w:rsidRPr="00112561" w:rsidRDefault="00112561" w:rsidP="00112561">
      <w:pPr>
        <w:spacing w:before="120" w:after="120" w:line="240" w:lineRule="auto"/>
        <w:jc w:val="both"/>
        <w:rPr>
          <w:rFonts w:eastAsia="Times New Roman" w:cs="Times New Roman"/>
          <w:sz w:val="24"/>
          <w:szCs w:val="24"/>
          <w:lang w:eastAsia="pl-PL"/>
        </w:rPr>
      </w:pPr>
      <w:r w:rsidRPr="00112561">
        <w:rPr>
          <w:rFonts w:eastAsia="Times New Roman" w:cs="Times New Roman"/>
          <w:sz w:val="24"/>
          <w:szCs w:val="24"/>
          <w:lang w:eastAsia="pl-PL"/>
        </w:rPr>
        <w:t xml:space="preserve">W swojej komunikacji Komisarz wskazała także, że pacjentce korzystającej z prawa sprzeciwu nie zagwarantowano, że zostanie ona wysłuchana przez Komisję Lekarską. Należy wyjaśnić, że zgodnie z § 4 rozporządzenia Ministra Zdrowia z dnia 10 marca 2010 r. w sprawie Komisji Lekarskiej działającej przy Rzeczniku Praw Pacjenta pacjent lub jego przedstawiciel ustawowy może uczestniczyć w posiedzeniu Komisji Lekarskiej, z wyjątkiem części posiedzenia, w trakcie której odbywa się narada i głosowanie nad orzeczeniem, oraz udzielać informacji i wyjaśnień w sprawie. Przewodniczący zawiadamia pacjenta lub jego przedstawiciela ustawowego o terminie posiedzenia Komisji Lekarskiej na podany adres lub za pomocą środków komunikacji elektronicznej lub telefonicznej. </w:t>
      </w:r>
    </w:p>
    <w:p w:rsidR="00112561" w:rsidRPr="00112561" w:rsidRDefault="00112561" w:rsidP="00112561">
      <w:pPr>
        <w:spacing w:before="120" w:after="120" w:line="240" w:lineRule="auto"/>
        <w:jc w:val="both"/>
        <w:rPr>
          <w:rFonts w:eastAsia="Times New Roman" w:cs="Times New Roman"/>
          <w:sz w:val="24"/>
          <w:szCs w:val="24"/>
          <w:lang w:eastAsia="pl-PL"/>
        </w:rPr>
      </w:pPr>
      <w:r w:rsidRPr="00112561">
        <w:rPr>
          <w:rFonts w:eastAsia="Times New Roman" w:cs="Times New Roman"/>
          <w:sz w:val="24"/>
          <w:szCs w:val="24"/>
          <w:lang w:eastAsia="pl-PL"/>
        </w:rPr>
        <w:t xml:space="preserve">Ponadto należy podkreślić, że ustawa z dnia 6 listopada 2008 r. o prawach pacjenta i Rzeczniku Praw Pacjenta powołała istotny z punktu widzenia ochrony praw wszystkich pacjentów, w tym również kobiet w ciąży mających trudności w dostępie do zabiegu przerwania ciąży, centralny organ administracji rządowej w postaci Rzecznika Praw Pacjenta. </w:t>
      </w:r>
    </w:p>
    <w:p w:rsidR="00112561" w:rsidRPr="00112561" w:rsidRDefault="00112561" w:rsidP="00112561">
      <w:pPr>
        <w:spacing w:before="120" w:after="120" w:line="240" w:lineRule="auto"/>
        <w:jc w:val="both"/>
        <w:rPr>
          <w:rFonts w:eastAsia="Times New Roman" w:cs="Times New Roman"/>
          <w:sz w:val="24"/>
          <w:szCs w:val="24"/>
          <w:lang w:eastAsia="pl-PL"/>
        </w:rPr>
      </w:pPr>
      <w:r w:rsidRPr="00112561">
        <w:rPr>
          <w:rFonts w:eastAsia="Times New Roman" w:cs="Times New Roman"/>
          <w:sz w:val="24"/>
          <w:szCs w:val="24"/>
          <w:lang w:eastAsia="pl-PL"/>
        </w:rPr>
        <w:lastRenderedPageBreak/>
        <w:t xml:space="preserve">Rzecznik Praw Pacjenta, w odpowiedzi na kierowane pisemne wnioski, zgłoszenia mailowe i telefoniczne, a także w związku z osobistymi wizytami pacjentów w siedzibie Biura Rzecznika Praw Pacjenta – udziela informacji związanych z szeroko pojętą problematyką kobiet w ciąży. </w:t>
      </w:r>
    </w:p>
    <w:p w:rsidR="00112561" w:rsidRPr="00112561" w:rsidRDefault="00112561" w:rsidP="00112561">
      <w:pPr>
        <w:spacing w:before="120" w:after="120" w:line="240" w:lineRule="auto"/>
        <w:jc w:val="both"/>
        <w:rPr>
          <w:rFonts w:eastAsia="Times New Roman" w:cs="Times New Roman"/>
          <w:sz w:val="24"/>
          <w:szCs w:val="24"/>
          <w:lang w:eastAsia="pl-PL"/>
        </w:rPr>
      </w:pPr>
      <w:r w:rsidRPr="00112561">
        <w:rPr>
          <w:rFonts w:eastAsia="Times New Roman" w:cs="Times New Roman"/>
          <w:sz w:val="24"/>
          <w:szCs w:val="24"/>
          <w:lang w:eastAsia="pl-PL"/>
        </w:rPr>
        <w:t>W związku z powyższym należy wskazać, że kobieta w ciąży, której odmówiono dostępu do przysługującego jej świadczenia, ma możliwość zwrócenia się w tej kwestii również do Rzecznika Praw Pacjenta, który może podjąć w tej sprawie postępowanie wyjaśniające. Pacjentka, której odmówiono wykonania zabiegu przerwania ciąży może zatem – poza wniesieniem sprzeciwu wobec opinii albo orzeczenia lekarza – również tą drogą egzekwować swoje prawo.</w:t>
      </w:r>
    </w:p>
    <w:p w:rsidR="00DD5F1A" w:rsidRDefault="00112561" w:rsidP="00112561">
      <w:pPr>
        <w:spacing w:before="120" w:after="120" w:line="240" w:lineRule="auto"/>
        <w:jc w:val="both"/>
        <w:rPr>
          <w:rFonts w:eastAsia="Times New Roman" w:cs="Times New Roman"/>
          <w:sz w:val="24"/>
          <w:szCs w:val="24"/>
          <w:lang w:eastAsia="pl-PL"/>
        </w:rPr>
      </w:pPr>
      <w:r w:rsidRPr="00112561">
        <w:rPr>
          <w:rFonts w:eastAsia="Times New Roman" w:cs="Times New Roman"/>
          <w:sz w:val="24"/>
          <w:szCs w:val="24"/>
          <w:lang w:eastAsia="pl-PL"/>
        </w:rPr>
        <w:t>W celu ułatwienia kontaktu z Biurem Rzecznika Praw Pacjenta przez 10 lat prowadzona była ogólnopolska bezpłatna infolinia 800-190-590. Dyżurujący pracownicy na bieżąco przekazywali dzwoniącym informacje o przysługujących prawach, o tym co należy zrobić w danej sytuacji oraz wskazywali przysługujące pacjentowi środki prawne. Od listopada 2018 r. numer „800 190 590” jest wspólnym numerem telefonu dla Narodowego Funduszu Zdrowia oraz Biura Rzecznika Praw Pacjenta w ramach działającej w całym kraju, we wszystkich OW NFZ Telefonicznej Informacji Pacjenta. Telefoniczna Informacja Pacjenta jest jednoczasowo obsługiwana przez kilkudziesięciu pracowników oddziałów wojewódzkich Funduszu oraz Biura Rzecznika Praw Pacjenta. Nowy jednolity numer w całym kraju zastępuje kilkanaście numerów funkcjonujących do tej pory w oddziałach wojewódzkich Funduszu. Gwarantuje on uzyskanie szybkiej, kompleksowej i przejrzystej informacji dotyczącej funkcjonowania systemu ochrony zdrowia w Polsce. Personel obsługujący numer 800 190 590 informuje dzwoniących o prawach ubezpieczonych, doradza jak zgłosić naruszenie praw pacjenta, przekazuje dane kontaktowe do placówek medycznych i gabinetów współpracujących z NFZ, informuje o zasadach świadczenia usług medycznych i powszechnego ubezpieczenia z</w:t>
      </w:r>
      <w:r w:rsidR="00DD5F1A">
        <w:rPr>
          <w:rFonts w:eastAsia="Times New Roman" w:cs="Times New Roman"/>
          <w:sz w:val="24"/>
          <w:szCs w:val="24"/>
          <w:lang w:eastAsia="pl-PL"/>
        </w:rPr>
        <w:t xml:space="preserve">drowotnego. </w:t>
      </w:r>
    </w:p>
    <w:p w:rsidR="00112561" w:rsidRPr="00DD5F1A" w:rsidRDefault="00112561" w:rsidP="00112561">
      <w:pPr>
        <w:spacing w:before="120" w:after="120" w:line="240" w:lineRule="auto"/>
        <w:jc w:val="both"/>
        <w:rPr>
          <w:rFonts w:eastAsia="Times New Roman" w:cs="Times New Roman"/>
          <w:sz w:val="24"/>
          <w:szCs w:val="24"/>
          <w:lang w:eastAsia="pl-PL"/>
        </w:rPr>
      </w:pPr>
      <w:r w:rsidRPr="00112561">
        <w:rPr>
          <w:rFonts w:eastAsia="Times New Roman" w:cs="TimesNewRomanPS-BoldMT"/>
          <w:b/>
          <w:bCs/>
          <w:sz w:val="24"/>
          <w:szCs w:val="24"/>
          <w:lang w:eastAsia="pl-PL"/>
        </w:rPr>
        <w:t>2. Powszechność aborcji w Polsce i dostępność legalnej opieki aborcyjnej w całym kraju oraz dodatkowe uwagi dotyczące ogólnej sytuacji w zakresie zdrowia seksualnego i reprodukcyjnego kobiet w Polsce (pkt II i III komunikacji)</w:t>
      </w:r>
    </w:p>
    <w:p w:rsidR="00112561" w:rsidRPr="00112561" w:rsidRDefault="00112561" w:rsidP="00112561">
      <w:pPr>
        <w:spacing w:before="120" w:after="120" w:line="240" w:lineRule="auto"/>
        <w:jc w:val="both"/>
        <w:rPr>
          <w:rFonts w:eastAsia="Times New Roman" w:cs="Times New Roman"/>
          <w:sz w:val="24"/>
          <w:szCs w:val="24"/>
          <w:lang w:eastAsia="pl-PL"/>
        </w:rPr>
      </w:pPr>
      <w:r w:rsidRPr="00112561">
        <w:rPr>
          <w:rFonts w:eastAsia="Times New Roman" w:cs="Times New Roman"/>
          <w:sz w:val="24"/>
          <w:szCs w:val="24"/>
          <w:lang w:eastAsia="pl-PL"/>
        </w:rPr>
        <w:t>W Komisarz Praw Człowieka w swojej komunikacji przywołała szacunkowe dane prezentowane przez organizacje pozarządowe, zgodnie z którymi w Polsce rocznie przeprowadzanych jest od 80.000 do 150.000 zabiegów przerwania ciąży. Należy odnotować, żę dane dotyczące liczby wykonywanych zabiegów przerwania ciąży są gromadzone w oparciu o roczne sprawozdania opracowywane w związku z realizacją Programu badań statystycznych statystyki publicznej.</w:t>
      </w:r>
    </w:p>
    <w:p w:rsidR="00112561" w:rsidRPr="00112561" w:rsidRDefault="00112561" w:rsidP="00112561">
      <w:pPr>
        <w:spacing w:before="120" w:after="120" w:line="240" w:lineRule="auto"/>
        <w:jc w:val="both"/>
        <w:rPr>
          <w:rFonts w:eastAsia="Times New Roman" w:cs="Times New Roman"/>
          <w:sz w:val="24"/>
          <w:szCs w:val="24"/>
          <w:lang w:eastAsia="pl-PL"/>
        </w:rPr>
      </w:pPr>
      <w:r w:rsidRPr="00112561">
        <w:rPr>
          <w:rFonts w:eastAsia="Times New Roman" w:cs="Times New Roman"/>
          <w:sz w:val="24"/>
          <w:szCs w:val="24"/>
          <w:lang w:eastAsia="pl-PL"/>
        </w:rPr>
        <w:t xml:space="preserve">Gromadzone w ten sposób dane z przyczyn obiektywnych, tj. z uwagi na pozaprawny charakter tego zjawiska, nie uwzględniają liczby zabiegów przerwania ciąży dokonanych w sposób nielegalny. Zjawisko to jest z tego powodu trudne do zbadania. </w:t>
      </w:r>
    </w:p>
    <w:p w:rsidR="00112561" w:rsidRPr="00112561" w:rsidRDefault="00112561" w:rsidP="00112561">
      <w:pPr>
        <w:spacing w:before="120" w:after="120" w:line="240" w:lineRule="auto"/>
        <w:jc w:val="both"/>
        <w:rPr>
          <w:rFonts w:eastAsia="Times New Roman" w:cs="Times New Roman"/>
          <w:sz w:val="24"/>
          <w:szCs w:val="24"/>
          <w:lang w:eastAsia="pl-PL"/>
        </w:rPr>
      </w:pPr>
      <w:r w:rsidRPr="00112561">
        <w:rPr>
          <w:rFonts w:eastAsia="Times New Roman" w:cs="Times New Roman"/>
          <w:sz w:val="24"/>
          <w:szCs w:val="24"/>
          <w:lang w:eastAsia="pl-PL"/>
        </w:rPr>
        <w:t>Cząstkowym jego odzwierciedleniem jest wynik działań organów ścigania oraz wymiaru sprawiedliwości, który obrazuje przypadki objęte już działaniami jednostek organizacyjnych prokuratury. Niemniej jednak wyłącznie takie dane mają charakter oficjalny.</w:t>
      </w:r>
    </w:p>
    <w:p w:rsidR="00112561" w:rsidRPr="00112561" w:rsidRDefault="00112561" w:rsidP="00112561">
      <w:pPr>
        <w:spacing w:before="120" w:after="120" w:line="240" w:lineRule="auto"/>
        <w:jc w:val="both"/>
        <w:rPr>
          <w:rFonts w:eastAsia="Times New Roman" w:cs="Times New Roman"/>
          <w:sz w:val="24"/>
          <w:szCs w:val="24"/>
          <w:lang w:eastAsia="pl-PL"/>
        </w:rPr>
      </w:pPr>
      <w:r w:rsidRPr="00112561">
        <w:rPr>
          <w:rFonts w:eastAsia="Times New Roman" w:cs="Times New Roman"/>
          <w:sz w:val="24"/>
          <w:szCs w:val="24"/>
          <w:lang w:eastAsia="pl-PL"/>
        </w:rPr>
        <w:t>Dane na temat liczby przeprowadzanych w Polsce zabiegów przerwania prezentowane przez organizacje pozarządowe mają charakter wyłącznie szacunkowy i z uwagi na pozaprawnych charakter obrazowanego przez nie zjawiska oraz nieznaną metodologię ich gromadzenia trudno przyjmować, że stanowią one miarodajne odzwierciedlenie stanu rzeczywistego.</w:t>
      </w:r>
    </w:p>
    <w:p w:rsidR="00112561" w:rsidRPr="00112561" w:rsidRDefault="00112561" w:rsidP="00112561">
      <w:pPr>
        <w:tabs>
          <w:tab w:val="left" w:pos="5400"/>
        </w:tabs>
        <w:spacing w:before="120" w:after="0" w:line="240" w:lineRule="auto"/>
        <w:contextualSpacing/>
        <w:jc w:val="both"/>
        <w:rPr>
          <w:rFonts w:eastAsia="Times New Roman" w:cs="Times New Roman"/>
          <w:sz w:val="24"/>
          <w:szCs w:val="24"/>
          <w:lang w:eastAsia="ko-KR"/>
        </w:rPr>
      </w:pPr>
      <w:r w:rsidRPr="00112561">
        <w:rPr>
          <w:rFonts w:eastAsia="Times New Roman" w:cs="Times New Roman"/>
          <w:sz w:val="24"/>
          <w:szCs w:val="24"/>
          <w:lang w:eastAsia="ko-KR"/>
        </w:rPr>
        <w:lastRenderedPageBreak/>
        <w:t xml:space="preserve">Jedną z kwestii poruszonych w komunikacji Komisarz jest również dostęp do szeroko pojętych świadczeń zdrowotnych z zakresu zdrowia reprodukcyjnego. W tym zakresie należy podkreślić, że świadczenia medyczne w tym zakresie nie ograniczają się do zabiegów przerwania ciąży. </w:t>
      </w:r>
    </w:p>
    <w:p w:rsidR="00112561" w:rsidRPr="00112561" w:rsidRDefault="00112561" w:rsidP="00112561">
      <w:pPr>
        <w:spacing w:before="120" w:after="120" w:line="240" w:lineRule="auto"/>
        <w:jc w:val="both"/>
        <w:rPr>
          <w:rFonts w:eastAsia="Times New Roman" w:cs="Arial"/>
          <w:sz w:val="24"/>
          <w:szCs w:val="24"/>
          <w:lang w:eastAsia="pl-PL"/>
        </w:rPr>
      </w:pPr>
      <w:r w:rsidRPr="00112561">
        <w:rPr>
          <w:rFonts w:eastAsia="Times New Roman" w:cs="Arial"/>
          <w:sz w:val="24"/>
          <w:szCs w:val="24"/>
          <w:lang w:eastAsia="pl-PL"/>
        </w:rPr>
        <w:t>Zdrowie reprodukcyjne stanowi ważny element zdrowia w ujęciu ogólnym, rozumianym jako dobrostan fizyczny, psychiczny i społeczny, i dotyczy między innymi kwestii dojrzewania, menopauzy, płodności i niepłodności, planowania rodziny, stanu zdrowia w ciąży, porodu i połogu. Każdy ma prawo do ochrony swojego zdrowia w Polsce. Władze publiczne zapewniają wszystkim obywatelom równy dostęp do świadczeń opieki zdrowotnej, których zakres określa ustawa, finansowanych ze środków publicznych, niezależnie od ich sytuacji materialnej (art. 68 Konstytucji RP). Kobiety w ciąży, podczas porodu i połogu podlegają w Polsce szczególnej ochronie prawnej, na podstawie przepisów prawa krajowego i międzynarodowego. Zakres i warunki udzielania świadczeń zdrowotnych, ich finansowanie publiczne oraz zobowiązania władz publicznych do zapewnienia równego dostępu do tych świadczeń określa ustawa z dnia 27 sierpnia 2004 r. o świadczeniach opieki zdrowotnej finansowanych ze środków publicznych. Zgodnie z tą ustawą pacjentce przysługują następujące świadczenia z zakresu zdrowia reprodukcyjnego finansowane ze środków publicznych: opieka medyczna w okresie ciąży, porodu i połogu, opieka prenatalna nad płodem, opieka medyczna nad noworodkiem oraz badanie wstępne stanu zdrowia i rozwoju noworodka. Wszystkie kobiety w ciąży, podczas porodu i połogu mają prawo do korzystania ze wszystkich powyższych usług medycznych.</w:t>
      </w:r>
    </w:p>
    <w:p w:rsidR="00112561" w:rsidRPr="00112561" w:rsidRDefault="00112561" w:rsidP="00112561">
      <w:pPr>
        <w:spacing w:before="120" w:after="120" w:line="240" w:lineRule="auto"/>
        <w:jc w:val="both"/>
        <w:rPr>
          <w:rFonts w:eastAsia="Times New Roman" w:cs="Arial"/>
          <w:sz w:val="24"/>
          <w:szCs w:val="24"/>
          <w:lang w:eastAsia="pl-PL"/>
        </w:rPr>
      </w:pPr>
      <w:r w:rsidRPr="00112561">
        <w:rPr>
          <w:rFonts w:eastAsia="Times New Roman" w:cs="Arial"/>
          <w:sz w:val="24"/>
          <w:szCs w:val="24"/>
          <w:lang w:eastAsia="pl-PL"/>
        </w:rPr>
        <w:t>Ponadto w zakresie dostępności usług ginekologicznych należy podkreślić, że przepisy ustawy z dnia 27 sierpnia 2004 r. o świadczeniach opieki zdrowotnej finansowanych ze środków publicznych oraz rozporządzenia Ministra Zdrowia z dnia 6 listopada 2013 r. w sprawie świadczeń gwarantowanych w ramach ambulatoryjnej opieki specjalistycznej, zapewniają kobietom opiekę zdrowotną obejmującą specjalistyczne świadczenia medyczne z zakresu ginekologii i położnictwa - obejmują one dwa rodzaje usług: poradnictwo ginekologiczno-położnicze oraz poradnictwo ginekologiczne dla dziewcząt. Poradnictwo obejmuje w szczególności zapewnienie opieki w zakresie zdrowia reprodukcyjnego.</w:t>
      </w:r>
    </w:p>
    <w:p w:rsidR="00112561" w:rsidRPr="00112561" w:rsidRDefault="00112561" w:rsidP="00112561">
      <w:pPr>
        <w:spacing w:before="120" w:after="120" w:line="240" w:lineRule="auto"/>
        <w:jc w:val="both"/>
        <w:rPr>
          <w:rFonts w:eastAsia="Times New Roman" w:cs="Arial"/>
          <w:sz w:val="24"/>
          <w:szCs w:val="24"/>
          <w:lang w:eastAsia="pl-PL"/>
        </w:rPr>
      </w:pPr>
      <w:r w:rsidRPr="00112561">
        <w:rPr>
          <w:rFonts w:eastAsia="Times New Roman" w:cs="Arial"/>
          <w:sz w:val="24"/>
          <w:szCs w:val="24"/>
          <w:lang w:eastAsia="pl-PL"/>
        </w:rPr>
        <w:t>Warto również zwrócić uwagę, że problematyka zdrowia reprodukcyjnego została ujęta w Narodowym Programie Zdrowia na lata 2016-2020 - kluczowym dokumencie krajowej polityki w zakresie publicznej opieki zdrowotnej, który wyznacza cele strategiczne i operacyjne oraz określa najważniejsze zadania do realizacji na rzecz poprawy zdrowia publicznego. Jednym z sześciu celów operacyjnych programu jest poprawa zdrowia reprodukcyjnego. Istotna jest również realizacja „Programu kompleksowej opieki w zakresie zdrowia reprodukcyjnego w Polsce” (2016-2020) Ministra Zdrowia, która ma na celu wzmocnienie dostępu do wysokiej jakości usług medycznych w zakresie diagnostyki i leczenie niepłodności.</w:t>
      </w:r>
    </w:p>
    <w:p w:rsidR="00112561" w:rsidRPr="00112561" w:rsidRDefault="00112561" w:rsidP="00112561">
      <w:pPr>
        <w:spacing w:before="120" w:after="120" w:line="240" w:lineRule="auto"/>
        <w:jc w:val="both"/>
        <w:rPr>
          <w:rFonts w:eastAsia="Times New Roman" w:cs="Arial"/>
          <w:sz w:val="24"/>
          <w:szCs w:val="24"/>
          <w:lang w:eastAsia="pl-PL"/>
        </w:rPr>
      </w:pPr>
      <w:r w:rsidRPr="00112561">
        <w:rPr>
          <w:rFonts w:eastAsia="Times New Roman" w:cs="Arial"/>
          <w:sz w:val="24"/>
          <w:szCs w:val="24"/>
          <w:lang w:eastAsia="pl-PL"/>
        </w:rPr>
        <w:t>Odnosząc się do poruszonej w komunikacji Komisarz kwestii dostępu do antykoncepcji awaryjnej należy wskazać, że w 2017 r. ujednolicono przepisy regulujące dostęp do leków z grupy ATC G03A - hormonalne środki antykoncepcyjne do stosowania wewnętrznego. Mocą ustawy z dnia 25 maja 2017 r. o zmianie ustawy z dnia 27 sierpnia 2004 r. o świadczeniach opieki zdrowotnej finansowanych ze środków publicznych oraz niektórych innych ustaw, która weszła w życie 23 lipca 2017 r., wszystkie hormonalne środki antykoncepcyjne do stosowania wewnętrznego są wydawane z przepisu lekarza.</w:t>
      </w:r>
    </w:p>
    <w:p w:rsidR="00112561" w:rsidRPr="00112561" w:rsidRDefault="00112561" w:rsidP="00112561">
      <w:pPr>
        <w:spacing w:before="120" w:after="120" w:line="240" w:lineRule="auto"/>
        <w:jc w:val="both"/>
        <w:rPr>
          <w:rFonts w:eastAsia="Times New Roman" w:cs="Arial"/>
          <w:sz w:val="24"/>
          <w:szCs w:val="24"/>
          <w:lang w:eastAsia="pl-PL"/>
        </w:rPr>
      </w:pPr>
      <w:r w:rsidRPr="00112561">
        <w:rPr>
          <w:rFonts w:eastAsia="Times New Roman" w:cs="Arial"/>
          <w:sz w:val="24"/>
          <w:szCs w:val="24"/>
          <w:lang w:eastAsia="pl-PL"/>
        </w:rPr>
        <w:t xml:space="preserve">Powyższe wynika z faktu, że przyjęcie przez pacjentkę przedmiotowego produktu leczniczego powinno być poprzedzone wizytą u lekarza ze specjalizacją w zakresie  ginekologii, której </w:t>
      </w:r>
      <w:r w:rsidRPr="00112561">
        <w:rPr>
          <w:rFonts w:eastAsia="Times New Roman" w:cs="Arial"/>
          <w:sz w:val="24"/>
          <w:szCs w:val="24"/>
          <w:lang w:eastAsia="pl-PL"/>
        </w:rPr>
        <w:lastRenderedPageBreak/>
        <w:t xml:space="preserve">nieodłącznym elementem jest badanie fizykalne. Ponadto lekarz, który prowadzi dokumentację medyczną pacjentki posiada wiedzę o częstotliwości przepisywania niniejszych produktów leczniczych, a także o wystąpieniu możliwych działań niepożądanych, czy też możliwej interakcji z innymi lekami. Dzięki wprowadzonej regulacji lekarz może ocenić, czy zastosowanie leku wpłynie na stan zdrowia pacjentki. </w:t>
      </w:r>
    </w:p>
    <w:p w:rsidR="00112561" w:rsidRPr="00112561" w:rsidRDefault="00112561" w:rsidP="00112561">
      <w:pPr>
        <w:spacing w:before="120" w:after="120" w:line="240" w:lineRule="auto"/>
        <w:jc w:val="both"/>
        <w:rPr>
          <w:rFonts w:eastAsia="Times New Roman" w:cs="Arial"/>
          <w:sz w:val="24"/>
          <w:szCs w:val="24"/>
          <w:lang w:eastAsia="pl-PL"/>
        </w:rPr>
      </w:pPr>
      <w:r w:rsidRPr="00112561">
        <w:rPr>
          <w:rFonts w:eastAsia="Times New Roman" w:cs="Arial"/>
          <w:sz w:val="24"/>
          <w:szCs w:val="24"/>
          <w:lang w:eastAsia="pl-PL"/>
        </w:rPr>
        <w:t xml:space="preserve">Należy również podkreślić, że zgodnie z art. 4 ust. 4 dyrektywy 2001/83/WE Parlamentu Europejskiego i Rady z dnia 6 listopada 2001 r. w sprawie wspólnotowego kodeksu odnoszącego się do produktów leczniczych stosowanych u ludzi: „Niniejsza dyrektywa nie wpływa na stosowanie ustawodawstwa krajowego zabraniającego lub ograniczającego sprzedaż bądź stosowanie produktów leczniczych jako środków antykoncepcyjnych lub poronnych. Państwa Członkowskie przedstawią Komisji dane przepisy ustawodawstwa krajowego.” </w:t>
      </w:r>
    </w:p>
    <w:p w:rsidR="00112561" w:rsidRPr="00112561" w:rsidRDefault="00112561" w:rsidP="00112561">
      <w:pPr>
        <w:spacing w:before="120" w:after="120" w:line="240" w:lineRule="auto"/>
        <w:jc w:val="both"/>
        <w:rPr>
          <w:rFonts w:eastAsia="Times New Roman" w:cs="Arial"/>
          <w:sz w:val="24"/>
          <w:szCs w:val="24"/>
          <w:lang w:eastAsia="pl-PL"/>
        </w:rPr>
      </w:pPr>
      <w:r w:rsidRPr="00112561">
        <w:rPr>
          <w:rFonts w:eastAsia="Times New Roman" w:cs="Arial"/>
          <w:sz w:val="24"/>
          <w:szCs w:val="24"/>
          <w:lang w:eastAsia="pl-PL"/>
        </w:rPr>
        <w:t>Powyższy przepis daje państwom członkowskim prawo do ustanowienia określonych w nim ograniczeń zarówno w odniesieniu do narodowych pozwoleń na dopuszczenie do obrotu, jak również pozwoleń wydawanych przez Komisję Europejską, co wynika z art. 13 ust. 1 Rozporządzenia (WE) Nr 726/2004 Parlamentu Europejskiego i Rady z dnia 31 marca 2004 r. ustanawiającego wspólnotowe procedury wydawania pozwoleń dla produktów leczniczych stosowanych u ludzi i do celów weterynaryjnych i nadzoru nad nimi oraz ustanawiające Europejską Agencję Leków w brzmieniu: „Bez uszczerbku dla art. 4 ust. 4 i 5 dyrektywy 2001/83/WE pozwolenie na wprowadzenie do obrotu wydane zgodnie z niniejszym rozporządzeniem jest ważne na obszarze całej Wspólnoty.</w:t>
      </w:r>
    </w:p>
    <w:p w:rsidR="00112561" w:rsidRPr="00112561" w:rsidRDefault="00112561" w:rsidP="00112561">
      <w:pPr>
        <w:spacing w:before="120" w:after="120" w:line="240" w:lineRule="auto"/>
        <w:jc w:val="both"/>
        <w:rPr>
          <w:rFonts w:eastAsia="Times New Roman" w:cs="Times New Roman"/>
          <w:bCs/>
          <w:sz w:val="24"/>
          <w:szCs w:val="24"/>
          <w:lang w:eastAsia="pl-PL"/>
        </w:rPr>
      </w:pPr>
      <w:r w:rsidRPr="00112561">
        <w:rPr>
          <w:rFonts w:eastAsia="Times New Roman" w:cs="Times New Roman"/>
          <w:bCs/>
          <w:sz w:val="24"/>
          <w:szCs w:val="24"/>
          <w:lang w:eastAsia="pl-PL"/>
        </w:rPr>
        <w:t>Na koniec w komunikacji wspomniano o projekcie ustawy dotyczącym propozycji zmian do ustawy z dnia 7 stycznia 1993 r. o planowaniu rodziny, ochronie płodu ludzkiego i dopuszczalnych warunkach przerywania ciąży, który został skierowany do parlamentu w 2017 r. Należy podkreślić, że przedmiotowy projekt ustawy jest inicjatywą obywatelską, tj. poparła ją grupa co najmniej 100 000 uprawnionych obywateli, którzy przedstawili projekt Sejmowi (przedmiotowy projekt nie jest rządową inicjatywą ustawodawczą). Ponieważ projekt ustawy jest inicjatywą obywatelską, jego dalsze rozpatrzenie będzie zależało jedynie od prac parlamentarnych i decyzji Prezydenta RP. Rząd RP nie prowadzi prac nad nowelizacją obowiązującej ustawy z dnia 7 stycznia 1993 r. o planowaniu rodziny, ochronie płodu ludzkiego i dopuszczalnych warunkach przerywania ciąży.</w:t>
      </w:r>
    </w:p>
    <w:p w:rsidR="00ED526F" w:rsidRPr="007872D2" w:rsidRDefault="00ED526F" w:rsidP="007872D2"/>
    <w:p w:rsidR="007872D2" w:rsidRPr="00B708A0" w:rsidRDefault="007872D2" w:rsidP="007872D2">
      <w:pPr>
        <w:pStyle w:val="Nagwek1"/>
        <w:jc w:val="both"/>
        <w:rPr>
          <w:rFonts w:asciiTheme="minorHAnsi" w:hAnsiTheme="minorHAnsi"/>
          <w:sz w:val="28"/>
          <w:szCs w:val="28"/>
        </w:rPr>
      </w:pPr>
      <w:bookmarkStart w:id="11" w:name="_Toc69124148"/>
      <w:r w:rsidRPr="00B708A0">
        <w:rPr>
          <w:rFonts w:asciiTheme="minorHAnsi" w:hAnsiTheme="minorHAnsi"/>
          <w:sz w:val="28"/>
          <w:szCs w:val="28"/>
        </w:rPr>
        <w:t xml:space="preserve">Komunikacja </w:t>
      </w:r>
      <w:r>
        <w:rPr>
          <w:rFonts w:asciiTheme="minorHAnsi" w:hAnsiTheme="minorHAnsi"/>
          <w:sz w:val="28"/>
          <w:szCs w:val="28"/>
        </w:rPr>
        <w:t xml:space="preserve">Rzecznika Praw Obywatelskich </w:t>
      </w:r>
      <w:r w:rsidRPr="00B708A0">
        <w:rPr>
          <w:rFonts w:asciiTheme="minorHAnsi" w:hAnsiTheme="minorHAnsi"/>
          <w:sz w:val="28"/>
          <w:szCs w:val="28"/>
        </w:rPr>
        <w:t>w sprawie wykonania wyrok</w:t>
      </w:r>
      <w:r>
        <w:rPr>
          <w:rFonts w:asciiTheme="minorHAnsi" w:hAnsiTheme="minorHAnsi"/>
          <w:sz w:val="28"/>
          <w:szCs w:val="28"/>
        </w:rPr>
        <w:t>ów</w:t>
      </w:r>
      <w:r w:rsidRPr="00B708A0">
        <w:rPr>
          <w:rFonts w:asciiTheme="minorHAnsi" w:hAnsiTheme="minorHAnsi"/>
          <w:sz w:val="28"/>
          <w:szCs w:val="28"/>
        </w:rPr>
        <w:t xml:space="preserve"> Europejskiego Trybunału Praw Człowieka </w:t>
      </w:r>
      <w:r w:rsidRPr="00F24A3C">
        <w:rPr>
          <w:rFonts w:asciiTheme="minorHAnsi" w:hAnsiTheme="minorHAnsi"/>
          <w:i/>
          <w:sz w:val="28"/>
          <w:szCs w:val="28"/>
        </w:rPr>
        <w:t>Tysiąc p. Polsce</w:t>
      </w:r>
      <w:r w:rsidRPr="00F24A3C">
        <w:rPr>
          <w:rFonts w:asciiTheme="minorHAnsi" w:hAnsiTheme="minorHAnsi"/>
          <w:sz w:val="28"/>
          <w:szCs w:val="28"/>
        </w:rPr>
        <w:t xml:space="preserve">, </w:t>
      </w:r>
      <w:r w:rsidRPr="00F24A3C">
        <w:rPr>
          <w:rFonts w:asciiTheme="minorHAnsi" w:hAnsiTheme="minorHAnsi"/>
          <w:i/>
          <w:sz w:val="28"/>
          <w:szCs w:val="28"/>
        </w:rPr>
        <w:t>R.R. p. Polsce</w:t>
      </w:r>
      <w:r w:rsidRPr="00F24A3C">
        <w:rPr>
          <w:rFonts w:asciiTheme="minorHAnsi" w:hAnsiTheme="minorHAnsi"/>
          <w:sz w:val="28"/>
          <w:szCs w:val="28"/>
        </w:rPr>
        <w:t xml:space="preserve"> i </w:t>
      </w:r>
      <w:r w:rsidRPr="00F24A3C">
        <w:rPr>
          <w:rFonts w:asciiTheme="minorHAnsi" w:hAnsiTheme="minorHAnsi"/>
          <w:i/>
          <w:sz w:val="28"/>
          <w:szCs w:val="28"/>
        </w:rPr>
        <w:t>P. i S. p. Polsce</w:t>
      </w:r>
      <w:r w:rsidRPr="00B708A0">
        <w:rPr>
          <w:rFonts w:asciiTheme="minorHAnsi" w:hAnsiTheme="minorHAnsi"/>
          <w:sz w:val="28"/>
          <w:szCs w:val="28"/>
        </w:rPr>
        <w:t xml:space="preserve"> z dnia 2</w:t>
      </w:r>
      <w:r w:rsidR="00A85C43">
        <w:rPr>
          <w:rFonts w:asciiTheme="minorHAnsi" w:hAnsiTheme="minorHAnsi"/>
          <w:sz w:val="28"/>
          <w:szCs w:val="28"/>
        </w:rPr>
        <w:t>9</w:t>
      </w:r>
      <w:r w:rsidRPr="00B708A0">
        <w:rPr>
          <w:rFonts w:asciiTheme="minorHAnsi" w:hAnsiTheme="minorHAnsi"/>
          <w:sz w:val="28"/>
          <w:szCs w:val="28"/>
        </w:rPr>
        <w:t xml:space="preserve"> </w:t>
      </w:r>
      <w:r>
        <w:rPr>
          <w:rFonts w:asciiTheme="minorHAnsi" w:hAnsiTheme="minorHAnsi"/>
          <w:sz w:val="28"/>
          <w:szCs w:val="28"/>
        </w:rPr>
        <w:t>stycznia</w:t>
      </w:r>
      <w:r w:rsidRPr="00B708A0">
        <w:rPr>
          <w:rFonts w:asciiTheme="minorHAnsi" w:hAnsiTheme="minorHAnsi"/>
          <w:sz w:val="28"/>
          <w:szCs w:val="28"/>
        </w:rPr>
        <w:t xml:space="preserve"> 2020 r.</w:t>
      </w:r>
      <w:bookmarkEnd w:id="11"/>
      <w:r w:rsidRPr="00B708A0">
        <w:rPr>
          <w:rFonts w:asciiTheme="minorHAnsi" w:hAnsiTheme="minorHAnsi"/>
          <w:sz w:val="28"/>
          <w:szCs w:val="28"/>
        </w:rPr>
        <w:t xml:space="preserve">   </w:t>
      </w:r>
    </w:p>
    <w:p w:rsidR="00ED526F" w:rsidRDefault="00ED526F" w:rsidP="00ED526F">
      <w:pPr>
        <w:rPr>
          <w:sz w:val="24"/>
          <w:szCs w:val="24"/>
          <w:u w:val="single"/>
        </w:rPr>
      </w:pPr>
    </w:p>
    <w:p w:rsidR="00ED526F" w:rsidRDefault="00ED526F" w:rsidP="00ED526F">
      <w:pPr>
        <w:rPr>
          <w:sz w:val="24"/>
          <w:szCs w:val="24"/>
          <w:u w:val="single"/>
        </w:rPr>
      </w:pPr>
      <w:r w:rsidRPr="00ED526F">
        <w:rPr>
          <w:sz w:val="24"/>
          <w:szCs w:val="24"/>
          <w:u w:val="single"/>
        </w:rPr>
        <w:t xml:space="preserve">Treść komunikacji </w:t>
      </w:r>
    </w:p>
    <w:p w:rsidR="006165C6" w:rsidRPr="00094881" w:rsidRDefault="00094881" w:rsidP="00DD5F1A">
      <w:pPr>
        <w:widowControl w:val="0"/>
        <w:spacing w:after="120" w:line="240" w:lineRule="auto"/>
        <w:jc w:val="both"/>
        <w:rPr>
          <w:rFonts w:eastAsia="Times New Roman" w:cs="Times New Roman"/>
          <w:color w:val="000000"/>
          <w:sz w:val="24"/>
          <w:szCs w:val="24"/>
          <w:lang w:bidi="en-US"/>
        </w:rPr>
      </w:pPr>
      <w:r>
        <w:rPr>
          <w:rFonts w:eastAsia="Times New Roman" w:cs="Times New Roman"/>
          <w:color w:val="000000"/>
          <w:sz w:val="24"/>
          <w:szCs w:val="24"/>
          <w:lang w:bidi="en-US"/>
        </w:rPr>
        <w:t>W</w:t>
      </w:r>
      <w:r w:rsidR="006165C6" w:rsidRPr="00094881">
        <w:rPr>
          <w:rFonts w:eastAsia="Times New Roman" w:cs="Times New Roman"/>
          <w:color w:val="000000"/>
          <w:sz w:val="24"/>
          <w:szCs w:val="24"/>
          <w:lang w:bidi="en-US"/>
        </w:rPr>
        <w:t xml:space="preserve"> związku ze zbliżającym się 1369. posiedzeniem CM-DH (marzec 2020 r.) w przedmiocie wykonania wyroku Europejskiego Trybunału Praw Człowieka w sprawie </w:t>
      </w:r>
      <w:r w:rsidR="006165C6" w:rsidRPr="00094881">
        <w:rPr>
          <w:rFonts w:eastAsia="Times New Roman" w:cs="Times New Roman"/>
          <w:i/>
          <w:iCs/>
          <w:color w:val="000000"/>
          <w:sz w:val="24"/>
          <w:szCs w:val="24"/>
          <w:lang w:bidi="en-US"/>
        </w:rPr>
        <w:t xml:space="preserve">Tysiąc </w:t>
      </w:r>
      <w:r w:rsidR="00DD5F1A">
        <w:rPr>
          <w:rFonts w:eastAsia="Times New Roman" w:cs="Times New Roman"/>
          <w:i/>
          <w:iCs/>
          <w:color w:val="000000"/>
          <w:sz w:val="24"/>
          <w:szCs w:val="24"/>
          <w:lang w:bidi="en-US"/>
        </w:rPr>
        <w:t xml:space="preserve">p. </w:t>
      </w:r>
      <w:r w:rsidR="006165C6" w:rsidRPr="00094881">
        <w:rPr>
          <w:rFonts w:eastAsia="Times New Roman" w:cs="Times New Roman"/>
          <w:i/>
          <w:iCs/>
          <w:color w:val="000000"/>
          <w:sz w:val="24"/>
          <w:szCs w:val="24"/>
          <w:lang w:bidi="en-US"/>
        </w:rPr>
        <w:t>Polsce</w:t>
      </w:r>
      <w:r w:rsidR="006165C6" w:rsidRPr="00094881">
        <w:rPr>
          <w:rFonts w:eastAsia="Times New Roman" w:cs="Times New Roman"/>
          <w:i/>
          <w:iCs/>
          <w:color w:val="000000"/>
          <w:sz w:val="24"/>
          <w:szCs w:val="24"/>
          <w:vertAlign w:val="superscript"/>
          <w:lang w:bidi="en-US"/>
        </w:rPr>
        <w:footnoteReference w:id="86"/>
      </w:r>
      <w:r w:rsidR="006165C6" w:rsidRPr="00094881">
        <w:rPr>
          <w:rFonts w:eastAsia="Times New Roman" w:cs="Times New Roman"/>
          <w:color w:val="000000"/>
          <w:sz w:val="24"/>
          <w:szCs w:val="24"/>
          <w:lang w:bidi="en-US"/>
        </w:rPr>
        <w:t xml:space="preserve">, </w:t>
      </w:r>
      <w:r w:rsidR="006165C6" w:rsidRPr="00094881">
        <w:rPr>
          <w:rFonts w:eastAsia="Times New Roman" w:cs="Times New Roman"/>
          <w:i/>
          <w:iCs/>
          <w:color w:val="000000"/>
          <w:sz w:val="24"/>
          <w:szCs w:val="24"/>
          <w:lang w:bidi="en-US"/>
        </w:rPr>
        <w:t xml:space="preserve">R.R. </w:t>
      </w:r>
      <w:r w:rsidR="00DD5F1A">
        <w:rPr>
          <w:rFonts w:eastAsia="Times New Roman" w:cs="Times New Roman"/>
          <w:i/>
          <w:iCs/>
          <w:color w:val="000000"/>
          <w:sz w:val="24"/>
          <w:szCs w:val="24"/>
          <w:lang w:bidi="en-US"/>
        </w:rPr>
        <w:lastRenderedPageBreak/>
        <w:t>p.</w:t>
      </w:r>
      <w:r w:rsidR="006165C6" w:rsidRPr="00094881">
        <w:rPr>
          <w:rFonts w:eastAsia="Times New Roman" w:cs="Times New Roman"/>
          <w:i/>
          <w:iCs/>
          <w:color w:val="000000"/>
          <w:sz w:val="24"/>
          <w:szCs w:val="24"/>
          <w:lang w:bidi="en-US"/>
        </w:rPr>
        <w:t xml:space="preserve"> Polsce</w:t>
      </w:r>
      <w:r w:rsidR="006165C6" w:rsidRPr="00094881">
        <w:rPr>
          <w:rFonts w:eastAsia="Times New Roman" w:cs="Times New Roman"/>
          <w:i/>
          <w:iCs/>
          <w:color w:val="000000"/>
          <w:sz w:val="24"/>
          <w:szCs w:val="24"/>
          <w:vertAlign w:val="superscript"/>
          <w:lang w:bidi="en-US"/>
        </w:rPr>
        <w:footnoteReference w:id="87"/>
      </w:r>
      <w:r w:rsidR="006165C6" w:rsidRPr="00094881">
        <w:rPr>
          <w:rFonts w:eastAsia="Times New Roman" w:cs="Times New Roman"/>
          <w:color w:val="000000"/>
          <w:sz w:val="24"/>
          <w:szCs w:val="24"/>
          <w:lang w:bidi="en-US"/>
        </w:rPr>
        <w:t xml:space="preserve">oraz </w:t>
      </w:r>
      <w:r w:rsidR="006165C6" w:rsidRPr="00094881">
        <w:rPr>
          <w:rFonts w:eastAsia="Times New Roman" w:cs="Times New Roman"/>
          <w:i/>
          <w:iCs/>
          <w:color w:val="000000"/>
          <w:sz w:val="24"/>
          <w:szCs w:val="24"/>
          <w:lang w:bidi="en-US"/>
        </w:rPr>
        <w:t>P. i S. p</w:t>
      </w:r>
      <w:r w:rsidR="00DD5F1A">
        <w:rPr>
          <w:rFonts w:eastAsia="Times New Roman" w:cs="Times New Roman"/>
          <w:i/>
          <w:iCs/>
          <w:color w:val="000000"/>
          <w:sz w:val="24"/>
          <w:szCs w:val="24"/>
          <w:lang w:bidi="en-US"/>
        </w:rPr>
        <w:t>.</w:t>
      </w:r>
      <w:r w:rsidR="006165C6" w:rsidRPr="00094881">
        <w:rPr>
          <w:rFonts w:eastAsia="Times New Roman" w:cs="Times New Roman"/>
          <w:i/>
          <w:iCs/>
          <w:color w:val="000000"/>
          <w:sz w:val="24"/>
          <w:szCs w:val="24"/>
          <w:lang w:bidi="en-US"/>
        </w:rPr>
        <w:t xml:space="preserve"> Polsce</w:t>
      </w:r>
      <w:r w:rsidR="006165C6" w:rsidRPr="00094881">
        <w:rPr>
          <w:rFonts w:eastAsia="Times New Roman" w:cs="Times New Roman"/>
          <w:i/>
          <w:iCs/>
          <w:color w:val="000000"/>
          <w:sz w:val="24"/>
          <w:szCs w:val="24"/>
          <w:vertAlign w:val="superscript"/>
          <w:lang w:bidi="en-US"/>
        </w:rPr>
        <w:footnoteReference w:id="88"/>
      </w:r>
      <w:r w:rsidR="006165C6" w:rsidRPr="00094881">
        <w:rPr>
          <w:rFonts w:eastAsia="Times New Roman" w:cs="Times New Roman"/>
          <w:color w:val="000000"/>
          <w:sz w:val="24"/>
          <w:szCs w:val="24"/>
          <w:lang w:bidi="en-US"/>
        </w:rPr>
        <w:t>, zwracam się z uprzejmą prośbą o przyjęcie poniższego wystąpienia Rzecznika Praw Obywatelskich RP</w:t>
      </w:r>
      <w:r w:rsidR="006165C6" w:rsidRPr="00094881">
        <w:rPr>
          <w:rFonts w:eastAsia="Times New Roman" w:cs="Times New Roman"/>
          <w:color w:val="000000"/>
          <w:sz w:val="24"/>
          <w:szCs w:val="24"/>
          <w:vertAlign w:val="superscript"/>
          <w:lang w:bidi="en-US"/>
        </w:rPr>
        <w:footnoteReference w:id="89"/>
      </w:r>
      <w:r w:rsidR="006165C6" w:rsidRPr="00094881">
        <w:rPr>
          <w:rFonts w:eastAsia="Times New Roman" w:cs="Times New Roman"/>
          <w:color w:val="000000"/>
          <w:sz w:val="24"/>
          <w:szCs w:val="24"/>
          <w:lang w:bidi="en-US"/>
        </w:rPr>
        <w:t>.</w:t>
      </w:r>
    </w:p>
    <w:p w:rsidR="006165C6" w:rsidRPr="00D24F7A" w:rsidRDefault="006165C6" w:rsidP="00D24F7A">
      <w:pPr>
        <w:widowControl w:val="0"/>
        <w:spacing w:before="120" w:after="0" w:line="240" w:lineRule="auto"/>
        <w:jc w:val="both"/>
        <w:rPr>
          <w:rFonts w:eastAsia="Times New Roman" w:cs="Times New Roman"/>
          <w:color w:val="000000"/>
          <w:sz w:val="24"/>
          <w:szCs w:val="24"/>
          <w:lang w:bidi="en-US"/>
        </w:rPr>
      </w:pPr>
      <w:r w:rsidRPr="00D24F7A">
        <w:rPr>
          <w:rFonts w:eastAsia="Times New Roman" w:cs="Times New Roman"/>
          <w:color w:val="000000"/>
          <w:sz w:val="24"/>
          <w:szCs w:val="24"/>
          <w:lang w:bidi="en-US"/>
        </w:rPr>
        <w:t>Rzecznik jest zdania, że dodatkowe informacje dotyczące dostępu kobiet do usług związanych ze zdrowiem reprodukcyjnym w Polsce, przedstawione zgodnie z Regułą 9 ust. 2 Regulaminu Komitetu Ministrów w sprawie nadzoru nad wykonywaniem wyroków i warunków ugód, zostaną uznane przez Komitet za niezbędne i użyteczne przy rozważaniu, czy wyżej wymienione wyroki zostały w pełni wykonane.</w:t>
      </w:r>
    </w:p>
    <w:p w:rsidR="006165C6" w:rsidRPr="00D24F7A" w:rsidRDefault="006165C6" w:rsidP="00987EB2">
      <w:pPr>
        <w:pStyle w:val="Akapitzlist"/>
        <w:widowControl w:val="0"/>
        <w:numPr>
          <w:ilvl w:val="0"/>
          <w:numId w:val="51"/>
        </w:numPr>
        <w:tabs>
          <w:tab w:val="left" w:pos="1094"/>
        </w:tabs>
        <w:spacing w:before="120" w:after="0" w:line="240" w:lineRule="auto"/>
        <w:contextualSpacing w:val="0"/>
        <w:jc w:val="both"/>
        <w:rPr>
          <w:rFonts w:eastAsia="Times New Roman" w:cs="Times New Roman"/>
          <w:color w:val="000000"/>
          <w:sz w:val="24"/>
          <w:szCs w:val="24"/>
          <w:lang w:bidi="en-US"/>
        </w:rPr>
      </w:pPr>
      <w:r w:rsidRPr="00D24F7A">
        <w:rPr>
          <w:rFonts w:eastAsia="Times New Roman" w:cs="Times New Roman"/>
          <w:b/>
          <w:bCs/>
          <w:color w:val="000000"/>
          <w:sz w:val="24"/>
          <w:szCs w:val="24"/>
          <w:lang w:bidi="en-US"/>
        </w:rPr>
        <w:t>Decyzja</w:t>
      </w:r>
      <w:r w:rsidR="00D24F7A" w:rsidRPr="00D24F7A">
        <w:rPr>
          <w:rFonts w:eastAsia="Times New Roman" w:cs="Times New Roman"/>
          <w:b/>
          <w:bCs/>
          <w:color w:val="000000"/>
          <w:sz w:val="24"/>
          <w:szCs w:val="24"/>
          <w:lang w:bidi="en-US"/>
        </w:rPr>
        <w:t xml:space="preserve"> Komitetu Ministrów</w:t>
      </w:r>
      <w:r w:rsidRPr="00D24F7A">
        <w:rPr>
          <w:rFonts w:eastAsia="Times New Roman" w:cs="Times New Roman"/>
          <w:b/>
          <w:bCs/>
          <w:color w:val="000000"/>
          <w:sz w:val="24"/>
          <w:szCs w:val="24"/>
          <w:lang w:bidi="en-US"/>
        </w:rPr>
        <w:t xml:space="preserve"> w sprawie </w:t>
      </w:r>
      <w:r w:rsidRPr="00BA2C68">
        <w:rPr>
          <w:rFonts w:eastAsia="Times New Roman" w:cs="Times New Roman"/>
          <w:b/>
          <w:bCs/>
          <w:i/>
          <w:iCs/>
          <w:color w:val="000000"/>
          <w:sz w:val="24"/>
          <w:szCs w:val="24"/>
          <w:lang w:bidi="en-US"/>
        </w:rPr>
        <w:t>Tysiąc</w:t>
      </w:r>
      <w:r w:rsidRPr="00BA2C68">
        <w:rPr>
          <w:rFonts w:eastAsia="Times New Roman" w:cs="Times New Roman"/>
          <w:b/>
          <w:bCs/>
          <w:i/>
          <w:color w:val="000000"/>
          <w:sz w:val="24"/>
          <w:szCs w:val="24"/>
          <w:lang w:bidi="en-US"/>
        </w:rPr>
        <w:t xml:space="preserve"> i </w:t>
      </w:r>
      <w:r w:rsidRPr="00BA2C68">
        <w:rPr>
          <w:rFonts w:eastAsia="Times New Roman" w:cs="Times New Roman"/>
          <w:b/>
          <w:bCs/>
          <w:i/>
          <w:iCs/>
          <w:color w:val="000000"/>
          <w:sz w:val="24"/>
          <w:szCs w:val="24"/>
          <w:lang w:bidi="en-US"/>
        </w:rPr>
        <w:t>R.R. p</w:t>
      </w:r>
      <w:r w:rsidR="00094881" w:rsidRPr="00BA2C68">
        <w:rPr>
          <w:rFonts w:eastAsia="Times New Roman" w:cs="Times New Roman"/>
          <w:b/>
          <w:bCs/>
          <w:i/>
          <w:iCs/>
          <w:color w:val="000000"/>
          <w:sz w:val="24"/>
          <w:szCs w:val="24"/>
          <w:lang w:bidi="en-US"/>
        </w:rPr>
        <w:t>.</w:t>
      </w:r>
      <w:r w:rsidRPr="00BA2C68">
        <w:rPr>
          <w:rFonts w:eastAsia="Times New Roman" w:cs="Times New Roman"/>
          <w:b/>
          <w:bCs/>
          <w:i/>
          <w:iCs/>
          <w:color w:val="000000"/>
          <w:sz w:val="24"/>
          <w:szCs w:val="24"/>
          <w:lang w:bidi="en-US"/>
        </w:rPr>
        <w:t xml:space="preserve"> Polsce</w:t>
      </w:r>
    </w:p>
    <w:p w:rsidR="006165C6" w:rsidRPr="00D24F7A" w:rsidRDefault="006165C6" w:rsidP="00987EB2">
      <w:pPr>
        <w:pStyle w:val="Akapitzlist"/>
        <w:widowControl w:val="0"/>
        <w:numPr>
          <w:ilvl w:val="0"/>
          <w:numId w:val="52"/>
        </w:numPr>
        <w:spacing w:before="120" w:after="0" w:line="240" w:lineRule="auto"/>
        <w:contextualSpacing w:val="0"/>
        <w:jc w:val="both"/>
        <w:rPr>
          <w:rFonts w:eastAsia="Times New Roman" w:cs="Times New Roman"/>
          <w:color w:val="000000"/>
          <w:sz w:val="24"/>
          <w:szCs w:val="24"/>
          <w:lang w:bidi="en-US"/>
        </w:rPr>
      </w:pPr>
      <w:r w:rsidRPr="00D24F7A">
        <w:rPr>
          <w:rFonts w:eastAsia="Times New Roman" w:cs="Times New Roman"/>
          <w:color w:val="000000"/>
          <w:sz w:val="24"/>
          <w:szCs w:val="24"/>
          <w:lang w:bidi="en-US"/>
        </w:rPr>
        <w:t xml:space="preserve">Rzecznik z zadowoleniem przyjmuje decyzję Komitetu o kontynuowaniu nadzoru nad wykonaniem wyroków Europejskiego Trybunału Praw Człowieka w sprawach </w:t>
      </w:r>
      <w:r w:rsidRPr="00BA2C68">
        <w:rPr>
          <w:rFonts w:eastAsia="Times New Roman" w:cs="Times New Roman"/>
          <w:i/>
          <w:iCs/>
          <w:color w:val="000000"/>
          <w:sz w:val="24"/>
          <w:szCs w:val="24"/>
          <w:lang w:bidi="en-US"/>
        </w:rPr>
        <w:t>Tysiąc</w:t>
      </w:r>
      <w:r w:rsidRPr="00D24F7A">
        <w:rPr>
          <w:rFonts w:eastAsia="Times New Roman" w:cs="Times New Roman"/>
          <w:color w:val="000000"/>
          <w:sz w:val="24"/>
          <w:szCs w:val="24"/>
          <w:lang w:bidi="en-US"/>
        </w:rPr>
        <w:t xml:space="preserve"> i </w:t>
      </w:r>
      <w:r w:rsidRPr="00BA2C68">
        <w:rPr>
          <w:rFonts w:eastAsia="Times New Roman" w:cs="Times New Roman"/>
          <w:i/>
          <w:iCs/>
          <w:color w:val="000000"/>
          <w:sz w:val="24"/>
          <w:szCs w:val="24"/>
          <w:lang w:bidi="en-US"/>
        </w:rPr>
        <w:t>R.R.</w:t>
      </w:r>
      <w:r w:rsidRPr="00D24F7A">
        <w:rPr>
          <w:rFonts w:eastAsia="Times New Roman" w:cs="Times New Roman"/>
          <w:iCs/>
          <w:color w:val="000000"/>
          <w:sz w:val="24"/>
          <w:szCs w:val="24"/>
          <w:lang w:bidi="en-US"/>
        </w:rPr>
        <w:t xml:space="preserve"> </w:t>
      </w:r>
      <w:r w:rsidR="00BA2C68">
        <w:rPr>
          <w:rFonts w:eastAsia="Times New Roman" w:cs="Times New Roman"/>
          <w:i/>
          <w:iCs/>
          <w:color w:val="000000"/>
          <w:sz w:val="24"/>
          <w:szCs w:val="24"/>
          <w:lang w:bidi="en-US"/>
        </w:rPr>
        <w:t>p.</w:t>
      </w:r>
      <w:r w:rsidRPr="00BA2C68">
        <w:rPr>
          <w:rFonts w:eastAsia="Times New Roman" w:cs="Times New Roman"/>
          <w:i/>
          <w:iCs/>
          <w:color w:val="000000"/>
          <w:sz w:val="24"/>
          <w:szCs w:val="24"/>
          <w:lang w:bidi="en-US"/>
        </w:rPr>
        <w:t xml:space="preserve"> Polsce</w:t>
      </w:r>
      <w:r w:rsidRPr="00D24F7A">
        <w:rPr>
          <w:rFonts w:eastAsia="Times New Roman" w:cs="Times New Roman"/>
          <w:color w:val="000000"/>
          <w:sz w:val="24"/>
          <w:szCs w:val="24"/>
          <w:lang w:bidi="en-US"/>
        </w:rPr>
        <w:t xml:space="preserve"> w ramach wzmocnionej procedury. Rzecznik podziela stanowisko Komitetu, zgodnie z którym prawidłowe wykonanie wyroków w sprawach </w:t>
      </w:r>
      <w:r w:rsidRPr="00BA2C68">
        <w:rPr>
          <w:rFonts w:eastAsia="Times New Roman" w:cs="Times New Roman"/>
          <w:i/>
          <w:iCs/>
          <w:color w:val="000000"/>
          <w:sz w:val="24"/>
          <w:szCs w:val="24"/>
          <w:lang w:bidi="en-US"/>
        </w:rPr>
        <w:t>Tysiąc</w:t>
      </w:r>
      <w:r w:rsidRPr="00D24F7A">
        <w:rPr>
          <w:rFonts w:eastAsia="Times New Roman" w:cs="Times New Roman"/>
          <w:color w:val="000000"/>
          <w:sz w:val="24"/>
          <w:szCs w:val="24"/>
          <w:lang w:bidi="en-US"/>
        </w:rPr>
        <w:t xml:space="preserve"> i </w:t>
      </w:r>
      <w:r w:rsidRPr="00BA2C68">
        <w:rPr>
          <w:rFonts w:eastAsia="Times New Roman" w:cs="Times New Roman"/>
          <w:i/>
          <w:iCs/>
          <w:color w:val="000000"/>
          <w:sz w:val="24"/>
          <w:szCs w:val="24"/>
          <w:lang w:bidi="en-US"/>
        </w:rPr>
        <w:t>R.R. p</w:t>
      </w:r>
      <w:r w:rsidR="00BA2C68">
        <w:rPr>
          <w:rFonts w:eastAsia="Times New Roman" w:cs="Times New Roman"/>
          <w:i/>
          <w:iCs/>
          <w:color w:val="000000"/>
          <w:sz w:val="24"/>
          <w:szCs w:val="24"/>
          <w:lang w:bidi="en-US"/>
        </w:rPr>
        <w:t>.</w:t>
      </w:r>
      <w:r w:rsidRPr="00D24F7A">
        <w:rPr>
          <w:rFonts w:eastAsia="Times New Roman" w:cs="Times New Roman"/>
          <w:iCs/>
          <w:color w:val="000000"/>
          <w:sz w:val="24"/>
          <w:szCs w:val="24"/>
          <w:lang w:bidi="en-US"/>
        </w:rPr>
        <w:t xml:space="preserve"> </w:t>
      </w:r>
      <w:r w:rsidRPr="00BA2C68">
        <w:rPr>
          <w:rFonts w:eastAsia="Times New Roman" w:cs="Times New Roman"/>
          <w:i/>
          <w:iCs/>
          <w:color w:val="000000"/>
          <w:sz w:val="24"/>
          <w:szCs w:val="24"/>
          <w:lang w:bidi="en-US"/>
        </w:rPr>
        <w:t>Polsce</w:t>
      </w:r>
      <w:r w:rsidRPr="00BA2C68">
        <w:rPr>
          <w:rFonts w:eastAsia="Times New Roman" w:cs="Times New Roman"/>
          <w:i/>
          <w:color w:val="000000"/>
          <w:sz w:val="24"/>
          <w:szCs w:val="24"/>
          <w:lang w:bidi="en-US"/>
        </w:rPr>
        <w:t xml:space="preserve"> </w:t>
      </w:r>
      <w:r w:rsidRPr="00D24F7A">
        <w:rPr>
          <w:rFonts w:eastAsia="Times New Roman" w:cs="Times New Roman"/>
          <w:color w:val="000000"/>
          <w:sz w:val="24"/>
          <w:szCs w:val="24"/>
          <w:lang w:bidi="en-US"/>
        </w:rPr>
        <w:t>wymaga przyjęcia ram prawnych, które umożliwiłyby pacjentkom skuteczne korzystanie z prawa do legalnej aborcji i innych usług związanych z ciążą w odpowiednim czasie. Rzecznik popiera zalecenie Komitetu dotyczące przeprowadzenia niezbędnych reform w celu zapewnienia pacjentkom możliwości skutecznego kwestionowania orzeczeń lekarskich i szybkiego rozpatrywania ich sprzeciwów. Rzecznik zgadza się, że konieczne jest zapewnienie, aby procedura sprzeciw</w:t>
      </w:r>
      <w:r w:rsidR="00094881" w:rsidRPr="00D24F7A">
        <w:rPr>
          <w:rFonts w:eastAsia="Times New Roman" w:cs="Times New Roman"/>
          <w:color w:val="000000"/>
          <w:sz w:val="24"/>
          <w:szCs w:val="24"/>
          <w:lang w:bidi="en-US"/>
        </w:rPr>
        <w:t>u</w:t>
      </w:r>
      <w:r w:rsidRPr="00D24F7A">
        <w:rPr>
          <w:rFonts w:eastAsia="Times New Roman" w:cs="Times New Roman"/>
          <w:color w:val="000000"/>
          <w:sz w:val="24"/>
          <w:szCs w:val="24"/>
          <w:lang w:bidi="en-US"/>
        </w:rPr>
        <w:t xml:space="preserve"> była szybka, prosta i zorientowana na pacjentki.</w:t>
      </w:r>
    </w:p>
    <w:p w:rsidR="006165C6" w:rsidRPr="00D24F7A" w:rsidRDefault="006165C6" w:rsidP="00987EB2">
      <w:pPr>
        <w:pStyle w:val="Akapitzlist"/>
        <w:widowControl w:val="0"/>
        <w:numPr>
          <w:ilvl w:val="0"/>
          <w:numId w:val="52"/>
        </w:numPr>
        <w:spacing w:before="120" w:after="0" w:line="240" w:lineRule="auto"/>
        <w:contextualSpacing w:val="0"/>
        <w:jc w:val="both"/>
        <w:rPr>
          <w:rFonts w:eastAsia="Times New Roman" w:cs="Times New Roman"/>
          <w:color w:val="000000"/>
          <w:sz w:val="24"/>
          <w:szCs w:val="24"/>
          <w:lang w:bidi="en-US"/>
        </w:rPr>
      </w:pPr>
      <w:r w:rsidRPr="00D24F7A">
        <w:rPr>
          <w:rFonts w:eastAsia="Times New Roman" w:cs="Times New Roman"/>
          <w:color w:val="000000"/>
          <w:sz w:val="24"/>
          <w:szCs w:val="24"/>
          <w:lang w:bidi="en-US"/>
        </w:rPr>
        <w:t xml:space="preserve">Rzecznik zauważa, że w swoim stanowisku z dnia 20 grudnia 2019 r. dotyczącym spraw </w:t>
      </w:r>
      <w:r w:rsidRPr="00BA2C68">
        <w:rPr>
          <w:rFonts w:eastAsia="Times New Roman" w:cs="Times New Roman"/>
          <w:i/>
          <w:iCs/>
          <w:color w:val="000000"/>
          <w:sz w:val="24"/>
          <w:szCs w:val="24"/>
          <w:lang w:bidi="en-US"/>
        </w:rPr>
        <w:t>Tysiąc</w:t>
      </w:r>
      <w:r w:rsidRPr="00BA2C68">
        <w:rPr>
          <w:rFonts w:eastAsia="Times New Roman" w:cs="Times New Roman"/>
          <w:i/>
          <w:color w:val="000000"/>
          <w:sz w:val="24"/>
          <w:szCs w:val="24"/>
          <w:lang w:bidi="en-US"/>
        </w:rPr>
        <w:t xml:space="preserve"> i </w:t>
      </w:r>
      <w:r w:rsidRPr="00BA2C68">
        <w:rPr>
          <w:rFonts w:eastAsia="Times New Roman" w:cs="Times New Roman"/>
          <w:i/>
          <w:iCs/>
          <w:color w:val="000000"/>
          <w:sz w:val="24"/>
          <w:szCs w:val="24"/>
          <w:lang w:bidi="en-US"/>
        </w:rPr>
        <w:t>R.R</w:t>
      </w:r>
      <w:r w:rsidRPr="00D24F7A">
        <w:rPr>
          <w:rFonts w:eastAsia="Times New Roman" w:cs="Times New Roman"/>
          <w:iCs/>
          <w:color w:val="000000"/>
          <w:sz w:val="24"/>
          <w:szCs w:val="24"/>
          <w:vertAlign w:val="superscript"/>
          <w:lang w:bidi="en-US"/>
        </w:rPr>
        <w:footnoteReference w:id="90"/>
      </w:r>
      <w:r w:rsidRPr="00D24F7A">
        <w:rPr>
          <w:rFonts w:eastAsia="Times New Roman" w:cs="Times New Roman"/>
          <w:color w:val="000000"/>
          <w:sz w:val="24"/>
          <w:szCs w:val="24"/>
          <w:lang w:bidi="en-US"/>
        </w:rPr>
        <w:t xml:space="preserve"> rząd podtrzymuje stanowisko, że obowiązujące regulacje prawne w każdym przypadku zapewniają wystarczającą ochronę prawną pacjentkom chcącym skorzystać z legalnej aborcji lub badań prenatalnych. Rzecznik z niepokojem zauważa, że rząd nadal utrzymuje, iż żadne dalsze środki nie są konieczne, a tym samym, że wyroki w przedmiotowych sprawach zostały prawidłowo wykonane.</w:t>
      </w:r>
    </w:p>
    <w:p w:rsidR="006165C6" w:rsidRPr="00D24F7A" w:rsidRDefault="006165C6" w:rsidP="00987EB2">
      <w:pPr>
        <w:pStyle w:val="Akapitzlist"/>
        <w:widowControl w:val="0"/>
        <w:numPr>
          <w:ilvl w:val="0"/>
          <w:numId w:val="52"/>
        </w:numPr>
        <w:spacing w:before="120" w:after="0" w:line="240" w:lineRule="auto"/>
        <w:contextualSpacing w:val="0"/>
        <w:jc w:val="both"/>
        <w:rPr>
          <w:rFonts w:eastAsia="Times New Roman" w:cs="Times New Roman"/>
          <w:color w:val="000000"/>
          <w:sz w:val="24"/>
          <w:szCs w:val="24"/>
          <w:lang w:bidi="en-US"/>
        </w:rPr>
      </w:pPr>
      <w:r w:rsidRPr="00D24F7A">
        <w:rPr>
          <w:rFonts w:eastAsia="Times New Roman" w:cs="Times New Roman"/>
          <w:color w:val="000000"/>
          <w:sz w:val="24"/>
          <w:szCs w:val="24"/>
          <w:lang w:bidi="en-US"/>
        </w:rPr>
        <w:t>Rzecznik kategorycznie nie podziela stanowiska przedstawionego przez rząd. Jak wielokrotnie wskazywano w dotychczasowych wystąpieniach</w:t>
      </w:r>
      <w:r w:rsidRPr="00D24F7A">
        <w:rPr>
          <w:rFonts w:eastAsia="Times New Roman" w:cs="Times New Roman"/>
          <w:color w:val="000000"/>
          <w:sz w:val="24"/>
          <w:szCs w:val="24"/>
          <w:vertAlign w:val="superscript"/>
          <w:lang w:bidi="en-US"/>
        </w:rPr>
        <w:footnoteReference w:id="91"/>
      </w:r>
      <w:r w:rsidRPr="00D24F7A">
        <w:rPr>
          <w:rFonts w:eastAsia="Times New Roman" w:cs="Times New Roman"/>
          <w:color w:val="000000"/>
          <w:sz w:val="24"/>
          <w:szCs w:val="24"/>
          <w:lang w:bidi="en-US"/>
        </w:rPr>
        <w:t>, istnieje pilna potrzeba nowelizacji przepisów, w szczególności ustawy z dnia 5 grudnia 1996 r.</w:t>
      </w:r>
      <w:r w:rsidRPr="00D24F7A">
        <w:rPr>
          <w:rFonts w:eastAsia="Times New Roman" w:cs="Times New Roman"/>
          <w:color w:val="000000"/>
          <w:sz w:val="24"/>
          <w:szCs w:val="24"/>
          <w:vertAlign w:val="superscript"/>
          <w:lang w:bidi="en-US"/>
        </w:rPr>
        <w:footnoteReference w:id="92"/>
      </w:r>
      <w:r w:rsidRPr="00D24F7A">
        <w:rPr>
          <w:rFonts w:eastAsia="Times New Roman" w:cs="Times New Roman"/>
          <w:color w:val="000000"/>
          <w:sz w:val="24"/>
          <w:szCs w:val="24"/>
          <w:lang w:bidi="en-US"/>
        </w:rPr>
        <w:t xml:space="preserve"> o zawodach lekarza i lekarza dentysty, ustawy z dnia 6 listopada 2008 r. o prawach pacjenta i Rzeczniku Praw Pacjenta</w:t>
      </w:r>
      <w:r w:rsidRPr="00D24F7A">
        <w:rPr>
          <w:rFonts w:eastAsia="Times New Roman" w:cs="Times New Roman"/>
          <w:iCs/>
          <w:color w:val="000000"/>
          <w:sz w:val="24"/>
          <w:szCs w:val="24"/>
          <w:vertAlign w:val="superscript"/>
          <w:lang w:bidi="en-US"/>
        </w:rPr>
        <w:footnoteReference w:id="93"/>
      </w:r>
      <w:r w:rsidRPr="00D24F7A">
        <w:rPr>
          <w:rFonts w:eastAsia="Times New Roman" w:cs="Times New Roman"/>
          <w:color w:val="000000"/>
          <w:sz w:val="24"/>
          <w:szCs w:val="24"/>
          <w:lang w:bidi="en-US"/>
        </w:rPr>
        <w:t xml:space="preserve"> oraz rozporządzenia Ministra Zdrowia z dnia 10 marca 2010 r.</w:t>
      </w:r>
      <w:r w:rsidRPr="00D24F7A">
        <w:rPr>
          <w:rFonts w:eastAsia="Times New Roman" w:cs="Times New Roman"/>
          <w:iCs/>
          <w:color w:val="000000"/>
          <w:sz w:val="24"/>
          <w:szCs w:val="24"/>
          <w:vertAlign w:val="superscript"/>
          <w:lang w:bidi="en-US"/>
        </w:rPr>
        <w:footnoteReference w:id="94"/>
      </w:r>
      <w:r w:rsidRPr="00D24F7A">
        <w:rPr>
          <w:rFonts w:eastAsia="Times New Roman" w:cs="Times New Roman"/>
          <w:color w:val="000000"/>
          <w:sz w:val="24"/>
          <w:szCs w:val="24"/>
          <w:lang w:bidi="en-US"/>
        </w:rPr>
        <w:t xml:space="preserve"> w sprawie Komisji Lekarskiej działającej przy Rzeczniku Praw Pacjenta, w celu zapewnienia pełnego poszanowania praw pacjentów do rzetelnej informacji i leczenia w przypadkach legalnej aborcji lub diagnostyki prenatalnej.</w:t>
      </w:r>
    </w:p>
    <w:p w:rsidR="006165C6" w:rsidRPr="00D24F7A" w:rsidRDefault="006165C6" w:rsidP="00987EB2">
      <w:pPr>
        <w:pStyle w:val="Akapitzlist"/>
        <w:widowControl w:val="0"/>
        <w:numPr>
          <w:ilvl w:val="0"/>
          <w:numId w:val="52"/>
        </w:numPr>
        <w:spacing w:before="120" w:after="0" w:line="240" w:lineRule="auto"/>
        <w:contextualSpacing w:val="0"/>
        <w:jc w:val="both"/>
        <w:rPr>
          <w:rFonts w:eastAsia="Times New Roman" w:cs="Times New Roman"/>
          <w:color w:val="000000"/>
          <w:sz w:val="24"/>
          <w:szCs w:val="24"/>
          <w:lang w:bidi="en-US"/>
        </w:rPr>
      </w:pPr>
      <w:r w:rsidRPr="00D24F7A">
        <w:rPr>
          <w:rFonts w:eastAsia="Times New Roman" w:cs="Times New Roman"/>
          <w:color w:val="000000"/>
          <w:sz w:val="24"/>
          <w:szCs w:val="24"/>
          <w:lang w:bidi="en-US"/>
        </w:rPr>
        <w:t xml:space="preserve">Rzecznik jest głęboko zaniepokojony faktem, że pomimo decyzji Komitetu Ministrów zachęcających władze do podjęcia natychmiastowych działań, </w:t>
      </w:r>
      <w:r w:rsidRPr="00D24F7A">
        <w:rPr>
          <w:rFonts w:eastAsia="Times New Roman" w:cs="Times New Roman"/>
          <w:b/>
          <w:bCs/>
          <w:color w:val="000000"/>
          <w:sz w:val="24"/>
          <w:szCs w:val="24"/>
          <w:lang w:bidi="en-US"/>
        </w:rPr>
        <w:t xml:space="preserve">nie przeprowadzono żadnych reform, które zminimalizowałyby ryzyko przyszłych naruszeń praw człowieka podobnych do tych, których doświadczyły skarżące w sprawach </w:t>
      </w:r>
      <w:r w:rsidRPr="00BA2C68">
        <w:rPr>
          <w:rFonts w:eastAsia="Times New Roman" w:cs="Times New Roman"/>
          <w:b/>
          <w:bCs/>
          <w:i/>
          <w:iCs/>
          <w:color w:val="000000"/>
          <w:sz w:val="24"/>
          <w:szCs w:val="24"/>
          <w:lang w:bidi="en-US"/>
        </w:rPr>
        <w:t>Tysiąc</w:t>
      </w:r>
      <w:r w:rsidRPr="00D24F7A">
        <w:rPr>
          <w:rFonts w:eastAsia="Times New Roman" w:cs="Times New Roman"/>
          <w:b/>
          <w:bCs/>
          <w:iCs/>
          <w:color w:val="000000"/>
          <w:sz w:val="24"/>
          <w:szCs w:val="24"/>
          <w:lang w:bidi="en-US"/>
        </w:rPr>
        <w:t xml:space="preserve"> i </w:t>
      </w:r>
      <w:r w:rsidRPr="00BA2C68">
        <w:rPr>
          <w:rFonts w:eastAsia="Times New Roman" w:cs="Times New Roman"/>
          <w:b/>
          <w:bCs/>
          <w:i/>
          <w:iCs/>
          <w:color w:val="000000"/>
          <w:sz w:val="24"/>
          <w:szCs w:val="24"/>
          <w:lang w:bidi="en-US"/>
        </w:rPr>
        <w:t>R.R. p</w:t>
      </w:r>
      <w:r w:rsidR="00BA2C68" w:rsidRPr="00BA2C68">
        <w:rPr>
          <w:rFonts w:eastAsia="Times New Roman" w:cs="Times New Roman"/>
          <w:b/>
          <w:bCs/>
          <w:i/>
          <w:iCs/>
          <w:color w:val="000000"/>
          <w:sz w:val="24"/>
          <w:szCs w:val="24"/>
          <w:lang w:bidi="en-US"/>
        </w:rPr>
        <w:t>.</w:t>
      </w:r>
      <w:r w:rsidRPr="00BA2C68">
        <w:rPr>
          <w:rFonts w:eastAsia="Times New Roman" w:cs="Times New Roman"/>
          <w:b/>
          <w:bCs/>
          <w:i/>
          <w:iCs/>
          <w:color w:val="000000"/>
          <w:sz w:val="24"/>
          <w:szCs w:val="24"/>
          <w:lang w:bidi="en-US"/>
        </w:rPr>
        <w:t xml:space="preserve"> Polsce</w:t>
      </w:r>
      <w:r w:rsidRPr="00BA2C68">
        <w:rPr>
          <w:rFonts w:eastAsia="Times New Roman" w:cs="Times New Roman"/>
          <w:b/>
          <w:bCs/>
          <w:i/>
          <w:color w:val="000000"/>
          <w:sz w:val="24"/>
          <w:szCs w:val="24"/>
          <w:lang w:bidi="en-US"/>
        </w:rPr>
        <w:t>.</w:t>
      </w:r>
    </w:p>
    <w:p w:rsidR="006165C6" w:rsidRPr="00D24F7A" w:rsidRDefault="006165C6" w:rsidP="00987EB2">
      <w:pPr>
        <w:pStyle w:val="Akapitzlist"/>
        <w:widowControl w:val="0"/>
        <w:numPr>
          <w:ilvl w:val="0"/>
          <w:numId w:val="52"/>
        </w:numPr>
        <w:spacing w:before="120" w:after="0" w:line="240" w:lineRule="auto"/>
        <w:contextualSpacing w:val="0"/>
        <w:jc w:val="both"/>
        <w:rPr>
          <w:rFonts w:eastAsia="Times New Roman" w:cs="Times New Roman"/>
          <w:color w:val="000000"/>
          <w:sz w:val="24"/>
          <w:szCs w:val="24"/>
          <w:lang w:bidi="en-US"/>
        </w:rPr>
      </w:pPr>
      <w:r w:rsidRPr="00D24F7A">
        <w:rPr>
          <w:rFonts w:eastAsia="Times New Roman" w:cs="Times New Roman"/>
          <w:color w:val="000000"/>
          <w:sz w:val="24"/>
          <w:szCs w:val="24"/>
          <w:lang w:bidi="en-US"/>
        </w:rPr>
        <w:lastRenderedPageBreak/>
        <w:t xml:space="preserve">Rzecznik ponownie wskazuje, że środek wprowadzony do polskiego porządku prawnego w następstwie wydania wyroku w sprawie </w:t>
      </w:r>
      <w:r w:rsidRPr="00D24F7A">
        <w:rPr>
          <w:rFonts w:eastAsia="Times New Roman" w:cs="Times New Roman"/>
          <w:iCs/>
          <w:color w:val="000000"/>
          <w:sz w:val="24"/>
          <w:szCs w:val="24"/>
          <w:lang w:bidi="en-US"/>
        </w:rPr>
        <w:t>Tysiąc</w:t>
      </w:r>
      <w:r w:rsidRPr="00D24F7A">
        <w:rPr>
          <w:rFonts w:eastAsia="Times New Roman" w:cs="Times New Roman"/>
          <w:color w:val="000000"/>
          <w:sz w:val="24"/>
          <w:szCs w:val="24"/>
          <w:lang w:bidi="en-US"/>
        </w:rPr>
        <w:t xml:space="preserve">, tj. prawo pacjenta do sprzeciwu wobec opinii albo orzeczenia lekarza na podstawie art. 31 ust. 1 ustawy z dnia 6 listopada 2008 r. o prawach pacjenta i Rzeczniku Praw Pacjenta, ma zastosowanie w ograniczonych przypadkach. Rzecznik podkreśla, że z brzmienia art. 31 ust. 1 ustawy z dnia 6 listopada 2008 r. o prawach pacjenta i Rzeczniku Praw Pacjenta </w:t>
      </w:r>
      <w:r w:rsidRPr="00D24F7A">
        <w:rPr>
          <w:rFonts w:eastAsia="Times New Roman" w:cs="Times New Roman"/>
          <w:iCs/>
          <w:color w:val="000000"/>
          <w:sz w:val="24"/>
          <w:szCs w:val="24"/>
          <w:lang w:bidi="en-US"/>
        </w:rPr>
        <w:t>expressis verbis</w:t>
      </w:r>
      <w:r w:rsidRPr="00D24F7A">
        <w:rPr>
          <w:rFonts w:eastAsia="Times New Roman" w:cs="Times New Roman"/>
          <w:color w:val="000000"/>
          <w:sz w:val="24"/>
          <w:szCs w:val="24"/>
          <w:lang w:bidi="en-US"/>
        </w:rPr>
        <w:t xml:space="preserve"> wynika, że pacjent ma prawo wnieść sprzeciw wobec „opinii albo orzeczenia” lekarza. </w:t>
      </w:r>
      <w:r w:rsidRPr="00D24F7A">
        <w:rPr>
          <w:rFonts w:eastAsia="Times New Roman" w:cs="Times New Roman"/>
          <w:b/>
          <w:bCs/>
          <w:color w:val="000000"/>
          <w:sz w:val="24"/>
          <w:szCs w:val="24"/>
          <w:lang w:bidi="en-US"/>
        </w:rPr>
        <w:t>Tym samym procedura ta nie będzie miała zastosowania, jeśli – jak to często ma miejsce w przypadkach legalnej aborcji – lekarz odmówi wystawienia pisemnej opinii lub orzeczenia albo niezbędnego skierowania.</w:t>
      </w:r>
    </w:p>
    <w:p w:rsidR="006165C6" w:rsidRPr="00D24F7A" w:rsidRDefault="006165C6" w:rsidP="00987EB2">
      <w:pPr>
        <w:pStyle w:val="Akapitzlist"/>
        <w:widowControl w:val="0"/>
        <w:numPr>
          <w:ilvl w:val="0"/>
          <w:numId w:val="52"/>
        </w:numPr>
        <w:spacing w:before="120" w:after="0" w:line="240" w:lineRule="auto"/>
        <w:contextualSpacing w:val="0"/>
        <w:jc w:val="both"/>
        <w:rPr>
          <w:rFonts w:eastAsia="Times New Roman" w:cs="Times New Roman"/>
          <w:color w:val="000000"/>
          <w:sz w:val="24"/>
          <w:szCs w:val="24"/>
          <w:lang w:bidi="en-US"/>
        </w:rPr>
      </w:pPr>
      <w:r w:rsidRPr="00D24F7A">
        <w:rPr>
          <w:rFonts w:eastAsia="Times New Roman" w:cs="Times New Roman"/>
          <w:color w:val="000000"/>
          <w:sz w:val="24"/>
          <w:szCs w:val="24"/>
          <w:lang w:bidi="en-US"/>
        </w:rPr>
        <w:t xml:space="preserve">Rzecznik wskazuje, że nadmierne wymogi formalne związane z procedurą przy maksymalnym 30-dniowym terminie na rozpatrzenie sprawy mogą zniechęcać pacjentki do składania sprzeciwów. </w:t>
      </w:r>
      <w:r w:rsidRPr="00D24F7A">
        <w:rPr>
          <w:rFonts w:eastAsia="Times New Roman" w:cs="Times New Roman"/>
          <w:b/>
          <w:bCs/>
          <w:color w:val="000000"/>
          <w:sz w:val="24"/>
          <w:szCs w:val="24"/>
          <w:lang w:bidi="en-US"/>
        </w:rPr>
        <w:t>Według najnowszych danych, w 2018 r. do Rzecznika Praw Pacjenta wpłynęło tylko 31 sprzeciwów. Zaledwie pięć z nich, głównie dotyczących braku przeciwwskazań do szczepień, spełniało wymogi formalne a tym samym podlegało rozpatrzeniu przez Komisję Lekarską</w:t>
      </w:r>
      <w:r w:rsidRPr="00D24F7A">
        <w:rPr>
          <w:rFonts w:eastAsia="Times New Roman" w:cs="Times New Roman"/>
          <w:b/>
          <w:bCs/>
          <w:color w:val="000000"/>
          <w:sz w:val="24"/>
          <w:szCs w:val="24"/>
          <w:vertAlign w:val="superscript"/>
          <w:lang w:bidi="en-US"/>
        </w:rPr>
        <w:footnoteReference w:id="95"/>
      </w:r>
      <w:r w:rsidRPr="00D24F7A">
        <w:rPr>
          <w:rFonts w:eastAsia="Times New Roman" w:cs="Times New Roman"/>
          <w:b/>
          <w:bCs/>
          <w:color w:val="000000"/>
          <w:sz w:val="24"/>
          <w:szCs w:val="24"/>
          <w:lang w:bidi="en-US"/>
        </w:rPr>
        <w:t>.</w:t>
      </w:r>
    </w:p>
    <w:p w:rsidR="006165C6" w:rsidRPr="00D24F7A" w:rsidRDefault="006165C6" w:rsidP="00987EB2">
      <w:pPr>
        <w:pStyle w:val="Akapitzlist"/>
        <w:widowControl w:val="0"/>
        <w:numPr>
          <w:ilvl w:val="0"/>
          <w:numId w:val="52"/>
        </w:numPr>
        <w:spacing w:before="120" w:after="0" w:line="240" w:lineRule="auto"/>
        <w:contextualSpacing w:val="0"/>
        <w:jc w:val="both"/>
        <w:rPr>
          <w:rFonts w:eastAsia="Times New Roman" w:cs="Times New Roman"/>
          <w:color w:val="000000"/>
          <w:sz w:val="24"/>
          <w:szCs w:val="24"/>
          <w:lang w:bidi="en-US"/>
        </w:rPr>
      </w:pPr>
      <w:r w:rsidRPr="00D24F7A">
        <w:rPr>
          <w:rFonts w:eastAsia="Times New Roman" w:cs="Times New Roman"/>
          <w:color w:val="000000"/>
          <w:sz w:val="24"/>
          <w:szCs w:val="24"/>
          <w:lang w:bidi="en-US"/>
        </w:rPr>
        <w:t xml:space="preserve">Rzecznik zgadza się, że zgodnie z art. 31 ust. 5 ustawy z dnia 6 listopada 2008 r. o prawach pacjenta i Rzeczniku Praw Pacjenta Komisja Lekarska jest uprawniona do wydawania orzeczeń lekarskich. </w:t>
      </w:r>
      <w:r w:rsidRPr="00D24F7A">
        <w:rPr>
          <w:rFonts w:eastAsia="Times New Roman" w:cs="Times New Roman"/>
          <w:b/>
          <w:bCs/>
          <w:color w:val="000000"/>
          <w:sz w:val="24"/>
          <w:szCs w:val="24"/>
          <w:lang w:bidi="en-US"/>
        </w:rPr>
        <w:t xml:space="preserve">Jednocześnie podkreśla, że ustawa z dnia 6 listopada 2008 r. o prawach pacjenta i Rzeczniku Praw Pacjenta nie wskazuje, czy orzeczenie Komisji Lekarskiej uchyla dotychczasowe orzeczenie. </w:t>
      </w:r>
      <w:r w:rsidRPr="00D24F7A">
        <w:rPr>
          <w:rFonts w:eastAsia="Times New Roman" w:cs="Times New Roman"/>
          <w:color w:val="000000"/>
          <w:sz w:val="24"/>
          <w:szCs w:val="24"/>
          <w:lang w:bidi="en-US"/>
        </w:rPr>
        <w:t>Nie jest zatem jasne, czy ten mechanizm umożliwiłby pacjentce skuteczne domaganie się przeprowadzenia zabiegu przez tego samego świadczeniodawcę.</w:t>
      </w:r>
    </w:p>
    <w:p w:rsidR="006165C6" w:rsidRPr="00D24F7A" w:rsidRDefault="006165C6" w:rsidP="00987EB2">
      <w:pPr>
        <w:pStyle w:val="Akapitzlist"/>
        <w:widowControl w:val="0"/>
        <w:numPr>
          <w:ilvl w:val="0"/>
          <w:numId w:val="52"/>
        </w:numPr>
        <w:spacing w:before="120" w:after="0" w:line="240" w:lineRule="auto"/>
        <w:contextualSpacing w:val="0"/>
        <w:jc w:val="both"/>
        <w:rPr>
          <w:rFonts w:eastAsia="Times New Roman" w:cs="Times New Roman"/>
          <w:color w:val="000000"/>
          <w:sz w:val="24"/>
          <w:szCs w:val="24"/>
          <w:lang w:bidi="en-US"/>
        </w:rPr>
      </w:pPr>
      <w:r w:rsidRPr="00D24F7A">
        <w:rPr>
          <w:rFonts w:eastAsia="Times New Roman" w:cs="Times New Roman"/>
          <w:color w:val="000000"/>
          <w:sz w:val="24"/>
          <w:szCs w:val="24"/>
          <w:lang w:bidi="en-US"/>
        </w:rPr>
        <w:t>Rzecznik podkreśla, że konieczność uproszczenia procedury sprzeciw</w:t>
      </w:r>
      <w:r w:rsidR="00094881" w:rsidRPr="00D24F7A">
        <w:rPr>
          <w:rFonts w:eastAsia="Times New Roman" w:cs="Times New Roman"/>
          <w:color w:val="000000"/>
          <w:sz w:val="24"/>
          <w:szCs w:val="24"/>
          <w:lang w:bidi="en-US"/>
        </w:rPr>
        <w:t>u</w:t>
      </w:r>
      <w:r w:rsidRPr="00D24F7A">
        <w:rPr>
          <w:rFonts w:eastAsia="Times New Roman" w:cs="Times New Roman"/>
          <w:color w:val="000000"/>
          <w:sz w:val="24"/>
          <w:szCs w:val="24"/>
          <w:lang w:bidi="en-US"/>
        </w:rPr>
        <w:t xml:space="preserve">, skrócenia maksymalnego terminu rozpatrzenia sprawy, doprecyzowania statusu prawnego orzeczenia Komisji Lekarskich poprzez opisanie go </w:t>
      </w:r>
      <w:r w:rsidRPr="00D24F7A">
        <w:rPr>
          <w:rFonts w:eastAsia="Times New Roman" w:cs="Times New Roman"/>
          <w:iCs/>
          <w:color w:val="000000"/>
          <w:sz w:val="24"/>
          <w:szCs w:val="24"/>
          <w:lang w:bidi="en-US"/>
        </w:rPr>
        <w:t>expressis verbis</w:t>
      </w:r>
      <w:r w:rsidRPr="00D24F7A">
        <w:rPr>
          <w:rFonts w:eastAsia="Times New Roman" w:cs="Times New Roman"/>
          <w:color w:val="000000"/>
          <w:sz w:val="24"/>
          <w:szCs w:val="24"/>
          <w:lang w:bidi="en-US"/>
        </w:rPr>
        <w:t xml:space="preserve"> w ustawie z dnia 6 listopada 2008 r. o prawach pacjenta i Rzeczniku Praw Pacjenta wyraził również sam Rzecznik Praw Pacjenta</w:t>
      </w:r>
      <w:r w:rsidRPr="00D24F7A">
        <w:rPr>
          <w:rFonts w:eastAsia="Times New Roman" w:cs="Times New Roman"/>
          <w:color w:val="000000"/>
          <w:sz w:val="24"/>
          <w:szCs w:val="24"/>
          <w:vertAlign w:val="superscript"/>
          <w:lang w:bidi="en-US"/>
        </w:rPr>
        <w:footnoteReference w:id="96"/>
      </w:r>
      <w:r w:rsidRPr="00D24F7A">
        <w:rPr>
          <w:rFonts w:eastAsia="Times New Roman" w:cs="Times New Roman"/>
          <w:color w:val="000000"/>
          <w:sz w:val="24"/>
          <w:szCs w:val="24"/>
          <w:lang w:bidi="en-US"/>
        </w:rPr>
        <w:t>.</w:t>
      </w:r>
    </w:p>
    <w:p w:rsidR="006165C6" w:rsidRPr="00D24F7A" w:rsidRDefault="006165C6" w:rsidP="00987EB2">
      <w:pPr>
        <w:pStyle w:val="Akapitzlist"/>
        <w:widowControl w:val="0"/>
        <w:numPr>
          <w:ilvl w:val="0"/>
          <w:numId w:val="52"/>
        </w:numPr>
        <w:spacing w:before="120" w:after="0" w:line="240" w:lineRule="auto"/>
        <w:contextualSpacing w:val="0"/>
        <w:jc w:val="both"/>
        <w:rPr>
          <w:rFonts w:eastAsia="Times New Roman" w:cs="Times New Roman"/>
          <w:color w:val="000000"/>
          <w:sz w:val="24"/>
          <w:szCs w:val="24"/>
          <w:lang w:bidi="en-US"/>
        </w:rPr>
      </w:pPr>
      <w:r w:rsidRPr="00D24F7A">
        <w:rPr>
          <w:rFonts w:eastAsia="Times New Roman" w:cs="Times New Roman"/>
          <w:b/>
          <w:bCs/>
          <w:color w:val="000000"/>
          <w:sz w:val="24"/>
          <w:szCs w:val="24"/>
          <w:lang w:bidi="en-US"/>
        </w:rPr>
        <w:t xml:space="preserve">Podsumowując, Rzecznik z żalem zauważa, że od czasu 1340. posiedzenia Komitetu, które odbyło się w marcu 2019 r., nie wprowadzono żadnych poprawek do ustawy o sprzeciwie pacjenta, które poprawiłyby jej skuteczność, i w związku z tym zwraca się do Komitetu Ministrów o kontynuowanie nadzoru nad wykonaniem wyroków w sprawach </w:t>
      </w:r>
      <w:r w:rsidRPr="00D24F7A">
        <w:rPr>
          <w:rFonts w:eastAsia="Times New Roman" w:cs="Times New Roman"/>
          <w:b/>
          <w:bCs/>
          <w:iCs/>
          <w:color w:val="000000"/>
          <w:sz w:val="24"/>
          <w:szCs w:val="24"/>
          <w:lang w:bidi="en-US"/>
        </w:rPr>
        <w:t>Tysiąc i R.R.</w:t>
      </w:r>
      <w:r w:rsidRPr="00D24F7A">
        <w:rPr>
          <w:rFonts w:eastAsia="Times New Roman" w:cs="Times New Roman"/>
          <w:b/>
          <w:bCs/>
          <w:color w:val="000000"/>
          <w:sz w:val="24"/>
          <w:szCs w:val="24"/>
          <w:lang w:bidi="en-US"/>
        </w:rPr>
        <w:t xml:space="preserve"> w ramach wzmocnionej procedury.</w:t>
      </w:r>
    </w:p>
    <w:p w:rsidR="006165C6" w:rsidRPr="00D24F7A" w:rsidRDefault="006165C6" w:rsidP="00987EB2">
      <w:pPr>
        <w:pStyle w:val="Akapitzlist"/>
        <w:widowControl w:val="0"/>
        <w:numPr>
          <w:ilvl w:val="0"/>
          <w:numId w:val="51"/>
        </w:numPr>
        <w:tabs>
          <w:tab w:val="left" w:pos="1094"/>
        </w:tabs>
        <w:spacing w:before="120" w:after="0" w:line="240" w:lineRule="auto"/>
        <w:contextualSpacing w:val="0"/>
        <w:jc w:val="both"/>
        <w:rPr>
          <w:rFonts w:eastAsia="Times New Roman" w:cs="Times New Roman"/>
          <w:b/>
          <w:bCs/>
          <w:color w:val="000000"/>
          <w:sz w:val="24"/>
          <w:szCs w:val="24"/>
          <w:lang w:bidi="en-US"/>
        </w:rPr>
      </w:pPr>
      <w:r w:rsidRPr="00D24F7A">
        <w:rPr>
          <w:rFonts w:eastAsia="Times New Roman" w:cs="Times New Roman"/>
          <w:b/>
          <w:bCs/>
          <w:color w:val="000000"/>
          <w:sz w:val="24"/>
          <w:szCs w:val="24"/>
          <w:lang w:bidi="en-US"/>
        </w:rPr>
        <w:t>Dec</w:t>
      </w:r>
      <w:r w:rsidR="00094881" w:rsidRPr="00D24F7A">
        <w:rPr>
          <w:rFonts w:eastAsia="Times New Roman" w:cs="Times New Roman"/>
          <w:b/>
          <w:bCs/>
          <w:color w:val="000000"/>
          <w:sz w:val="24"/>
          <w:szCs w:val="24"/>
          <w:lang w:bidi="en-US"/>
        </w:rPr>
        <w:t>yzja</w:t>
      </w:r>
      <w:r w:rsidR="00D24F7A" w:rsidRPr="00D24F7A">
        <w:rPr>
          <w:rFonts w:eastAsia="Times New Roman" w:cs="Times New Roman"/>
          <w:b/>
          <w:bCs/>
          <w:color w:val="000000"/>
          <w:sz w:val="24"/>
          <w:szCs w:val="24"/>
          <w:lang w:bidi="en-US"/>
        </w:rPr>
        <w:t xml:space="preserve"> Komitetu Ministrów</w:t>
      </w:r>
      <w:r w:rsidR="00094881" w:rsidRPr="00D24F7A">
        <w:rPr>
          <w:rFonts w:eastAsia="Times New Roman" w:cs="Times New Roman"/>
          <w:b/>
          <w:bCs/>
          <w:color w:val="000000"/>
          <w:sz w:val="24"/>
          <w:szCs w:val="24"/>
          <w:lang w:bidi="en-US"/>
        </w:rPr>
        <w:t xml:space="preserve"> w sprawie P. i S. p.</w:t>
      </w:r>
      <w:r w:rsidRPr="00D24F7A">
        <w:rPr>
          <w:rFonts w:eastAsia="Times New Roman" w:cs="Times New Roman"/>
          <w:b/>
          <w:bCs/>
          <w:color w:val="000000"/>
          <w:sz w:val="24"/>
          <w:szCs w:val="24"/>
          <w:lang w:bidi="en-US"/>
        </w:rPr>
        <w:t xml:space="preserve"> Polsce</w:t>
      </w:r>
    </w:p>
    <w:p w:rsidR="006165C6" w:rsidRPr="00D24F7A" w:rsidRDefault="006165C6" w:rsidP="00987EB2">
      <w:pPr>
        <w:pStyle w:val="Akapitzlist"/>
        <w:widowControl w:val="0"/>
        <w:numPr>
          <w:ilvl w:val="0"/>
          <w:numId w:val="52"/>
        </w:numPr>
        <w:spacing w:before="120" w:after="0" w:line="240" w:lineRule="auto"/>
        <w:contextualSpacing w:val="0"/>
        <w:jc w:val="both"/>
        <w:rPr>
          <w:rFonts w:eastAsia="Times New Roman" w:cs="Times New Roman"/>
          <w:color w:val="000000"/>
          <w:sz w:val="24"/>
          <w:szCs w:val="24"/>
          <w:lang w:bidi="en-US"/>
        </w:rPr>
      </w:pPr>
      <w:r w:rsidRPr="00D24F7A">
        <w:rPr>
          <w:rFonts w:eastAsia="Times New Roman" w:cs="Times New Roman"/>
          <w:color w:val="000000"/>
          <w:sz w:val="24"/>
          <w:szCs w:val="24"/>
          <w:lang w:bidi="en-US"/>
        </w:rPr>
        <w:t xml:space="preserve">Rzecznik w pełni podziela stanowisko Komitetu w przedmiocie wykonania wyroku w sprawie </w:t>
      </w:r>
      <w:r w:rsidR="008E32CB" w:rsidRPr="008E32CB">
        <w:rPr>
          <w:rFonts w:eastAsia="Times New Roman" w:cs="Times New Roman"/>
          <w:i/>
          <w:iCs/>
          <w:color w:val="000000"/>
          <w:sz w:val="24"/>
          <w:szCs w:val="24"/>
          <w:lang w:bidi="en-US"/>
        </w:rPr>
        <w:t>P. i S. p.</w:t>
      </w:r>
      <w:r w:rsidRPr="008E32CB">
        <w:rPr>
          <w:rFonts w:eastAsia="Times New Roman" w:cs="Times New Roman"/>
          <w:i/>
          <w:iCs/>
          <w:color w:val="000000"/>
          <w:sz w:val="24"/>
          <w:szCs w:val="24"/>
          <w:lang w:bidi="en-US"/>
        </w:rPr>
        <w:t xml:space="preserve"> Polsce</w:t>
      </w:r>
      <w:r w:rsidRPr="00D24F7A">
        <w:rPr>
          <w:rFonts w:eastAsia="Times New Roman" w:cs="Times New Roman"/>
          <w:color w:val="000000"/>
          <w:sz w:val="24"/>
          <w:szCs w:val="24"/>
          <w:lang w:bidi="en-US"/>
        </w:rPr>
        <w:t xml:space="preserve">. Rzecznik jest zdania, że kluczowe znaczenie ma wprowadzenie przejrzystych i skutecznych procedur dla placówek medycznych wskazujących, jakie kroki należy podjąć, aby uzyskać dostęp do legalnej aborcji lub innych zabiegów medycznych związanych z ciążą. Rzecznik z zadowoleniem przyjmuje sugestię Komitetu dotyczącą włączenia do krajowego porządku prawnego zobowiązania szpitala do niezwłocznego przeniesienia pacjenta do innej placówki, w której niezbędne świadczenie zostanie </w:t>
      </w:r>
      <w:r w:rsidRPr="00D24F7A">
        <w:rPr>
          <w:rFonts w:eastAsia="Times New Roman" w:cs="Times New Roman"/>
          <w:color w:val="000000"/>
          <w:sz w:val="24"/>
          <w:szCs w:val="24"/>
          <w:lang w:bidi="en-US"/>
        </w:rPr>
        <w:lastRenderedPageBreak/>
        <w:t>wykonane, w szczególności w sytuacjach dotyczących stosowania klauzuli sumienia. Rzecznik zgadza się, że szczególną uwagę należy poświęcić pacjentkom znajdującym się w trudnym położeniu, a mianowicie małoletnim lub ofiarom przestępstw na tle seksualnym, zwłaszcza poprzez zapewnienie im niezbędnego wsparcia ze strony odpowiednich podmiotów państwowych.</w:t>
      </w:r>
    </w:p>
    <w:p w:rsidR="006165C6" w:rsidRPr="00D24F7A" w:rsidRDefault="006165C6" w:rsidP="00987EB2">
      <w:pPr>
        <w:pStyle w:val="Akapitzlist"/>
        <w:widowControl w:val="0"/>
        <w:numPr>
          <w:ilvl w:val="0"/>
          <w:numId w:val="52"/>
        </w:numPr>
        <w:spacing w:before="120" w:after="0" w:line="240" w:lineRule="auto"/>
        <w:contextualSpacing w:val="0"/>
        <w:jc w:val="both"/>
        <w:rPr>
          <w:rFonts w:eastAsia="Times New Roman" w:cs="Times New Roman"/>
          <w:color w:val="000000"/>
          <w:sz w:val="24"/>
          <w:szCs w:val="24"/>
          <w:lang w:bidi="en-US"/>
        </w:rPr>
      </w:pPr>
      <w:r w:rsidRPr="00D24F7A">
        <w:rPr>
          <w:rFonts w:eastAsia="Times New Roman" w:cs="Times New Roman"/>
          <w:color w:val="000000"/>
          <w:sz w:val="24"/>
          <w:szCs w:val="24"/>
          <w:lang w:bidi="en-US"/>
        </w:rPr>
        <w:t>W odniesieniu do zalecenia dotyczącego wprowadzenia wytycznych dla szpitali Rzecznik wskazuje, że w swoim stanowisku władze koncentrują się głównie na argumentach, które zostały już przedstawione Komitetowi. Swoją argumentację rząd formułuje wokół pojęcia „zobowiązania umownego” pomiędzy świadczeniodawcą a Narodowym Funduszem Zdrowia na podstawie § 3 rozporządzenia Ministra Zdrowia z dnia 8 września 2015 r. w sprawie ogólnych warunków umów o udzielanie świadczeń opieki zdrowotnej oraz możliwości nałożenia kary pieniężnej w przypadku naruszenia umowy. W tym względzie Rzecznik podtrzymuje swoje wątpliwości, które już wyraził w poprzednich wystąpieniach</w:t>
      </w:r>
      <w:r w:rsidRPr="00D24F7A">
        <w:rPr>
          <w:rFonts w:eastAsia="Times New Roman" w:cs="Times New Roman"/>
          <w:color w:val="000000"/>
          <w:sz w:val="24"/>
          <w:szCs w:val="24"/>
          <w:vertAlign w:val="superscript"/>
          <w:lang w:bidi="en-US"/>
        </w:rPr>
        <w:footnoteReference w:id="97"/>
      </w:r>
      <w:r w:rsidRPr="00D24F7A">
        <w:rPr>
          <w:rFonts w:eastAsia="Times New Roman" w:cs="Times New Roman"/>
          <w:color w:val="000000"/>
          <w:sz w:val="24"/>
          <w:szCs w:val="24"/>
          <w:lang w:bidi="en-US"/>
        </w:rPr>
        <w:t xml:space="preserve"> w zakresie tego, czy nałożenie kary finansowej, która jest środkiem represyjnym post factum, realnie poprawiłoby dostęp pacjentek do świadczeń zdrowotnych, których udzielenia odmówiono. Rzecznik zauważa również, że brak skarg ze strony pacjentek lub kar nałożonych na przestrzeni lat w ramach tej procedury świadczy o tym, że istnieją poważne powody, aby poddać skuteczność tej procedury kontroli.</w:t>
      </w:r>
    </w:p>
    <w:p w:rsidR="006165C6" w:rsidRPr="00D24F7A" w:rsidRDefault="006165C6" w:rsidP="00987EB2">
      <w:pPr>
        <w:pStyle w:val="Akapitzlist"/>
        <w:widowControl w:val="0"/>
        <w:numPr>
          <w:ilvl w:val="0"/>
          <w:numId w:val="52"/>
        </w:numPr>
        <w:spacing w:before="120" w:after="0" w:line="240" w:lineRule="auto"/>
        <w:contextualSpacing w:val="0"/>
        <w:jc w:val="both"/>
        <w:rPr>
          <w:rFonts w:eastAsia="Times New Roman" w:cs="Times New Roman"/>
          <w:color w:val="000000"/>
          <w:sz w:val="24"/>
          <w:szCs w:val="24"/>
          <w:lang w:bidi="en-US"/>
        </w:rPr>
      </w:pPr>
      <w:r w:rsidRPr="00D24F7A">
        <w:rPr>
          <w:rFonts w:eastAsia="Times New Roman" w:cs="Times New Roman"/>
          <w:color w:val="000000"/>
          <w:sz w:val="24"/>
          <w:szCs w:val="24"/>
          <w:lang w:bidi="en-US"/>
        </w:rPr>
        <w:t xml:space="preserve">W odniesieniu do </w:t>
      </w:r>
      <w:r w:rsidRPr="00D24F7A">
        <w:rPr>
          <w:rFonts w:eastAsia="Times New Roman" w:cs="Times New Roman"/>
          <w:iCs/>
          <w:color w:val="000000"/>
          <w:sz w:val="24"/>
          <w:szCs w:val="24"/>
          <w:lang w:bidi="en-US"/>
        </w:rPr>
        <w:t>Zaleceń Konsultantów Krajowych w dziedzinie Położnictwa i Ginekologii oraz Perinatologii dotyczących opieki nad pacjentkami podejmującymi decyzję o zakończeniu ciąży w warunkach dopuszczalnych na podstawie ustawy z dnia 7 stycznia 1993 r. o planowaniu rodziny, ochronie płodu ludzkiego i warunkach dopuszczalności przerwania ciąży</w:t>
      </w:r>
      <w:r w:rsidRPr="00D24F7A">
        <w:rPr>
          <w:rFonts w:eastAsia="Times New Roman" w:cs="Times New Roman"/>
          <w:iCs/>
          <w:color w:val="000000"/>
          <w:sz w:val="24"/>
          <w:szCs w:val="24"/>
          <w:vertAlign w:val="superscript"/>
          <w:lang w:bidi="en-US"/>
        </w:rPr>
        <w:footnoteReference w:id="98"/>
      </w:r>
      <w:r w:rsidRPr="00D24F7A">
        <w:rPr>
          <w:rFonts w:eastAsia="Times New Roman" w:cs="Times New Roman"/>
          <w:color w:val="000000"/>
          <w:sz w:val="24"/>
          <w:szCs w:val="24"/>
          <w:lang w:bidi="en-US"/>
        </w:rPr>
        <w:t xml:space="preserve">, które wydano w maju 2019 r., Rzecznik wskazuje, że </w:t>
      </w:r>
      <w:r w:rsidRPr="00D24F7A">
        <w:rPr>
          <w:rFonts w:eastAsia="Times New Roman" w:cs="Times New Roman"/>
          <w:b/>
          <w:bCs/>
          <w:color w:val="000000"/>
          <w:sz w:val="24"/>
          <w:szCs w:val="24"/>
          <w:lang w:bidi="en-US"/>
        </w:rPr>
        <w:t>ten jednostronicowy niewiążący dokument ogranicza się do stwierdzenia, że jeśli pacjentka chce zgodnie z prawem przerwać ciążę, placówki medyczne są zobowiązane do przeprowadzenia zgodnego z prawem zabiegu przerwania ciąży w warunkach określonych przepisami prawa</w:t>
      </w:r>
      <w:r w:rsidRPr="00D24F7A">
        <w:rPr>
          <w:rFonts w:eastAsia="Times New Roman" w:cs="Times New Roman"/>
          <w:color w:val="000000"/>
          <w:sz w:val="24"/>
          <w:szCs w:val="24"/>
          <w:lang w:bidi="en-US"/>
        </w:rPr>
        <w:t xml:space="preserve">. </w:t>
      </w:r>
      <w:r w:rsidRPr="00D24F7A">
        <w:rPr>
          <w:rFonts w:eastAsia="Times New Roman" w:cs="Times New Roman"/>
          <w:b/>
          <w:bCs/>
          <w:color w:val="000000"/>
          <w:sz w:val="24"/>
          <w:szCs w:val="24"/>
          <w:lang w:bidi="en-US"/>
        </w:rPr>
        <w:t>Rzecznik wskazuje, że zalecenia nie zawierają żadnych zobowiązań prawnych, np. zachęcenia szpitali do opracowania i wprowadzenia kodeksu postępowania w sytuacjach, gdy odmówiono wykonania aborcji lub innych zabiegów medycznych.</w:t>
      </w:r>
    </w:p>
    <w:p w:rsidR="006165C6" w:rsidRPr="00D24F7A" w:rsidRDefault="006165C6" w:rsidP="00987EB2">
      <w:pPr>
        <w:pStyle w:val="Akapitzlist"/>
        <w:widowControl w:val="0"/>
        <w:numPr>
          <w:ilvl w:val="0"/>
          <w:numId w:val="52"/>
        </w:numPr>
        <w:spacing w:before="120" w:after="0" w:line="240" w:lineRule="auto"/>
        <w:contextualSpacing w:val="0"/>
        <w:jc w:val="both"/>
        <w:rPr>
          <w:rFonts w:eastAsia="Times New Roman" w:cs="Times New Roman"/>
          <w:color w:val="000000"/>
          <w:sz w:val="24"/>
          <w:szCs w:val="24"/>
          <w:lang w:bidi="en-US"/>
        </w:rPr>
      </w:pPr>
      <w:r w:rsidRPr="00D24F7A">
        <w:rPr>
          <w:rFonts w:eastAsia="Times New Roman" w:cs="Times New Roman"/>
          <w:color w:val="000000"/>
          <w:sz w:val="24"/>
          <w:szCs w:val="24"/>
          <w:lang w:bidi="en-US"/>
        </w:rPr>
        <w:t>Rzecznik z zadowoleniem przyjmuje próby władz zmierzające do zmiany ustawy z dnia 5 grudnia 1996 r. o zawodach lekarza i lekarza dentysty poprzez dodanie nowego § 2 lub art. 39 nakładającego na podmiot udzielający świadczeń zdrowotnych prawny obowiązek poinformowania pacjenta o sposobie uzyskania świadczenia zdrowotnego, którego udzielenia odmówiono ze względu na klauzulę sumienia. Rzecznik reguluje tę kwestię w sposób szczegółowy i jasno wskazuje niezbędne kroki, które pacjentka powinna podjąć. Rzecznik wzywa władze do niezwłocznego przyjęcia projektu ustawy i przedstawienia go Parlamentowi bez zbędnej zwłoki, biorąc pod uwagę, że z powodu braku postępów pacjentki, którym odmówiono leczenia, pozostają w niezwykle trudnej sytuacji.</w:t>
      </w:r>
    </w:p>
    <w:p w:rsidR="006165C6" w:rsidRPr="00D24F7A" w:rsidRDefault="006165C6" w:rsidP="00987EB2">
      <w:pPr>
        <w:pStyle w:val="Akapitzlist"/>
        <w:widowControl w:val="0"/>
        <w:numPr>
          <w:ilvl w:val="0"/>
          <w:numId w:val="52"/>
        </w:numPr>
        <w:spacing w:before="120" w:after="0" w:line="240" w:lineRule="auto"/>
        <w:contextualSpacing w:val="0"/>
        <w:jc w:val="both"/>
        <w:rPr>
          <w:rFonts w:eastAsia="Times New Roman" w:cs="Times New Roman"/>
          <w:color w:val="000000"/>
          <w:sz w:val="24"/>
          <w:szCs w:val="24"/>
          <w:lang w:bidi="en-US"/>
        </w:rPr>
      </w:pPr>
      <w:r w:rsidRPr="00D24F7A">
        <w:rPr>
          <w:rFonts w:eastAsia="Times New Roman" w:cs="Times New Roman"/>
          <w:color w:val="000000"/>
          <w:sz w:val="24"/>
          <w:szCs w:val="24"/>
          <w:lang w:bidi="en-US"/>
        </w:rPr>
        <w:t xml:space="preserve">W odniesieniu do zgodnego z prawem przerwania ciąży na podstawie art. 4a ust. 1, 3 i 5 ustawy z dnia 7 stycznia 1993 r. o planowaniu rodziny, ochronie płodu ludzkiego i warunkach dopuszczalności przerwania ciąży, tj. gdy ciąża powstała w wyniku czynu </w:t>
      </w:r>
      <w:r w:rsidRPr="00D24F7A">
        <w:rPr>
          <w:rFonts w:eastAsia="Times New Roman" w:cs="Times New Roman"/>
          <w:color w:val="000000"/>
          <w:sz w:val="24"/>
          <w:szCs w:val="24"/>
          <w:lang w:bidi="en-US"/>
        </w:rPr>
        <w:lastRenderedPageBreak/>
        <w:t xml:space="preserve">zabronionego, Rzecznik przypomina, że to prokurator jest odpowiedzialny za ustalenie stanu faktycznego sprawy i jest uprawniony do wydania stosownego oświadczenia w przedmiocie zgodnego z prawem przerwania ciąży. Z tego względu, zdaniem Rzecznika, to prokurator lub funkcjonariusz Policji powinien zapewnić, by </w:t>
      </w:r>
      <w:r w:rsidRPr="00D24F7A">
        <w:rPr>
          <w:rFonts w:eastAsia="Times New Roman" w:cs="Times New Roman"/>
          <w:b/>
          <w:bCs/>
          <w:color w:val="000000"/>
          <w:sz w:val="24"/>
          <w:szCs w:val="24"/>
          <w:lang w:bidi="en-US"/>
        </w:rPr>
        <w:t>zgłaszając przestępstwo o charakterze seksualnym, osoba pokrzywdzona otrzymała pełną i rzetelną informację o przysługujących jej prawach, także w zakresie dostępu do aborcji</w:t>
      </w:r>
      <w:r w:rsidRPr="00D24F7A">
        <w:rPr>
          <w:rFonts w:eastAsia="Times New Roman" w:cs="Times New Roman"/>
          <w:color w:val="000000"/>
          <w:sz w:val="24"/>
          <w:szCs w:val="24"/>
          <w:lang w:bidi="en-US"/>
        </w:rPr>
        <w:t>.</w:t>
      </w:r>
    </w:p>
    <w:p w:rsidR="006165C6" w:rsidRPr="00D24F7A" w:rsidRDefault="006165C6" w:rsidP="00987EB2">
      <w:pPr>
        <w:pStyle w:val="Akapitzlist"/>
        <w:widowControl w:val="0"/>
        <w:numPr>
          <w:ilvl w:val="0"/>
          <w:numId w:val="52"/>
        </w:numPr>
        <w:spacing w:before="120" w:after="0" w:line="240" w:lineRule="auto"/>
        <w:contextualSpacing w:val="0"/>
        <w:jc w:val="both"/>
        <w:rPr>
          <w:sz w:val="24"/>
          <w:szCs w:val="24"/>
          <w:u w:val="single"/>
        </w:rPr>
      </w:pPr>
      <w:r w:rsidRPr="005255E8">
        <w:rPr>
          <w:rFonts w:eastAsia="Times New Roman" w:cs="Times New Roman"/>
          <w:b/>
          <w:bCs/>
          <w:color w:val="000000"/>
          <w:sz w:val="24"/>
          <w:szCs w:val="24"/>
          <w:lang w:bidi="en-US"/>
        </w:rPr>
        <w:t>Rzecznik</w:t>
      </w:r>
      <w:r w:rsidRPr="00D24F7A">
        <w:rPr>
          <w:rFonts w:eastAsia="Arial Unicode MS" w:cs="Arial Unicode MS"/>
          <w:color w:val="000000"/>
          <w:sz w:val="24"/>
          <w:szCs w:val="24"/>
          <w:lang w:bidi="en-US"/>
        </w:rPr>
        <w:t xml:space="preserve"> z rozczarowaniem zauważa, że</w:t>
      </w:r>
      <w:r w:rsidRPr="00D24F7A">
        <w:rPr>
          <w:rFonts w:eastAsia="Arial Unicode MS" w:cs="Arial Unicode MS"/>
          <w:b/>
          <w:bCs/>
          <w:color w:val="000000"/>
          <w:sz w:val="24"/>
          <w:szCs w:val="24"/>
          <w:lang w:bidi="en-US"/>
        </w:rPr>
        <w:t xml:space="preserve"> od czasu 1340. posiedzenia Komitetu, które odbyło się w marcu 2019 r., obowiązek informowania pokrzywdzonej przemocą seksualną o jej prawie do przerwania ciąży nie został uwzględniony w </w:t>
      </w:r>
      <w:r w:rsidRPr="00D24F7A">
        <w:rPr>
          <w:rFonts w:eastAsia="Arial Unicode MS" w:cs="Arial Unicode MS"/>
          <w:b/>
          <w:bCs/>
          <w:iCs/>
          <w:color w:val="000000"/>
          <w:sz w:val="24"/>
          <w:szCs w:val="24"/>
          <w:lang w:bidi="en-US"/>
        </w:rPr>
        <w:t>Wytycznych Prokuratora Generalnego z dnia 18 grudnia 2015 r. w sprawie zasad postępowania w sprawach o przestępstwo zgwałcenia</w:t>
      </w:r>
      <w:r w:rsidRPr="00D24F7A">
        <w:rPr>
          <w:rFonts w:eastAsia="Arial Unicode MS" w:cs="Arial Unicode MS"/>
          <w:b/>
          <w:bCs/>
          <w:iCs/>
          <w:color w:val="000000"/>
          <w:sz w:val="24"/>
          <w:szCs w:val="24"/>
          <w:vertAlign w:val="superscript"/>
          <w:lang w:bidi="en-US"/>
        </w:rPr>
        <w:footnoteReference w:id="99"/>
      </w:r>
      <w:r w:rsidRPr="00D24F7A">
        <w:rPr>
          <w:rFonts w:eastAsia="Arial Unicode MS" w:cs="Arial Unicode MS"/>
          <w:b/>
          <w:bCs/>
          <w:iCs/>
          <w:color w:val="000000"/>
          <w:sz w:val="24"/>
          <w:szCs w:val="24"/>
          <w:lang w:bidi="en-US"/>
        </w:rPr>
        <w:t xml:space="preserve"> ani w Procedurze postępowania Policji z osobą, która doświadczyła przemocy seksualnej</w:t>
      </w:r>
      <w:r w:rsidRPr="00D24F7A">
        <w:rPr>
          <w:rFonts w:eastAsia="Arial Unicode MS" w:cs="Arial Unicode MS"/>
          <w:b/>
          <w:bCs/>
          <w:iCs/>
          <w:color w:val="000000"/>
          <w:sz w:val="24"/>
          <w:szCs w:val="24"/>
          <w:vertAlign w:val="superscript"/>
          <w:lang w:bidi="en-US"/>
        </w:rPr>
        <w:footnoteReference w:id="100"/>
      </w:r>
      <w:r w:rsidRPr="00D24F7A">
        <w:rPr>
          <w:rFonts w:eastAsia="Arial Unicode MS" w:cs="Arial Unicode MS"/>
          <w:color w:val="000000"/>
          <w:sz w:val="24"/>
          <w:szCs w:val="24"/>
          <w:lang w:bidi="en-US"/>
        </w:rPr>
        <w:t xml:space="preserve">. Biorąc pod uwagę brak natychmiastowych działań na rzecz poszanowania praw pokrzywdzonych przestępstwami na tle seksualnym, między innymi poprzez zapewnienie dostępu do legalnej aborcji, Rzecznik zwraca się do Komitetu o rozważenie kontynuowania nadzoru nad wykonaniem wyroku w sprawie </w:t>
      </w:r>
      <w:r w:rsidR="008E32CB" w:rsidRPr="008E32CB">
        <w:rPr>
          <w:rFonts w:eastAsia="Arial Unicode MS" w:cs="Arial Unicode MS"/>
          <w:i/>
          <w:iCs/>
          <w:color w:val="000000"/>
          <w:sz w:val="24"/>
          <w:szCs w:val="24"/>
          <w:lang w:bidi="en-US"/>
        </w:rPr>
        <w:t>P. i S. p.</w:t>
      </w:r>
      <w:r w:rsidRPr="008E32CB">
        <w:rPr>
          <w:rFonts w:eastAsia="Arial Unicode MS" w:cs="Arial Unicode MS"/>
          <w:i/>
          <w:iCs/>
          <w:color w:val="000000"/>
          <w:sz w:val="24"/>
          <w:szCs w:val="24"/>
          <w:lang w:bidi="en-US"/>
        </w:rPr>
        <w:t xml:space="preserve"> Polsce</w:t>
      </w:r>
      <w:r w:rsidRPr="00D24F7A">
        <w:rPr>
          <w:rFonts w:eastAsia="Arial Unicode MS" w:cs="Arial Unicode MS"/>
          <w:color w:val="000000"/>
          <w:sz w:val="24"/>
          <w:szCs w:val="24"/>
          <w:lang w:bidi="en-US"/>
        </w:rPr>
        <w:t xml:space="preserve"> w ramach wzmocnionej procedury.</w:t>
      </w:r>
    </w:p>
    <w:p w:rsidR="00094881" w:rsidRDefault="00094881" w:rsidP="00ED526F">
      <w:pPr>
        <w:rPr>
          <w:sz w:val="24"/>
          <w:szCs w:val="24"/>
          <w:highlight w:val="yellow"/>
          <w:u w:val="single"/>
        </w:rPr>
      </w:pPr>
    </w:p>
    <w:p w:rsidR="00ED526F" w:rsidRPr="009552FD" w:rsidRDefault="00ED526F" w:rsidP="00ED526F">
      <w:pPr>
        <w:rPr>
          <w:sz w:val="24"/>
          <w:szCs w:val="24"/>
          <w:u w:val="single"/>
        </w:rPr>
      </w:pPr>
      <w:r w:rsidRPr="009552FD">
        <w:rPr>
          <w:sz w:val="24"/>
          <w:szCs w:val="24"/>
          <w:u w:val="single"/>
        </w:rPr>
        <w:t xml:space="preserve">Odpowiedź rządu z dnia </w:t>
      </w:r>
      <w:r w:rsidR="00F57FDB" w:rsidRPr="009552FD">
        <w:rPr>
          <w:sz w:val="24"/>
          <w:szCs w:val="24"/>
          <w:u w:val="single"/>
        </w:rPr>
        <w:t>12</w:t>
      </w:r>
      <w:r w:rsidRPr="009552FD">
        <w:rPr>
          <w:sz w:val="24"/>
          <w:szCs w:val="24"/>
          <w:u w:val="single"/>
        </w:rPr>
        <w:t xml:space="preserve"> lutego 2020 r. </w:t>
      </w:r>
    </w:p>
    <w:p w:rsidR="00F57FDB" w:rsidRPr="00F57FDB" w:rsidRDefault="00F57FDB" w:rsidP="00F57FDB">
      <w:pPr>
        <w:spacing w:after="120" w:line="240" w:lineRule="auto"/>
        <w:jc w:val="both"/>
        <w:rPr>
          <w:rFonts w:eastAsia="Times New Roman" w:cs="Times New Roman"/>
          <w:sz w:val="24"/>
          <w:szCs w:val="24"/>
          <w:lang w:eastAsia="pl-PL"/>
        </w:rPr>
      </w:pPr>
      <w:r w:rsidRPr="00F57FDB">
        <w:rPr>
          <w:rFonts w:eastAsia="Times New Roman" w:cs="Times New Roman"/>
          <w:sz w:val="24"/>
          <w:szCs w:val="24"/>
          <w:lang w:eastAsia="pl-PL"/>
        </w:rPr>
        <w:t xml:space="preserve">W odpowiedzi na komunikację Rzecznika Praw Obywatelskich z dnia 29 stycznia 2020 r. Rzecznika Praw Obywatelskich dotyczącą wykonanie wyroków Europejskiego Trybunału Praw Człowieka w sprawach </w:t>
      </w:r>
      <w:r w:rsidRPr="00F57FDB">
        <w:rPr>
          <w:rFonts w:eastAsia="Times New Roman" w:cs="Times New Roman"/>
          <w:i/>
          <w:sz w:val="24"/>
          <w:szCs w:val="24"/>
          <w:lang w:eastAsia="pl-PL"/>
        </w:rPr>
        <w:t>Tysiąc p. Polsce</w:t>
      </w:r>
      <w:r w:rsidRPr="00F57FDB">
        <w:rPr>
          <w:rFonts w:eastAsia="Times New Roman" w:cs="Times New Roman"/>
          <w:sz w:val="24"/>
          <w:szCs w:val="24"/>
          <w:lang w:eastAsia="pl-PL"/>
        </w:rPr>
        <w:t xml:space="preserve">, </w:t>
      </w:r>
      <w:r w:rsidRPr="00F57FDB">
        <w:rPr>
          <w:rFonts w:eastAsia="Times New Roman" w:cs="Times New Roman"/>
          <w:i/>
          <w:sz w:val="24"/>
          <w:szCs w:val="24"/>
          <w:lang w:eastAsia="pl-PL"/>
        </w:rPr>
        <w:t>R.R. p. Polsce</w:t>
      </w:r>
      <w:r w:rsidRPr="00F57FDB">
        <w:rPr>
          <w:rFonts w:eastAsia="Times New Roman" w:cs="Times New Roman"/>
          <w:sz w:val="24"/>
          <w:szCs w:val="24"/>
          <w:lang w:eastAsia="pl-PL"/>
        </w:rPr>
        <w:t xml:space="preserve"> i </w:t>
      </w:r>
      <w:r w:rsidRPr="00F57FDB">
        <w:rPr>
          <w:rFonts w:eastAsia="Times New Roman" w:cs="Times New Roman"/>
          <w:i/>
          <w:sz w:val="24"/>
          <w:szCs w:val="24"/>
          <w:lang w:eastAsia="pl-PL"/>
        </w:rPr>
        <w:t>P. i S. p. Polsce</w:t>
      </w:r>
      <w:r w:rsidRPr="00F57FDB">
        <w:rPr>
          <w:rFonts w:eastAsia="Times New Roman" w:cs="Times New Roman"/>
          <w:sz w:val="24"/>
          <w:szCs w:val="24"/>
          <w:lang w:eastAsia="pl-PL"/>
        </w:rPr>
        <w:t xml:space="preserve">, rząd Polski chciałby przedłożyć następujące uwagi. </w:t>
      </w:r>
    </w:p>
    <w:p w:rsidR="00F57FDB" w:rsidRPr="00F57FDB" w:rsidRDefault="00F57FDB" w:rsidP="00F57FDB">
      <w:pPr>
        <w:spacing w:after="120" w:line="240" w:lineRule="auto"/>
        <w:jc w:val="both"/>
        <w:rPr>
          <w:rFonts w:eastAsia="Times New Roman" w:cs="TimesNewRomanPS-BoldMT"/>
          <w:bCs/>
          <w:sz w:val="24"/>
          <w:szCs w:val="24"/>
          <w:lang w:eastAsia="pl-PL"/>
        </w:rPr>
      </w:pPr>
      <w:r w:rsidRPr="00F57FDB">
        <w:rPr>
          <w:rFonts w:eastAsia="Times New Roman" w:cs="TimesNewRomanPS-BoldMT"/>
          <w:bCs/>
          <w:sz w:val="24"/>
          <w:szCs w:val="24"/>
          <w:lang w:eastAsia="pl-PL"/>
        </w:rPr>
        <w:t>Odnosząc się do kwestii umożliwienia pacjentkom skutecznego korzystania z prawa do legalnej aborcji, należy podkreślić, że władze w Polsce zapewniają wszystkim obywatelom równy dostęp do świadczeń opieki zdrowotnej finansowanych ze środków publicznych, niezależnie od ich sytuacji materialnej. Jednym ze świadczeń opieki zdrowotnej jest zabieg przerywania ciąży.</w:t>
      </w:r>
    </w:p>
    <w:p w:rsidR="00F57FDB" w:rsidRPr="00F57FDB" w:rsidRDefault="00F57FDB" w:rsidP="00F57FDB">
      <w:pPr>
        <w:spacing w:after="120" w:line="240" w:lineRule="auto"/>
        <w:jc w:val="both"/>
        <w:rPr>
          <w:rFonts w:eastAsia="Times New Roman" w:cs="Times New Roman"/>
          <w:sz w:val="24"/>
          <w:szCs w:val="24"/>
          <w:lang w:eastAsia="pl-PL"/>
        </w:rPr>
      </w:pPr>
      <w:r w:rsidRPr="00F57FDB">
        <w:rPr>
          <w:rFonts w:eastAsia="Times New Roman" w:cs="TimesNewRomanPS-BoldMT"/>
          <w:bCs/>
          <w:sz w:val="24"/>
          <w:szCs w:val="24"/>
          <w:lang w:eastAsia="pl-PL"/>
        </w:rPr>
        <w:t>Warunki przerwania ciąży zostały uregulowane przepisami ustawy z dnia 7 stycznia 1993 r. o planowaniu rodziny, ochronie płodu ludzkiego i warunkach dopuszczalności przerywania ciąży, która wskazuje trzy sytuacje w których ciąża może zostać przerwana przez lekarza, tj,.</w:t>
      </w:r>
      <w:r w:rsidRPr="00F57FDB">
        <w:rPr>
          <w:rFonts w:eastAsia="Times New Roman" w:cs="Times New Roman"/>
          <w:sz w:val="24"/>
          <w:szCs w:val="24"/>
          <w:lang w:eastAsia="pl-PL"/>
        </w:rPr>
        <w:t xml:space="preserve"> kiedy </w:t>
      </w:r>
      <w:r w:rsidRPr="00F57FDB">
        <w:rPr>
          <w:rFonts w:eastAsia="Times New Roman" w:cs="TimesNewRomanPS-BoldMT"/>
          <w:bCs/>
          <w:sz w:val="24"/>
          <w:szCs w:val="24"/>
          <w:lang w:eastAsia="pl-PL"/>
        </w:rPr>
        <w:t>ciąża stanowi zagrożenie dla życia lub zdrowia kobiety ciężarnej, badania prenatalne lub inne przesłanki medyczne wskazują na duże prawdopodobieństwo ciężkiego i nieodwracalnego upośledzenia płodu albo nieuleczalnej choroby zagrażającej jego życiu, zachodzi uzasadnione podejrzenie, że ciąża powstała w wyniku czynu zabronionego</w:t>
      </w:r>
      <w:r w:rsidRPr="00F57FDB">
        <w:rPr>
          <w:rFonts w:eastAsia="Times New Roman" w:cs="Times New Roman"/>
          <w:sz w:val="24"/>
          <w:szCs w:val="24"/>
          <w:lang w:eastAsia="pl-PL"/>
        </w:rPr>
        <w:t xml:space="preserve"> </w:t>
      </w:r>
    </w:p>
    <w:p w:rsidR="00F57FDB" w:rsidRPr="00F57FDB" w:rsidRDefault="00F57FDB" w:rsidP="00F57FDB">
      <w:pPr>
        <w:spacing w:after="120" w:line="240" w:lineRule="auto"/>
        <w:jc w:val="both"/>
        <w:rPr>
          <w:rFonts w:eastAsia="Times New Roman" w:cs="TimesNewRomanPS-BoldMT"/>
          <w:bCs/>
          <w:sz w:val="24"/>
          <w:szCs w:val="24"/>
          <w:lang w:eastAsia="pl-PL"/>
        </w:rPr>
      </w:pPr>
      <w:r w:rsidRPr="00F57FDB">
        <w:rPr>
          <w:rFonts w:eastAsia="Times New Roman" w:cs="Times New Roman"/>
          <w:sz w:val="24"/>
          <w:szCs w:val="24"/>
          <w:lang w:eastAsia="pl-PL"/>
        </w:rPr>
        <w:t xml:space="preserve">Przerwanie ciąży jest jednym z gwarantowanych świadczeń opieki zdrowotnej i jako takie jest udzielane przez szpitale, które zawarły umowy z NFZ w zakresie ginekologii i położnictwa. Warunki ich realizacji określa ustawa. Podpisując umowę na świadczenie usług opieki medycznej, usługodawca zobowiązuje się do świadczenia wszystkich usług </w:t>
      </w:r>
      <w:r w:rsidRPr="00F57FDB">
        <w:rPr>
          <w:rFonts w:eastAsia="Times New Roman" w:cs="TimesNewRomanPS-BoldMT"/>
          <w:bCs/>
          <w:sz w:val="24"/>
          <w:szCs w:val="24"/>
          <w:lang w:eastAsia="pl-PL"/>
        </w:rPr>
        <w:t xml:space="preserve">wymienionych jako </w:t>
      </w:r>
      <w:r w:rsidRPr="00F57FDB">
        <w:rPr>
          <w:rFonts w:eastAsia="Times New Roman" w:cs="TimesNewRomanPS-BoldMT"/>
          <w:bCs/>
          <w:sz w:val="24"/>
          <w:szCs w:val="24"/>
          <w:lang w:eastAsia="pl-PL"/>
        </w:rPr>
        <w:lastRenderedPageBreak/>
        <w:t xml:space="preserve">gwarantowane w odpowiednich przepisach wykonawczych, w zakresie określonym w umowie. W przypadku braku możliwości udzielania świadczeń, której nie można było wcześniej przewidzieć, świadczeniodawca jest zobowiązany do niezwłocznego podjęcia czynności w celu zachowania ciągłości udzielania świadczeń (przekazania pacjenta do innego świadczeniodawcy realizującego wskazane świadczenie), powiadamiając jednocześnie oddział wojewódzki Funduszu o tym zdarzeniu i podjętych czynnościach. Przywołane przepisy mają charakter generalny, odnoszą się zatem do wszystkich świadczeń opieki zdrowotnej finansowanych ze środków publicznych, w tym również do zabiegów przerwania ciąży, oraz do wszystkich sytuacji braku możliwości udzielenia świadczenia objętego umową z NFZ. Powyższe unormowania prawne znajdują również odzwierciedlenie w praktyce. </w:t>
      </w:r>
    </w:p>
    <w:p w:rsidR="00F57FDB" w:rsidRPr="00F57FDB" w:rsidRDefault="00F57FDB" w:rsidP="00F57FDB">
      <w:pPr>
        <w:spacing w:after="120" w:line="240" w:lineRule="auto"/>
        <w:jc w:val="both"/>
        <w:rPr>
          <w:rFonts w:eastAsia="Times New Roman" w:cs="Times New Roman"/>
          <w:sz w:val="24"/>
          <w:szCs w:val="24"/>
          <w:lang w:eastAsia="pl-PL"/>
        </w:rPr>
      </w:pPr>
      <w:r w:rsidRPr="00F57FDB">
        <w:rPr>
          <w:rFonts w:eastAsia="Times New Roman" w:cs="Times New Roman"/>
          <w:sz w:val="24"/>
          <w:szCs w:val="24"/>
          <w:lang w:eastAsia="pl-PL"/>
        </w:rPr>
        <w:t xml:space="preserve">Dane dotyczące liczby legalnych zabiegów przerywania ciąży potwierdzają, że te gwarantowane świadczenia zdrowotne są rzeczywiście wykonywane. W 2000 roku, kiedy nastąpiły wydarzenia leżące u podstaw skargi w sprawie </w:t>
      </w:r>
      <w:r w:rsidRPr="00F57FDB">
        <w:rPr>
          <w:rFonts w:eastAsia="Times New Roman" w:cs="Times New Roman"/>
          <w:i/>
          <w:sz w:val="24"/>
          <w:szCs w:val="24"/>
          <w:lang w:eastAsia="pl-PL"/>
        </w:rPr>
        <w:t>Tysiąc p. Polsce</w:t>
      </w:r>
      <w:r w:rsidRPr="00F57FDB">
        <w:rPr>
          <w:rFonts w:eastAsia="Times New Roman" w:cs="Times New Roman"/>
          <w:sz w:val="24"/>
          <w:szCs w:val="24"/>
          <w:lang w:eastAsia="pl-PL"/>
        </w:rPr>
        <w:t xml:space="preserve">, przeprowadzono 138 zabiegów przerwania ciąży. W 2002 r., kiedy miay miejsce wydarzenia leżące u podstaw skargi w sprawie </w:t>
      </w:r>
      <w:r w:rsidRPr="00F57FDB">
        <w:rPr>
          <w:rFonts w:eastAsia="Times New Roman" w:cs="Times New Roman"/>
          <w:i/>
          <w:sz w:val="24"/>
          <w:szCs w:val="24"/>
          <w:lang w:eastAsia="pl-PL"/>
        </w:rPr>
        <w:t>R.R. p. Polsce</w:t>
      </w:r>
      <w:r w:rsidRPr="00F57FDB">
        <w:rPr>
          <w:rFonts w:eastAsia="Times New Roman" w:cs="Times New Roman"/>
          <w:sz w:val="24"/>
          <w:szCs w:val="24"/>
          <w:lang w:eastAsia="pl-PL"/>
        </w:rPr>
        <w:t xml:space="preserve">, przeprowadzono 159 zabiegów przerwania ciąży. A w 2008 r., kiedy nastąpiły wydarzenia leżące u podstaw skargi w sprawie </w:t>
      </w:r>
      <w:r w:rsidRPr="00F57FDB">
        <w:rPr>
          <w:rFonts w:eastAsia="Times New Roman" w:cs="Times New Roman"/>
          <w:i/>
          <w:sz w:val="24"/>
          <w:szCs w:val="24"/>
          <w:lang w:eastAsia="pl-PL"/>
        </w:rPr>
        <w:t>P. i S.</w:t>
      </w:r>
      <w:r w:rsidRPr="00F57FDB">
        <w:rPr>
          <w:rFonts w:eastAsia="Times New Roman" w:cs="Times New Roman"/>
          <w:sz w:val="24"/>
          <w:szCs w:val="24"/>
          <w:lang w:eastAsia="pl-PL"/>
        </w:rPr>
        <w:t xml:space="preserve"> przeprowadzono 499 zabiegów przerwania ciąży, podczas gdy w 2015 r. - 1040, w 2016 r. - 1098, w 2017 r. - 1057 a w 2018 r. - 1076. Z tych danych wynika, że w Polsce wykonuje się zabiegi przerywania ciąży, a co więcej, ich liczba jest obecnie siedmiokrotnie większa niż w 2000 r.</w:t>
      </w:r>
    </w:p>
    <w:p w:rsidR="00F57FDB" w:rsidRPr="00F57FDB" w:rsidRDefault="00F57FDB" w:rsidP="00F57FDB">
      <w:pPr>
        <w:spacing w:after="120" w:line="240" w:lineRule="auto"/>
        <w:jc w:val="both"/>
        <w:rPr>
          <w:rFonts w:eastAsia="Times New Roman" w:cs="TimesNewRomanPS-BoldMT"/>
          <w:bCs/>
          <w:sz w:val="24"/>
          <w:szCs w:val="24"/>
          <w:lang w:eastAsia="pl-PL"/>
        </w:rPr>
      </w:pPr>
      <w:r w:rsidRPr="00F57FDB">
        <w:rPr>
          <w:rFonts w:eastAsia="Times New Roman" w:cs="TimesNewRomanPS-BoldMT"/>
          <w:bCs/>
          <w:sz w:val="24"/>
          <w:szCs w:val="24"/>
          <w:lang w:eastAsia="pl-PL"/>
        </w:rPr>
        <w:t>Jak wskazano powyżej, przerywanie ciąży (w sytuacjach przewidzianych ustawą z dnia 7 stycznia 1993 r. o planowaniu rodziny, ochronie płodu ludzkiego i dopuszczalnych warunkach przerywania ciąży) stanowi świadczenie gwarantowane, a więc w świetle prawa to świadczeniodawca (placówka medyczna) jest odpowiedzialny za wykonanie świadczenia medycznego i udzielenie o nim informacji.</w:t>
      </w:r>
    </w:p>
    <w:p w:rsidR="00F57FDB" w:rsidRPr="00F57FDB" w:rsidRDefault="00F57FDB" w:rsidP="00F57FDB">
      <w:pPr>
        <w:spacing w:after="120" w:line="240" w:lineRule="auto"/>
        <w:jc w:val="both"/>
        <w:rPr>
          <w:rFonts w:eastAsia="Times New Roman" w:cs="TimesNewRomanPS-BoldMT"/>
          <w:bCs/>
          <w:sz w:val="24"/>
          <w:szCs w:val="24"/>
          <w:lang w:eastAsia="pl-PL"/>
        </w:rPr>
      </w:pPr>
      <w:r w:rsidRPr="00F57FDB">
        <w:rPr>
          <w:rFonts w:eastAsia="Times New Roman" w:cs="TimesNewRomanPS-BoldMT"/>
          <w:bCs/>
          <w:sz w:val="24"/>
          <w:szCs w:val="24"/>
          <w:lang w:eastAsia="pl-PL"/>
        </w:rPr>
        <w:t>Jednocześnie, zgodnie z przepisami ustawy z dnia 15 kwietnia 2011 r. o działalności leczniczej podmiot wykonujący działalność leczniczą podaje do wiadomości publicznej informacje o zakresie i rodzajach udzielanych świadczeń zdrowotnych. Podmiot wykonujący działalność leczniczą, na wniosek pacjenta, udziela ponadto szczegółowych informacji na temat udzielanych świadczeń zdrowotnych, w szczególności informacji dotyczących stosowanych metod diagnostycznych lub terapeutycznych oraz jakości i bezpieczeństwa tych metod. Zatem w przypadku, kiedy lekarz odmówi pacjentce przeprowadzenia zabiegu przerwania ciąży powołując się na klauzulę sumienia, obowiązek informacyjny odnośnie sposobu realizacji w tym zakresie umowy z NFZ leży po stronie świadczeniodawcy, tj. podmiotu leczniczego, w którym lekarz powstrzymał się od wykonania świadczenia niezgodnego z sumieniem (należy podkreślić, że klauzula sumienia jest prawem lekarza i nie może na nią powoływać się podmiot medyczny). Procedura ta jest regulowana przez prawo i ma charakter generalny, w związku z czym ma zastosowanie do wszystkich świadczeń zdrowotnych.</w:t>
      </w:r>
    </w:p>
    <w:p w:rsidR="00F57FDB" w:rsidRPr="00F57FDB" w:rsidRDefault="00F57FDB" w:rsidP="00F57FDB">
      <w:pPr>
        <w:spacing w:after="120" w:line="240" w:lineRule="auto"/>
        <w:jc w:val="both"/>
        <w:rPr>
          <w:rFonts w:eastAsia="Times New Roman" w:cs="Times New Roman"/>
          <w:sz w:val="24"/>
          <w:szCs w:val="24"/>
          <w:lang w:eastAsia="pl-PL"/>
        </w:rPr>
      </w:pPr>
      <w:r w:rsidRPr="00F57FDB">
        <w:rPr>
          <w:rFonts w:eastAsia="Times New Roman" w:cs="Times New Roman"/>
          <w:sz w:val="24"/>
          <w:szCs w:val="24"/>
          <w:lang w:eastAsia="pl-PL"/>
        </w:rPr>
        <w:t xml:space="preserve">Narodowy Fundusz Zdrowia nadzoruje realizację zobowiązań umownych wynikających z zawartych z nim umów. Wszelkie skargi lub inne informacje o nieprawidłowej realizacji przez świadczeniodawcę umowy z NFZ stanowią podstawę do wszczęcia postępowania wyjaśniającego. </w:t>
      </w:r>
    </w:p>
    <w:p w:rsidR="00F57FDB" w:rsidRPr="00F57FDB" w:rsidRDefault="00F57FDB" w:rsidP="00F57FDB">
      <w:pPr>
        <w:spacing w:after="120" w:line="240" w:lineRule="auto"/>
        <w:jc w:val="both"/>
        <w:rPr>
          <w:rFonts w:eastAsia="Times New Roman" w:cs="Arial"/>
          <w:sz w:val="24"/>
          <w:szCs w:val="24"/>
          <w:lang w:eastAsia="pl-PL"/>
        </w:rPr>
      </w:pPr>
      <w:r w:rsidRPr="00F57FDB">
        <w:rPr>
          <w:rFonts w:eastAsia="Times New Roman" w:cs="Times New Roman"/>
          <w:sz w:val="24"/>
          <w:szCs w:val="24"/>
          <w:lang w:eastAsia="pl-PL"/>
        </w:rPr>
        <w:t xml:space="preserve">Odnosząc się do dostępu to „innych świadczeń związanych z ciążą” należy podkreślić, że w Polsce władze zapewniają równy dostęp do świadczeń opieki zdrowotnej finansowanej ze środków publicznych, niezależnie od ich sytuacji materialnej. Pod szczególną ochroną </w:t>
      </w:r>
      <w:r w:rsidRPr="00F57FDB">
        <w:rPr>
          <w:rFonts w:eastAsia="Times New Roman" w:cs="Arial"/>
          <w:sz w:val="24"/>
          <w:szCs w:val="24"/>
          <w:lang w:eastAsia="pl-PL"/>
        </w:rPr>
        <w:t xml:space="preserve">prawną </w:t>
      </w:r>
      <w:r w:rsidRPr="00F57FDB">
        <w:rPr>
          <w:rFonts w:eastAsia="Times New Roman" w:cs="Arial"/>
          <w:sz w:val="24"/>
          <w:szCs w:val="24"/>
          <w:lang w:eastAsia="pl-PL"/>
        </w:rPr>
        <w:lastRenderedPageBreak/>
        <w:t>znajdują się w Polsce kobiety w okresie ciąży, porodu i  połogu, co zapewnia ustawodawstwo krajowe jak i międzynarodowe.</w:t>
      </w:r>
    </w:p>
    <w:p w:rsidR="00F57FDB" w:rsidRPr="00F57FDB" w:rsidRDefault="00F57FDB" w:rsidP="00F57FDB">
      <w:pPr>
        <w:spacing w:after="120" w:line="240" w:lineRule="auto"/>
        <w:jc w:val="both"/>
        <w:rPr>
          <w:rFonts w:eastAsia="Times New Roman" w:cs="Arial"/>
          <w:sz w:val="24"/>
          <w:szCs w:val="24"/>
          <w:lang w:eastAsia="pl-PL"/>
        </w:rPr>
      </w:pPr>
      <w:r w:rsidRPr="00F57FDB">
        <w:rPr>
          <w:rFonts w:eastAsia="Times New Roman" w:cs="Arial"/>
          <w:sz w:val="24"/>
          <w:szCs w:val="24"/>
          <w:lang w:eastAsia="pl-PL"/>
        </w:rPr>
        <w:t xml:space="preserve">W celu poprawy opieki nad kobietą w okresie ciąży, porodu i połogu oraz nad nowo narodzonym dzieckiem od 1 lipca 2016 r. mocą zarządzenia Nr 22/2016/DSOZ Prezesa Narodowego Funduszu Zdrowia z dnia 13 kwietnia 2016 r. został wprowadzony nowy zakres świadczeń: Koordynowana opieka nad kobietą w ciąży. </w:t>
      </w:r>
    </w:p>
    <w:p w:rsidR="00F57FDB" w:rsidRPr="00F57FDB" w:rsidRDefault="00F57FDB" w:rsidP="00F57FDB">
      <w:pPr>
        <w:spacing w:after="120" w:line="240" w:lineRule="auto"/>
        <w:jc w:val="both"/>
        <w:rPr>
          <w:rFonts w:eastAsia="Times New Roman" w:cs="Arial"/>
          <w:sz w:val="24"/>
          <w:szCs w:val="24"/>
          <w:lang w:eastAsia="pl-PL"/>
        </w:rPr>
      </w:pPr>
      <w:r w:rsidRPr="00F57FDB">
        <w:rPr>
          <w:rFonts w:eastAsia="Times New Roman" w:cs="Arial"/>
          <w:sz w:val="24"/>
          <w:szCs w:val="24"/>
          <w:lang w:eastAsia="pl-PL"/>
        </w:rPr>
        <w:t>Obejmuje zarówno opiekę ambulatoryjną, jak i szpitalną związaną z porodem. Głównym celem zarządzenia było zapewnienie pacjentkom skoordynowanych usług medycznych przez personel medyczny, który powinien współpracować na wszystkich etapach ciąży i połogu.</w:t>
      </w:r>
    </w:p>
    <w:p w:rsidR="00F57FDB" w:rsidRPr="00F57FDB" w:rsidRDefault="00F57FDB" w:rsidP="00F57FDB">
      <w:pPr>
        <w:spacing w:after="120" w:line="240" w:lineRule="auto"/>
        <w:jc w:val="both"/>
        <w:rPr>
          <w:rFonts w:eastAsia="Times New Roman" w:cs="Arial"/>
          <w:sz w:val="24"/>
          <w:szCs w:val="24"/>
          <w:lang w:eastAsia="pl-PL"/>
        </w:rPr>
      </w:pPr>
      <w:r w:rsidRPr="00F57FDB">
        <w:rPr>
          <w:rFonts w:eastAsia="Times New Roman" w:cs="Arial"/>
          <w:sz w:val="24"/>
          <w:szCs w:val="24"/>
          <w:lang w:eastAsia="pl-PL"/>
        </w:rPr>
        <w:t>W 2017 r. wprowadzono również koordynowaną opiekę nad kobietą w ciąży na II i III poziomie referencyjnym, zapewniającą specjalną opiekę medyczną kobietom, u których zdiagnozowano nieprawidłowości w rozwoju płodu lub ciężkie choroby płodu. Dodatkowy akcent został położony na pomoc psychologiczną dla tej grupy pacjentek.</w:t>
      </w:r>
    </w:p>
    <w:p w:rsidR="00F57FDB" w:rsidRPr="00F57FDB" w:rsidRDefault="00F57FDB" w:rsidP="00F57FDB">
      <w:pPr>
        <w:spacing w:after="120" w:line="240" w:lineRule="auto"/>
        <w:jc w:val="both"/>
        <w:rPr>
          <w:rFonts w:eastAsia="Times New Roman" w:cs="Arial"/>
          <w:sz w:val="24"/>
          <w:szCs w:val="24"/>
          <w:lang w:eastAsia="pl-PL"/>
        </w:rPr>
      </w:pPr>
      <w:r w:rsidRPr="00F57FDB">
        <w:rPr>
          <w:rFonts w:eastAsia="Times New Roman" w:cs="Arial"/>
          <w:sz w:val="24"/>
          <w:szCs w:val="24"/>
          <w:lang w:eastAsia="pl-PL"/>
        </w:rPr>
        <w:t>Odnośnie do kwestii diagnostyki prenatalnej, należy odnotować, że dostęp do takich badań jest uregulowany m.in. w rozporządzeniu Ministra Zdrowia z dnia 6 listopada 2013 r. w sprawie świadczeń gwarantowanych z zakresu programów zdrowotnych.  Rozporządzenie to określa procedury medyczne realizowane jako świadczenie gwarantowane w ramach programu diagnostyki prenatalnej oraz warunki zakwalifikowania do programu zarówno dla pacjentów, jak i świadczeniodawców. Realizację tego programu można przedstawić następująco (za rok 2018):</w:t>
      </w:r>
    </w:p>
    <w:tbl>
      <w:tblPr>
        <w:tblW w:w="9590" w:type="dxa"/>
        <w:jc w:val="center"/>
        <w:tblLayout w:type="fixed"/>
        <w:tblCellMar>
          <w:left w:w="70" w:type="dxa"/>
          <w:right w:w="70" w:type="dxa"/>
        </w:tblCellMar>
        <w:tblLook w:val="04A0" w:firstRow="1" w:lastRow="0" w:firstColumn="1" w:lastColumn="0" w:noHBand="0" w:noVBand="1"/>
      </w:tblPr>
      <w:tblGrid>
        <w:gridCol w:w="2061"/>
        <w:gridCol w:w="1086"/>
        <w:gridCol w:w="1087"/>
        <w:gridCol w:w="1087"/>
        <w:gridCol w:w="1086"/>
        <w:gridCol w:w="1087"/>
        <w:gridCol w:w="1087"/>
        <w:gridCol w:w="1009"/>
      </w:tblGrid>
      <w:tr w:rsidR="00F57FDB" w:rsidRPr="00F57FDB" w:rsidTr="007A5C0F">
        <w:trPr>
          <w:trHeight w:val="362"/>
          <w:jc w:val="center"/>
        </w:trPr>
        <w:tc>
          <w:tcPr>
            <w:tcW w:w="20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7FDB" w:rsidRPr="00F57FDB" w:rsidRDefault="00F57FDB" w:rsidP="00F57FDB">
            <w:pPr>
              <w:widowControl w:val="0"/>
              <w:spacing w:after="120" w:line="240" w:lineRule="auto"/>
              <w:jc w:val="center"/>
              <w:rPr>
                <w:rFonts w:eastAsia="Times New Roman" w:cs="Arial"/>
                <w:b/>
                <w:sz w:val="20"/>
                <w:szCs w:val="20"/>
                <w:lang w:eastAsia="pl-PL"/>
              </w:rPr>
            </w:pPr>
            <w:r w:rsidRPr="00F57FDB">
              <w:rPr>
                <w:rFonts w:eastAsia="Arial" w:cs="Arial"/>
                <w:b/>
                <w:sz w:val="20"/>
                <w:szCs w:val="20"/>
                <w:shd w:val="clear" w:color="auto" w:fill="FFFFFF"/>
                <w:lang w:eastAsia="pl-PL" w:bidi="pl-PL"/>
              </w:rPr>
              <w:t>Oddział wojewódzki NFZ</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F57FDB" w:rsidRPr="00F57FDB" w:rsidRDefault="00F57FDB" w:rsidP="00F57FDB">
            <w:pPr>
              <w:widowControl w:val="0"/>
              <w:spacing w:after="120" w:line="240" w:lineRule="auto"/>
              <w:jc w:val="center"/>
              <w:rPr>
                <w:rFonts w:eastAsia="Arial" w:cs="Arial"/>
                <w:b/>
                <w:bCs/>
                <w:sz w:val="20"/>
                <w:szCs w:val="20"/>
                <w:shd w:val="clear" w:color="auto" w:fill="FFFFFF"/>
                <w:lang w:eastAsia="pl-PL" w:bidi="pl-PL"/>
              </w:rPr>
            </w:pPr>
            <w:r w:rsidRPr="00F57FDB">
              <w:rPr>
                <w:rFonts w:eastAsia="Arial" w:cs="Arial"/>
                <w:b/>
                <w:bCs/>
                <w:sz w:val="20"/>
                <w:szCs w:val="20"/>
                <w:shd w:val="clear" w:color="auto" w:fill="FFFFFF"/>
                <w:lang w:eastAsia="pl-PL" w:bidi="pl-PL"/>
              </w:rPr>
              <w:t>Liczba pacjentek</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F57FDB" w:rsidRPr="00F57FDB" w:rsidRDefault="00F57FDB" w:rsidP="00F57FDB">
            <w:pPr>
              <w:widowControl w:val="0"/>
              <w:spacing w:after="120" w:line="240" w:lineRule="auto"/>
              <w:jc w:val="center"/>
              <w:rPr>
                <w:rFonts w:eastAsia="Arial" w:cs="Arial"/>
                <w:b/>
                <w:bCs/>
                <w:sz w:val="20"/>
                <w:szCs w:val="20"/>
                <w:shd w:val="clear" w:color="auto" w:fill="FFFFFF"/>
                <w:lang w:eastAsia="pl-PL" w:bidi="pl-PL"/>
              </w:rPr>
            </w:pPr>
            <w:r w:rsidRPr="00F57FDB">
              <w:rPr>
                <w:rFonts w:eastAsia="Arial" w:cs="Arial"/>
                <w:b/>
                <w:bCs/>
                <w:sz w:val="20"/>
                <w:szCs w:val="20"/>
                <w:shd w:val="clear" w:color="auto" w:fill="FFFFFF"/>
                <w:lang w:eastAsia="pl-PL" w:bidi="pl-PL"/>
              </w:rPr>
              <w:t>Wartość rozliczonych świadczeń (w zł)</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7FDB" w:rsidRPr="00F57FDB" w:rsidRDefault="00F57FDB" w:rsidP="00F57FDB">
            <w:pPr>
              <w:widowControl w:val="0"/>
              <w:spacing w:after="120" w:line="240" w:lineRule="auto"/>
              <w:jc w:val="center"/>
              <w:rPr>
                <w:rFonts w:eastAsia="Arial" w:cs="Arial"/>
                <w:b/>
                <w:sz w:val="20"/>
                <w:szCs w:val="20"/>
                <w:shd w:val="clear" w:color="auto" w:fill="FFFFFF"/>
                <w:lang w:eastAsia="pl-PL" w:bidi="pl-PL"/>
              </w:rPr>
            </w:pPr>
            <w:r w:rsidRPr="00F57FDB">
              <w:rPr>
                <w:rFonts w:eastAsia="Arial" w:cs="Arial"/>
                <w:b/>
                <w:bCs/>
                <w:sz w:val="20"/>
                <w:szCs w:val="20"/>
                <w:shd w:val="clear" w:color="auto" w:fill="FFFFFF"/>
                <w:lang w:eastAsia="pl-PL" w:bidi="pl-PL"/>
              </w:rPr>
              <w:t>Liczba świadczeniodawców</w:t>
            </w:r>
          </w:p>
        </w:tc>
      </w:tr>
      <w:tr w:rsidR="00F57FDB" w:rsidRPr="00F57FDB" w:rsidTr="007A5C0F">
        <w:trPr>
          <w:trHeight w:hRule="exact" w:val="543"/>
          <w:jc w:val="center"/>
        </w:trPr>
        <w:tc>
          <w:tcPr>
            <w:tcW w:w="2061" w:type="dxa"/>
            <w:vMerge/>
            <w:tcBorders>
              <w:top w:val="single" w:sz="4" w:space="0" w:color="auto"/>
              <w:left w:val="single" w:sz="4" w:space="0" w:color="auto"/>
              <w:bottom w:val="single" w:sz="4" w:space="0" w:color="auto"/>
              <w:right w:val="single" w:sz="4" w:space="0" w:color="auto"/>
            </w:tcBorders>
            <w:vAlign w:val="center"/>
            <w:hideMark/>
          </w:tcPr>
          <w:p w:rsidR="00F57FDB" w:rsidRPr="00F57FDB" w:rsidRDefault="00F57FDB" w:rsidP="00F57FDB">
            <w:pPr>
              <w:spacing w:after="120" w:line="240" w:lineRule="auto"/>
              <w:rPr>
                <w:rFonts w:eastAsia="Times New Roman" w:cs="Arial"/>
                <w:b/>
                <w:sz w:val="20"/>
                <w:szCs w:val="20"/>
                <w:highlight w:val="yellow"/>
                <w:lang w:eastAsia="pl-PL"/>
              </w:rPr>
            </w:pPr>
          </w:p>
        </w:tc>
        <w:tc>
          <w:tcPr>
            <w:tcW w:w="1086" w:type="dxa"/>
            <w:tcBorders>
              <w:top w:val="nil"/>
              <w:left w:val="nil"/>
              <w:bottom w:val="single" w:sz="4" w:space="0" w:color="auto"/>
              <w:right w:val="single" w:sz="4" w:space="0" w:color="auto"/>
            </w:tcBorders>
            <w:shd w:val="clear" w:color="auto" w:fill="auto"/>
            <w:vAlign w:val="center"/>
            <w:hideMark/>
          </w:tcPr>
          <w:p w:rsidR="00F57FDB" w:rsidRPr="00F57FDB" w:rsidRDefault="00F57FDB" w:rsidP="00F57FDB">
            <w:pPr>
              <w:widowControl w:val="0"/>
              <w:spacing w:after="120" w:line="240" w:lineRule="auto"/>
              <w:jc w:val="center"/>
              <w:rPr>
                <w:rFonts w:eastAsia="Arial" w:cs="Arial"/>
                <w:b/>
                <w:bCs/>
                <w:sz w:val="20"/>
                <w:szCs w:val="20"/>
                <w:shd w:val="clear" w:color="auto" w:fill="FFFFFF"/>
                <w:lang w:eastAsia="pl-PL" w:bidi="pl-PL"/>
              </w:rPr>
            </w:pPr>
            <w:r w:rsidRPr="00F57FDB">
              <w:rPr>
                <w:rFonts w:eastAsia="Arial" w:cs="Arial"/>
                <w:b/>
                <w:bCs/>
                <w:sz w:val="20"/>
                <w:szCs w:val="20"/>
                <w:shd w:val="clear" w:color="auto" w:fill="FFFFFF"/>
                <w:lang w:eastAsia="pl-PL" w:bidi="pl-PL"/>
              </w:rPr>
              <w:t>Poniżej 35 r.ż.</w:t>
            </w:r>
          </w:p>
        </w:tc>
        <w:tc>
          <w:tcPr>
            <w:tcW w:w="1087" w:type="dxa"/>
            <w:tcBorders>
              <w:top w:val="nil"/>
              <w:left w:val="nil"/>
              <w:bottom w:val="single" w:sz="4" w:space="0" w:color="auto"/>
              <w:right w:val="single" w:sz="4" w:space="0" w:color="auto"/>
            </w:tcBorders>
            <w:shd w:val="clear" w:color="auto" w:fill="auto"/>
            <w:vAlign w:val="center"/>
            <w:hideMark/>
          </w:tcPr>
          <w:p w:rsidR="00F57FDB" w:rsidRPr="00F57FDB" w:rsidRDefault="00F57FDB" w:rsidP="00F57FDB">
            <w:pPr>
              <w:widowControl w:val="0"/>
              <w:spacing w:after="120" w:line="240" w:lineRule="auto"/>
              <w:jc w:val="center"/>
              <w:rPr>
                <w:rFonts w:eastAsia="Arial" w:cs="Arial"/>
                <w:b/>
                <w:bCs/>
                <w:sz w:val="20"/>
                <w:szCs w:val="20"/>
                <w:shd w:val="clear" w:color="auto" w:fill="FFFFFF"/>
                <w:lang w:eastAsia="pl-PL" w:bidi="pl-PL"/>
              </w:rPr>
            </w:pPr>
            <w:r w:rsidRPr="00F57FDB">
              <w:rPr>
                <w:rFonts w:eastAsia="Arial" w:cs="Arial"/>
                <w:b/>
                <w:bCs/>
                <w:sz w:val="20"/>
                <w:szCs w:val="20"/>
                <w:shd w:val="clear" w:color="auto" w:fill="FFFFFF"/>
                <w:lang w:eastAsia="pl-PL" w:bidi="pl-PL"/>
              </w:rPr>
              <w:t>Powyżej 35 r.ż.</w:t>
            </w:r>
          </w:p>
        </w:tc>
        <w:tc>
          <w:tcPr>
            <w:tcW w:w="1087" w:type="dxa"/>
            <w:tcBorders>
              <w:top w:val="nil"/>
              <w:left w:val="nil"/>
              <w:bottom w:val="single" w:sz="4" w:space="0" w:color="auto"/>
              <w:right w:val="single" w:sz="4" w:space="0" w:color="auto"/>
            </w:tcBorders>
            <w:shd w:val="clear" w:color="auto" w:fill="auto"/>
            <w:vAlign w:val="center"/>
            <w:hideMark/>
          </w:tcPr>
          <w:p w:rsidR="00F57FDB" w:rsidRPr="00F57FDB" w:rsidRDefault="00F57FDB" w:rsidP="00F57FDB">
            <w:pPr>
              <w:widowControl w:val="0"/>
              <w:spacing w:after="120" w:line="240" w:lineRule="auto"/>
              <w:jc w:val="center"/>
              <w:rPr>
                <w:rFonts w:eastAsia="Arial" w:cs="Arial"/>
                <w:b/>
                <w:bCs/>
                <w:sz w:val="20"/>
                <w:szCs w:val="20"/>
                <w:shd w:val="clear" w:color="auto" w:fill="FFFFFF"/>
                <w:lang w:eastAsia="pl-PL" w:bidi="pl-PL"/>
              </w:rPr>
            </w:pPr>
            <w:r w:rsidRPr="00F57FDB">
              <w:rPr>
                <w:rFonts w:eastAsia="Arial" w:cs="Arial"/>
                <w:b/>
                <w:bCs/>
                <w:sz w:val="20"/>
                <w:szCs w:val="20"/>
                <w:shd w:val="clear" w:color="auto" w:fill="FFFFFF"/>
                <w:lang w:eastAsia="pl-PL" w:bidi="pl-PL"/>
              </w:rPr>
              <w:t xml:space="preserve">Łącznie </w:t>
            </w:r>
          </w:p>
        </w:tc>
        <w:tc>
          <w:tcPr>
            <w:tcW w:w="1086" w:type="dxa"/>
            <w:tcBorders>
              <w:top w:val="nil"/>
              <w:left w:val="nil"/>
              <w:bottom w:val="single" w:sz="4" w:space="0" w:color="auto"/>
              <w:right w:val="single" w:sz="4" w:space="0" w:color="auto"/>
            </w:tcBorders>
            <w:shd w:val="clear" w:color="auto" w:fill="auto"/>
            <w:vAlign w:val="center"/>
            <w:hideMark/>
          </w:tcPr>
          <w:p w:rsidR="00F57FDB" w:rsidRPr="00F57FDB" w:rsidRDefault="00F57FDB" w:rsidP="00F57FDB">
            <w:pPr>
              <w:widowControl w:val="0"/>
              <w:spacing w:after="120" w:line="240" w:lineRule="auto"/>
              <w:jc w:val="center"/>
              <w:rPr>
                <w:rFonts w:eastAsia="Arial" w:cs="Arial"/>
                <w:b/>
                <w:bCs/>
                <w:sz w:val="20"/>
                <w:szCs w:val="20"/>
                <w:shd w:val="clear" w:color="auto" w:fill="FFFFFF"/>
                <w:lang w:eastAsia="pl-PL" w:bidi="pl-PL"/>
              </w:rPr>
            </w:pPr>
            <w:r w:rsidRPr="00F57FDB">
              <w:rPr>
                <w:rFonts w:eastAsia="Arial" w:cs="Arial"/>
                <w:b/>
                <w:bCs/>
                <w:sz w:val="20"/>
                <w:szCs w:val="20"/>
                <w:shd w:val="clear" w:color="auto" w:fill="FFFFFF"/>
                <w:lang w:eastAsia="pl-PL" w:bidi="pl-PL"/>
              </w:rPr>
              <w:t>Poniżej 35 r.ż.</w:t>
            </w:r>
          </w:p>
        </w:tc>
        <w:tc>
          <w:tcPr>
            <w:tcW w:w="1087" w:type="dxa"/>
            <w:tcBorders>
              <w:top w:val="nil"/>
              <w:left w:val="nil"/>
              <w:bottom w:val="single" w:sz="4" w:space="0" w:color="auto"/>
              <w:right w:val="single" w:sz="4" w:space="0" w:color="auto"/>
            </w:tcBorders>
            <w:shd w:val="clear" w:color="auto" w:fill="auto"/>
            <w:vAlign w:val="center"/>
            <w:hideMark/>
          </w:tcPr>
          <w:p w:rsidR="00F57FDB" w:rsidRPr="00F57FDB" w:rsidRDefault="00F57FDB" w:rsidP="00F57FDB">
            <w:pPr>
              <w:widowControl w:val="0"/>
              <w:spacing w:after="120" w:line="240" w:lineRule="auto"/>
              <w:jc w:val="center"/>
              <w:rPr>
                <w:rFonts w:eastAsia="Arial" w:cs="Arial"/>
                <w:b/>
                <w:bCs/>
                <w:sz w:val="20"/>
                <w:szCs w:val="20"/>
                <w:shd w:val="clear" w:color="auto" w:fill="FFFFFF"/>
                <w:lang w:eastAsia="pl-PL" w:bidi="pl-PL"/>
              </w:rPr>
            </w:pPr>
            <w:r w:rsidRPr="00F57FDB">
              <w:rPr>
                <w:rFonts w:eastAsia="Arial" w:cs="Arial"/>
                <w:b/>
                <w:bCs/>
                <w:sz w:val="20"/>
                <w:szCs w:val="20"/>
                <w:shd w:val="clear" w:color="auto" w:fill="FFFFFF"/>
                <w:lang w:eastAsia="pl-PL" w:bidi="pl-PL"/>
              </w:rPr>
              <w:t>Powyżej 35 r.ż.</w:t>
            </w:r>
          </w:p>
        </w:tc>
        <w:tc>
          <w:tcPr>
            <w:tcW w:w="1087" w:type="dxa"/>
            <w:tcBorders>
              <w:top w:val="nil"/>
              <w:left w:val="nil"/>
              <w:bottom w:val="single" w:sz="4" w:space="0" w:color="auto"/>
              <w:right w:val="single" w:sz="4" w:space="0" w:color="auto"/>
            </w:tcBorders>
            <w:shd w:val="clear" w:color="auto" w:fill="auto"/>
            <w:vAlign w:val="center"/>
            <w:hideMark/>
          </w:tcPr>
          <w:p w:rsidR="00F57FDB" w:rsidRPr="00F57FDB" w:rsidRDefault="00F57FDB" w:rsidP="00F57FDB">
            <w:pPr>
              <w:widowControl w:val="0"/>
              <w:spacing w:after="120" w:line="240" w:lineRule="auto"/>
              <w:jc w:val="center"/>
              <w:rPr>
                <w:rFonts w:eastAsia="Arial" w:cs="Arial"/>
                <w:b/>
                <w:bCs/>
                <w:sz w:val="20"/>
                <w:szCs w:val="20"/>
                <w:shd w:val="clear" w:color="auto" w:fill="FFFFFF"/>
                <w:lang w:eastAsia="pl-PL" w:bidi="pl-PL"/>
              </w:rPr>
            </w:pPr>
            <w:r w:rsidRPr="00F57FDB">
              <w:rPr>
                <w:rFonts w:eastAsia="Arial" w:cs="Arial"/>
                <w:b/>
                <w:bCs/>
                <w:sz w:val="20"/>
                <w:szCs w:val="20"/>
                <w:shd w:val="clear" w:color="auto" w:fill="FFFFFF"/>
                <w:lang w:eastAsia="pl-PL" w:bidi="pl-PL"/>
              </w:rPr>
              <w:t>Łącznie</w:t>
            </w: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F57FDB" w:rsidRPr="00F57FDB" w:rsidRDefault="00F57FDB" w:rsidP="00F57FDB">
            <w:pPr>
              <w:spacing w:after="120" w:line="240" w:lineRule="auto"/>
              <w:jc w:val="center"/>
              <w:rPr>
                <w:rFonts w:eastAsia="Times New Roman" w:cs="Arial"/>
                <w:b/>
                <w:sz w:val="20"/>
                <w:szCs w:val="20"/>
                <w:lang w:eastAsia="pl-PL"/>
              </w:rPr>
            </w:pPr>
          </w:p>
        </w:tc>
      </w:tr>
      <w:tr w:rsidR="00F57FDB" w:rsidRPr="00F57FDB" w:rsidTr="007A5C0F">
        <w:trPr>
          <w:trHeight w:val="488"/>
          <w:jc w:val="center"/>
        </w:trPr>
        <w:tc>
          <w:tcPr>
            <w:tcW w:w="2061" w:type="dxa"/>
            <w:tcBorders>
              <w:top w:val="nil"/>
              <w:left w:val="single" w:sz="4" w:space="0" w:color="auto"/>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rPr>
                <w:rFonts w:eastAsia="Times New Roman" w:cs="Arial"/>
                <w:sz w:val="20"/>
                <w:szCs w:val="20"/>
                <w:lang w:eastAsia="pl-PL"/>
              </w:rPr>
            </w:pPr>
            <w:r w:rsidRPr="00F57FDB">
              <w:rPr>
                <w:rFonts w:eastAsia="Times New Roman" w:cs="Arial"/>
                <w:sz w:val="20"/>
                <w:szCs w:val="20"/>
                <w:lang w:eastAsia="pl-PL"/>
              </w:rPr>
              <w:t>DOLNOŚLĄSKI</w:t>
            </w:r>
          </w:p>
        </w:tc>
        <w:tc>
          <w:tcPr>
            <w:tcW w:w="1086"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2 688</w:t>
            </w:r>
          </w:p>
        </w:tc>
        <w:tc>
          <w:tcPr>
            <w:tcW w:w="1087"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4 392</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7 080</w:t>
            </w:r>
          </w:p>
        </w:tc>
        <w:tc>
          <w:tcPr>
            <w:tcW w:w="1086"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1 735 693</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2 857 833</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4 593 526</w:t>
            </w:r>
          </w:p>
        </w:tc>
        <w:tc>
          <w:tcPr>
            <w:tcW w:w="1009"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9</w:t>
            </w:r>
          </w:p>
        </w:tc>
      </w:tr>
      <w:tr w:rsidR="00F57FDB" w:rsidRPr="00F57FDB" w:rsidTr="007A5C0F">
        <w:trPr>
          <w:trHeight w:val="488"/>
          <w:jc w:val="center"/>
        </w:trPr>
        <w:tc>
          <w:tcPr>
            <w:tcW w:w="2061" w:type="dxa"/>
            <w:tcBorders>
              <w:top w:val="nil"/>
              <w:left w:val="single" w:sz="4" w:space="0" w:color="auto"/>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rPr>
                <w:rFonts w:eastAsia="Times New Roman" w:cs="Arial"/>
                <w:sz w:val="20"/>
                <w:szCs w:val="20"/>
                <w:lang w:eastAsia="pl-PL"/>
              </w:rPr>
            </w:pPr>
            <w:r w:rsidRPr="00F57FDB">
              <w:rPr>
                <w:rFonts w:eastAsia="Times New Roman" w:cs="Arial"/>
                <w:sz w:val="20"/>
                <w:szCs w:val="20"/>
                <w:lang w:eastAsia="pl-PL"/>
              </w:rPr>
              <w:t>KUJAWSKO-POMORSKI</w:t>
            </w:r>
          </w:p>
        </w:tc>
        <w:tc>
          <w:tcPr>
            <w:tcW w:w="1086"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4 352</w:t>
            </w:r>
          </w:p>
        </w:tc>
        <w:tc>
          <w:tcPr>
            <w:tcW w:w="1087"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2 543</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6 895</w:t>
            </w:r>
          </w:p>
        </w:tc>
        <w:tc>
          <w:tcPr>
            <w:tcW w:w="1086"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3 618 782</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2 160 664</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5 779 446</w:t>
            </w:r>
          </w:p>
        </w:tc>
        <w:tc>
          <w:tcPr>
            <w:tcW w:w="1009"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6</w:t>
            </w:r>
          </w:p>
        </w:tc>
      </w:tr>
      <w:tr w:rsidR="00F57FDB" w:rsidRPr="00F57FDB" w:rsidTr="007A5C0F">
        <w:trPr>
          <w:trHeight w:val="488"/>
          <w:jc w:val="center"/>
        </w:trPr>
        <w:tc>
          <w:tcPr>
            <w:tcW w:w="2061" w:type="dxa"/>
            <w:tcBorders>
              <w:top w:val="nil"/>
              <w:left w:val="single" w:sz="4" w:space="0" w:color="auto"/>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rPr>
                <w:rFonts w:eastAsia="Times New Roman" w:cs="Arial"/>
                <w:sz w:val="20"/>
                <w:szCs w:val="20"/>
                <w:lang w:eastAsia="pl-PL"/>
              </w:rPr>
            </w:pPr>
            <w:r w:rsidRPr="00F57FDB">
              <w:rPr>
                <w:rFonts w:eastAsia="Times New Roman" w:cs="Arial"/>
                <w:sz w:val="20"/>
                <w:szCs w:val="20"/>
                <w:lang w:eastAsia="pl-PL"/>
              </w:rPr>
              <w:t>LUBELSKI</w:t>
            </w:r>
          </w:p>
        </w:tc>
        <w:tc>
          <w:tcPr>
            <w:tcW w:w="1086"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724</w:t>
            </w:r>
          </w:p>
        </w:tc>
        <w:tc>
          <w:tcPr>
            <w:tcW w:w="1087"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2 195</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2 919</w:t>
            </w:r>
          </w:p>
        </w:tc>
        <w:tc>
          <w:tcPr>
            <w:tcW w:w="1086"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442 989</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1 361 541</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1 804 530</w:t>
            </w:r>
          </w:p>
        </w:tc>
        <w:tc>
          <w:tcPr>
            <w:tcW w:w="1009"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4</w:t>
            </w:r>
          </w:p>
        </w:tc>
      </w:tr>
      <w:tr w:rsidR="00F57FDB" w:rsidRPr="00F57FDB" w:rsidTr="007A5C0F">
        <w:trPr>
          <w:trHeight w:val="488"/>
          <w:jc w:val="center"/>
        </w:trPr>
        <w:tc>
          <w:tcPr>
            <w:tcW w:w="2061" w:type="dxa"/>
            <w:tcBorders>
              <w:top w:val="nil"/>
              <w:left w:val="single" w:sz="4" w:space="0" w:color="auto"/>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rPr>
                <w:rFonts w:eastAsia="Times New Roman" w:cs="Arial"/>
                <w:sz w:val="20"/>
                <w:szCs w:val="20"/>
                <w:lang w:eastAsia="pl-PL"/>
              </w:rPr>
            </w:pPr>
            <w:r w:rsidRPr="00F57FDB">
              <w:rPr>
                <w:rFonts w:eastAsia="Times New Roman" w:cs="Arial"/>
                <w:sz w:val="20"/>
                <w:szCs w:val="20"/>
                <w:lang w:eastAsia="pl-PL"/>
              </w:rPr>
              <w:t>LUBUSKI</w:t>
            </w:r>
          </w:p>
        </w:tc>
        <w:tc>
          <w:tcPr>
            <w:tcW w:w="1086"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2 824</w:t>
            </w:r>
          </w:p>
        </w:tc>
        <w:tc>
          <w:tcPr>
            <w:tcW w:w="1087"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1 174</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3 998</w:t>
            </w:r>
          </w:p>
        </w:tc>
        <w:tc>
          <w:tcPr>
            <w:tcW w:w="1086"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1 673 449</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795 604</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2 469 053</w:t>
            </w:r>
          </w:p>
        </w:tc>
        <w:tc>
          <w:tcPr>
            <w:tcW w:w="1009"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5</w:t>
            </w:r>
          </w:p>
        </w:tc>
      </w:tr>
      <w:tr w:rsidR="00F57FDB" w:rsidRPr="00F57FDB" w:rsidTr="007A5C0F">
        <w:trPr>
          <w:trHeight w:val="488"/>
          <w:jc w:val="center"/>
        </w:trPr>
        <w:tc>
          <w:tcPr>
            <w:tcW w:w="2061" w:type="dxa"/>
            <w:tcBorders>
              <w:top w:val="nil"/>
              <w:left w:val="single" w:sz="4" w:space="0" w:color="auto"/>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rPr>
                <w:rFonts w:eastAsia="Times New Roman" w:cs="Arial"/>
                <w:sz w:val="20"/>
                <w:szCs w:val="20"/>
                <w:lang w:eastAsia="pl-PL"/>
              </w:rPr>
            </w:pPr>
            <w:r w:rsidRPr="00F57FDB">
              <w:rPr>
                <w:rFonts w:eastAsia="Times New Roman" w:cs="Arial"/>
                <w:sz w:val="20"/>
                <w:szCs w:val="20"/>
                <w:lang w:eastAsia="pl-PL"/>
              </w:rPr>
              <w:t>ŁÓDZKI</w:t>
            </w:r>
          </w:p>
        </w:tc>
        <w:tc>
          <w:tcPr>
            <w:tcW w:w="1086"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1 876</w:t>
            </w:r>
          </w:p>
        </w:tc>
        <w:tc>
          <w:tcPr>
            <w:tcW w:w="1087"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3 491</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5 367</w:t>
            </w:r>
          </w:p>
        </w:tc>
        <w:tc>
          <w:tcPr>
            <w:tcW w:w="1086"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1 387 289</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2 519 440</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3 906 729</w:t>
            </w:r>
          </w:p>
        </w:tc>
        <w:tc>
          <w:tcPr>
            <w:tcW w:w="1009"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7</w:t>
            </w:r>
          </w:p>
        </w:tc>
      </w:tr>
      <w:tr w:rsidR="00F57FDB" w:rsidRPr="00F57FDB" w:rsidTr="007A5C0F">
        <w:trPr>
          <w:trHeight w:val="488"/>
          <w:jc w:val="center"/>
        </w:trPr>
        <w:tc>
          <w:tcPr>
            <w:tcW w:w="2061" w:type="dxa"/>
            <w:tcBorders>
              <w:top w:val="nil"/>
              <w:left w:val="single" w:sz="4" w:space="0" w:color="auto"/>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rPr>
                <w:rFonts w:eastAsia="Times New Roman" w:cs="Arial"/>
                <w:sz w:val="20"/>
                <w:szCs w:val="20"/>
                <w:lang w:eastAsia="pl-PL"/>
              </w:rPr>
            </w:pPr>
            <w:r w:rsidRPr="00F57FDB">
              <w:rPr>
                <w:rFonts w:eastAsia="Times New Roman" w:cs="Arial"/>
                <w:sz w:val="20"/>
                <w:szCs w:val="20"/>
                <w:lang w:eastAsia="pl-PL"/>
              </w:rPr>
              <w:t>MAŁOPOLSKI</w:t>
            </w:r>
          </w:p>
        </w:tc>
        <w:tc>
          <w:tcPr>
            <w:tcW w:w="1086"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3 551</w:t>
            </w:r>
          </w:p>
        </w:tc>
        <w:tc>
          <w:tcPr>
            <w:tcW w:w="1087"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4 627</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8 178</w:t>
            </w:r>
          </w:p>
        </w:tc>
        <w:tc>
          <w:tcPr>
            <w:tcW w:w="1086"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2 443 864</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3 331 068</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5 774 932</w:t>
            </w:r>
          </w:p>
        </w:tc>
        <w:tc>
          <w:tcPr>
            <w:tcW w:w="1009"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highlight w:val="yellow"/>
                <w:lang w:eastAsia="pl-PL"/>
              </w:rPr>
            </w:pPr>
            <w:r w:rsidRPr="00F57FDB">
              <w:rPr>
                <w:rFonts w:eastAsia="Times New Roman" w:cs="Arial"/>
                <w:sz w:val="20"/>
                <w:szCs w:val="20"/>
                <w:lang w:eastAsia="pl-PL"/>
              </w:rPr>
              <w:t>5</w:t>
            </w:r>
          </w:p>
        </w:tc>
      </w:tr>
      <w:tr w:rsidR="00F57FDB" w:rsidRPr="00F57FDB" w:rsidTr="007A5C0F">
        <w:trPr>
          <w:trHeight w:val="488"/>
          <w:jc w:val="center"/>
        </w:trPr>
        <w:tc>
          <w:tcPr>
            <w:tcW w:w="2061" w:type="dxa"/>
            <w:tcBorders>
              <w:top w:val="nil"/>
              <w:left w:val="single" w:sz="4" w:space="0" w:color="auto"/>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rPr>
                <w:rFonts w:eastAsia="Times New Roman" w:cs="Arial"/>
                <w:sz w:val="20"/>
                <w:szCs w:val="20"/>
                <w:lang w:eastAsia="pl-PL"/>
              </w:rPr>
            </w:pPr>
            <w:r w:rsidRPr="00F57FDB">
              <w:rPr>
                <w:rFonts w:eastAsia="Times New Roman" w:cs="Arial"/>
                <w:sz w:val="20"/>
                <w:szCs w:val="20"/>
                <w:lang w:eastAsia="pl-PL"/>
              </w:rPr>
              <w:t>MAZOWIECKI</w:t>
            </w:r>
          </w:p>
        </w:tc>
        <w:tc>
          <w:tcPr>
            <w:tcW w:w="1086"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3 411</w:t>
            </w:r>
          </w:p>
        </w:tc>
        <w:tc>
          <w:tcPr>
            <w:tcW w:w="1087"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6 324</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9 735</w:t>
            </w:r>
          </w:p>
        </w:tc>
        <w:tc>
          <w:tcPr>
            <w:tcW w:w="1086"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2 942 511</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5 228 453</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8 170 964</w:t>
            </w:r>
          </w:p>
        </w:tc>
        <w:tc>
          <w:tcPr>
            <w:tcW w:w="1009"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highlight w:val="yellow"/>
                <w:lang w:eastAsia="pl-PL"/>
              </w:rPr>
            </w:pPr>
            <w:r w:rsidRPr="00F57FDB">
              <w:rPr>
                <w:rFonts w:eastAsia="Times New Roman" w:cs="Arial"/>
                <w:sz w:val="20"/>
                <w:szCs w:val="20"/>
                <w:lang w:eastAsia="pl-PL"/>
              </w:rPr>
              <w:t>19</w:t>
            </w:r>
          </w:p>
        </w:tc>
      </w:tr>
      <w:tr w:rsidR="00F57FDB" w:rsidRPr="00F57FDB" w:rsidTr="007A5C0F">
        <w:trPr>
          <w:trHeight w:val="488"/>
          <w:jc w:val="center"/>
        </w:trPr>
        <w:tc>
          <w:tcPr>
            <w:tcW w:w="2061" w:type="dxa"/>
            <w:tcBorders>
              <w:top w:val="nil"/>
              <w:left w:val="single" w:sz="4" w:space="0" w:color="auto"/>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rPr>
                <w:rFonts w:eastAsia="Times New Roman" w:cs="Arial"/>
                <w:sz w:val="20"/>
                <w:szCs w:val="20"/>
                <w:lang w:eastAsia="pl-PL"/>
              </w:rPr>
            </w:pPr>
            <w:r w:rsidRPr="00F57FDB">
              <w:rPr>
                <w:rFonts w:eastAsia="Times New Roman" w:cs="Arial"/>
                <w:sz w:val="20"/>
                <w:szCs w:val="20"/>
                <w:lang w:eastAsia="pl-PL"/>
              </w:rPr>
              <w:t>OPOLSKI</w:t>
            </w:r>
          </w:p>
        </w:tc>
        <w:tc>
          <w:tcPr>
            <w:tcW w:w="1086"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1 313</w:t>
            </w:r>
          </w:p>
        </w:tc>
        <w:tc>
          <w:tcPr>
            <w:tcW w:w="1087"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1 089</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2 402</w:t>
            </w:r>
          </w:p>
        </w:tc>
        <w:tc>
          <w:tcPr>
            <w:tcW w:w="1086"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771 252</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811 782</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1 583 034</w:t>
            </w:r>
          </w:p>
        </w:tc>
        <w:tc>
          <w:tcPr>
            <w:tcW w:w="1009"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highlight w:val="yellow"/>
                <w:lang w:eastAsia="pl-PL"/>
              </w:rPr>
            </w:pPr>
            <w:r w:rsidRPr="00F57FDB">
              <w:rPr>
                <w:rFonts w:eastAsia="Times New Roman" w:cs="Arial"/>
                <w:sz w:val="20"/>
                <w:szCs w:val="20"/>
                <w:lang w:eastAsia="pl-PL"/>
              </w:rPr>
              <w:t>2</w:t>
            </w:r>
          </w:p>
        </w:tc>
      </w:tr>
      <w:tr w:rsidR="00F57FDB" w:rsidRPr="00F57FDB" w:rsidTr="007A5C0F">
        <w:trPr>
          <w:trHeight w:val="488"/>
          <w:jc w:val="center"/>
        </w:trPr>
        <w:tc>
          <w:tcPr>
            <w:tcW w:w="2061" w:type="dxa"/>
            <w:tcBorders>
              <w:top w:val="nil"/>
              <w:left w:val="single" w:sz="4" w:space="0" w:color="auto"/>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rPr>
                <w:rFonts w:eastAsia="Times New Roman" w:cs="Arial"/>
                <w:sz w:val="20"/>
                <w:szCs w:val="20"/>
                <w:lang w:eastAsia="pl-PL"/>
              </w:rPr>
            </w:pPr>
            <w:r w:rsidRPr="00F57FDB">
              <w:rPr>
                <w:rFonts w:eastAsia="Times New Roman" w:cs="Arial"/>
                <w:sz w:val="20"/>
                <w:szCs w:val="20"/>
                <w:lang w:eastAsia="pl-PL"/>
              </w:rPr>
              <w:t>PODKARPACKI</w:t>
            </w:r>
          </w:p>
        </w:tc>
        <w:tc>
          <w:tcPr>
            <w:tcW w:w="1086"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1 832</w:t>
            </w:r>
          </w:p>
        </w:tc>
        <w:tc>
          <w:tcPr>
            <w:tcW w:w="1087"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2 592</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4 424</w:t>
            </w:r>
          </w:p>
        </w:tc>
        <w:tc>
          <w:tcPr>
            <w:tcW w:w="1086"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1 041 730</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1 558 890</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2 600 620</w:t>
            </w:r>
          </w:p>
        </w:tc>
        <w:tc>
          <w:tcPr>
            <w:tcW w:w="1009"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highlight w:val="yellow"/>
                <w:lang w:eastAsia="pl-PL"/>
              </w:rPr>
            </w:pPr>
            <w:r w:rsidRPr="00F57FDB">
              <w:rPr>
                <w:rFonts w:eastAsia="Times New Roman" w:cs="Arial"/>
                <w:sz w:val="20"/>
                <w:szCs w:val="20"/>
                <w:lang w:eastAsia="pl-PL"/>
              </w:rPr>
              <w:t>3</w:t>
            </w:r>
          </w:p>
        </w:tc>
      </w:tr>
      <w:tr w:rsidR="00F57FDB" w:rsidRPr="00F57FDB" w:rsidTr="007A5C0F">
        <w:trPr>
          <w:trHeight w:val="488"/>
          <w:jc w:val="center"/>
        </w:trPr>
        <w:tc>
          <w:tcPr>
            <w:tcW w:w="2061" w:type="dxa"/>
            <w:tcBorders>
              <w:top w:val="nil"/>
              <w:left w:val="single" w:sz="4" w:space="0" w:color="auto"/>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rPr>
                <w:rFonts w:eastAsia="Times New Roman" w:cs="Arial"/>
                <w:sz w:val="20"/>
                <w:szCs w:val="20"/>
                <w:lang w:eastAsia="pl-PL"/>
              </w:rPr>
            </w:pPr>
            <w:r w:rsidRPr="00F57FDB">
              <w:rPr>
                <w:rFonts w:eastAsia="Times New Roman" w:cs="Arial"/>
                <w:sz w:val="20"/>
                <w:szCs w:val="20"/>
                <w:lang w:eastAsia="pl-PL"/>
              </w:rPr>
              <w:t>PODLASKI</w:t>
            </w:r>
          </w:p>
        </w:tc>
        <w:tc>
          <w:tcPr>
            <w:tcW w:w="1086"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731</w:t>
            </w:r>
          </w:p>
        </w:tc>
        <w:tc>
          <w:tcPr>
            <w:tcW w:w="1087"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1 813</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2 544</w:t>
            </w:r>
          </w:p>
        </w:tc>
        <w:tc>
          <w:tcPr>
            <w:tcW w:w="1086"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596 286</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1 357 897</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1 954 183</w:t>
            </w:r>
          </w:p>
        </w:tc>
        <w:tc>
          <w:tcPr>
            <w:tcW w:w="1009"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highlight w:val="yellow"/>
                <w:lang w:eastAsia="pl-PL"/>
              </w:rPr>
            </w:pPr>
            <w:r w:rsidRPr="00F57FDB">
              <w:rPr>
                <w:rFonts w:eastAsia="Times New Roman" w:cs="Arial"/>
                <w:sz w:val="20"/>
                <w:szCs w:val="20"/>
                <w:lang w:eastAsia="pl-PL"/>
              </w:rPr>
              <w:t>1</w:t>
            </w:r>
          </w:p>
        </w:tc>
      </w:tr>
      <w:tr w:rsidR="00F57FDB" w:rsidRPr="00F57FDB" w:rsidTr="007A5C0F">
        <w:trPr>
          <w:trHeight w:val="488"/>
          <w:jc w:val="center"/>
        </w:trPr>
        <w:tc>
          <w:tcPr>
            <w:tcW w:w="2061" w:type="dxa"/>
            <w:tcBorders>
              <w:top w:val="nil"/>
              <w:left w:val="single" w:sz="4" w:space="0" w:color="auto"/>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rPr>
                <w:rFonts w:eastAsia="Times New Roman" w:cs="Arial"/>
                <w:sz w:val="20"/>
                <w:szCs w:val="20"/>
                <w:lang w:eastAsia="pl-PL"/>
              </w:rPr>
            </w:pPr>
            <w:r w:rsidRPr="00F57FDB">
              <w:rPr>
                <w:rFonts w:eastAsia="Times New Roman" w:cs="Arial"/>
                <w:sz w:val="20"/>
                <w:szCs w:val="20"/>
                <w:lang w:eastAsia="pl-PL"/>
              </w:rPr>
              <w:t>POMORSKI</w:t>
            </w:r>
          </w:p>
        </w:tc>
        <w:tc>
          <w:tcPr>
            <w:tcW w:w="1086"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1 696</w:t>
            </w:r>
          </w:p>
        </w:tc>
        <w:tc>
          <w:tcPr>
            <w:tcW w:w="1087"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2 805</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4 501</w:t>
            </w:r>
          </w:p>
        </w:tc>
        <w:tc>
          <w:tcPr>
            <w:tcW w:w="1086"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1 137 655</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2 015 677</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3 153 332</w:t>
            </w:r>
          </w:p>
        </w:tc>
        <w:tc>
          <w:tcPr>
            <w:tcW w:w="1009"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highlight w:val="yellow"/>
                <w:lang w:eastAsia="pl-PL"/>
              </w:rPr>
            </w:pPr>
            <w:r w:rsidRPr="00F57FDB">
              <w:rPr>
                <w:rFonts w:eastAsia="Times New Roman" w:cs="Arial"/>
                <w:sz w:val="20"/>
                <w:szCs w:val="20"/>
                <w:lang w:eastAsia="pl-PL"/>
              </w:rPr>
              <w:t>5</w:t>
            </w:r>
          </w:p>
        </w:tc>
      </w:tr>
      <w:tr w:rsidR="00F57FDB" w:rsidRPr="00F57FDB" w:rsidTr="007A5C0F">
        <w:trPr>
          <w:trHeight w:val="488"/>
          <w:jc w:val="center"/>
        </w:trPr>
        <w:tc>
          <w:tcPr>
            <w:tcW w:w="2061" w:type="dxa"/>
            <w:tcBorders>
              <w:top w:val="nil"/>
              <w:left w:val="single" w:sz="4" w:space="0" w:color="auto"/>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rPr>
                <w:rFonts w:eastAsia="Times New Roman" w:cs="Arial"/>
                <w:sz w:val="20"/>
                <w:szCs w:val="20"/>
                <w:lang w:eastAsia="pl-PL"/>
              </w:rPr>
            </w:pPr>
            <w:r w:rsidRPr="00F57FDB">
              <w:rPr>
                <w:rFonts w:eastAsia="Times New Roman" w:cs="Arial"/>
                <w:sz w:val="20"/>
                <w:szCs w:val="20"/>
                <w:lang w:eastAsia="pl-PL"/>
              </w:rPr>
              <w:t>ŚLĄSKI</w:t>
            </w:r>
          </w:p>
        </w:tc>
        <w:tc>
          <w:tcPr>
            <w:tcW w:w="1086"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20 494</w:t>
            </w:r>
          </w:p>
        </w:tc>
        <w:tc>
          <w:tcPr>
            <w:tcW w:w="1087"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8 153</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28 647</w:t>
            </w:r>
          </w:p>
        </w:tc>
        <w:tc>
          <w:tcPr>
            <w:tcW w:w="1086"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11 509 587</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5 168 420</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16 678 007</w:t>
            </w:r>
          </w:p>
        </w:tc>
        <w:tc>
          <w:tcPr>
            <w:tcW w:w="1009"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highlight w:val="yellow"/>
                <w:lang w:eastAsia="pl-PL"/>
              </w:rPr>
            </w:pPr>
            <w:r w:rsidRPr="00F57FDB">
              <w:rPr>
                <w:rFonts w:eastAsia="Times New Roman" w:cs="Arial"/>
                <w:sz w:val="20"/>
                <w:szCs w:val="20"/>
                <w:lang w:eastAsia="pl-PL"/>
              </w:rPr>
              <w:t>37</w:t>
            </w:r>
          </w:p>
        </w:tc>
      </w:tr>
      <w:tr w:rsidR="00F57FDB" w:rsidRPr="00F57FDB" w:rsidTr="007A5C0F">
        <w:trPr>
          <w:trHeight w:val="488"/>
          <w:jc w:val="center"/>
        </w:trPr>
        <w:tc>
          <w:tcPr>
            <w:tcW w:w="2061" w:type="dxa"/>
            <w:tcBorders>
              <w:top w:val="nil"/>
              <w:left w:val="single" w:sz="4" w:space="0" w:color="auto"/>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rPr>
                <w:rFonts w:eastAsia="Times New Roman" w:cs="Arial"/>
                <w:sz w:val="20"/>
                <w:szCs w:val="20"/>
                <w:lang w:eastAsia="pl-PL"/>
              </w:rPr>
            </w:pPr>
            <w:r w:rsidRPr="00F57FDB">
              <w:rPr>
                <w:rFonts w:eastAsia="Times New Roman" w:cs="Arial"/>
                <w:sz w:val="20"/>
                <w:szCs w:val="20"/>
                <w:lang w:eastAsia="pl-PL"/>
              </w:rPr>
              <w:lastRenderedPageBreak/>
              <w:t>ŚWIĘTOKRZYSKI</w:t>
            </w:r>
          </w:p>
        </w:tc>
        <w:tc>
          <w:tcPr>
            <w:tcW w:w="1086"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1 501</w:t>
            </w:r>
          </w:p>
        </w:tc>
        <w:tc>
          <w:tcPr>
            <w:tcW w:w="1087"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1 518</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3 019</w:t>
            </w:r>
          </w:p>
        </w:tc>
        <w:tc>
          <w:tcPr>
            <w:tcW w:w="1086"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813 341</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940 989</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1 754 330</w:t>
            </w:r>
          </w:p>
        </w:tc>
        <w:tc>
          <w:tcPr>
            <w:tcW w:w="1009"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highlight w:val="yellow"/>
                <w:lang w:eastAsia="pl-PL"/>
              </w:rPr>
            </w:pPr>
            <w:r w:rsidRPr="00F57FDB">
              <w:rPr>
                <w:rFonts w:eastAsia="Times New Roman" w:cs="Arial"/>
                <w:sz w:val="20"/>
                <w:szCs w:val="20"/>
                <w:lang w:eastAsia="pl-PL"/>
              </w:rPr>
              <w:t>3</w:t>
            </w:r>
          </w:p>
        </w:tc>
      </w:tr>
      <w:tr w:rsidR="00F57FDB" w:rsidRPr="00F57FDB" w:rsidTr="007A5C0F">
        <w:trPr>
          <w:trHeight w:val="488"/>
          <w:jc w:val="center"/>
        </w:trPr>
        <w:tc>
          <w:tcPr>
            <w:tcW w:w="2061" w:type="dxa"/>
            <w:tcBorders>
              <w:top w:val="nil"/>
              <w:left w:val="single" w:sz="4" w:space="0" w:color="auto"/>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rPr>
                <w:rFonts w:eastAsia="Times New Roman" w:cs="Arial"/>
                <w:sz w:val="20"/>
                <w:szCs w:val="20"/>
                <w:lang w:eastAsia="pl-PL"/>
              </w:rPr>
            </w:pPr>
            <w:r w:rsidRPr="00F57FDB">
              <w:rPr>
                <w:rFonts w:eastAsia="Times New Roman" w:cs="Arial"/>
                <w:sz w:val="20"/>
                <w:szCs w:val="20"/>
                <w:lang w:eastAsia="pl-PL"/>
              </w:rPr>
              <w:t>WARMIŃSKO-MAZURSKI</w:t>
            </w:r>
          </w:p>
        </w:tc>
        <w:tc>
          <w:tcPr>
            <w:tcW w:w="1086"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1 066</w:t>
            </w:r>
          </w:p>
        </w:tc>
        <w:tc>
          <w:tcPr>
            <w:tcW w:w="1087"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1 486</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2 552</w:t>
            </w:r>
          </w:p>
        </w:tc>
        <w:tc>
          <w:tcPr>
            <w:tcW w:w="1086"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524 736</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910 854</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1 435 590</w:t>
            </w:r>
          </w:p>
        </w:tc>
        <w:tc>
          <w:tcPr>
            <w:tcW w:w="1009"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highlight w:val="yellow"/>
                <w:lang w:eastAsia="pl-PL"/>
              </w:rPr>
            </w:pPr>
            <w:r w:rsidRPr="00F57FDB">
              <w:rPr>
                <w:rFonts w:eastAsia="Times New Roman" w:cs="Arial"/>
                <w:sz w:val="20"/>
                <w:szCs w:val="20"/>
                <w:lang w:eastAsia="pl-PL"/>
              </w:rPr>
              <w:t>2</w:t>
            </w:r>
          </w:p>
        </w:tc>
      </w:tr>
      <w:tr w:rsidR="00F57FDB" w:rsidRPr="00F57FDB" w:rsidTr="007A5C0F">
        <w:trPr>
          <w:trHeight w:val="488"/>
          <w:jc w:val="center"/>
        </w:trPr>
        <w:tc>
          <w:tcPr>
            <w:tcW w:w="2061" w:type="dxa"/>
            <w:tcBorders>
              <w:top w:val="nil"/>
              <w:left w:val="single" w:sz="4" w:space="0" w:color="auto"/>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rPr>
                <w:rFonts w:eastAsia="Times New Roman" w:cs="Arial"/>
                <w:sz w:val="20"/>
                <w:szCs w:val="20"/>
                <w:lang w:eastAsia="pl-PL"/>
              </w:rPr>
            </w:pPr>
            <w:r w:rsidRPr="00F57FDB">
              <w:rPr>
                <w:rFonts w:eastAsia="Times New Roman" w:cs="Arial"/>
                <w:sz w:val="20"/>
                <w:szCs w:val="20"/>
                <w:lang w:eastAsia="pl-PL"/>
              </w:rPr>
              <w:t>WIELKOPOLSKI</w:t>
            </w:r>
          </w:p>
        </w:tc>
        <w:tc>
          <w:tcPr>
            <w:tcW w:w="1086"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6 577</w:t>
            </w:r>
          </w:p>
        </w:tc>
        <w:tc>
          <w:tcPr>
            <w:tcW w:w="1087"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3 979</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10 556</w:t>
            </w:r>
          </w:p>
        </w:tc>
        <w:tc>
          <w:tcPr>
            <w:tcW w:w="1086"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3 442 018</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2 411 103</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5 853 121</w:t>
            </w:r>
          </w:p>
        </w:tc>
        <w:tc>
          <w:tcPr>
            <w:tcW w:w="1009"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highlight w:val="yellow"/>
                <w:lang w:eastAsia="pl-PL"/>
              </w:rPr>
            </w:pPr>
            <w:r w:rsidRPr="00F57FDB">
              <w:rPr>
                <w:rFonts w:eastAsia="Times New Roman" w:cs="Arial"/>
                <w:sz w:val="20"/>
                <w:szCs w:val="20"/>
                <w:lang w:eastAsia="pl-PL"/>
              </w:rPr>
              <w:t>11</w:t>
            </w:r>
          </w:p>
        </w:tc>
      </w:tr>
      <w:tr w:rsidR="00F57FDB" w:rsidRPr="00F57FDB" w:rsidTr="007A5C0F">
        <w:trPr>
          <w:trHeight w:val="488"/>
          <w:jc w:val="center"/>
        </w:trPr>
        <w:tc>
          <w:tcPr>
            <w:tcW w:w="2061" w:type="dxa"/>
            <w:tcBorders>
              <w:top w:val="nil"/>
              <w:left w:val="single" w:sz="4" w:space="0" w:color="auto"/>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rPr>
                <w:rFonts w:eastAsia="Times New Roman" w:cs="Arial"/>
                <w:sz w:val="20"/>
                <w:szCs w:val="20"/>
                <w:lang w:eastAsia="pl-PL"/>
              </w:rPr>
            </w:pPr>
            <w:r w:rsidRPr="00F57FDB">
              <w:rPr>
                <w:rFonts w:eastAsia="Times New Roman" w:cs="Arial"/>
                <w:sz w:val="20"/>
                <w:szCs w:val="20"/>
                <w:lang w:eastAsia="pl-PL"/>
              </w:rPr>
              <w:t>ZACHODNIOPOMORSKI</w:t>
            </w:r>
          </w:p>
        </w:tc>
        <w:tc>
          <w:tcPr>
            <w:tcW w:w="1086"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974</w:t>
            </w:r>
          </w:p>
        </w:tc>
        <w:tc>
          <w:tcPr>
            <w:tcW w:w="1087" w:type="dxa"/>
            <w:tcBorders>
              <w:top w:val="nil"/>
              <w:left w:val="nil"/>
              <w:bottom w:val="single" w:sz="4" w:space="0" w:color="auto"/>
              <w:right w:val="single" w:sz="4" w:space="0" w:color="auto"/>
            </w:tcBorders>
            <w:shd w:val="clear" w:color="auto" w:fill="auto"/>
            <w:noWrap/>
            <w:vAlign w:val="center"/>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2 569</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3 543</w:t>
            </w:r>
          </w:p>
        </w:tc>
        <w:tc>
          <w:tcPr>
            <w:tcW w:w="1086"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723 971</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1 786 812</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lang w:eastAsia="pl-PL"/>
              </w:rPr>
            </w:pPr>
            <w:r w:rsidRPr="00F57FDB">
              <w:rPr>
                <w:rFonts w:eastAsia="Times New Roman" w:cs="Arial"/>
                <w:sz w:val="20"/>
                <w:szCs w:val="20"/>
                <w:lang w:eastAsia="pl-PL"/>
              </w:rPr>
              <w:t>2 510 784</w:t>
            </w:r>
          </w:p>
        </w:tc>
        <w:tc>
          <w:tcPr>
            <w:tcW w:w="1009"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sz w:val="20"/>
                <w:szCs w:val="20"/>
                <w:highlight w:val="yellow"/>
                <w:lang w:eastAsia="pl-PL"/>
              </w:rPr>
            </w:pPr>
            <w:r w:rsidRPr="00F57FDB">
              <w:rPr>
                <w:rFonts w:eastAsia="Times New Roman" w:cs="Arial"/>
                <w:sz w:val="20"/>
                <w:szCs w:val="20"/>
                <w:lang w:eastAsia="pl-PL"/>
              </w:rPr>
              <w:t>2</w:t>
            </w:r>
          </w:p>
        </w:tc>
      </w:tr>
      <w:tr w:rsidR="00F57FDB" w:rsidRPr="00F57FDB" w:rsidTr="007A5C0F">
        <w:trPr>
          <w:trHeight w:val="489"/>
          <w:jc w:val="center"/>
        </w:trPr>
        <w:tc>
          <w:tcPr>
            <w:tcW w:w="2061" w:type="dxa"/>
            <w:tcBorders>
              <w:top w:val="nil"/>
              <w:left w:val="single" w:sz="4" w:space="0" w:color="auto"/>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rPr>
                <w:rFonts w:eastAsia="Times New Roman" w:cs="Arial"/>
                <w:b/>
                <w:bCs/>
                <w:sz w:val="20"/>
                <w:szCs w:val="20"/>
                <w:lang w:eastAsia="pl-PL"/>
              </w:rPr>
            </w:pPr>
            <w:r w:rsidRPr="00F57FDB">
              <w:rPr>
                <w:rFonts w:eastAsia="Times New Roman" w:cs="Arial"/>
                <w:b/>
                <w:bCs/>
                <w:sz w:val="20"/>
                <w:szCs w:val="20"/>
                <w:lang w:eastAsia="pl-PL"/>
              </w:rPr>
              <w:t>RAZEM:</w:t>
            </w:r>
          </w:p>
        </w:tc>
        <w:tc>
          <w:tcPr>
            <w:tcW w:w="1086"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b/>
                <w:bCs/>
                <w:sz w:val="20"/>
                <w:szCs w:val="20"/>
                <w:lang w:eastAsia="pl-PL"/>
              </w:rPr>
            </w:pPr>
            <w:r w:rsidRPr="00F57FDB">
              <w:rPr>
                <w:rFonts w:eastAsia="Times New Roman" w:cs="Arial"/>
                <w:b/>
                <w:bCs/>
                <w:sz w:val="20"/>
                <w:szCs w:val="20"/>
                <w:lang w:eastAsia="pl-PL"/>
              </w:rPr>
              <w:t>55 610</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b/>
                <w:bCs/>
                <w:sz w:val="20"/>
                <w:szCs w:val="20"/>
                <w:lang w:eastAsia="pl-PL"/>
              </w:rPr>
            </w:pPr>
            <w:r w:rsidRPr="00F57FDB">
              <w:rPr>
                <w:rFonts w:eastAsia="Times New Roman" w:cs="Arial"/>
                <w:b/>
                <w:bCs/>
                <w:sz w:val="20"/>
                <w:szCs w:val="20"/>
                <w:lang w:eastAsia="pl-PL"/>
              </w:rPr>
              <w:t>50 750</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b/>
                <w:bCs/>
                <w:sz w:val="20"/>
                <w:szCs w:val="20"/>
                <w:lang w:eastAsia="pl-PL"/>
              </w:rPr>
            </w:pPr>
            <w:r w:rsidRPr="00F57FDB">
              <w:rPr>
                <w:rFonts w:eastAsia="Times New Roman" w:cs="Arial"/>
                <w:b/>
                <w:bCs/>
                <w:sz w:val="20"/>
                <w:szCs w:val="20"/>
                <w:lang w:eastAsia="pl-PL"/>
              </w:rPr>
              <w:t>106 360</w:t>
            </w:r>
          </w:p>
        </w:tc>
        <w:tc>
          <w:tcPr>
            <w:tcW w:w="1086"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b/>
                <w:bCs/>
                <w:sz w:val="20"/>
                <w:szCs w:val="20"/>
                <w:lang w:eastAsia="pl-PL"/>
              </w:rPr>
            </w:pPr>
            <w:r w:rsidRPr="00F57FDB">
              <w:rPr>
                <w:rFonts w:eastAsia="Times New Roman" w:cs="Arial"/>
                <w:b/>
                <w:bCs/>
                <w:sz w:val="20"/>
                <w:szCs w:val="20"/>
                <w:lang w:eastAsia="pl-PL"/>
              </w:rPr>
              <w:t>34 805 154</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b/>
                <w:bCs/>
                <w:sz w:val="20"/>
                <w:szCs w:val="20"/>
                <w:lang w:eastAsia="pl-PL"/>
              </w:rPr>
            </w:pPr>
            <w:r w:rsidRPr="00F57FDB">
              <w:rPr>
                <w:rFonts w:eastAsia="Times New Roman" w:cs="Arial"/>
                <w:b/>
                <w:bCs/>
                <w:sz w:val="20"/>
                <w:szCs w:val="20"/>
                <w:lang w:eastAsia="pl-PL"/>
              </w:rPr>
              <w:t>35 217 026</w:t>
            </w:r>
          </w:p>
        </w:tc>
        <w:tc>
          <w:tcPr>
            <w:tcW w:w="1087"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b/>
                <w:bCs/>
                <w:sz w:val="20"/>
                <w:szCs w:val="20"/>
                <w:lang w:eastAsia="pl-PL"/>
              </w:rPr>
            </w:pPr>
            <w:r w:rsidRPr="00F57FDB">
              <w:rPr>
                <w:rFonts w:eastAsia="Times New Roman" w:cs="Arial"/>
                <w:b/>
                <w:bCs/>
                <w:sz w:val="20"/>
                <w:szCs w:val="20"/>
                <w:lang w:eastAsia="pl-PL"/>
              </w:rPr>
              <w:t>70 022 180</w:t>
            </w:r>
          </w:p>
        </w:tc>
        <w:tc>
          <w:tcPr>
            <w:tcW w:w="1009" w:type="dxa"/>
            <w:tcBorders>
              <w:top w:val="nil"/>
              <w:left w:val="nil"/>
              <w:bottom w:val="single" w:sz="4" w:space="0" w:color="auto"/>
              <w:right w:val="single" w:sz="4" w:space="0" w:color="auto"/>
            </w:tcBorders>
            <w:shd w:val="clear" w:color="auto" w:fill="auto"/>
            <w:noWrap/>
            <w:vAlign w:val="center"/>
            <w:hideMark/>
          </w:tcPr>
          <w:p w:rsidR="00F57FDB" w:rsidRPr="00F57FDB" w:rsidRDefault="00F57FDB" w:rsidP="00F57FDB">
            <w:pPr>
              <w:spacing w:after="120" w:line="240" w:lineRule="auto"/>
              <w:jc w:val="center"/>
              <w:rPr>
                <w:rFonts w:eastAsia="Times New Roman" w:cs="Arial"/>
                <w:b/>
                <w:bCs/>
                <w:sz w:val="20"/>
                <w:szCs w:val="20"/>
                <w:lang w:eastAsia="pl-PL"/>
              </w:rPr>
            </w:pPr>
            <w:r w:rsidRPr="00F57FDB">
              <w:rPr>
                <w:rFonts w:eastAsia="Times New Roman" w:cs="Arial"/>
                <w:b/>
                <w:bCs/>
                <w:sz w:val="20"/>
                <w:szCs w:val="20"/>
                <w:lang w:eastAsia="pl-PL"/>
              </w:rPr>
              <w:t>121</w:t>
            </w:r>
          </w:p>
        </w:tc>
      </w:tr>
    </w:tbl>
    <w:p w:rsidR="00F57FDB" w:rsidRPr="00F57FDB" w:rsidRDefault="00F57FDB" w:rsidP="00F57FDB">
      <w:pPr>
        <w:spacing w:after="120" w:line="240" w:lineRule="auto"/>
        <w:jc w:val="both"/>
        <w:rPr>
          <w:rFonts w:eastAsia="Times New Roman" w:cs="Times New Roman"/>
          <w:sz w:val="24"/>
          <w:szCs w:val="24"/>
          <w:lang w:eastAsia="pl-PL"/>
        </w:rPr>
      </w:pPr>
    </w:p>
    <w:p w:rsidR="00F57FDB" w:rsidRPr="00F57FDB" w:rsidRDefault="00F57FDB" w:rsidP="00F57FDB">
      <w:pPr>
        <w:autoSpaceDE w:val="0"/>
        <w:autoSpaceDN w:val="0"/>
        <w:adjustRightInd w:val="0"/>
        <w:spacing w:after="120" w:line="240" w:lineRule="auto"/>
        <w:jc w:val="both"/>
        <w:rPr>
          <w:rFonts w:eastAsia="Times New Roman" w:cs="Times New Roman"/>
          <w:sz w:val="24"/>
          <w:szCs w:val="24"/>
          <w:lang w:eastAsia="pl-PL"/>
        </w:rPr>
      </w:pPr>
      <w:r w:rsidRPr="00F57FDB">
        <w:rPr>
          <w:rFonts w:eastAsia="Times New Roman" w:cs="Times New Roman"/>
          <w:sz w:val="24"/>
          <w:szCs w:val="24"/>
          <w:lang w:eastAsia="pl-PL"/>
        </w:rPr>
        <w:t xml:space="preserve">Ponadto zgodnie z ustawą z dnia 6 listopada 2008 r. O prawach pacjenta i Rzeczniku Praw Pacjenta z prawa pacjentki do wniesienia sprzeciwu wobec opinii lub orzeczenia lekarza mogą skorzystać nie tylko kobiety, którym odmówiono zgodnego z prawem przerwania ciąży, ale również kobiety, którym odmówiono skierowania na badanie prenatalne pomimo spełnienia warunków do wykonania tego badania, wskazanych w ww. </w:t>
      </w:r>
      <w:r w:rsidRPr="00F57FDB">
        <w:rPr>
          <w:rFonts w:eastAsia="Times New Roman" w:cs="Arial"/>
          <w:sz w:val="24"/>
          <w:szCs w:val="24"/>
          <w:lang w:eastAsia="pl-PL"/>
        </w:rPr>
        <w:t>rozporządzeniu Ministra Zdrowia z dnia 6 listopada 2013 r. w sprawie świadczeń gwarantowanych z zakresu programów zdrowotnych</w:t>
      </w:r>
      <w:r w:rsidRPr="00F57FDB">
        <w:rPr>
          <w:rFonts w:eastAsia="Times New Roman" w:cs="Times New Roman"/>
          <w:sz w:val="24"/>
          <w:szCs w:val="24"/>
          <w:lang w:eastAsia="pl-PL"/>
        </w:rPr>
        <w:t>. Odmowa wystawienia skierowania na badania prenatalne w przypadku spełnienia przesłanek ich wykonania, wpływa na prawa pacjentki w taki sam sposób, jak w przypadku odmowy wykonania zabiegu przerwania ciąży przez lekarza, niezależnie od przesłanki warunkującej wykonanie procedury. Powyższa interpretacja nie budzi wątpliwości.</w:t>
      </w:r>
    </w:p>
    <w:p w:rsidR="00F57FDB" w:rsidRPr="00F57FDB" w:rsidRDefault="00F57FDB" w:rsidP="00F57FDB">
      <w:pPr>
        <w:autoSpaceDE w:val="0"/>
        <w:autoSpaceDN w:val="0"/>
        <w:adjustRightInd w:val="0"/>
        <w:spacing w:after="120" w:line="240" w:lineRule="auto"/>
        <w:jc w:val="both"/>
        <w:rPr>
          <w:rFonts w:eastAsia="Times New Roman" w:cs="Times New Roman"/>
          <w:sz w:val="24"/>
          <w:szCs w:val="24"/>
          <w:lang w:eastAsia="pl-PL"/>
        </w:rPr>
      </w:pPr>
      <w:r w:rsidRPr="00F57FDB">
        <w:rPr>
          <w:rFonts w:eastAsia="Times New Roman" w:cs="Times New Roman"/>
          <w:sz w:val="24"/>
          <w:szCs w:val="24"/>
          <w:lang w:eastAsia="pl-PL"/>
        </w:rPr>
        <w:t xml:space="preserve">Odnosząc się do kwestii powołania się na tzw. klauzulę sumienia w kontekście skierowania na badanie prenatalne, należy podkreślić, że w sytuacji, gdy badania prenatalne lub inne przesłanki medyczne wskazują na duże ryzyko poważnego lub nieodwracalnego upośledzenia płodu albo nieuleczalnej choroby zagrażającej jego życiu kobieta może – zgodnie z ustawą z dnia 7 stycznia 1993 r. o planowaniu rodziny, ochronie płodu ludzkiego i warunkach dopuszczalności przerywania ciąży i po spełnieniu wszystkich wymogów w tej ustawie określonych – podjąć decyzję o przerwaniu ciąży. Cel przeprowadzenia badań prenatalnych, w tym również badań genetycznych, nie powinien być jednak w żaden sposób utożsamiany z potwierdzeniem zaistnienia przesłanki do wykonania zabiegu przerwania ciąży.  </w:t>
      </w:r>
    </w:p>
    <w:p w:rsidR="00F57FDB" w:rsidRPr="00F57FDB" w:rsidRDefault="00F57FDB" w:rsidP="00F57FDB">
      <w:pPr>
        <w:autoSpaceDE w:val="0"/>
        <w:autoSpaceDN w:val="0"/>
        <w:adjustRightInd w:val="0"/>
        <w:spacing w:after="120" w:line="240" w:lineRule="auto"/>
        <w:jc w:val="both"/>
        <w:rPr>
          <w:rFonts w:eastAsia="Times New Roman" w:cs="Times New Roman"/>
          <w:sz w:val="24"/>
          <w:szCs w:val="24"/>
          <w:lang w:eastAsia="pl-PL"/>
        </w:rPr>
      </w:pPr>
      <w:r w:rsidRPr="00F57FDB">
        <w:rPr>
          <w:rFonts w:eastAsia="Times New Roman" w:cs="Times New Roman"/>
          <w:sz w:val="24"/>
          <w:szCs w:val="24"/>
          <w:lang w:eastAsia="pl-PL"/>
        </w:rPr>
        <w:t>Badania prenatalne są badaniami profilaktyczno-diagnostycznymi, powalającymi na stwierdzenie bądź wykluczenie wady albo choroby płodu. Współczesna medycyna umożliwia leczenie niektórych wad rozwojowych już podczas ciąży, inne natomiast można leczyć bezpośrednio po urodzeniu dziecka. Wczesne wykrycie anomalii rozwojowych pozwala na lepsze przygotowanie się na przyjście dziecka, które z racji problemów zdrowotnych wymaga szczególnej opieki, co jest niezmiernie ważne nie tylko dla lekarza, który ma możliwość zaplanowania skutecznej formy leczenia, ale również dla rodziców dziecka.</w:t>
      </w:r>
    </w:p>
    <w:p w:rsidR="00F57FDB" w:rsidRPr="00F57FDB" w:rsidRDefault="00F57FDB" w:rsidP="00F57FDB">
      <w:pPr>
        <w:autoSpaceDE w:val="0"/>
        <w:autoSpaceDN w:val="0"/>
        <w:adjustRightInd w:val="0"/>
        <w:spacing w:after="120" w:line="240" w:lineRule="auto"/>
        <w:jc w:val="both"/>
        <w:rPr>
          <w:rFonts w:eastAsia="Times New Roman" w:cs="Times New Roman"/>
          <w:sz w:val="24"/>
          <w:szCs w:val="24"/>
          <w:lang w:eastAsia="pl-PL"/>
        </w:rPr>
      </w:pPr>
      <w:r w:rsidRPr="00F57FDB">
        <w:rPr>
          <w:rFonts w:eastAsia="Times New Roman" w:cs="Times New Roman"/>
          <w:sz w:val="24"/>
          <w:szCs w:val="24"/>
          <w:lang w:eastAsia="pl-PL"/>
        </w:rPr>
        <w:t>Stwierdzenie, w wyniku przeprowadzonych badań, dużego prawdopodobieństwa ciężkiego i nieodwracalnego upośledzenia płodu albo nieuleczalnej choroby zagrażającej jego życiu dostarcza kobiecie jedynie wiedzy na temat jego stanu zdrowia. W odniesieniu do skierowania na takie badanie, jak również jego wykonania lekarz nie może stwierdzić, że są to działania niezgodne z jego sumieniem i odmówić ich wykonania, nawet jeśli może przypuszczać, że kobieta w oparciu o wynik tego badania może podjąć decyzję o usunięciu ciąży. Takie działanie stanowiłoby ewidentne ograniczenie prawa pacjenta do informacji. Samo badanie diagnostyczne nie może być utożsamiane wyłącznie z przerwaniem ciąży.</w:t>
      </w:r>
    </w:p>
    <w:p w:rsidR="00F57FDB" w:rsidRPr="00F57FDB" w:rsidRDefault="00F57FDB" w:rsidP="00F57FDB">
      <w:pPr>
        <w:autoSpaceDE w:val="0"/>
        <w:autoSpaceDN w:val="0"/>
        <w:adjustRightInd w:val="0"/>
        <w:spacing w:after="120" w:line="240" w:lineRule="auto"/>
        <w:jc w:val="both"/>
        <w:rPr>
          <w:rFonts w:eastAsia="Times New Roman" w:cs="Times New Roman"/>
          <w:sz w:val="24"/>
          <w:szCs w:val="24"/>
          <w:lang w:eastAsia="pl-PL"/>
        </w:rPr>
      </w:pPr>
      <w:r w:rsidRPr="00F57FDB">
        <w:rPr>
          <w:rFonts w:eastAsia="Times New Roman" w:cs="Times New Roman"/>
          <w:sz w:val="24"/>
          <w:szCs w:val="24"/>
          <w:lang w:eastAsia="pl-PL"/>
        </w:rPr>
        <w:lastRenderedPageBreak/>
        <w:t>Komunikacja Rzecznika odnosi się również do kwestii prawa pacjenta do sprzeciwu wobec opinii lub orzeczenia lekarza. Należy przypomnieć, że takie uprawnienie stanowi skuteczny środek prawny dla pacjentek, w tym kobiet, którym odmówiono przerwania ciąży (w przypadkach dozwolonych przez prawo), wystawienia skierowania na badania prenatalne, a także w przypadku nieprzeprowadzenia badań prenatalnych, pomimo skierowania. Zasady regulujące procedurę sprzeciwu zostały szczegółowo przedstawione przez rząd w poprzednich komunikacjach. Należy podkreślić, że każda odmowa wykonania przez lekarza przerwania ciąży, również spowodowana realizacją przysługującego mu konstytucyjnego prawa do wolności sumienia i wyznania, powinna być uzasadniona i odnotowana w odpowiedniej dokumentacji medycznej. Zatem każda taka odmowa, biorąc pod uwagę, że musi być uzasadniona i udokumentowana w odpowiedniej dokumentacji medycznej oraz że ma wpływ na prawo pacjenta do otrzymania świadczenia medycznego, powinna być uznana za opinię lekarza i może stanowić podstawę do wniesienia sprzeciwu. Sprzeciw jest zatem we wszystkich takich przypadkach mechanizmem odwoławczym, prowadzącym do realizacji prawa do świadczenia opieki zdrowotnej.</w:t>
      </w:r>
    </w:p>
    <w:p w:rsidR="00F57FDB" w:rsidRPr="00F57FDB" w:rsidRDefault="00F57FDB" w:rsidP="00F57FDB">
      <w:pPr>
        <w:autoSpaceDE w:val="0"/>
        <w:autoSpaceDN w:val="0"/>
        <w:adjustRightInd w:val="0"/>
        <w:spacing w:after="120" w:line="240" w:lineRule="auto"/>
        <w:jc w:val="both"/>
        <w:rPr>
          <w:rFonts w:eastAsia="Times New Roman" w:cs="Times New Roman"/>
          <w:sz w:val="24"/>
          <w:szCs w:val="24"/>
          <w:lang w:eastAsia="pl-PL"/>
        </w:rPr>
      </w:pPr>
      <w:r w:rsidRPr="00F57FDB">
        <w:rPr>
          <w:rFonts w:eastAsia="Times New Roman" w:cs="Times New Roman"/>
          <w:sz w:val="24"/>
          <w:szCs w:val="24"/>
          <w:lang w:eastAsia="pl-PL"/>
        </w:rPr>
        <w:t xml:space="preserve">Należy również zaznaczyć, że ustawa z dnia 6 listopada 2008 r. o prawach pacjenta i Rzeczniku Praw Pacjenta, poza wprowadzeniem prawa do sprzeciwu wobec opinii lub orzeczenia lekarza, powołała również – istotny z punktu widzenia ochrony praw wszystkich pacjentów, w tym również kobiet w ciąży mających trudności w dostępie do zabiegu przerwania ciąży – centralny organ administracji rządowej w postaci Rzecznika Praw Pacjenta. </w:t>
      </w:r>
    </w:p>
    <w:p w:rsidR="00F57FDB" w:rsidRPr="00F57FDB" w:rsidRDefault="00F57FDB" w:rsidP="00F57FDB">
      <w:pPr>
        <w:autoSpaceDE w:val="0"/>
        <w:autoSpaceDN w:val="0"/>
        <w:adjustRightInd w:val="0"/>
        <w:spacing w:after="120" w:line="240" w:lineRule="auto"/>
        <w:jc w:val="both"/>
        <w:rPr>
          <w:rFonts w:eastAsia="Times New Roman" w:cs="Times New Roman"/>
          <w:sz w:val="24"/>
          <w:szCs w:val="24"/>
          <w:lang w:eastAsia="pl-PL"/>
        </w:rPr>
      </w:pPr>
      <w:r w:rsidRPr="00F57FDB">
        <w:rPr>
          <w:rFonts w:eastAsia="Times New Roman" w:cs="Times New Roman"/>
          <w:sz w:val="24"/>
          <w:szCs w:val="24"/>
          <w:lang w:eastAsia="pl-PL"/>
        </w:rPr>
        <w:t>Przedmiotem działania Rzecznika Praw Pacjenta jest ochrona praw pacjenta określonych w ustawie z 2008 r. oraz w przepisach odrębnych. Ponadto, Rzecznik Praw Pacjenta – w odpowiedzi na kierowane pisemne wnioski, zgłoszenia mailowe i telefoniczne, a także w związku z osobistymi wizytami pacjentów w siedzibie Biura Rzecznika Praw Pacjenta – udziela informacji związanych z szeroko pojętą problematyką kobiet w ciąży.</w:t>
      </w:r>
    </w:p>
    <w:p w:rsidR="00F57FDB" w:rsidRPr="00F57FDB" w:rsidRDefault="00F57FDB" w:rsidP="00F57FDB">
      <w:pPr>
        <w:autoSpaceDE w:val="0"/>
        <w:autoSpaceDN w:val="0"/>
        <w:adjustRightInd w:val="0"/>
        <w:spacing w:after="120" w:line="240" w:lineRule="auto"/>
        <w:jc w:val="both"/>
        <w:rPr>
          <w:rFonts w:eastAsia="Times New Roman" w:cs="Times New Roman"/>
          <w:sz w:val="24"/>
          <w:szCs w:val="24"/>
          <w:lang w:eastAsia="pl-PL"/>
        </w:rPr>
      </w:pPr>
      <w:r w:rsidRPr="00F57FDB">
        <w:rPr>
          <w:rFonts w:eastAsia="Times New Roman" w:cs="Times New Roman"/>
          <w:sz w:val="24"/>
          <w:szCs w:val="24"/>
          <w:lang w:eastAsia="pl-PL"/>
        </w:rPr>
        <w:t xml:space="preserve">W związku z powyższym należy wskazać, że kobieta w ciąży, której odmówiono dostępu do przysługującego jej świadczenia, ma możliwość zwrócenia się w tej kwestii również do Rzecznika Praw Pacjenta, który może podjąć w tej sprawie postępowanie wyjaśniające. W konsekwencji pacjentka, której odmówiono wykonania zabiegu przerwania ciąży może zatem – poza wniesieniem sprzeciwu wobec opinii albo orzeczenia lekarza – egzekwować swoje prawo z pomocą Rzecznika Praw Pacjenta. </w:t>
      </w:r>
    </w:p>
    <w:p w:rsidR="00F57FDB" w:rsidRPr="00F57FDB" w:rsidRDefault="00F57FDB" w:rsidP="00F57FDB">
      <w:pPr>
        <w:autoSpaceDE w:val="0"/>
        <w:autoSpaceDN w:val="0"/>
        <w:adjustRightInd w:val="0"/>
        <w:spacing w:after="120" w:line="240" w:lineRule="auto"/>
        <w:jc w:val="both"/>
        <w:rPr>
          <w:rFonts w:eastAsia="Times New Roman" w:cs="Times New Roman"/>
          <w:sz w:val="24"/>
          <w:szCs w:val="24"/>
          <w:lang w:eastAsia="pl-PL"/>
        </w:rPr>
      </w:pPr>
      <w:r w:rsidRPr="00F57FDB">
        <w:rPr>
          <w:rFonts w:eastAsia="Times New Roman" w:cs="Times New Roman"/>
          <w:sz w:val="24"/>
          <w:szCs w:val="24"/>
          <w:lang w:eastAsia="pl-PL"/>
        </w:rPr>
        <w:t xml:space="preserve">W celu ułatwienia kontaktu z Biurem Rzecznika Praw Pacjenta przez 10 lat prowadzona była ogólnopolska bezpłatna infolinia 800-190-590, a od 2018 r. jest to wspólny numer telefonu dla Narodowego Funduszu Zdrowia oraz Biura Rzecznika Praw Pacjenta w ramach działającej w całym kraju Telefonicznej Informacji Pacjenta. Personel infolinii składa się z kilkudziesięciu pracowników jednostek wojewódzkich NFZ oraz Biura Rzecznika Praw Pacjenta. Nowy jednolity ogólnopolski numer zastąpił kilkanaście wcześniejszych numerów działających w wojewódzkich oddziałach NFZ. Dostarcza on szybkiej, wyczerpującej i przejrzystej informacji o funkcjonowaniu polskiego systemu ochrony zdrowia. Personel obsługujący numer 800 190 590 informuje dzwoniących o prawach ubezpieczonych, doradza jak zgłosić naruszenie praw pacjenta, przekazuje dane kontaktowe do placówek medycznych i gabinetów współpracujących z NFZ, informuje o zasadach udzielania świadczeń i funkcjonowania systemu powszechnego ubezpieczenia zdrowotnego. </w:t>
      </w:r>
    </w:p>
    <w:p w:rsidR="00F57FDB" w:rsidRPr="00F57FDB" w:rsidRDefault="00F57FDB" w:rsidP="00F57FDB">
      <w:pPr>
        <w:autoSpaceDE w:val="0"/>
        <w:autoSpaceDN w:val="0"/>
        <w:adjustRightInd w:val="0"/>
        <w:spacing w:after="120" w:line="240" w:lineRule="auto"/>
        <w:jc w:val="both"/>
        <w:rPr>
          <w:rFonts w:eastAsia="Times New Roman" w:cs="Times New Roman"/>
          <w:sz w:val="24"/>
          <w:szCs w:val="24"/>
          <w:lang w:eastAsia="pl-PL"/>
        </w:rPr>
      </w:pPr>
      <w:r w:rsidRPr="00F57FDB">
        <w:rPr>
          <w:rFonts w:eastAsia="Times New Roman" w:cs="Times New Roman"/>
          <w:sz w:val="24"/>
          <w:szCs w:val="24"/>
          <w:lang w:eastAsia="pl-PL"/>
        </w:rPr>
        <w:lastRenderedPageBreak/>
        <w:t>W kwestii obowiązku prokuratora poinformowania ofiary o przemocy seksualnej o jej prawie do przerwania ciąży należy zauważyć, że Kodeks postępowania karnego nie przewiduje takiego obowiązku. Artykuł 16 §§ 1 i 2 k.p.k. dotyczy jedynie kwestii informacji o prawach procesowych. Zgodnie z art. 4a ust. 5 ustawy o planowaniu rodziny, ochronie płodu ludzkiego i warunkach dopuszczalności przerywania ciąży, w uzasadnionych przypadkach prokurator jest obowiązany stwierdzić, że zachodzi uzasadnione podejrzenie, że ciąża jest wynikiem czynu zabronionego. Zgodnie z art. 2 ust. 2 pkt 3 ww. ustawy administracja rządowa i organy samorządu terytorialnego są zobowiązane do poinformowania pokrzywdzonej o jej prawach wynikających z ww. ustawy. Ponadto ofiara może otrzymać takie informacje w Sieci Centrów Pomocy Ofiarom Przestępstwa. Organy ścigania informują każdą ofiarę (w tym ofiarę przemocy seksualnej), że w takich ośrodkach może ona otrzymać bezpłatną pomoc medyczną, psychologiczną, prawną, rehabilitacyjną i materialną.</w:t>
      </w:r>
    </w:p>
    <w:p w:rsidR="00F57FDB" w:rsidRPr="00ED526F" w:rsidRDefault="00F57FDB" w:rsidP="00ED526F">
      <w:pPr>
        <w:rPr>
          <w:sz w:val="24"/>
          <w:szCs w:val="24"/>
          <w:u w:val="single"/>
        </w:rPr>
      </w:pPr>
    </w:p>
    <w:p w:rsidR="00F24A3C" w:rsidRPr="00B708A0" w:rsidRDefault="00F24A3C" w:rsidP="00F24A3C">
      <w:pPr>
        <w:pStyle w:val="Nagwek1"/>
        <w:jc w:val="both"/>
        <w:rPr>
          <w:rFonts w:asciiTheme="minorHAnsi" w:hAnsiTheme="minorHAnsi"/>
          <w:sz w:val="28"/>
          <w:szCs w:val="28"/>
        </w:rPr>
      </w:pPr>
      <w:bookmarkStart w:id="12" w:name="_Toc69124149"/>
      <w:r w:rsidRPr="00B708A0">
        <w:rPr>
          <w:rFonts w:asciiTheme="minorHAnsi" w:hAnsiTheme="minorHAnsi"/>
          <w:sz w:val="28"/>
          <w:szCs w:val="28"/>
        </w:rPr>
        <w:t>Komunikacja Helsińskiej Fundacji Praw Człowieka w sprawie wykonania wyrok</w:t>
      </w:r>
      <w:r>
        <w:rPr>
          <w:rFonts w:asciiTheme="minorHAnsi" w:hAnsiTheme="minorHAnsi"/>
          <w:sz w:val="28"/>
          <w:szCs w:val="28"/>
        </w:rPr>
        <w:t>ów</w:t>
      </w:r>
      <w:r w:rsidRPr="00B708A0">
        <w:rPr>
          <w:rFonts w:asciiTheme="minorHAnsi" w:hAnsiTheme="minorHAnsi"/>
          <w:sz w:val="28"/>
          <w:szCs w:val="28"/>
        </w:rPr>
        <w:t xml:space="preserve"> Europejskiego Trybunału Praw Człowieka </w:t>
      </w:r>
      <w:r w:rsidRPr="00F24A3C">
        <w:rPr>
          <w:rFonts w:asciiTheme="minorHAnsi" w:hAnsiTheme="minorHAnsi"/>
          <w:i/>
          <w:sz w:val="28"/>
          <w:szCs w:val="28"/>
        </w:rPr>
        <w:t>Tysiąc p. Polsce</w:t>
      </w:r>
      <w:r w:rsidRPr="00F24A3C">
        <w:rPr>
          <w:rFonts w:asciiTheme="minorHAnsi" w:hAnsiTheme="minorHAnsi"/>
          <w:sz w:val="28"/>
          <w:szCs w:val="28"/>
        </w:rPr>
        <w:t xml:space="preserve">, </w:t>
      </w:r>
      <w:r w:rsidRPr="00F24A3C">
        <w:rPr>
          <w:rFonts w:asciiTheme="minorHAnsi" w:hAnsiTheme="minorHAnsi"/>
          <w:i/>
          <w:sz w:val="28"/>
          <w:szCs w:val="28"/>
        </w:rPr>
        <w:t>R.R. p. Polsce</w:t>
      </w:r>
      <w:r w:rsidRPr="00F24A3C">
        <w:rPr>
          <w:rFonts w:asciiTheme="minorHAnsi" w:hAnsiTheme="minorHAnsi"/>
          <w:sz w:val="28"/>
          <w:szCs w:val="28"/>
        </w:rPr>
        <w:t xml:space="preserve"> i </w:t>
      </w:r>
      <w:r w:rsidRPr="00F24A3C">
        <w:rPr>
          <w:rFonts w:asciiTheme="minorHAnsi" w:hAnsiTheme="minorHAnsi"/>
          <w:i/>
          <w:sz w:val="28"/>
          <w:szCs w:val="28"/>
        </w:rPr>
        <w:t>P. i S. p. Polsce</w:t>
      </w:r>
      <w:r w:rsidRPr="00B708A0">
        <w:rPr>
          <w:rFonts w:asciiTheme="minorHAnsi" w:hAnsiTheme="minorHAnsi"/>
          <w:sz w:val="28"/>
          <w:szCs w:val="28"/>
        </w:rPr>
        <w:t xml:space="preserve"> z dnia </w:t>
      </w:r>
      <w:r>
        <w:rPr>
          <w:rFonts w:asciiTheme="minorHAnsi" w:hAnsiTheme="minorHAnsi"/>
          <w:sz w:val="28"/>
          <w:szCs w:val="28"/>
        </w:rPr>
        <w:t>4 lutego</w:t>
      </w:r>
      <w:r w:rsidRPr="00B708A0">
        <w:rPr>
          <w:rFonts w:asciiTheme="minorHAnsi" w:hAnsiTheme="minorHAnsi"/>
          <w:sz w:val="28"/>
          <w:szCs w:val="28"/>
        </w:rPr>
        <w:t xml:space="preserve"> 2020 r.</w:t>
      </w:r>
      <w:bookmarkEnd w:id="12"/>
      <w:r w:rsidRPr="00B708A0">
        <w:rPr>
          <w:rFonts w:asciiTheme="minorHAnsi" w:hAnsiTheme="minorHAnsi"/>
          <w:sz w:val="28"/>
          <w:szCs w:val="28"/>
        </w:rPr>
        <w:t xml:space="preserve">   </w:t>
      </w:r>
    </w:p>
    <w:p w:rsidR="00F24A3C" w:rsidRDefault="00F24A3C" w:rsidP="00F24A3C">
      <w:pPr>
        <w:rPr>
          <w:sz w:val="24"/>
          <w:szCs w:val="24"/>
          <w:u w:val="single"/>
        </w:rPr>
      </w:pPr>
    </w:p>
    <w:p w:rsidR="00F24A3C" w:rsidRDefault="00F24A3C" w:rsidP="005255E8">
      <w:pPr>
        <w:spacing w:before="120" w:after="0" w:line="240" w:lineRule="auto"/>
        <w:rPr>
          <w:sz w:val="24"/>
          <w:szCs w:val="24"/>
          <w:u w:val="single"/>
        </w:rPr>
      </w:pPr>
      <w:r>
        <w:rPr>
          <w:sz w:val="24"/>
          <w:szCs w:val="24"/>
          <w:u w:val="single"/>
        </w:rPr>
        <w:t>Treść komunikacji</w:t>
      </w:r>
    </w:p>
    <w:p w:rsidR="00F24A3C" w:rsidRPr="00094881" w:rsidRDefault="00F24A3C" w:rsidP="005255E8">
      <w:pPr>
        <w:spacing w:before="120" w:after="0" w:line="240" w:lineRule="auto"/>
        <w:rPr>
          <w:rFonts w:eastAsia="Cambria" w:cs="Cambria"/>
          <w:b/>
          <w:bCs/>
          <w:sz w:val="24"/>
          <w:szCs w:val="24"/>
          <w:lang w:bidi="en-US"/>
        </w:rPr>
      </w:pPr>
      <w:r w:rsidRPr="00094881">
        <w:rPr>
          <w:rFonts w:eastAsia="Cambria" w:cs="Cambria"/>
          <w:b/>
          <w:bCs/>
          <w:sz w:val="24"/>
          <w:szCs w:val="24"/>
          <w:lang w:bidi="en-US"/>
        </w:rPr>
        <w:t>STRESZCZENIE</w:t>
      </w:r>
    </w:p>
    <w:p w:rsidR="00F24A3C" w:rsidRPr="00094881" w:rsidRDefault="00F24A3C" w:rsidP="00987EB2">
      <w:pPr>
        <w:widowControl w:val="0"/>
        <w:numPr>
          <w:ilvl w:val="0"/>
          <w:numId w:val="25"/>
        </w:numPr>
        <w:tabs>
          <w:tab w:val="left" w:pos="349"/>
        </w:tabs>
        <w:spacing w:before="120" w:after="0" w:line="240" w:lineRule="auto"/>
        <w:jc w:val="both"/>
        <w:rPr>
          <w:rFonts w:eastAsia="Cambria" w:cs="Cambria"/>
          <w:sz w:val="24"/>
          <w:szCs w:val="24"/>
          <w:lang w:bidi="en-US"/>
        </w:rPr>
      </w:pPr>
      <w:r w:rsidRPr="00094881">
        <w:rPr>
          <w:rFonts w:eastAsia="Cambria" w:cs="Cambria"/>
          <w:sz w:val="24"/>
          <w:szCs w:val="24"/>
          <w:lang w:bidi="en-US"/>
        </w:rPr>
        <w:t>W dniu 14 marca 2019 r. Komitet Ministrów wydał decyzję, w której wezwał polskie władze do zapewnienia skutecznego dostępu do legalnej aborcji w całej Polsce. Komitet zwrócił uwagę na konieczność zagwarantowania kobietom chcącym skorzystać z legalnej aborcji otrzymania odpowiednich informacji na temat kroków, jakie muszą podjąć, aby skorzystać z przysługujących im praw;</w:t>
      </w:r>
    </w:p>
    <w:p w:rsidR="00F24A3C" w:rsidRPr="00094881" w:rsidRDefault="00F24A3C" w:rsidP="00987EB2">
      <w:pPr>
        <w:widowControl w:val="0"/>
        <w:numPr>
          <w:ilvl w:val="0"/>
          <w:numId w:val="25"/>
        </w:numPr>
        <w:tabs>
          <w:tab w:val="left" w:pos="349"/>
        </w:tabs>
        <w:spacing w:before="120" w:after="0" w:line="240" w:lineRule="auto"/>
        <w:jc w:val="both"/>
        <w:rPr>
          <w:rFonts w:eastAsia="Cambria" w:cs="Cambria"/>
          <w:sz w:val="24"/>
          <w:szCs w:val="24"/>
          <w:lang w:bidi="en-US"/>
        </w:rPr>
      </w:pPr>
      <w:r w:rsidRPr="00094881">
        <w:rPr>
          <w:rFonts w:eastAsia="Cambria" w:cs="Cambria"/>
          <w:sz w:val="24"/>
          <w:szCs w:val="24"/>
          <w:lang w:bidi="en-US"/>
        </w:rPr>
        <w:t>Rząd polski przedstawił swoje uwagi w raporcie z dnia 20 grudnia 2019 r. Rząd wskazał, że obowiązujące przepisy zapewniają skuteczny dostęp do aborcji i informacji o możliwości przeprowadzenia zabiegu;</w:t>
      </w:r>
    </w:p>
    <w:p w:rsidR="00F24A3C" w:rsidRPr="00094881" w:rsidRDefault="00F24A3C" w:rsidP="00987EB2">
      <w:pPr>
        <w:widowControl w:val="0"/>
        <w:numPr>
          <w:ilvl w:val="0"/>
          <w:numId w:val="25"/>
        </w:numPr>
        <w:tabs>
          <w:tab w:val="left" w:pos="349"/>
        </w:tabs>
        <w:spacing w:before="120" w:after="0" w:line="240" w:lineRule="auto"/>
        <w:jc w:val="both"/>
        <w:rPr>
          <w:rFonts w:eastAsia="Cambria" w:cs="Cambria"/>
          <w:sz w:val="24"/>
          <w:szCs w:val="24"/>
          <w:lang w:bidi="en-US"/>
        </w:rPr>
      </w:pPr>
      <w:r w:rsidRPr="00094881">
        <w:rPr>
          <w:rFonts w:eastAsia="Cambria" w:cs="Cambria"/>
          <w:sz w:val="24"/>
          <w:szCs w:val="24"/>
          <w:lang w:bidi="en-US"/>
        </w:rPr>
        <w:t xml:space="preserve">W dniach 1 września 2017 r. i 9 sierpnia 2018 r. Helsińska Fundacja Praw Człowieka przedstawiła swoją komunikację w przedmiocie wykonania wyroku w sprawie </w:t>
      </w:r>
      <w:r w:rsidR="005255E8">
        <w:rPr>
          <w:rFonts w:eastAsia="Cambria" w:cs="Cambria"/>
          <w:i/>
          <w:iCs/>
          <w:sz w:val="24"/>
          <w:szCs w:val="24"/>
          <w:lang w:bidi="en-US"/>
        </w:rPr>
        <w:t>P. i S. p.</w:t>
      </w:r>
      <w:r w:rsidRPr="00094881">
        <w:rPr>
          <w:rFonts w:eastAsia="Cambria" w:cs="Cambria"/>
          <w:i/>
          <w:iCs/>
          <w:sz w:val="24"/>
          <w:szCs w:val="24"/>
          <w:lang w:bidi="en-US"/>
        </w:rPr>
        <w:t xml:space="preserve"> Polsce</w:t>
      </w:r>
      <w:r w:rsidRPr="00094881">
        <w:rPr>
          <w:rFonts w:eastAsia="Cambria" w:cs="Cambria"/>
          <w:sz w:val="24"/>
          <w:szCs w:val="24"/>
          <w:lang w:bidi="en-US"/>
        </w:rPr>
        <w:t>. Jednak wobec braku wprowadzenia jakichkolwiek pozytywnych zmian w zakresie zagwarantowania skutecznego dostępu do legalnej aborcji, Fundacja postanowiła ponownie przedstawić swoje stanowisko w tej sprawie. Fundacja uznaje również za konieczne odniesienie się do raportu rządu z dnia 20 grudnia 2019 r.</w:t>
      </w:r>
    </w:p>
    <w:p w:rsidR="00F24A3C" w:rsidRPr="00094881" w:rsidRDefault="00F24A3C" w:rsidP="00987EB2">
      <w:pPr>
        <w:widowControl w:val="0"/>
        <w:numPr>
          <w:ilvl w:val="0"/>
          <w:numId w:val="25"/>
        </w:numPr>
        <w:tabs>
          <w:tab w:val="left" w:pos="349"/>
        </w:tabs>
        <w:spacing w:before="120" w:after="0" w:line="240" w:lineRule="auto"/>
        <w:jc w:val="both"/>
        <w:rPr>
          <w:rFonts w:eastAsia="Cambria" w:cs="Cambria"/>
          <w:sz w:val="24"/>
          <w:szCs w:val="24"/>
          <w:lang w:bidi="en-US"/>
        </w:rPr>
      </w:pPr>
      <w:r w:rsidRPr="00094881">
        <w:rPr>
          <w:rFonts w:eastAsia="Cambria" w:cs="Cambria"/>
          <w:sz w:val="24"/>
          <w:szCs w:val="24"/>
          <w:lang w:bidi="en-US"/>
        </w:rPr>
        <w:t>W niniejszej komunikacji przedstawiono dane statystyczne, z których wynika, że procedura sprzeciwu wobec opinii lub orzeczenia lekarza oraz procedura nakładania na podmioty lecznicze kar pieniężnych za niewywiązanie się z kontraktu z płatnikiem publicznym (Narodowym Funduszem Zdrowia) nie są skutecznymi środkami ochrony kobiet chcących skorzystać z aborcji.</w:t>
      </w:r>
    </w:p>
    <w:p w:rsidR="00F24A3C" w:rsidRPr="00094881" w:rsidRDefault="00F24A3C" w:rsidP="00987EB2">
      <w:pPr>
        <w:widowControl w:val="0"/>
        <w:numPr>
          <w:ilvl w:val="0"/>
          <w:numId w:val="25"/>
        </w:numPr>
        <w:tabs>
          <w:tab w:val="left" w:pos="349"/>
        </w:tabs>
        <w:spacing w:before="120" w:after="0" w:line="240" w:lineRule="auto"/>
        <w:jc w:val="both"/>
        <w:rPr>
          <w:rFonts w:eastAsia="Cambria" w:cs="Cambria"/>
          <w:sz w:val="24"/>
          <w:szCs w:val="24"/>
          <w:lang w:bidi="en-US"/>
        </w:rPr>
      </w:pPr>
      <w:r w:rsidRPr="00094881">
        <w:rPr>
          <w:rFonts w:eastAsia="Cambria" w:cs="Cambria"/>
          <w:sz w:val="24"/>
          <w:szCs w:val="24"/>
          <w:lang w:bidi="en-US"/>
        </w:rPr>
        <w:t xml:space="preserve">Dotychczas władze polskie nie wprowadziły żadnej skutecznej i szybkiej procedury, która umożliwiłaby kobietom skorzystanie z prawa do aborcji, gdy jest ona dopuszczalna przez prawo krajowe. Obecnie obowiązująca procedura sprzeciwu wobec opinii lub orzeczenia </w:t>
      </w:r>
      <w:r w:rsidRPr="00094881">
        <w:rPr>
          <w:rFonts w:eastAsia="Cambria" w:cs="Cambria"/>
          <w:sz w:val="24"/>
          <w:szCs w:val="24"/>
          <w:lang w:bidi="en-US"/>
        </w:rPr>
        <w:lastRenderedPageBreak/>
        <w:t>lekarza jest nazbyt sformalizowana i nie gwarantuje przerwania ciąży w przewidzianym prawem terminie. Ponadto obecnie żaden przepis prawa nie nakłada wprost na podmioty lecznicze obowiązku poinformowania kobiety o możliwości wykonania aborcji przez innego lekarza w sytuacji, gdy osoba wykonująca zawód medyczny powołuje się na klauzulę sumienia jako podstawę odmowy przeprowadzenia aborcji.</w:t>
      </w:r>
    </w:p>
    <w:p w:rsidR="00F24A3C" w:rsidRPr="00094881" w:rsidRDefault="00F24A3C" w:rsidP="005255E8">
      <w:pPr>
        <w:spacing w:before="120" w:after="0" w:line="240" w:lineRule="auto"/>
        <w:rPr>
          <w:rFonts w:eastAsia="Cambria" w:cs="Cambria"/>
          <w:b/>
          <w:bCs/>
          <w:sz w:val="24"/>
          <w:szCs w:val="24"/>
          <w:lang w:bidi="en-US"/>
        </w:rPr>
      </w:pPr>
      <w:r w:rsidRPr="00094881">
        <w:rPr>
          <w:rFonts w:eastAsia="Cambria" w:cs="Cambria"/>
          <w:b/>
          <w:bCs/>
          <w:sz w:val="24"/>
          <w:szCs w:val="24"/>
          <w:lang w:bidi="en-US"/>
        </w:rPr>
        <w:t>ZALECENIA</w:t>
      </w:r>
    </w:p>
    <w:p w:rsidR="00F24A3C" w:rsidRPr="00094881" w:rsidRDefault="00F24A3C" w:rsidP="00987EB2">
      <w:pPr>
        <w:widowControl w:val="0"/>
        <w:numPr>
          <w:ilvl w:val="0"/>
          <w:numId w:val="25"/>
        </w:numPr>
        <w:tabs>
          <w:tab w:val="left" w:pos="349"/>
        </w:tabs>
        <w:spacing w:before="120" w:after="0" w:line="240" w:lineRule="auto"/>
        <w:jc w:val="both"/>
        <w:rPr>
          <w:rFonts w:eastAsia="Cambria" w:cs="Cambria"/>
          <w:sz w:val="24"/>
          <w:szCs w:val="24"/>
          <w:lang w:bidi="en-US"/>
        </w:rPr>
      </w:pPr>
      <w:r w:rsidRPr="00094881">
        <w:rPr>
          <w:rFonts w:eastAsia="Cambria" w:cs="Cambria"/>
          <w:sz w:val="24"/>
          <w:szCs w:val="24"/>
          <w:lang w:bidi="en-US"/>
        </w:rPr>
        <w:t xml:space="preserve">Helsińska Fundacja Praw Człowieka uprzejmie zaleca Komitetowi dalsze sprawowanie nadzoru nad wykonywaniem wyroków ETPCz w sprawach </w:t>
      </w:r>
      <w:r w:rsidR="005255E8">
        <w:rPr>
          <w:rFonts w:eastAsia="Cambria" w:cs="Cambria"/>
          <w:i/>
          <w:iCs/>
          <w:sz w:val="24"/>
          <w:szCs w:val="24"/>
          <w:lang w:bidi="en-US"/>
        </w:rPr>
        <w:t>P. i S. p.</w:t>
      </w:r>
      <w:r w:rsidRPr="00094881">
        <w:rPr>
          <w:rFonts w:eastAsia="Cambria" w:cs="Cambria"/>
          <w:i/>
          <w:iCs/>
          <w:sz w:val="24"/>
          <w:szCs w:val="24"/>
          <w:lang w:bidi="en-US"/>
        </w:rPr>
        <w:t xml:space="preserve"> Polsce</w:t>
      </w:r>
      <w:r w:rsidRPr="00094881">
        <w:rPr>
          <w:rFonts w:eastAsia="Cambria" w:cs="Cambria"/>
          <w:sz w:val="24"/>
          <w:szCs w:val="24"/>
          <w:lang w:bidi="en-US"/>
        </w:rPr>
        <w:t xml:space="preserve">, </w:t>
      </w:r>
      <w:r w:rsidRPr="00094881">
        <w:rPr>
          <w:rFonts w:eastAsia="Cambria" w:cs="Cambria"/>
          <w:i/>
          <w:iCs/>
          <w:sz w:val="24"/>
          <w:szCs w:val="24"/>
          <w:lang w:bidi="en-US"/>
        </w:rPr>
        <w:t>R. R. p</w:t>
      </w:r>
      <w:r w:rsidR="005255E8">
        <w:rPr>
          <w:rFonts w:eastAsia="Cambria" w:cs="Cambria"/>
          <w:i/>
          <w:iCs/>
          <w:sz w:val="24"/>
          <w:szCs w:val="24"/>
          <w:lang w:bidi="en-US"/>
        </w:rPr>
        <w:t>.</w:t>
      </w:r>
      <w:r w:rsidRPr="00094881">
        <w:rPr>
          <w:rFonts w:eastAsia="Cambria" w:cs="Cambria"/>
          <w:i/>
          <w:iCs/>
          <w:sz w:val="24"/>
          <w:szCs w:val="24"/>
          <w:lang w:bidi="en-US"/>
        </w:rPr>
        <w:t xml:space="preserve"> Polsce</w:t>
      </w:r>
      <w:r w:rsidRPr="00094881">
        <w:rPr>
          <w:rFonts w:eastAsia="Cambria" w:cs="Cambria"/>
          <w:sz w:val="24"/>
          <w:szCs w:val="24"/>
          <w:lang w:bidi="en-US"/>
        </w:rPr>
        <w:t xml:space="preserve"> oraz </w:t>
      </w:r>
      <w:r w:rsidRPr="00094881">
        <w:rPr>
          <w:rFonts w:eastAsia="Cambria" w:cs="Cambria"/>
          <w:i/>
          <w:iCs/>
          <w:sz w:val="24"/>
          <w:szCs w:val="24"/>
          <w:lang w:bidi="en-US"/>
        </w:rPr>
        <w:t>Tysiąc p</w:t>
      </w:r>
      <w:r w:rsidR="005255E8">
        <w:rPr>
          <w:rFonts w:eastAsia="Cambria" w:cs="Cambria"/>
          <w:i/>
          <w:iCs/>
          <w:sz w:val="24"/>
          <w:szCs w:val="24"/>
          <w:lang w:bidi="en-US"/>
        </w:rPr>
        <w:t>.</w:t>
      </w:r>
      <w:r w:rsidRPr="00094881">
        <w:rPr>
          <w:rFonts w:eastAsia="Cambria" w:cs="Cambria"/>
          <w:i/>
          <w:iCs/>
          <w:sz w:val="24"/>
          <w:szCs w:val="24"/>
          <w:lang w:bidi="en-US"/>
        </w:rPr>
        <w:t xml:space="preserve"> Polsce</w:t>
      </w:r>
      <w:r w:rsidRPr="00094881">
        <w:rPr>
          <w:rFonts w:eastAsia="Cambria" w:cs="Cambria"/>
          <w:sz w:val="24"/>
          <w:szCs w:val="24"/>
          <w:lang w:bidi="en-US"/>
        </w:rPr>
        <w:t>.</w:t>
      </w:r>
    </w:p>
    <w:p w:rsidR="00F24A3C" w:rsidRPr="00094881" w:rsidRDefault="00F24A3C" w:rsidP="00987EB2">
      <w:pPr>
        <w:widowControl w:val="0"/>
        <w:numPr>
          <w:ilvl w:val="0"/>
          <w:numId w:val="25"/>
        </w:numPr>
        <w:tabs>
          <w:tab w:val="left" w:pos="349"/>
        </w:tabs>
        <w:spacing w:before="120" w:after="0" w:line="240" w:lineRule="auto"/>
        <w:jc w:val="both"/>
        <w:rPr>
          <w:rFonts w:eastAsia="Cambria" w:cs="Cambria"/>
          <w:sz w:val="24"/>
          <w:szCs w:val="24"/>
          <w:lang w:bidi="en-US"/>
        </w:rPr>
      </w:pPr>
      <w:r w:rsidRPr="00094881">
        <w:rPr>
          <w:rFonts w:eastAsia="Cambria" w:cs="Cambria"/>
          <w:sz w:val="24"/>
          <w:szCs w:val="24"/>
          <w:lang w:bidi="en-US"/>
        </w:rPr>
        <w:t>Polskie władze powinny zagwarantować kobietom możliwość uzyskania rzetelnej i obiektywnej informacji o warunkach dopuszczalności przerwania ciąży oraz o stanie płodu. Informacje te powinny być przekazywane przed upływem terminów, które pozwalają na dokonanie aborcji. Władze polskie powinny wprowadzić szybką i skuteczną procedurę, aby zapewnić kobietom możliwość skorzystania z prawa do legalnej aborcji.</w:t>
      </w:r>
    </w:p>
    <w:p w:rsidR="00F24A3C" w:rsidRPr="00094881" w:rsidRDefault="00F24A3C" w:rsidP="00987EB2">
      <w:pPr>
        <w:widowControl w:val="0"/>
        <w:numPr>
          <w:ilvl w:val="0"/>
          <w:numId w:val="25"/>
        </w:numPr>
        <w:tabs>
          <w:tab w:val="left" w:pos="349"/>
        </w:tabs>
        <w:spacing w:before="120" w:after="0" w:line="240" w:lineRule="auto"/>
        <w:jc w:val="both"/>
        <w:rPr>
          <w:rFonts w:eastAsia="Cambria" w:cs="Cambria"/>
          <w:sz w:val="24"/>
          <w:szCs w:val="24"/>
          <w:lang w:bidi="en-US"/>
        </w:rPr>
      </w:pPr>
      <w:r w:rsidRPr="00094881">
        <w:rPr>
          <w:rFonts w:eastAsia="Cambria" w:cs="Cambria"/>
          <w:sz w:val="24"/>
          <w:szCs w:val="24"/>
          <w:lang w:bidi="en-US"/>
        </w:rPr>
        <w:t>Należy wprowadzić mechanizmy, które będą zapobiegały unicestwianiu prawa do wykonania aborcji na skutek powoływania się przez lekarzy na klauzulę sumienia.</w:t>
      </w:r>
    </w:p>
    <w:p w:rsidR="00F24A3C" w:rsidRPr="005255E8" w:rsidRDefault="00F24A3C" w:rsidP="00987EB2">
      <w:pPr>
        <w:pStyle w:val="Akapitzlist"/>
        <w:numPr>
          <w:ilvl w:val="0"/>
          <w:numId w:val="53"/>
        </w:numPr>
        <w:spacing w:before="120" w:after="0" w:line="240" w:lineRule="auto"/>
        <w:contextualSpacing w:val="0"/>
        <w:rPr>
          <w:rFonts w:eastAsia="Cambria" w:cs="Cambria"/>
          <w:b/>
          <w:bCs/>
          <w:sz w:val="24"/>
          <w:szCs w:val="24"/>
          <w:lang w:bidi="en-US"/>
        </w:rPr>
      </w:pPr>
      <w:r w:rsidRPr="005255E8">
        <w:rPr>
          <w:rFonts w:eastAsia="Cambria" w:cs="Cambria"/>
          <w:b/>
          <w:bCs/>
          <w:sz w:val="24"/>
          <w:szCs w:val="24"/>
          <w:lang w:bidi="en-US"/>
        </w:rPr>
        <w:t>Wstęp</w:t>
      </w:r>
    </w:p>
    <w:p w:rsidR="00F24A3C" w:rsidRPr="00094881" w:rsidRDefault="00F24A3C" w:rsidP="005255E8">
      <w:pPr>
        <w:widowControl w:val="0"/>
        <w:spacing w:before="120" w:after="0" w:line="240" w:lineRule="auto"/>
        <w:jc w:val="both"/>
        <w:rPr>
          <w:rFonts w:eastAsia="Cambria" w:cs="Cambria"/>
          <w:sz w:val="24"/>
          <w:szCs w:val="24"/>
          <w:lang w:bidi="en-US"/>
        </w:rPr>
      </w:pPr>
      <w:r w:rsidRPr="00094881">
        <w:rPr>
          <w:rFonts w:eastAsia="Cambria" w:cs="Cambria"/>
          <w:sz w:val="24"/>
          <w:szCs w:val="24"/>
          <w:lang w:bidi="en-US"/>
        </w:rPr>
        <w:t xml:space="preserve">Helsińska Fundacja Praw Człowieka („HFPC”) z siedzibą w Warszawie uprzejmie przedkłada niniejszą komunikację Komitetowi Ministrów Rady Europy („KMRE”) w celu omówienia wykonania wyroków Europejskiego Trybunału Praw Człowieka („ETPCz”) wydanych w sprawach </w:t>
      </w:r>
      <w:r w:rsidR="005255E8">
        <w:rPr>
          <w:rFonts w:eastAsia="Cambria" w:cs="Cambria"/>
          <w:i/>
          <w:iCs/>
          <w:sz w:val="24"/>
          <w:szCs w:val="24"/>
          <w:lang w:bidi="en-US"/>
        </w:rPr>
        <w:t>P. i S. p.</w:t>
      </w:r>
      <w:r w:rsidRPr="00094881">
        <w:rPr>
          <w:rFonts w:eastAsia="Cambria" w:cs="Cambria"/>
          <w:i/>
          <w:iCs/>
          <w:sz w:val="24"/>
          <w:szCs w:val="24"/>
          <w:lang w:bidi="en-US"/>
        </w:rPr>
        <w:t xml:space="preserve"> Polsce</w:t>
      </w:r>
      <w:r w:rsidRPr="00094881">
        <w:rPr>
          <w:rFonts w:eastAsia="Cambria" w:cs="Cambria"/>
          <w:sz w:val="24"/>
          <w:szCs w:val="24"/>
          <w:lang w:bidi="en-US"/>
        </w:rPr>
        <w:t xml:space="preserve"> (skarga nr 57375/08), </w:t>
      </w:r>
      <w:r w:rsidR="005255E8">
        <w:rPr>
          <w:rFonts w:eastAsia="Cambria" w:cs="Cambria"/>
          <w:i/>
          <w:iCs/>
          <w:sz w:val="24"/>
          <w:szCs w:val="24"/>
          <w:lang w:bidi="en-US"/>
        </w:rPr>
        <w:t>R. R. p.</w:t>
      </w:r>
      <w:r w:rsidRPr="00094881">
        <w:rPr>
          <w:rFonts w:eastAsia="Cambria" w:cs="Cambria"/>
          <w:i/>
          <w:iCs/>
          <w:sz w:val="24"/>
          <w:szCs w:val="24"/>
          <w:lang w:bidi="en-US"/>
        </w:rPr>
        <w:t xml:space="preserve"> Polsce</w:t>
      </w:r>
      <w:r w:rsidRPr="00094881">
        <w:rPr>
          <w:rFonts w:eastAsia="Cambria" w:cs="Cambria"/>
          <w:sz w:val="24"/>
          <w:szCs w:val="24"/>
          <w:lang w:bidi="en-US"/>
        </w:rPr>
        <w:t xml:space="preserve"> (skarga nr 2761/04) oraz </w:t>
      </w:r>
      <w:r w:rsidR="005255E8">
        <w:rPr>
          <w:rFonts w:eastAsia="Cambria" w:cs="Cambria"/>
          <w:i/>
          <w:iCs/>
          <w:sz w:val="24"/>
          <w:szCs w:val="24"/>
          <w:lang w:bidi="en-US"/>
        </w:rPr>
        <w:t>Tysiąc p.</w:t>
      </w:r>
      <w:r w:rsidRPr="00094881">
        <w:rPr>
          <w:rFonts w:eastAsia="Cambria" w:cs="Cambria"/>
          <w:i/>
          <w:iCs/>
          <w:sz w:val="24"/>
          <w:szCs w:val="24"/>
          <w:lang w:bidi="en-US"/>
        </w:rPr>
        <w:t xml:space="preserve"> Polsce</w:t>
      </w:r>
      <w:r w:rsidRPr="00094881">
        <w:rPr>
          <w:rFonts w:eastAsia="Cambria" w:cs="Cambria"/>
          <w:sz w:val="24"/>
          <w:szCs w:val="24"/>
          <w:lang w:bidi="en-US"/>
        </w:rPr>
        <w:t xml:space="preserve"> (skarga nr 5410/03).</w:t>
      </w:r>
    </w:p>
    <w:p w:rsidR="00F24A3C" w:rsidRPr="00094881" w:rsidRDefault="00F24A3C" w:rsidP="005255E8">
      <w:pPr>
        <w:widowControl w:val="0"/>
        <w:spacing w:before="120" w:after="0" w:line="240" w:lineRule="auto"/>
        <w:jc w:val="both"/>
        <w:rPr>
          <w:rFonts w:eastAsia="Cambria" w:cs="Cambria"/>
          <w:sz w:val="24"/>
          <w:szCs w:val="24"/>
          <w:lang w:bidi="en-US"/>
        </w:rPr>
      </w:pPr>
      <w:r w:rsidRPr="00094881">
        <w:rPr>
          <w:rFonts w:eastAsia="Cambria" w:cs="Cambria"/>
          <w:sz w:val="24"/>
          <w:szCs w:val="24"/>
          <w:lang w:bidi="en-US"/>
        </w:rPr>
        <w:t>HFPC jest polską organizacją pozarządową, która została utworzona w 1989 r. Do jej głównych celów należy promowanie praw człowieka i praworządności oraz budowa społeczeństwa obywatelskiego w Polsce i innych krajach. HFPC aktywnie rozpowszechnia standardy Konwencji o ochronie praw człowieka i podstawowych wolności („Konwencja”, „EKPCz”) i podejmuje działania na rzecz właściwego wykonywania wyroków ETPCz.</w:t>
      </w:r>
    </w:p>
    <w:p w:rsidR="00F24A3C" w:rsidRPr="00094881" w:rsidRDefault="00F24A3C" w:rsidP="005255E8">
      <w:pPr>
        <w:widowControl w:val="0"/>
        <w:spacing w:before="120" w:after="0" w:line="240" w:lineRule="auto"/>
        <w:jc w:val="both"/>
        <w:rPr>
          <w:rFonts w:eastAsia="Cambria" w:cs="Cambria"/>
          <w:sz w:val="24"/>
          <w:szCs w:val="24"/>
          <w:lang w:bidi="en-US"/>
        </w:rPr>
      </w:pPr>
      <w:r w:rsidRPr="00094881">
        <w:rPr>
          <w:rFonts w:eastAsia="Cambria" w:cs="Cambria"/>
          <w:sz w:val="24"/>
          <w:szCs w:val="24"/>
          <w:lang w:bidi="en-US"/>
        </w:rPr>
        <w:t>W niniejszej komunikacji skupiono się na praktycznych aspektach dotyczących dostępności legalnych zabiegów aborcyjnych.</w:t>
      </w:r>
    </w:p>
    <w:p w:rsidR="00F24A3C" w:rsidRPr="00094881" w:rsidRDefault="00F24A3C" w:rsidP="005255E8">
      <w:pPr>
        <w:widowControl w:val="0"/>
        <w:spacing w:before="120" w:after="0" w:line="240" w:lineRule="auto"/>
        <w:jc w:val="both"/>
        <w:rPr>
          <w:rFonts w:eastAsia="Cambria" w:cs="Cambria"/>
          <w:sz w:val="24"/>
          <w:szCs w:val="24"/>
          <w:lang w:bidi="en-US"/>
        </w:rPr>
      </w:pPr>
      <w:r w:rsidRPr="00094881">
        <w:rPr>
          <w:rFonts w:eastAsia="Cambria" w:cs="Cambria"/>
          <w:b/>
          <w:bCs/>
          <w:sz w:val="24"/>
          <w:szCs w:val="24"/>
          <w:lang w:bidi="en-US"/>
        </w:rPr>
        <w:t>W tym miejscu pragniemy podkreślić, że w pełni podtrzymujemy wnioski przedstawione w wystąpieniach HFPC z dnia 1 września 2017 r.</w:t>
      </w:r>
      <w:r w:rsidRPr="00094881">
        <w:rPr>
          <w:rFonts w:eastAsia="Cambria" w:cs="Cambria"/>
          <w:b/>
          <w:bCs/>
          <w:sz w:val="24"/>
          <w:szCs w:val="24"/>
          <w:vertAlign w:val="superscript"/>
          <w:lang w:bidi="en-US"/>
        </w:rPr>
        <w:footnoteReference w:id="101"/>
      </w:r>
      <w:r w:rsidRPr="00094881">
        <w:rPr>
          <w:rFonts w:eastAsia="Cambria" w:cs="Cambria"/>
          <w:b/>
          <w:bCs/>
          <w:sz w:val="24"/>
          <w:szCs w:val="24"/>
          <w:lang w:bidi="en-US"/>
        </w:rPr>
        <w:t xml:space="preserve"> oraz 9 sierpnia 2018 r.</w:t>
      </w:r>
      <w:r w:rsidRPr="00094881">
        <w:rPr>
          <w:rFonts w:eastAsia="Cambria" w:cs="Cambria"/>
          <w:b/>
          <w:bCs/>
          <w:sz w:val="24"/>
          <w:szCs w:val="24"/>
          <w:vertAlign w:val="superscript"/>
          <w:lang w:bidi="en-US"/>
        </w:rPr>
        <w:footnoteReference w:id="102"/>
      </w:r>
      <w:r w:rsidRPr="00094881">
        <w:rPr>
          <w:rFonts w:eastAsia="Cambria" w:cs="Cambria"/>
          <w:b/>
          <w:bCs/>
          <w:sz w:val="24"/>
          <w:szCs w:val="24"/>
          <w:lang w:bidi="en-US"/>
        </w:rPr>
        <w:t xml:space="preserve"> w sprawie wykonania wyroków w sprawach </w:t>
      </w:r>
      <w:r w:rsidR="005255E8">
        <w:rPr>
          <w:rFonts w:eastAsia="Cambria" w:cs="Cambria"/>
          <w:b/>
          <w:bCs/>
          <w:i/>
          <w:iCs/>
          <w:sz w:val="24"/>
          <w:szCs w:val="24"/>
          <w:lang w:bidi="en-US"/>
        </w:rPr>
        <w:t>P. i S. p.</w:t>
      </w:r>
      <w:r w:rsidRPr="00094881">
        <w:rPr>
          <w:rFonts w:eastAsia="Cambria" w:cs="Cambria"/>
          <w:b/>
          <w:bCs/>
          <w:i/>
          <w:iCs/>
          <w:sz w:val="24"/>
          <w:szCs w:val="24"/>
          <w:lang w:bidi="en-US"/>
        </w:rPr>
        <w:t xml:space="preserve"> Polsce</w:t>
      </w:r>
      <w:r w:rsidRPr="00094881">
        <w:rPr>
          <w:rFonts w:eastAsia="Cambria" w:cs="Cambria"/>
          <w:b/>
          <w:bCs/>
          <w:sz w:val="24"/>
          <w:szCs w:val="24"/>
          <w:lang w:bidi="en-US"/>
        </w:rPr>
        <w:t xml:space="preserve">, </w:t>
      </w:r>
      <w:r w:rsidR="005255E8">
        <w:rPr>
          <w:rFonts w:eastAsia="Cambria" w:cs="Cambria"/>
          <w:b/>
          <w:bCs/>
          <w:i/>
          <w:iCs/>
          <w:sz w:val="24"/>
          <w:szCs w:val="24"/>
          <w:lang w:bidi="en-US"/>
        </w:rPr>
        <w:t>R. R. p.</w:t>
      </w:r>
      <w:r w:rsidRPr="00094881">
        <w:rPr>
          <w:rFonts w:eastAsia="Cambria" w:cs="Cambria"/>
          <w:b/>
          <w:bCs/>
          <w:i/>
          <w:iCs/>
          <w:sz w:val="24"/>
          <w:szCs w:val="24"/>
          <w:lang w:bidi="en-US"/>
        </w:rPr>
        <w:t xml:space="preserve"> Polsce</w:t>
      </w:r>
      <w:r w:rsidRPr="00094881">
        <w:rPr>
          <w:rFonts w:eastAsia="Cambria" w:cs="Cambria"/>
          <w:b/>
          <w:bCs/>
          <w:sz w:val="24"/>
          <w:szCs w:val="24"/>
          <w:lang w:bidi="en-US"/>
        </w:rPr>
        <w:t xml:space="preserve"> oraz </w:t>
      </w:r>
      <w:r w:rsidR="005255E8">
        <w:rPr>
          <w:rFonts w:eastAsia="Cambria" w:cs="Cambria"/>
          <w:b/>
          <w:bCs/>
          <w:i/>
          <w:iCs/>
          <w:sz w:val="24"/>
          <w:szCs w:val="24"/>
          <w:lang w:bidi="en-US"/>
        </w:rPr>
        <w:t>Tysiąc p.</w:t>
      </w:r>
      <w:r w:rsidRPr="00094881">
        <w:rPr>
          <w:rFonts w:eastAsia="Cambria" w:cs="Cambria"/>
          <w:b/>
          <w:bCs/>
          <w:i/>
          <w:iCs/>
          <w:sz w:val="24"/>
          <w:szCs w:val="24"/>
          <w:lang w:bidi="en-US"/>
        </w:rPr>
        <w:t xml:space="preserve"> Polsce</w:t>
      </w:r>
      <w:r w:rsidRPr="00094881">
        <w:rPr>
          <w:rFonts w:eastAsia="Cambria" w:cs="Cambria"/>
          <w:b/>
          <w:bCs/>
          <w:sz w:val="24"/>
          <w:szCs w:val="24"/>
          <w:lang w:bidi="en-US"/>
        </w:rPr>
        <w:t xml:space="preserve">. Celem niniejszej komunikacji jest w szczególności odniesienie się do kwestii poruszonych w decyzji KMRE z dnia 14 marca 2019 r. dotyczącej wykonania wyroku ETPCz w sprawie </w:t>
      </w:r>
      <w:r w:rsidR="005255E8">
        <w:rPr>
          <w:rFonts w:eastAsia="Cambria" w:cs="Cambria"/>
          <w:b/>
          <w:bCs/>
          <w:i/>
          <w:iCs/>
          <w:sz w:val="24"/>
          <w:szCs w:val="24"/>
          <w:lang w:bidi="en-US"/>
        </w:rPr>
        <w:t>P. i S. p.</w:t>
      </w:r>
      <w:r w:rsidRPr="00094881">
        <w:rPr>
          <w:rFonts w:eastAsia="Cambria" w:cs="Cambria"/>
          <w:b/>
          <w:bCs/>
          <w:i/>
          <w:iCs/>
          <w:sz w:val="24"/>
          <w:szCs w:val="24"/>
          <w:lang w:bidi="en-US"/>
        </w:rPr>
        <w:t xml:space="preserve"> Polsce</w:t>
      </w:r>
      <w:r w:rsidRPr="00094881">
        <w:rPr>
          <w:rFonts w:eastAsia="Cambria" w:cs="Cambria"/>
          <w:b/>
          <w:bCs/>
          <w:i/>
          <w:iCs/>
          <w:sz w:val="24"/>
          <w:szCs w:val="24"/>
          <w:vertAlign w:val="superscript"/>
          <w:lang w:bidi="en-US"/>
        </w:rPr>
        <w:footnoteReference w:id="103"/>
      </w:r>
      <w:r w:rsidRPr="00094881">
        <w:rPr>
          <w:rFonts w:eastAsia="Cambria" w:cs="Cambria"/>
          <w:b/>
          <w:bCs/>
          <w:sz w:val="24"/>
          <w:szCs w:val="24"/>
          <w:lang w:bidi="en-US"/>
        </w:rPr>
        <w:t xml:space="preserve"> i odpowiedzi rządu RP z dnia 20 grudnia 2019 r., która odnosi się do tej decyzji</w:t>
      </w:r>
      <w:r w:rsidRPr="00094881">
        <w:rPr>
          <w:rFonts w:eastAsia="Cambria" w:cs="Cambria"/>
          <w:b/>
          <w:bCs/>
          <w:sz w:val="24"/>
          <w:szCs w:val="24"/>
          <w:vertAlign w:val="superscript"/>
          <w:lang w:bidi="en-US"/>
        </w:rPr>
        <w:footnoteReference w:id="104"/>
      </w:r>
      <w:r w:rsidRPr="00094881">
        <w:rPr>
          <w:rFonts w:eastAsia="Cambria" w:cs="Cambria"/>
          <w:b/>
          <w:bCs/>
          <w:sz w:val="24"/>
          <w:szCs w:val="24"/>
          <w:lang w:bidi="en-US"/>
        </w:rPr>
        <w:t>.</w:t>
      </w:r>
    </w:p>
    <w:p w:rsidR="00F24A3C" w:rsidRPr="00094881" w:rsidRDefault="00F24A3C" w:rsidP="00987EB2">
      <w:pPr>
        <w:pStyle w:val="Akapitzlist"/>
        <w:numPr>
          <w:ilvl w:val="0"/>
          <w:numId w:val="53"/>
        </w:numPr>
        <w:spacing w:before="120" w:after="0" w:line="240" w:lineRule="auto"/>
        <w:contextualSpacing w:val="0"/>
        <w:rPr>
          <w:rFonts w:eastAsia="Cambria" w:cs="Cambria"/>
          <w:b/>
          <w:bCs/>
          <w:sz w:val="24"/>
          <w:szCs w:val="24"/>
          <w:lang w:bidi="en-US"/>
        </w:rPr>
      </w:pPr>
      <w:r w:rsidRPr="00094881">
        <w:rPr>
          <w:rFonts w:eastAsia="Cambria" w:cs="Cambria"/>
          <w:b/>
          <w:bCs/>
          <w:sz w:val="24"/>
          <w:szCs w:val="24"/>
          <w:lang w:bidi="en-US"/>
        </w:rPr>
        <w:t>Wyroki ETPCz</w:t>
      </w:r>
    </w:p>
    <w:p w:rsidR="00F24A3C" w:rsidRPr="00094881" w:rsidRDefault="00F24A3C" w:rsidP="005255E8">
      <w:pPr>
        <w:widowControl w:val="0"/>
        <w:spacing w:before="120" w:after="0" w:line="240" w:lineRule="auto"/>
        <w:jc w:val="both"/>
        <w:rPr>
          <w:rFonts w:eastAsia="Cambria" w:cs="Cambria"/>
          <w:sz w:val="24"/>
          <w:szCs w:val="24"/>
          <w:lang w:bidi="en-US"/>
        </w:rPr>
      </w:pPr>
      <w:r w:rsidRPr="00094881">
        <w:rPr>
          <w:rFonts w:eastAsia="Cambria" w:cs="Cambria"/>
          <w:sz w:val="24"/>
          <w:szCs w:val="24"/>
          <w:lang w:bidi="en-US"/>
        </w:rPr>
        <w:t xml:space="preserve">Sprawy </w:t>
      </w:r>
      <w:r w:rsidR="005255E8">
        <w:rPr>
          <w:rFonts w:eastAsia="Cambria" w:cs="Cambria"/>
          <w:i/>
          <w:iCs/>
          <w:sz w:val="24"/>
          <w:szCs w:val="24"/>
          <w:lang w:bidi="en-US"/>
        </w:rPr>
        <w:t>P. i S. p.</w:t>
      </w:r>
      <w:r w:rsidRPr="00094881">
        <w:rPr>
          <w:rFonts w:eastAsia="Cambria" w:cs="Cambria"/>
          <w:i/>
          <w:iCs/>
          <w:sz w:val="24"/>
          <w:szCs w:val="24"/>
          <w:lang w:bidi="en-US"/>
        </w:rPr>
        <w:t xml:space="preserve"> Polsce</w:t>
      </w:r>
      <w:r w:rsidRPr="00094881">
        <w:rPr>
          <w:rFonts w:eastAsia="Cambria" w:cs="Cambria"/>
          <w:sz w:val="24"/>
          <w:szCs w:val="24"/>
          <w:lang w:bidi="en-US"/>
        </w:rPr>
        <w:t xml:space="preserve">, </w:t>
      </w:r>
      <w:r w:rsidRPr="00094881">
        <w:rPr>
          <w:rFonts w:eastAsia="Cambria" w:cs="Cambria"/>
          <w:i/>
          <w:iCs/>
          <w:sz w:val="24"/>
          <w:szCs w:val="24"/>
          <w:lang w:bidi="en-US"/>
        </w:rPr>
        <w:t>R. R. p</w:t>
      </w:r>
      <w:r w:rsidR="005255E8">
        <w:rPr>
          <w:rFonts w:eastAsia="Cambria" w:cs="Cambria"/>
          <w:i/>
          <w:iCs/>
          <w:sz w:val="24"/>
          <w:szCs w:val="24"/>
          <w:lang w:bidi="en-US"/>
        </w:rPr>
        <w:t>.</w:t>
      </w:r>
      <w:r w:rsidRPr="00094881">
        <w:rPr>
          <w:rFonts w:eastAsia="Cambria" w:cs="Cambria"/>
          <w:i/>
          <w:iCs/>
          <w:sz w:val="24"/>
          <w:szCs w:val="24"/>
          <w:lang w:bidi="en-US"/>
        </w:rPr>
        <w:t xml:space="preserve"> Polsce</w:t>
      </w:r>
      <w:r w:rsidRPr="00094881">
        <w:rPr>
          <w:rFonts w:eastAsia="Cambria" w:cs="Cambria"/>
          <w:sz w:val="24"/>
          <w:szCs w:val="24"/>
          <w:lang w:bidi="en-US"/>
        </w:rPr>
        <w:t xml:space="preserve"> oraz </w:t>
      </w:r>
      <w:r w:rsidRPr="00094881">
        <w:rPr>
          <w:rFonts w:eastAsia="Cambria" w:cs="Cambria"/>
          <w:i/>
          <w:iCs/>
          <w:sz w:val="24"/>
          <w:szCs w:val="24"/>
          <w:lang w:bidi="en-US"/>
        </w:rPr>
        <w:t>Tysiąc p</w:t>
      </w:r>
      <w:r w:rsidR="005255E8">
        <w:rPr>
          <w:rFonts w:eastAsia="Cambria" w:cs="Cambria"/>
          <w:i/>
          <w:iCs/>
          <w:sz w:val="24"/>
          <w:szCs w:val="24"/>
          <w:lang w:bidi="en-US"/>
        </w:rPr>
        <w:t>.</w:t>
      </w:r>
      <w:r w:rsidRPr="00094881">
        <w:rPr>
          <w:rFonts w:eastAsia="Cambria" w:cs="Cambria"/>
          <w:i/>
          <w:iCs/>
          <w:sz w:val="24"/>
          <w:szCs w:val="24"/>
          <w:lang w:bidi="en-US"/>
        </w:rPr>
        <w:t xml:space="preserve"> Polsce</w:t>
      </w:r>
      <w:r w:rsidRPr="00094881">
        <w:rPr>
          <w:rFonts w:eastAsia="Cambria" w:cs="Cambria"/>
          <w:sz w:val="24"/>
          <w:szCs w:val="24"/>
          <w:lang w:bidi="en-US"/>
        </w:rPr>
        <w:t xml:space="preserve"> dotyczą dostępu do legalnej aborcji, która jest dopuszczalna w świetle ustawy o planowaniu rodziny, ochronie płodu ludzkiego i </w:t>
      </w:r>
      <w:r w:rsidRPr="00094881">
        <w:rPr>
          <w:rFonts w:eastAsia="Cambria" w:cs="Cambria"/>
          <w:sz w:val="24"/>
          <w:szCs w:val="24"/>
          <w:lang w:bidi="en-US"/>
        </w:rPr>
        <w:lastRenderedPageBreak/>
        <w:t>warunkach dopuszczalności przerywania ciąży („Ustawa o planowaniu rodziny”)</w:t>
      </w:r>
      <w:r w:rsidRPr="00094881">
        <w:rPr>
          <w:rFonts w:eastAsia="Cambria" w:cs="Cambria"/>
          <w:sz w:val="24"/>
          <w:szCs w:val="24"/>
          <w:vertAlign w:val="superscript"/>
          <w:lang w:bidi="en-US"/>
        </w:rPr>
        <w:footnoteReference w:id="105"/>
      </w:r>
      <w:r w:rsidRPr="00094881">
        <w:rPr>
          <w:rFonts w:eastAsia="Cambria" w:cs="Cambria"/>
          <w:sz w:val="24"/>
          <w:szCs w:val="24"/>
          <w:lang w:bidi="en-US"/>
        </w:rPr>
        <w:t>.</w:t>
      </w:r>
    </w:p>
    <w:p w:rsidR="00F24A3C" w:rsidRPr="00094881" w:rsidRDefault="00F24A3C" w:rsidP="005255E8">
      <w:pPr>
        <w:widowControl w:val="0"/>
        <w:spacing w:before="120" w:after="0" w:line="240" w:lineRule="auto"/>
        <w:jc w:val="both"/>
        <w:rPr>
          <w:rFonts w:eastAsia="Cambria" w:cs="Cambria"/>
          <w:sz w:val="24"/>
          <w:szCs w:val="24"/>
          <w:lang w:bidi="en-US"/>
        </w:rPr>
      </w:pPr>
      <w:r w:rsidRPr="00094881">
        <w:rPr>
          <w:rFonts w:eastAsia="Cambria" w:cs="Cambria"/>
          <w:sz w:val="24"/>
          <w:szCs w:val="24"/>
          <w:lang w:bidi="en-US"/>
        </w:rPr>
        <w:t xml:space="preserve">W sprawie </w:t>
      </w:r>
      <w:r w:rsidR="008E32CB">
        <w:rPr>
          <w:rFonts w:eastAsia="Cambria" w:cs="Cambria"/>
          <w:i/>
          <w:iCs/>
          <w:sz w:val="24"/>
          <w:szCs w:val="24"/>
          <w:lang w:bidi="en-US"/>
        </w:rPr>
        <w:t>Tysiąc p.</w:t>
      </w:r>
      <w:r w:rsidRPr="00094881">
        <w:rPr>
          <w:rFonts w:eastAsia="Cambria" w:cs="Cambria"/>
          <w:i/>
          <w:iCs/>
          <w:sz w:val="24"/>
          <w:szCs w:val="24"/>
          <w:lang w:bidi="en-US"/>
        </w:rPr>
        <w:t xml:space="preserve"> Polsce</w:t>
      </w:r>
      <w:r w:rsidRPr="00094881">
        <w:rPr>
          <w:rFonts w:eastAsia="Cambria" w:cs="Cambria"/>
          <w:sz w:val="24"/>
          <w:szCs w:val="24"/>
          <w:lang w:bidi="en-US"/>
        </w:rPr>
        <w:t xml:space="preserve"> ETPCz stwierdził naruszenie art. 8 EKPC wynikające z braku odpowiednich ram prawnych regulujących korzystanie z prawa do aborcji terapeutycznej. W sprawie </w:t>
      </w:r>
      <w:r w:rsidR="008E32CB">
        <w:rPr>
          <w:rFonts w:eastAsia="Cambria" w:cs="Cambria"/>
          <w:i/>
          <w:iCs/>
          <w:sz w:val="24"/>
          <w:szCs w:val="24"/>
          <w:lang w:bidi="en-US"/>
        </w:rPr>
        <w:t>R. R. p.</w:t>
      </w:r>
      <w:r w:rsidRPr="00094881">
        <w:rPr>
          <w:rFonts w:eastAsia="Cambria" w:cs="Cambria"/>
          <w:i/>
          <w:iCs/>
          <w:sz w:val="24"/>
          <w:szCs w:val="24"/>
          <w:lang w:bidi="en-US"/>
        </w:rPr>
        <w:t xml:space="preserve"> Polsce</w:t>
      </w:r>
      <w:r w:rsidRPr="00094881">
        <w:rPr>
          <w:rFonts w:eastAsia="Cambria" w:cs="Cambria"/>
          <w:sz w:val="24"/>
          <w:szCs w:val="24"/>
          <w:lang w:bidi="en-US"/>
        </w:rPr>
        <w:t xml:space="preserve"> uznano, że Polska ponosi odpowiedzialność za brak zapewnienia dostępu do prenatalnych badań genetycznych (dopuszczalnych w prawie krajowym), które były wymagane do podjęcia przez skarżącą świadomej decyzji o przerwaniu ciąży. ETPCz uznał to uchybienie za sprzeczne z art. 3 i 8 EKPC. W sprawie </w:t>
      </w:r>
      <w:r w:rsidR="005255E8">
        <w:rPr>
          <w:rFonts w:eastAsia="Cambria" w:cs="Cambria"/>
          <w:i/>
          <w:iCs/>
          <w:sz w:val="24"/>
          <w:szCs w:val="24"/>
          <w:lang w:bidi="en-US"/>
        </w:rPr>
        <w:t xml:space="preserve">P. i S. p. </w:t>
      </w:r>
      <w:r w:rsidRPr="00094881">
        <w:rPr>
          <w:rFonts w:eastAsia="Cambria" w:cs="Cambria"/>
          <w:i/>
          <w:iCs/>
          <w:sz w:val="24"/>
          <w:szCs w:val="24"/>
          <w:lang w:bidi="en-US"/>
        </w:rPr>
        <w:t>Polsce</w:t>
      </w:r>
      <w:r w:rsidRPr="00094881">
        <w:rPr>
          <w:rFonts w:eastAsia="Cambria" w:cs="Cambria"/>
          <w:sz w:val="24"/>
          <w:szCs w:val="24"/>
          <w:lang w:bidi="en-US"/>
        </w:rPr>
        <w:t>, ETPCz uznał, że Polska dopuściła się naruszenia art. 3, 5 i 8 EKPC odmawiając dostępu do aborcji 14-letniej dziewczynce, której ciąża była wynikiem zgwałcenia.</w:t>
      </w:r>
    </w:p>
    <w:p w:rsidR="00F24A3C" w:rsidRPr="00094881" w:rsidRDefault="00F24A3C" w:rsidP="005255E8">
      <w:pPr>
        <w:widowControl w:val="0"/>
        <w:spacing w:before="120" w:after="0" w:line="240" w:lineRule="auto"/>
        <w:jc w:val="both"/>
        <w:rPr>
          <w:rFonts w:eastAsia="Cambria" w:cs="Cambria"/>
          <w:sz w:val="24"/>
          <w:szCs w:val="24"/>
          <w:lang w:bidi="en-US"/>
        </w:rPr>
      </w:pPr>
      <w:r w:rsidRPr="00094881">
        <w:rPr>
          <w:rFonts w:eastAsia="Cambria" w:cs="Cambria"/>
          <w:sz w:val="24"/>
          <w:szCs w:val="24"/>
          <w:lang w:bidi="en-US"/>
        </w:rPr>
        <w:t>HFPC docenia kroki podjęte przez rząd w celu wykonania powyższych wyroków ETPCz, niemniej jednak twierdzi, że kroki te nie są wystarczające do pełnego wdrożenia standardów ustanowionych w przedmiotowych wyrokach ETPCz.</w:t>
      </w:r>
    </w:p>
    <w:p w:rsidR="00F24A3C" w:rsidRPr="00094881" w:rsidRDefault="00F24A3C" w:rsidP="00987EB2">
      <w:pPr>
        <w:pStyle w:val="Akapitzlist"/>
        <w:numPr>
          <w:ilvl w:val="0"/>
          <w:numId w:val="53"/>
        </w:numPr>
        <w:spacing w:before="120" w:after="0" w:line="240" w:lineRule="auto"/>
        <w:contextualSpacing w:val="0"/>
        <w:rPr>
          <w:rFonts w:eastAsia="Cambria" w:cs="Cambria"/>
          <w:b/>
          <w:bCs/>
          <w:sz w:val="24"/>
          <w:szCs w:val="24"/>
          <w:lang w:bidi="en-US"/>
        </w:rPr>
      </w:pPr>
      <w:r w:rsidRPr="00094881">
        <w:rPr>
          <w:rFonts w:eastAsia="Cambria" w:cs="Cambria"/>
          <w:b/>
          <w:bCs/>
          <w:sz w:val="24"/>
          <w:szCs w:val="24"/>
          <w:lang w:bidi="en-US"/>
        </w:rPr>
        <w:t>Nieskuteczna procedura zgłaszania sprzeciwu wobec orzeczenia lub opinii lekarza</w:t>
      </w:r>
    </w:p>
    <w:p w:rsidR="00F24A3C" w:rsidRPr="00094881" w:rsidRDefault="00F24A3C" w:rsidP="005255E8">
      <w:pPr>
        <w:widowControl w:val="0"/>
        <w:spacing w:before="120" w:after="0" w:line="240" w:lineRule="auto"/>
        <w:jc w:val="both"/>
        <w:rPr>
          <w:rFonts w:eastAsia="Cambria" w:cs="Cambria"/>
          <w:sz w:val="24"/>
          <w:szCs w:val="24"/>
          <w:lang w:bidi="en-US"/>
        </w:rPr>
      </w:pPr>
      <w:r w:rsidRPr="00094881">
        <w:rPr>
          <w:rFonts w:eastAsia="Cambria" w:cs="Cambria"/>
          <w:sz w:val="24"/>
          <w:szCs w:val="24"/>
          <w:lang w:bidi="en-US"/>
        </w:rPr>
        <w:t>W komunikacji z dnia 20 grudnia 2019 r. rząd ponownie podkreślił, że procedura zgłaszania sprzeciwu wobec orzeczenia lub opinii lekarza („procedura sprzeciwu”), która została wprowadzona ustawą o prawach pacjenta i Rzeczniku Praw Pacjenta („Ustawa o prawach pacjenta”), stanowi wystarczającą gwarancję proceduralną, z której mogą skorzystać kobiety, którym lekarze odmawiają wykonania legalnej aborcji</w:t>
      </w:r>
      <w:r w:rsidRPr="00094881">
        <w:rPr>
          <w:rFonts w:eastAsia="Cambria" w:cs="Cambria"/>
          <w:sz w:val="24"/>
          <w:szCs w:val="24"/>
          <w:vertAlign w:val="superscript"/>
          <w:lang w:bidi="en-US"/>
        </w:rPr>
        <w:footnoteReference w:id="106"/>
      </w:r>
      <w:r w:rsidRPr="00094881">
        <w:rPr>
          <w:rFonts w:eastAsia="Cambria" w:cs="Cambria"/>
          <w:sz w:val="24"/>
          <w:szCs w:val="24"/>
          <w:lang w:bidi="en-US"/>
        </w:rPr>
        <w:t>. Zdaniem HFPC nie można podzielić tego stanowiska i dlatego pragniemy ponownie zaznaczyć najważniejsze zastrzeżenia dotyczące procedury sprzeciwu.</w:t>
      </w:r>
    </w:p>
    <w:p w:rsidR="00F24A3C" w:rsidRPr="00094881" w:rsidRDefault="00F24A3C" w:rsidP="005255E8">
      <w:pPr>
        <w:widowControl w:val="0"/>
        <w:spacing w:before="120" w:after="0" w:line="240" w:lineRule="auto"/>
        <w:jc w:val="both"/>
        <w:rPr>
          <w:rFonts w:eastAsia="Cambria" w:cs="Cambria"/>
          <w:sz w:val="24"/>
          <w:szCs w:val="24"/>
          <w:lang w:bidi="en-US"/>
        </w:rPr>
      </w:pPr>
      <w:r w:rsidRPr="00094881">
        <w:rPr>
          <w:rFonts w:eastAsia="Cambria" w:cs="Cambria"/>
          <w:b/>
          <w:bCs/>
          <w:sz w:val="24"/>
          <w:szCs w:val="24"/>
          <w:lang w:bidi="en-US"/>
        </w:rPr>
        <w:t>Prawdopodobnie do najpoważniejszych wad procedury sprzeciwu należy zaliczyć jej nadmierny formalizm, brak możliwości zastosowania procedury w przypadku odmowy wydania przez lekarza opinii lub orzeczenia, wątpliwości, czy sprzeciw dotyczy odmowy skierowania na badania oraz brak gwarancji szybkiego rozpatrzenia sprzeciwu.</w:t>
      </w:r>
    </w:p>
    <w:p w:rsidR="00F24A3C" w:rsidRPr="00094881" w:rsidRDefault="00F24A3C" w:rsidP="005255E8">
      <w:pPr>
        <w:widowControl w:val="0"/>
        <w:spacing w:before="120" w:after="0" w:line="240" w:lineRule="auto"/>
        <w:jc w:val="both"/>
        <w:rPr>
          <w:rFonts w:eastAsia="Cambria" w:cs="Cambria"/>
          <w:sz w:val="24"/>
          <w:szCs w:val="24"/>
          <w:lang w:bidi="en-US"/>
        </w:rPr>
      </w:pPr>
      <w:r w:rsidRPr="00094881">
        <w:rPr>
          <w:rFonts w:eastAsia="Cambria" w:cs="Cambria"/>
          <w:sz w:val="24"/>
          <w:szCs w:val="24"/>
          <w:lang w:bidi="en-US"/>
        </w:rPr>
        <w:t>HFPC szczegółowo wyjaśniła powyższe kwestie w komunikacjach z dnia 1 września 2017 r. oraz 9 sierpnia 2018 r. Wyjaśnienia te pozostają w pełni aktualne i relewantne.</w:t>
      </w:r>
    </w:p>
    <w:p w:rsidR="00F24A3C" w:rsidRPr="00094881" w:rsidRDefault="00F24A3C" w:rsidP="005255E8">
      <w:pPr>
        <w:widowControl w:val="0"/>
        <w:spacing w:before="120" w:after="0" w:line="240" w:lineRule="auto"/>
        <w:jc w:val="both"/>
        <w:rPr>
          <w:rFonts w:eastAsia="Cambria" w:cs="Cambria"/>
          <w:sz w:val="24"/>
          <w:szCs w:val="24"/>
          <w:lang w:bidi="en-US"/>
        </w:rPr>
      </w:pPr>
      <w:r w:rsidRPr="00094881">
        <w:rPr>
          <w:rFonts w:eastAsia="Cambria" w:cs="Cambria"/>
          <w:sz w:val="24"/>
          <w:szCs w:val="24"/>
          <w:lang w:bidi="en-US"/>
        </w:rPr>
        <w:t>Do dnia dzisiejszego do Ustawy o prawach pacjenta nie wprowadzono żadnych istotnych zmian, które w znaczący sposób zmieniłyby procedurę sprzeciwu i czyniłyby z tej procedury realny mechanizm ochrony praw.</w:t>
      </w:r>
    </w:p>
    <w:p w:rsidR="00F24A3C" w:rsidRPr="00094881" w:rsidRDefault="00F24A3C" w:rsidP="005255E8">
      <w:pPr>
        <w:widowControl w:val="0"/>
        <w:spacing w:before="120" w:after="0" w:line="240" w:lineRule="auto"/>
        <w:jc w:val="both"/>
        <w:rPr>
          <w:rFonts w:eastAsia="Cambria" w:cs="Cambria"/>
          <w:sz w:val="24"/>
          <w:szCs w:val="24"/>
          <w:lang w:bidi="en-US"/>
        </w:rPr>
      </w:pPr>
      <w:r w:rsidRPr="00094881">
        <w:rPr>
          <w:rFonts w:eastAsia="Cambria" w:cs="Cambria"/>
          <w:sz w:val="24"/>
          <w:szCs w:val="24"/>
          <w:lang w:bidi="en-US"/>
        </w:rPr>
        <w:t xml:space="preserve">Prawdopodobnie procedura sprzeciwu nie spełnia kryteriów skutecznego środka zaradczego określonych w art. 13 EKPC ani standardów ustanowionych przez ETPCz w sprawach </w:t>
      </w:r>
      <w:r w:rsidR="005255E8">
        <w:rPr>
          <w:rFonts w:eastAsia="Cambria" w:cs="Cambria"/>
          <w:i/>
          <w:iCs/>
          <w:sz w:val="24"/>
          <w:szCs w:val="24"/>
          <w:lang w:bidi="en-US"/>
        </w:rPr>
        <w:t>P. i S. p.</w:t>
      </w:r>
      <w:r w:rsidRPr="00094881">
        <w:rPr>
          <w:rFonts w:eastAsia="Cambria" w:cs="Cambria"/>
          <w:i/>
          <w:iCs/>
          <w:sz w:val="24"/>
          <w:szCs w:val="24"/>
          <w:lang w:bidi="en-US"/>
        </w:rPr>
        <w:t xml:space="preserve"> Polsce</w:t>
      </w:r>
      <w:r w:rsidRPr="00094881">
        <w:rPr>
          <w:rFonts w:eastAsia="Cambria" w:cs="Cambria"/>
          <w:sz w:val="24"/>
          <w:szCs w:val="24"/>
          <w:lang w:bidi="en-US"/>
        </w:rPr>
        <w:t xml:space="preserve">, </w:t>
      </w:r>
      <w:r w:rsidRPr="00094881">
        <w:rPr>
          <w:rFonts w:eastAsia="Cambria" w:cs="Cambria"/>
          <w:i/>
          <w:iCs/>
          <w:sz w:val="24"/>
          <w:szCs w:val="24"/>
          <w:lang w:bidi="en-US"/>
        </w:rPr>
        <w:t>Tysiąc p</w:t>
      </w:r>
      <w:r w:rsidR="005255E8">
        <w:rPr>
          <w:rFonts w:eastAsia="Cambria" w:cs="Cambria"/>
          <w:i/>
          <w:iCs/>
          <w:sz w:val="24"/>
          <w:szCs w:val="24"/>
          <w:lang w:bidi="en-US"/>
        </w:rPr>
        <w:t>.</w:t>
      </w:r>
      <w:r w:rsidRPr="00094881">
        <w:rPr>
          <w:rFonts w:eastAsia="Cambria" w:cs="Cambria"/>
          <w:i/>
          <w:iCs/>
          <w:sz w:val="24"/>
          <w:szCs w:val="24"/>
          <w:lang w:bidi="en-US"/>
        </w:rPr>
        <w:t xml:space="preserve"> Polsce</w:t>
      </w:r>
      <w:r w:rsidRPr="00094881">
        <w:rPr>
          <w:rFonts w:eastAsia="Cambria" w:cs="Cambria"/>
          <w:sz w:val="24"/>
          <w:szCs w:val="24"/>
          <w:lang w:bidi="en-US"/>
        </w:rPr>
        <w:t xml:space="preserve"> oraz </w:t>
      </w:r>
      <w:r w:rsidRPr="00094881">
        <w:rPr>
          <w:rFonts w:eastAsia="Cambria" w:cs="Cambria"/>
          <w:i/>
          <w:iCs/>
          <w:sz w:val="24"/>
          <w:szCs w:val="24"/>
          <w:lang w:bidi="en-US"/>
        </w:rPr>
        <w:t>R.R. p</w:t>
      </w:r>
      <w:r w:rsidR="005255E8">
        <w:rPr>
          <w:rFonts w:eastAsia="Cambria" w:cs="Cambria"/>
          <w:i/>
          <w:iCs/>
          <w:sz w:val="24"/>
          <w:szCs w:val="24"/>
          <w:lang w:bidi="en-US"/>
        </w:rPr>
        <w:t>.</w:t>
      </w:r>
      <w:r w:rsidRPr="00094881">
        <w:rPr>
          <w:rFonts w:eastAsia="Cambria" w:cs="Cambria"/>
          <w:i/>
          <w:iCs/>
          <w:sz w:val="24"/>
          <w:szCs w:val="24"/>
          <w:lang w:bidi="en-US"/>
        </w:rPr>
        <w:t xml:space="preserve"> Polsce</w:t>
      </w:r>
      <w:r w:rsidRPr="00094881">
        <w:rPr>
          <w:rFonts w:eastAsia="Cambria" w:cs="Cambria"/>
          <w:sz w:val="24"/>
          <w:szCs w:val="24"/>
          <w:lang w:bidi="en-US"/>
        </w:rPr>
        <w:t>. Procedura ta jest nieskuteczna i nie zapewnia osobie sprzeciwiającej się prawa do legalnej aborcji.</w:t>
      </w:r>
    </w:p>
    <w:p w:rsidR="00F24A3C" w:rsidRPr="00094881" w:rsidRDefault="00F24A3C" w:rsidP="00987EB2">
      <w:pPr>
        <w:pStyle w:val="Akapitzlist"/>
        <w:numPr>
          <w:ilvl w:val="0"/>
          <w:numId w:val="53"/>
        </w:numPr>
        <w:spacing w:before="120" w:after="0" w:line="240" w:lineRule="auto"/>
        <w:contextualSpacing w:val="0"/>
        <w:rPr>
          <w:rFonts w:eastAsia="Cambria" w:cs="Cambria"/>
          <w:b/>
          <w:bCs/>
          <w:sz w:val="24"/>
          <w:szCs w:val="24"/>
          <w:lang w:bidi="en-US"/>
        </w:rPr>
      </w:pPr>
      <w:r w:rsidRPr="00094881">
        <w:rPr>
          <w:rFonts w:eastAsia="Cambria" w:cs="Cambria"/>
          <w:b/>
          <w:bCs/>
          <w:sz w:val="24"/>
          <w:szCs w:val="24"/>
          <w:lang w:bidi="en-US"/>
        </w:rPr>
        <w:t>Dostęp do legalnej aborcji, w szczególności w sytuacji powołania się przez lekarza na klauzulę sumienia</w:t>
      </w:r>
    </w:p>
    <w:p w:rsidR="00F24A3C" w:rsidRPr="00094881" w:rsidRDefault="00F24A3C" w:rsidP="007543C6">
      <w:pPr>
        <w:widowControl w:val="0"/>
        <w:spacing w:before="120" w:after="0" w:line="240" w:lineRule="auto"/>
        <w:jc w:val="both"/>
        <w:rPr>
          <w:rFonts w:eastAsia="Cambria" w:cs="Cambria"/>
          <w:sz w:val="24"/>
          <w:szCs w:val="24"/>
          <w:lang w:bidi="en-US"/>
        </w:rPr>
      </w:pPr>
      <w:r w:rsidRPr="00094881">
        <w:rPr>
          <w:rFonts w:eastAsia="Cambria" w:cs="Cambria"/>
          <w:sz w:val="24"/>
          <w:szCs w:val="24"/>
          <w:lang w:bidi="en-US"/>
        </w:rPr>
        <w:t>Z danych uzyskanych przez HFPC od Rzecznika Praw Pacjenta</w:t>
      </w:r>
      <w:r w:rsidRPr="00094881">
        <w:rPr>
          <w:rFonts w:eastAsia="Cambria" w:cs="Cambria"/>
          <w:sz w:val="24"/>
          <w:szCs w:val="24"/>
          <w:vertAlign w:val="superscript"/>
          <w:lang w:bidi="en-US"/>
        </w:rPr>
        <w:footnoteReference w:id="107"/>
      </w:r>
      <w:r w:rsidRPr="00094881">
        <w:rPr>
          <w:rFonts w:eastAsia="Cambria" w:cs="Cambria"/>
          <w:sz w:val="24"/>
          <w:szCs w:val="24"/>
          <w:lang w:bidi="en-US"/>
        </w:rPr>
        <w:t xml:space="preserve"> wynika, że procedura sprzeciwu nie zabezpiecza dostępu do aborcji w sytuacji, gdy lekarz powołuje się na klauzulę sumienia. Według przekazanych przez Rzecznika danych w 2019 r. zaledwie jeden taki </w:t>
      </w:r>
      <w:r w:rsidRPr="00094881">
        <w:rPr>
          <w:rFonts w:eastAsia="Cambria" w:cs="Cambria"/>
          <w:sz w:val="24"/>
          <w:szCs w:val="24"/>
          <w:lang w:bidi="en-US"/>
        </w:rPr>
        <w:lastRenderedPageBreak/>
        <w:t>sprzeciw został złożony przez kobietę, która nie została przyjęta na szpitalny oddział ginekologiczny z powodu braku możliwości przeprowadzenia zabiegu aborcji. Kobieta miała prawo do legalnej aborcji zgodnie z prawem krajowym, które dopuszcza przerwanie ciąży w przypadku wysokiego prawdopodobieństwa wystąpienia wad płodu lub nieuleczalnej choroby zagrażającej życiu płodu (w tym przypadku chodziło o zespół Edwardsa). Jednak wszyscy lekarze w szpitalu, łącznie z tym, który wydał decyzję odmowną, odmówili przerwania ciąży powołując się na klauzulę sumienia. Ostatecznie Niezależna Komisja Etyczna działająca przy Rzeczniku Praw Pacjentów uznała sprzeciw za nieuzasadniony. Komisja podkreśliła, że prawo polskie uprawnia lekarza do odmowy przeprowadzenia zabiegu na podstawie klauzuli sumienia.</w:t>
      </w:r>
    </w:p>
    <w:p w:rsidR="00F24A3C" w:rsidRPr="00094881" w:rsidRDefault="00F24A3C" w:rsidP="007543C6">
      <w:pPr>
        <w:widowControl w:val="0"/>
        <w:spacing w:before="120" w:after="0" w:line="240" w:lineRule="auto"/>
        <w:jc w:val="both"/>
        <w:rPr>
          <w:rFonts w:eastAsia="Cambria" w:cs="Cambria"/>
          <w:sz w:val="24"/>
          <w:szCs w:val="24"/>
          <w:lang w:bidi="en-US"/>
        </w:rPr>
      </w:pPr>
      <w:r w:rsidRPr="00094881">
        <w:rPr>
          <w:rFonts w:eastAsia="Cambria" w:cs="Cambria"/>
          <w:sz w:val="24"/>
          <w:szCs w:val="24"/>
          <w:lang w:bidi="en-US"/>
        </w:rPr>
        <w:t>Ponadto procedura sprzeciwu w obecnym kształcie nie gwarantuje, że kobieta otrzyma rzetelną, wyczerpującą i obiektywną informację o tym, czy przysługuje jej prawo do skorzystania z legalnej aborcji. Ponadto procedura sprzeciwu nie gwarantuje kobiecie uzyskania informacji o tym, gdzie taki zabieg można wykonać w sytuacji, gdy lekarz, do którego zwróciła się w pierwszej kolejności, powołuje się na klauzulę sumienia.</w:t>
      </w:r>
    </w:p>
    <w:p w:rsidR="00F24A3C" w:rsidRPr="00094881" w:rsidRDefault="00F24A3C" w:rsidP="007543C6">
      <w:pPr>
        <w:widowControl w:val="0"/>
        <w:spacing w:before="120" w:after="0" w:line="240" w:lineRule="auto"/>
        <w:jc w:val="both"/>
        <w:rPr>
          <w:rFonts w:eastAsia="Cambria" w:cs="Cambria"/>
          <w:sz w:val="24"/>
          <w:szCs w:val="24"/>
          <w:lang w:bidi="en-US"/>
        </w:rPr>
      </w:pPr>
      <w:r w:rsidRPr="00094881">
        <w:rPr>
          <w:rFonts w:eastAsia="Cambria" w:cs="Cambria"/>
          <w:sz w:val="24"/>
          <w:szCs w:val="24"/>
          <w:lang w:bidi="en-US"/>
        </w:rPr>
        <w:t>W polskim prawie nie ma obecnie przepisu, który zobowiązywałby lekarza lub inną osobę wykonującą zawód medyczny do poinformowania pacjenta o skutecznym sposobie uzyskania świadczenia zdrowotnego (w tym przypadku poddania się aborcji) u innego świadczeniodawcy (podmiotu leczniczego) w przypadku, gdy lekarz lub inna osoba wykonująca zawód medyczny odmawia wykonania tego świadczenia powołując się na klauzulę sumienia. Taki stan rzeczy jest konsekwencją wyroku Trybunału Konstytucyjnego („TK”) wydanego w dniu 7 października 2015 r.</w:t>
      </w:r>
      <w:r w:rsidRPr="00094881">
        <w:rPr>
          <w:rFonts w:eastAsia="Cambria" w:cs="Cambria"/>
          <w:sz w:val="24"/>
          <w:szCs w:val="24"/>
          <w:vertAlign w:val="superscript"/>
          <w:lang w:bidi="en-US"/>
        </w:rPr>
        <w:footnoteReference w:id="108"/>
      </w:r>
      <w:r w:rsidRPr="00094881">
        <w:rPr>
          <w:rFonts w:eastAsia="Cambria" w:cs="Cambria"/>
          <w:sz w:val="24"/>
          <w:szCs w:val="24"/>
          <w:lang w:bidi="en-US"/>
        </w:rPr>
        <w:t>, w którym TK stwierdził niekonstytucyjność przepisów wprowadzających taki obowiązek. TK uznał, że nałożenie na lekarza powołującego się na klauzulę sumienia obowiązku skierowania pacjenta do innej placówki medycznej godzi w sposób nieproporcjonalny w jego wolność sumienia, którą chroni art. 53 ust. 1 Konstytucji. Obecny stan prawny, który powstał po utracie mocy obowiązującej odpowiednich przepisów w wyniku wydania orzeczenia TK, powoduje znaczną dysproporcję między ochroną wolności sumienia lekarzy a prawem pacjentów do uzyskania świadczeń medycznych.</w:t>
      </w:r>
    </w:p>
    <w:p w:rsidR="00F24A3C" w:rsidRPr="00094881" w:rsidRDefault="00F24A3C" w:rsidP="007543C6">
      <w:pPr>
        <w:widowControl w:val="0"/>
        <w:spacing w:before="120" w:after="0" w:line="240" w:lineRule="auto"/>
        <w:jc w:val="both"/>
        <w:rPr>
          <w:rFonts w:eastAsia="Cambria" w:cs="Cambria"/>
          <w:sz w:val="24"/>
          <w:szCs w:val="24"/>
          <w:lang w:bidi="en-US"/>
        </w:rPr>
      </w:pPr>
      <w:r w:rsidRPr="00094881">
        <w:rPr>
          <w:rFonts w:eastAsia="Cambria" w:cs="Cambria"/>
          <w:sz w:val="24"/>
          <w:szCs w:val="24"/>
          <w:lang w:bidi="en-US"/>
        </w:rPr>
        <w:t>W komunikacji z dnia 20 grudnia 2019 r. rząd podkreślił, że zgodnie z ustawą z dnia 15 kwietnia 2011 r. o działalności leczniczej podmioty wykonujące działalność leczniczą są zobowiązane podawać do wiadomości publicznej dostępne informacje o zakresie i rodzajach udzielanych świadczeń zdrowotnych</w:t>
      </w:r>
      <w:r w:rsidRPr="00094881">
        <w:rPr>
          <w:rFonts w:eastAsia="Cambria" w:cs="Cambria"/>
          <w:sz w:val="24"/>
          <w:szCs w:val="24"/>
          <w:vertAlign w:val="superscript"/>
          <w:lang w:bidi="en-US"/>
        </w:rPr>
        <w:footnoteReference w:id="109"/>
      </w:r>
      <w:r w:rsidRPr="00094881">
        <w:rPr>
          <w:rFonts w:eastAsia="Cambria" w:cs="Cambria"/>
          <w:sz w:val="24"/>
          <w:szCs w:val="24"/>
          <w:lang w:bidi="en-US"/>
        </w:rPr>
        <w:t>. Na wniosek pacjenta podmiot wykonujący działalność leczniczą musi również udzielić szczegółowych informacji na temat udzielanych świadczeń zdrowotnych, w szczególności informacji dotyczących stosowanych metod diagnostycznych lub terapeutycznych oraz jakości i bezpieczeństwie tych metod. Odpowiednie informacje o podmiotach wykonujących działalność leczniczą można również uzyskać w regionalnych oddziałach Narodowego Funduszu Zdrowia („NFZ”).</w:t>
      </w:r>
    </w:p>
    <w:p w:rsidR="00F24A3C" w:rsidRPr="00094881" w:rsidRDefault="00F24A3C" w:rsidP="007543C6">
      <w:pPr>
        <w:widowControl w:val="0"/>
        <w:spacing w:before="120" w:after="0" w:line="240" w:lineRule="auto"/>
        <w:jc w:val="both"/>
        <w:rPr>
          <w:rFonts w:eastAsia="Cambria" w:cs="Cambria"/>
          <w:sz w:val="24"/>
          <w:szCs w:val="24"/>
          <w:lang w:bidi="en-US"/>
        </w:rPr>
      </w:pPr>
      <w:r w:rsidRPr="00094881">
        <w:rPr>
          <w:rFonts w:eastAsia="Cambria" w:cs="Cambria"/>
          <w:sz w:val="24"/>
          <w:szCs w:val="24"/>
          <w:lang w:bidi="en-US"/>
        </w:rPr>
        <w:t xml:space="preserve">W ocenie HFPC powyższe możliwości dostępu do informacji nie zapewniają kobietom skutecznego uzyskania informacji o dostępnych sposobach przerywania ciąży. Przede wszystkim, zgodnie z obowiązującym prawem, ciężar poszukiwania odpowiedniej placówki i analizy zakresu udzielanych w niej usług spoczywa na kobietach. Poszukiwanie placówki przez kobietę może być czasochłonne, co ma szczególne znaczenie, biorąc pod uwagę </w:t>
      </w:r>
      <w:r w:rsidRPr="00094881">
        <w:rPr>
          <w:rFonts w:eastAsia="Cambria" w:cs="Cambria"/>
          <w:sz w:val="24"/>
          <w:szCs w:val="24"/>
          <w:lang w:bidi="en-US"/>
        </w:rPr>
        <w:lastRenderedPageBreak/>
        <w:t>nieprzekraczalny termin, w którym przerwanie ciąży jest prawnie dopuszczalne.</w:t>
      </w:r>
    </w:p>
    <w:p w:rsidR="00F24A3C" w:rsidRPr="00094881" w:rsidRDefault="00F24A3C" w:rsidP="007543C6">
      <w:pPr>
        <w:widowControl w:val="0"/>
        <w:spacing w:before="120" w:after="0" w:line="240" w:lineRule="auto"/>
        <w:jc w:val="both"/>
        <w:rPr>
          <w:rFonts w:eastAsia="Cambria" w:cs="Cambria"/>
          <w:sz w:val="24"/>
          <w:szCs w:val="24"/>
          <w:lang w:bidi="en-US"/>
        </w:rPr>
      </w:pPr>
      <w:r w:rsidRPr="00094881">
        <w:rPr>
          <w:rFonts w:eastAsia="Cambria" w:cs="Cambria"/>
          <w:sz w:val="24"/>
          <w:szCs w:val="24"/>
          <w:lang w:bidi="en-US"/>
        </w:rPr>
        <w:t>W tym kontekście rząd wspomniał również, że prowadzone są prace legislacyjne nad nowelizacją art. 39 ustawy z dnia 5 grudnia 1996 r. o zawodzie lekarza i lekarza dentysty. Jak podkreślono w uzasadnieniu do projektu nowelizacji, zmiany miały stanowić wykonanie wyroku TK z dnia 7 października 2015 r. Zaproponowano, by obowiązek poinformowania pacjenta o alternatywnej możliwości uzyskania świadczenia zdrowotnego u innego lekarza lub u innego podmiotu leczniczego oraz powiadomienia pacjenta o możliwości uzyskania takiego świadczenia spoczywał na podmiocie leczniczym zatrudniającym lekarza, który odmówił wykonania zabiegu uznanego przez niego za nie do pogodzenia z sumieniem.</w:t>
      </w:r>
    </w:p>
    <w:p w:rsidR="00F24A3C" w:rsidRPr="00094881" w:rsidRDefault="00F24A3C" w:rsidP="007543C6">
      <w:pPr>
        <w:widowControl w:val="0"/>
        <w:spacing w:before="120" w:after="0" w:line="240" w:lineRule="auto"/>
        <w:jc w:val="both"/>
        <w:rPr>
          <w:rFonts w:eastAsia="Cambria" w:cs="Cambria"/>
          <w:sz w:val="24"/>
          <w:szCs w:val="24"/>
          <w:lang w:bidi="en-US"/>
        </w:rPr>
      </w:pPr>
      <w:r w:rsidRPr="00094881">
        <w:rPr>
          <w:rFonts w:eastAsia="Cambria" w:cs="Cambria"/>
          <w:sz w:val="24"/>
          <w:szCs w:val="24"/>
          <w:lang w:bidi="en-US"/>
        </w:rPr>
        <w:t>Co istotne, omawiana nowelizacja jest daleka od uchwalenia, gdyż Rada Ministrów (Rząd) skierowała projekt do Sejmu dopiero w dniu 16 stycznia 2010 r.</w:t>
      </w:r>
      <w:r w:rsidRPr="00094881">
        <w:rPr>
          <w:rFonts w:eastAsia="Cambria" w:cs="Cambria"/>
          <w:sz w:val="24"/>
          <w:szCs w:val="24"/>
          <w:vertAlign w:val="superscript"/>
          <w:lang w:bidi="en-US"/>
        </w:rPr>
        <w:footnoteReference w:id="110"/>
      </w:r>
      <w:r w:rsidRPr="00094881">
        <w:rPr>
          <w:rFonts w:eastAsia="Cambria" w:cs="Cambria"/>
          <w:sz w:val="24"/>
          <w:szCs w:val="24"/>
          <w:lang w:bidi="en-US"/>
        </w:rPr>
        <w:t xml:space="preserve"> Nie ma pewności, czy projekt zostanie przyjęty przez Sejm i czy zmiana wejdzie w życie.</w:t>
      </w:r>
    </w:p>
    <w:p w:rsidR="00F24A3C" w:rsidRPr="00094881" w:rsidRDefault="00F24A3C" w:rsidP="007543C6">
      <w:pPr>
        <w:widowControl w:val="0"/>
        <w:spacing w:before="120" w:after="0" w:line="240" w:lineRule="auto"/>
        <w:jc w:val="both"/>
        <w:rPr>
          <w:rFonts w:eastAsia="Cambria" w:cs="Cambria"/>
          <w:sz w:val="24"/>
          <w:szCs w:val="24"/>
          <w:lang w:bidi="en-US"/>
        </w:rPr>
      </w:pPr>
      <w:r w:rsidRPr="00094881">
        <w:rPr>
          <w:rFonts w:eastAsia="Cambria" w:cs="Cambria"/>
          <w:sz w:val="24"/>
          <w:szCs w:val="24"/>
          <w:lang w:bidi="en-US"/>
        </w:rPr>
        <w:t xml:space="preserve">Ponadto projektowane przepisy nie gwarantują, że kobieta, której lekarz powołujący się na klauzulę sumienia odmówił dostępu do zabiegu medycznego, może </w:t>
      </w:r>
      <w:r w:rsidRPr="00094881">
        <w:rPr>
          <w:rFonts w:eastAsia="Cambria" w:cs="Cambria"/>
          <w:i/>
          <w:iCs/>
          <w:sz w:val="24"/>
          <w:szCs w:val="24"/>
          <w:lang w:bidi="en-US"/>
        </w:rPr>
        <w:t>w każdym przypadku</w:t>
      </w:r>
      <w:r w:rsidRPr="00094881">
        <w:rPr>
          <w:rFonts w:eastAsia="Cambria" w:cs="Cambria"/>
          <w:sz w:val="24"/>
          <w:szCs w:val="24"/>
          <w:lang w:bidi="en-US"/>
        </w:rPr>
        <w:t xml:space="preserve"> otrzymać informację, gdzie taki zabieg może zostać wykonany. Przede wszystkim, zgodnie z projektem nowelizacji, lekarz nie ma obowiązku kierowania pacjenta do działu administracji/zarządzania w podmiocie leczniczym, w którym pracuje, ani informowania pacjenta o przysługujących mu prawach. Co więcej, proponowana nowelizacja nie gwarantuje, że podmiot leczniczy jest informowany o każdym przypadku powołania się zatrudnionych u niego lekarzy na klauzulę sumienia i ma możliwość zaradzenia takiej sytuacji. Projekt nowelizacji przewiduje, że tylko lekarz zatrudniony na podstawie umowy o pracę (lub wykonujący obowiązki służbowe) jest zobowiązany do pisemnego powiadomienia przełożonego przed powołaniem się na klauzulę sumienia. W szczególności projektowane przepisy nie dotyczą lekarzy zatrudnionych w podmiotach leczniczych na innej podstawie, np. na podstawie umowy nieobjętej zakresem prawa pracy.</w:t>
      </w:r>
    </w:p>
    <w:p w:rsidR="00F24A3C" w:rsidRPr="00094881" w:rsidRDefault="00F24A3C" w:rsidP="007543C6">
      <w:pPr>
        <w:widowControl w:val="0"/>
        <w:spacing w:before="120" w:after="0" w:line="240" w:lineRule="auto"/>
        <w:jc w:val="both"/>
        <w:rPr>
          <w:rFonts w:eastAsia="Cambria" w:cs="Cambria"/>
          <w:sz w:val="24"/>
          <w:szCs w:val="24"/>
          <w:lang w:bidi="en-US"/>
        </w:rPr>
      </w:pPr>
      <w:r w:rsidRPr="00094881">
        <w:rPr>
          <w:rFonts w:eastAsia="Cambria" w:cs="Cambria"/>
          <w:sz w:val="24"/>
          <w:szCs w:val="24"/>
          <w:lang w:bidi="en-US"/>
        </w:rPr>
        <w:t xml:space="preserve">Ponadto powyższe kwestie nie zostały odpowiednio uwzględnione w wydanych w maju 2019 r. Zaleceniach Konsultanta Krajowego w dziedzinie położnictwa i ginekologii oraz Konsultanta Krajowego w dziedzinie perinatologii w zakresie opieki nad pacjentkami, które decydują się na przerwanie ciąży w okolicznościach wskazanych w ustawie z dnia 7 stycznia 1993 r. o planowaniu rodziny, ochronie płodu ludzkiego i warunkach dopuszczalności przerywania ciąży. Poza brakiem wiążącego charakteru w Zaleceniach nie wyjaśniono, kto jest odpowiedzialny za informowanie kobiet o krokach, które należy podjąć, gdy lekarz odmawia wykonania aborcji, w celu uzyskania skierowania do innego podmiotu leczniczego. Ponadto z Zaleceń wynika, że w każdym przypadku odmowy udzielenia świadczenia zdrowotnego przez podmiot leczniczy, pacjentka powinna otrzymać uzasadnioną decyzję na piśmie. Powyższe może sugerować, że na klauzulę sumienia może powoływać się również </w:t>
      </w:r>
      <w:r w:rsidRPr="00094881">
        <w:rPr>
          <w:rFonts w:eastAsia="Cambria" w:cs="Cambria"/>
          <w:i/>
          <w:iCs/>
          <w:sz w:val="24"/>
          <w:szCs w:val="24"/>
          <w:lang w:bidi="en-US"/>
        </w:rPr>
        <w:t>podmiot</w:t>
      </w:r>
      <w:r w:rsidRPr="00094881">
        <w:rPr>
          <w:rFonts w:eastAsia="Cambria" w:cs="Cambria"/>
          <w:sz w:val="24"/>
          <w:szCs w:val="24"/>
          <w:lang w:bidi="en-US"/>
        </w:rPr>
        <w:t xml:space="preserve"> leczniczy (a nie wyłącznie lekarz), co jest sprzeczne z prawem polskim.</w:t>
      </w:r>
    </w:p>
    <w:p w:rsidR="00F24A3C" w:rsidRPr="00094881" w:rsidRDefault="00F24A3C" w:rsidP="007543C6">
      <w:pPr>
        <w:widowControl w:val="0"/>
        <w:spacing w:before="120" w:after="0" w:line="240" w:lineRule="auto"/>
        <w:jc w:val="both"/>
        <w:rPr>
          <w:rFonts w:eastAsia="Cambria" w:cs="Cambria"/>
          <w:sz w:val="24"/>
          <w:szCs w:val="24"/>
          <w:lang w:bidi="en-US"/>
        </w:rPr>
      </w:pPr>
      <w:r w:rsidRPr="00094881">
        <w:rPr>
          <w:rFonts w:eastAsia="Cambria" w:cs="Cambria"/>
          <w:sz w:val="24"/>
          <w:szCs w:val="24"/>
          <w:lang w:bidi="en-US"/>
        </w:rPr>
        <w:t xml:space="preserve">Konsultanci Krajowi zalecają ponadto, aby opieka medyczna nad kobietami, które zdecydowały się na przerwanie ciąży była zapewniona (1) w szpitalu, gdzie była prowadzona ciąża, (2) w lokalnym szpitalu ginekologiczno-położniczym lub (3) w ośrodku, w którym prowadzono diagnostykę prenatalną. Tymczasem zgodnie z prawem polskim pacjentka, co do zasady, ma prawo wyboru podmiotu świadczącego usługi medyczne. W konsekwencji, w </w:t>
      </w:r>
      <w:r w:rsidRPr="00094881">
        <w:rPr>
          <w:rFonts w:eastAsia="Cambria" w:cs="Cambria"/>
          <w:sz w:val="24"/>
          <w:szCs w:val="24"/>
          <w:lang w:bidi="en-US"/>
        </w:rPr>
        <w:lastRenderedPageBreak/>
        <w:t>ocenie HFPC, Zalecenia można poczytywać za podstawę odmowy zabiegu medycznego przez podmioty lecznicze, które nie mieszczą się w trzech wymienionych grupach. Ewentualnie podmioty te mogą zażądać pisemnej decyzji odmownej od szpitala, do którego uprzednio zgłosiła się dana pacjentka.</w:t>
      </w:r>
    </w:p>
    <w:p w:rsidR="00F24A3C" w:rsidRPr="007543C6" w:rsidRDefault="00F24A3C" w:rsidP="00987EB2">
      <w:pPr>
        <w:pStyle w:val="Akapitzlist"/>
        <w:numPr>
          <w:ilvl w:val="0"/>
          <w:numId w:val="53"/>
        </w:numPr>
        <w:spacing w:before="120" w:after="0" w:line="240" w:lineRule="auto"/>
        <w:rPr>
          <w:rFonts w:eastAsia="Cambria" w:cs="Cambria"/>
          <w:b/>
          <w:bCs/>
          <w:sz w:val="24"/>
          <w:szCs w:val="24"/>
          <w:lang w:bidi="en-US"/>
        </w:rPr>
      </w:pPr>
      <w:r w:rsidRPr="007543C6">
        <w:rPr>
          <w:rFonts w:eastAsia="Cambria" w:cs="Cambria"/>
          <w:b/>
          <w:bCs/>
          <w:sz w:val="24"/>
          <w:szCs w:val="24"/>
          <w:lang w:bidi="en-US"/>
        </w:rPr>
        <w:t>Świadczenia zdrowotne związane z aborcją i przestrzeganie kontraktów z NFZ przez podmioty lecznicze</w:t>
      </w:r>
    </w:p>
    <w:p w:rsidR="00F24A3C" w:rsidRPr="00094881" w:rsidRDefault="00F24A3C" w:rsidP="007543C6">
      <w:pPr>
        <w:widowControl w:val="0"/>
        <w:spacing w:before="120" w:after="0" w:line="240" w:lineRule="auto"/>
        <w:jc w:val="both"/>
        <w:rPr>
          <w:rFonts w:eastAsia="Cambria" w:cs="Cambria"/>
          <w:sz w:val="24"/>
          <w:szCs w:val="24"/>
          <w:lang w:bidi="en-US"/>
        </w:rPr>
      </w:pPr>
      <w:r w:rsidRPr="00094881">
        <w:rPr>
          <w:rFonts w:eastAsia="Cambria" w:cs="Cambria"/>
          <w:sz w:val="24"/>
          <w:szCs w:val="24"/>
          <w:lang w:bidi="en-US"/>
        </w:rPr>
        <w:t>W swoim stanowisku z dnia 20 grudnia 2019 r. rząd podkreślił, że NFZ nadzoruje wykonywanie zobowiązań kontraktowych przez podmioty lecznicze. Również zawiadomienie o (rzekomym) naruszeniu przez świadczeniodawcę umowy o udzielanie świadczeń zdrowotnych stanowi podstawę do wszczęcia postępowania wyjaśniającego. Rząd poinformował, że w 2018 r. nie wpłynęło żadne takie zawiadomienie, natomiast zgodnie z dokumentacją NFZ</w:t>
      </w:r>
      <w:r w:rsidRPr="00094881">
        <w:rPr>
          <w:rFonts w:eastAsia="Cambria" w:cs="Cambria"/>
          <w:sz w:val="24"/>
          <w:szCs w:val="24"/>
          <w:vertAlign w:val="superscript"/>
          <w:lang w:bidi="en-US"/>
        </w:rPr>
        <w:footnoteReference w:id="111"/>
      </w:r>
      <w:r w:rsidRPr="00094881">
        <w:rPr>
          <w:rFonts w:eastAsia="Cambria" w:cs="Cambria"/>
          <w:sz w:val="24"/>
          <w:szCs w:val="24"/>
          <w:lang w:bidi="en-US"/>
        </w:rPr>
        <w:t xml:space="preserve"> uzyskaną przez HFPC wynika, że w 2018 r. </w:t>
      </w:r>
      <w:r w:rsidRPr="00094881">
        <w:rPr>
          <w:rFonts w:eastAsia="Cambria" w:cs="Cambria"/>
          <w:b/>
          <w:bCs/>
          <w:sz w:val="24"/>
          <w:szCs w:val="24"/>
          <w:lang w:bidi="en-US"/>
        </w:rPr>
        <w:t>NFZ zarejestrował dwa przypadki nieuzasadnionej odmowy wykonania legalnej aborcji</w:t>
      </w:r>
      <w:r w:rsidRPr="00094881">
        <w:rPr>
          <w:rFonts w:eastAsia="Cambria" w:cs="Cambria"/>
          <w:sz w:val="24"/>
          <w:szCs w:val="24"/>
          <w:lang w:bidi="en-US"/>
        </w:rPr>
        <w:t>.</w:t>
      </w:r>
      <w:r w:rsidRPr="00094881">
        <w:rPr>
          <w:rFonts w:eastAsia="Cambria" w:cs="Cambria"/>
          <w:b/>
          <w:bCs/>
          <w:sz w:val="24"/>
          <w:szCs w:val="24"/>
          <w:lang w:bidi="en-US"/>
        </w:rPr>
        <w:t xml:space="preserve"> NFZ podał również, że w 2019 r. zarejestrowano 11 takich przypadków. Co więcej, w latach 2018-2019 Centrala i Oddziały Wojewódzkie NFZ nie prowadziły postępowań wyjaśniających związanych z odmową wykonania aborcji.</w:t>
      </w:r>
    </w:p>
    <w:p w:rsidR="00F24A3C" w:rsidRPr="00094881" w:rsidRDefault="00F24A3C" w:rsidP="007543C6">
      <w:pPr>
        <w:widowControl w:val="0"/>
        <w:spacing w:before="120" w:after="0" w:line="240" w:lineRule="auto"/>
        <w:jc w:val="both"/>
        <w:rPr>
          <w:rFonts w:eastAsia="Cambria" w:cs="Cambria"/>
          <w:sz w:val="24"/>
          <w:szCs w:val="24"/>
          <w:lang w:bidi="en-US"/>
        </w:rPr>
      </w:pPr>
      <w:r w:rsidRPr="00094881">
        <w:rPr>
          <w:rFonts w:eastAsia="Cambria" w:cs="Cambria"/>
          <w:sz w:val="24"/>
          <w:szCs w:val="24"/>
          <w:lang w:bidi="en-US"/>
        </w:rPr>
        <w:t>Jak widać, nieprawidłowości stwierdzone przez NFZ nie przełożyły się na wszczęcie postępowania w przedmiocie nałożenia kary umownej za niewywiązanie się z kontraktu przez podmioty lecznicze. Należy przypomnieć, że z informacji przekazanych przez HFPC w komunikacji z dnia 9 sierpnia 2018 r.</w:t>
      </w:r>
      <w:r w:rsidRPr="00094881">
        <w:rPr>
          <w:rFonts w:eastAsia="Cambria" w:cs="Cambria"/>
          <w:sz w:val="24"/>
          <w:szCs w:val="24"/>
          <w:vertAlign w:val="superscript"/>
          <w:lang w:bidi="en-US"/>
        </w:rPr>
        <w:footnoteReference w:id="112"/>
      </w:r>
      <w:r w:rsidRPr="00094881">
        <w:rPr>
          <w:rFonts w:eastAsia="Cambria" w:cs="Cambria"/>
          <w:sz w:val="24"/>
          <w:szCs w:val="24"/>
          <w:lang w:bidi="en-US"/>
        </w:rPr>
        <w:t xml:space="preserve"> wynika, że stwierdzone przez Rzecznika Praw Pacjenta naruszenia praw pacjenta związane z legalną aborcją nie były podstawą do wszczęcia przez NFZ postępowania wyjaśniającego.</w:t>
      </w:r>
    </w:p>
    <w:p w:rsidR="00F24A3C" w:rsidRPr="00094881" w:rsidRDefault="00F24A3C" w:rsidP="007543C6">
      <w:pPr>
        <w:widowControl w:val="0"/>
        <w:spacing w:before="120" w:after="0" w:line="240" w:lineRule="auto"/>
        <w:jc w:val="both"/>
        <w:rPr>
          <w:rFonts w:eastAsia="Cambria" w:cs="Cambria"/>
          <w:sz w:val="24"/>
          <w:szCs w:val="24"/>
          <w:lang w:bidi="en-US"/>
        </w:rPr>
      </w:pPr>
      <w:r w:rsidRPr="00094881">
        <w:rPr>
          <w:rFonts w:eastAsia="Cambria" w:cs="Cambria"/>
          <w:sz w:val="24"/>
          <w:szCs w:val="24"/>
          <w:lang w:bidi="en-US"/>
        </w:rPr>
        <w:t>Jest zatem oczywiste, że dotychczasowe ramy środków regulacyjnych, w tym kar umownych za niewywiązanie się z kontraktów z NFZ, nie mogą być uznane za skuteczny mechanizm zapewniający dostęp do legalnej aborcji. Należy podkreślić, że postępowanie wyjaśniające (oraz postępowanie w przedmiocie nałożenia kary umownej) prowadzi się dopiero po powzięciu podejrzenia o nieprawidłowości w zakresie odmowy wykonania zabiegu medycznego (np. aborcji). Żaden przepis nie przewiduje, że takie postępowanie powinno zakończyć się w takim terminie, aby umożliwić kobiecie skorzystanie z prawa do legalnej aborcji. Także i z tego powodu należy uznać istniejące środki za nieskuteczne i nieprzydatne do ochrony praw kobiet ubiegających się o skorzystanie z aborcji.</w:t>
      </w:r>
    </w:p>
    <w:p w:rsidR="00F24A3C" w:rsidRPr="00094881" w:rsidRDefault="00F24A3C" w:rsidP="00987EB2">
      <w:pPr>
        <w:pStyle w:val="Akapitzlist"/>
        <w:numPr>
          <w:ilvl w:val="0"/>
          <w:numId w:val="53"/>
        </w:numPr>
        <w:spacing w:before="120" w:after="0" w:line="240" w:lineRule="auto"/>
        <w:rPr>
          <w:rFonts w:eastAsia="Cambria" w:cs="Cambria"/>
          <w:b/>
          <w:bCs/>
          <w:sz w:val="24"/>
          <w:szCs w:val="24"/>
          <w:lang w:bidi="en-US"/>
        </w:rPr>
      </w:pPr>
      <w:r w:rsidRPr="00094881">
        <w:rPr>
          <w:rFonts w:eastAsia="Cambria" w:cs="Cambria"/>
          <w:b/>
          <w:bCs/>
          <w:sz w:val="24"/>
          <w:szCs w:val="24"/>
          <w:lang w:bidi="en-US"/>
        </w:rPr>
        <w:t>Wnioski i zalecenia</w:t>
      </w:r>
    </w:p>
    <w:p w:rsidR="00F24A3C" w:rsidRPr="00094881" w:rsidRDefault="00F24A3C" w:rsidP="007543C6">
      <w:pPr>
        <w:widowControl w:val="0"/>
        <w:spacing w:before="120" w:after="0" w:line="240" w:lineRule="auto"/>
        <w:jc w:val="both"/>
        <w:rPr>
          <w:rFonts w:eastAsia="Cambria" w:cs="Cambria"/>
          <w:sz w:val="24"/>
          <w:szCs w:val="24"/>
          <w:lang w:bidi="en-US"/>
        </w:rPr>
      </w:pPr>
      <w:r w:rsidRPr="00094881">
        <w:rPr>
          <w:rFonts w:eastAsia="Cambria" w:cs="Cambria"/>
          <w:sz w:val="24"/>
          <w:szCs w:val="24"/>
          <w:lang w:bidi="en-US"/>
        </w:rPr>
        <w:t xml:space="preserve">Mając na uwadze powyższe argumenty, HFPC pragnie uprzejmie zwrócić się do Komitetu Ministrów o dalsze sprawowanie nadzoru nad wykonaniem wyroków w sprawach </w:t>
      </w:r>
      <w:r w:rsidR="007543C6">
        <w:rPr>
          <w:rFonts w:eastAsia="Cambria" w:cs="Cambria"/>
          <w:i/>
          <w:iCs/>
          <w:sz w:val="24"/>
          <w:szCs w:val="24"/>
          <w:lang w:bidi="en-US"/>
        </w:rPr>
        <w:t>P. i S. p.</w:t>
      </w:r>
      <w:r w:rsidRPr="00094881">
        <w:rPr>
          <w:rFonts w:eastAsia="Cambria" w:cs="Cambria"/>
          <w:i/>
          <w:iCs/>
          <w:sz w:val="24"/>
          <w:szCs w:val="24"/>
          <w:lang w:bidi="en-US"/>
        </w:rPr>
        <w:t xml:space="preserve"> Polsce</w:t>
      </w:r>
      <w:r w:rsidRPr="00094881">
        <w:rPr>
          <w:rFonts w:eastAsia="Cambria" w:cs="Cambria"/>
          <w:sz w:val="24"/>
          <w:szCs w:val="24"/>
          <w:lang w:bidi="en-US"/>
        </w:rPr>
        <w:t xml:space="preserve">, </w:t>
      </w:r>
      <w:r w:rsidRPr="00094881">
        <w:rPr>
          <w:rFonts w:eastAsia="Cambria" w:cs="Cambria"/>
          <w:i/>
          <w:iCs/>
          <w:sz w:val="24"/>
          <w:szCs w:val="24"/>
          <w:lang w:bidi="en-US"/>
        </w:rPr>
        <w:t>R. R. p</w:t>
      </w:r>
      <w:r w:rsidR="007543C6">
        <w:rPr>
          <w:rFonts w:eastAsia="Cambria" w:cs="Cambria"/>
          <w:i/>
          <w:iCs/>
          <w:sz w:val="24"/>
          <w:szCs w:val="24"/>
          <w:lang w:bidi="en-US"/>
        </w:rPr>
        <w:t>.</w:t>
      </w:r>
      <w:r w:rsidRPr="00094881">
        <w:rPr>
          <w:rFonts w:eastAsia="Cambria" w:cs="Cambria"/>
          <w:i/>
          <w:iCs/>
          <w:sz w:val="24"/>
          <w:szCs w:val="24"/>
          <w:lang w:bidi="en-US"/>
        </w:rPr>
        <w:t xml:space="preserve"> Polsce</w:t>
      </w:r>
      <w:r w:rsidRPr="00094881">
        <w:rPr>
          <w:rFonts w:eastAsia="Cambria" w:cs="Cambria"/>
          <w:sz w:val="24"/>
          <w:szCs w:val="24"/>
          <w:lang w:bidi="en-US"/>
        </w:rPr>
        <w:t xml:space="preserve"> oraz </w:t>
      </w:r>
      <w:r w:rsidRPr="00094881">
        <w:rPr>
          <w:rFonts w:eastAsia="Cambria" w:cs="Cambria"/>
          <w:i/>
          <w:iCs/>
          <w:sz w:val="24"/>
          <w:szCs w:val="24"/>
          <w:lang w:bidi="en-US"/>
        </w:rPr>
        <w:t>Tysiąc p</w:t>
      </w:r>
      <w:r w:rsidR="007543C6">
        <w:rPr>
          <w:rFonts w:eastAsia="Cambria" w:cs="Cambria"/>
          <w:i/>
          <w:iCs/>
          <w:sz w:val="24"/>
          <w:szCs w:val="24"/>
          <w:lang w:bidi="en-US"/>
        </w:rPr>
        <w:t>.</w:t>
      </w:r>
      <w:r w:rsidRPr="00094881">
        <w:rPr>
          <w:rFonts w:eastAsia="Cambria" w:cs="Cambria"/>
          <w:i/>
          <w:iCs/>
          <w:sz w:val="24"/>
          <w:szCs w:val="24"/>
          <w:lang w:bidi="en-US"/>
        </w:rPr>
        <w:t xml:space="preserve"> Polsce</w:t>
      </w:r>
      <w:r w:rsidRPr="00094881">
        <w:rPr>
          <w:rFonts w:eastAsia="Cambria" w:cs="Cambria"/>
          <w:sz w:val="24"/>
          <w:szCs w:val="24"/>
          <w:lang w:bidi="en-US"/>
        </w:rPr>
        <w:t>. Jak wskazano powyżej, przyjęte przez władze polskie środki o charakterze generalnym nie są wystarczające do zminimalizowania możliwości wystąpienia kolejnych naruszeń Konwencji podobnych do naruszeń stwierdzonych w powyższych sprawach.</w:t>
      </w:r>
    </w:p>
    <w:p w:rsidR="00F24A3C" w:rsidRPr="00094881" w:rsidRDefault="00F24A3C" w:rsidP="007543C6">
      <w:pPr>
        <w:widowControl w:val="0"/>
        <w:spacing w:before="120" w:after="0" w:line="240" w:lineRule="auto"/>
        <w:jc w:val="both"/>
        <w:rPr>
          <w:rFonts w:eastAsia="Cambria" w:cs="Cambria"/>
          <w:sz w:val="24"/>
          <w:szCs w:val="24"/>
          <w:lang w:bidi="en-US"/>
        </w:rPr>
      </w:pPr>
      <w:r w:rsidRPr="00094881">
        <w:rPr>
          <w:rFonts w:eastAsia="Cambria" w:cs="Cambria"/>
          <w:sz w:val="24"/>
          <w:szCs w:val="24"/>
          <w:lang w:bidi="en-US"/>
        </w:rPr>
        <w:t xml:space="preserve">Zdaniem HFPC, w celu pełnego wdrożenia wyroków w sprawach </w:t>
      </w:r>
      <w:r w:rsidRPr="00094881">
        <w:rPr>
          <w:rFonts w:eastAsia="Cambria" w:cs="Cambria"/>
          <w:i/>
          <w:iCs/>
          <w:sz w:val="24"/>
          <w:szCs w:val="24"/>
          <w:lang w:bidi="en-US"/>
        </w:rPr>
        <w:t>P. i S.</w:t>
      </w:r>
      <w:r w:rsidRPr="00094881">
        <w:rPr>
          <w:rFonts w:eastAsia="Cambria" w:cs="Cambria"/>
          <w:sz w:val="24"/>
          <w:szCs w:val="24"/>
          <w:lang w:bidi="en-US"/>
        </w:rPr>
        <w:t xml:space="preserve">, </w:t>
      </w:r>
      <w:r w:rsidRPr="00094881">
        <w:rPr>
          <w:rFonts w:eastAsia="Cambria" w:cs="Cambria"/>
          <w:i/>
          <w:iCs/>
          <w:sz w:val="24"/>
          <w:szCs w:val="24"/>
          <w:lang w:bidi="en-US"/>
        </w:rPr>
        <w:t>R. R.</w:t>
      </w:r>
      <w:r w:rsidRPr="00094881">
        <w:rPr>
          <w:rFonts w:eastAsia="Cambria" w:cs="Cambria"/>
          <w:sz w:val="24"/>
          <w:szCs w:val="24"/>
          <w:lang w:bidi="en-US"/>
        </w:rPr>
        <w:t xml:space="preserve"> oraz </w:t>
      </w:r>
      <w:r w:rsidRPr="00094881">
        <w:rPr>
          <w:rFonts w:eastAsia="Cambria" w:cs="Cambria"/>
          <w:i/>
          <w:iCs/>
          <w:sz w:val="24"/>
          <w:szCs w:val="24"/>
          <w:lang w:bidi="en-US"/>
        </w:rPr>
        <w:t>Tysiąc</w:t>
      </w:r>
      <w:r w:rsidRPr="00094881">
        <w:rPr>
          <w:rFonts w:eastAsia="Cambria" w:cs="Cambria"/>
          <w:sz w:val="24"/>
          <w:szCs w:val="24"/>
          <w:lang w:bidi="en-US"/>
        </w:rPr>
        <w:t>, władze polskie powinny:</w:t>
      </w:r>
    </w:p>
    <w:p w:rsidR="007543C6" w:rsidRPr="007543C6" w:rsidRDefault="00F24A3C" w:rsidP="00987EB2">
      <w:pPr>
        <w:pStyle w:val="Akapitzlist"/>
        <w:widowControl w:val="0"/>
        <w:numPr>
          <w:ilvl w:val="0"/>
          <w:numId w:val="54"/>
        </w:numPr>
        <w:spacing w:before="120" w:after="0" w:line="240" w:lineRule="auto"/>
        <w:jc w:val="both"/>
        <w:rPr>
          <w:rFonts w:eastAsia="Cambria" w:cs="Cambria"/>
          <w:sz w:val="24"/>
          <w:szCs w:val="24"/>
          <w:lang w:bidi="en-US"/>
        </w:rPr>
      </w:pPr>
      <w:r w:rsidRPr="007543C6">
        <w:rPr>
          <w:rFonts w:eastAsia="Cambria" w:cs="Cambria"/>
          <w:sz w:val="24"/>
          <w:szCs w:val="24"/>
          <w:lang w:bidi="en-US"/>
        </w:rPr>
        <w:t xml:space="preserve">zagwarantować kobietom możliwość uzyskania rzetelnej i obiektywnej informacji o </w:t>
      </w:r>
      <w:r w:rsidRPr="007543C6">
        <w:rPr>
          <w:rFonts w:eastAsia="Cambria" w:cs="Cambria"/>
          <w:sz w:val="24"/>
          <w:szCs w:val="24"/>
          <w:lang w:bidi="en-US"/>
        </w:rPr>
        <w:lastRenderedPageBreak/>
        <w:t xml:space="preserve">warunkach dopuszczalności przerwania ciąży oraz o stanie płodu; informacje te powinny być przekazane przed upływem terminów, które </w:t>
      </w:r>
      <w:r w:rsidR="007543C6" w:rsidRPr="007543C6">
        <w:rPr>
          <w:rFonts w:eastAsia="Cambria" w:cs="Cambria"/>
          <w:sz w:val="24"/>
          <w:szCs w:val="24"/>
          <w:lang w:bidi="en-US"/>
        </w:rPr>
        <w:t>pozwalają na dokonanie aborcji;</w:t>
      </w:r>
    </w:p>
    <w:p w:rsidR="007543C6" w:rsidRPr="007543C6" w:rsidRDefault="00F24A3C" w:rsidP="00987EB2">
      <w:pPr>
        <w:pStyle w:val="Akapitzlist"/>
        <w:widowControl w:val="0"/>
        <w:numPr>
          <w:ilvl w:val="0"/>
          <w:numId w:val="54"/>
        </w:numPr>
        <w:spacing w:before="120" w:after="0" w:line="240" w:lineRule="auto"/>
        <w:jc w:val="both"/>
        <w:rPr>
          <w:rFonts w:eastAsia="Cambria" w:cs="Cambria"/>
          <w:sz w:val="24"/>
          <w:szCs w:val="24"/>
          <w:lang w:bidi="en-US"/>
        </w:rPr>
      </w:pPr>
      <w:r w:rsidRPr="007543C6">
        <w:rPr>
          <w:rFonts w:eastAsia="Cambria" w:cs="Cambria"/>
          <w:sz w:val="24"/>
          <w:szCs w:val="24"/>
          <w:lang w:bidi="en-US"/>
        </w:rPr>
        <w:t>wprowadzić szybką i skuteczną procedurę, która zagwarantuje kobietom możliwość skorzystan</w:t>
      </w:r>
      <w:r w:rsidR="007543C6" w:rsidRPr="007543C6">
        <w:rPr>
          <w:rFonts w:eastAsia="Cambria" w:cs="Cambria"/>
          <w:sz w:val="24"/>
          <w:szCs w:val="24"/>
          <w:lang w:bidi="en-US"/>
        </w:rPr>
        <w:t>ia z prawa do legalnej aborcji;</w:t>
      </w:r>
    </w:p>
    <w:p w:rsidR="00F24A3C" w:rsidRPr="007543C6" w:rsidRDefault="00F24A3C" w:rsidP="00987EB2">
      <w:pPr>
        <w:pStyle w:val="Akapitzlist"/>
        <w:widowControl w:val="0"/>
        <w:numPr>
          <w:ilvl w:val="0"/>
          <w:numId w:val="54"/>
        </w:numPr>
        <w:spacing w:before="120" w:after="0" w:line="240" w:lineRule="auto"/>
        <w:jc w:val="both"/>
        <w:rPr>
          <w:rFonts w:eastAsia="Cambria" w:cs="Cambria"/>
          <w:sz w:val="24"/>
          <w:szCs w:val="24"/>
          <w:lang w:bidi="en-US"/>
        </w:rPr>
      </w:pPr>
      <w:r w:rsidRPr="007543C6">
        <w:rPr>
          <w:rFonts w:eastAsia="Cambria" w:cs="Cambria"/>
          <w:sz w:val="24"/>
          <w:szCs w:val="24"/>
          <w:lang w:bidi="en-US"/>
        </w:rPr>
        <w:t>wprowadzić mechanizmy, które będą zapobiegały unicestwianiu prawa do wykonania aborcji na skutek powoływania się przez lekarzy na klauzulę sumienia.</w:t>
      </w:r>
    </w:p>
    <w:p w:rsidR="00F24A3C" w:rsidRPr="00094881" w:rsidRDefault="00F24A3C" w:rsidP="007543C6">
      <w:pPr>
        <w:widowControl w:val="0"/>
        <w:spacing w:before="120" w:after="0" w:line="240" w:lineRule="auto"/>
        <w:jc w:val="both"/>
        <w:rPr>
          <w:rFonts w:eastAsia="Cambria" w:cs="Cambria"/>
          <w:sz w:val="24"/>
          <w:szCs w:val="24"/>
          <w:lang w:bidi="en-US"/>
        </w:rPr>
      </w:pPr>
      <w:r w:rsidRPr="00094881">
        <w:rPr>
          <w:rFonts w:eastAsia="Cambria" w:cs="Cambria"/>
          <w:sz w:val="24"/>
          <w:szCs w:val="24"/>
          <w:lang w:bidi="en-US"/>
        </w:rPr>
        <w:t>Wyrażamy przekonanie, że powyższe uwagi okażą się przydatne dla Komitetu Ministrów przy realizacji zadania określonego w art. 46 ust. 2 Konwencji.</w:t>
      </w:r>
    </w:p>
    <w:p w:rsidR="001616F0" w:rsidRDefault="001616F0" w:rsidP="00F24A3C">
      <w:pPr>
        <w:rPr>
          <w:sz w:val="24"/>
          <w:szCs w:val="24"/>
          <w:u w:val="single"/>
        </w:rPr>
      </w:pPr>
    </w:p>
    <w:p w:rsidR="00F24A3C" w:rsidRDefault="00B465BC" w:rsidP="00F24A3C">
      <w:pPr>
        <w:rPr>
          <w:sz w:val="24"/>
          <w:szCs w:val="24"/>
          <w:u w:val="single"/>
        </w:rPr>
      </w:pPr>
      <w:r>
        <w:rPr>
          <w:sz w:val="24"/>
          <w:szCs w:val="24"/>
          <w:u w:val="single"/>
        </w:rPr>
        <w:t>O</w:t>
      </w:r>
      <w:r w:rsidR="00F24A3C">
        <w:rPr>
          <w:sz w:val="24"/>
          <w:szCs w:val="24"/>
          <w:u w:val="single"/>
        </w:rPr>
        <w:t xml:space="preserve">dpowiedź rządu z dnia 19 lutego 2020 r. </w:t>
      </w:r>
    </w:p>
    <w:p w:rsidR="000711ED" w:rsidRPr="000711ED" w:rsidRDefault="000711ED" w:rsidP="000711ED">
      <w:pPr>
        <w:spacing w:after="120" w:line="240" w:lineRule="auto"/>
        <w:jc w:val="both"/>
        <w:rPr>
          <w:rFonts w:eastAsia="Times New Roman" w:cs="Times New Roman"/>
          <w:sz w:val="24"/>
          <w:szCs w:val="24"/>
          <w:lang w:eastAsia="pl-PL"/>
        </w:rPr>
      </w:pPr>
      <w:r w:rsidRPr="000711ED">
        <w:rPr>
          <w:rFonts w:eastAsia="Times New Roman" w:cs="Times New Roman"/>
          <w:sz w:val="24"/>
          <w:szCs w:val="24"/>
          <w:lang w:eastAsia="pl-PL"/>
        </w:rPr>
        <w:t xml:space="preserve">W odpowiedzi na komunikację Helsińskiej Fundacji Praw Człowieka (dalej: HFPC) z dnia 5 lutego 2020 r. w sprawie wykonania wyroków Europejskiego Trybunału Praw Człowieka w sprawach </w:t>
      </w:r>
      <w:r w:rsidRPr="000711ED">
        <w:rPr>
          <w:rFonts w:eastAsia="Times New Roman" w:cs="Times New Roman"/>
          <w:i/>
          <w:sz w:val="24"/>
          <w:szCs w:val="24"/>
          <w:lang w:eastAsia="pl-PL"/>
        </w:rPr>
        <w:t>Tysiąc p.</w:t>
      </w:r>
      <w:r w:rsidRPr="000711ED">
        <w:rPr>
          <w:rFonts w:eastAsia="Times New Roman" w:cs="Times New Roman"/>
          <w:sz w:val="24"/>
          <w:szCs w:val="24"/>
          <w:lang w:eastAsia="pl-PL"/>
        </w:rPr>
        <w:t xml:space="preserve"> </w:t>
      </w:r>
      <w:r w:rsidRPr="000711ED">
        <w:rPr>
          <w:rFonts w:eastAsia="Times New Roman" w:cs="Times New Roman"/>
          <w:i/>
          <w:sz w:val="24"/>
          <w:szCs w:val="24"/>
          <w:lang w:eastAsia="pl-PL"/>
        </w:rPr>
        <w:t>Polsce, R.R. p. Polsce i P. i S. p. Polsce</w:t>
      </w:r>
      <w:r w:rsidRPr="000711ED">
        <w:rPr>
          <w:rFonts w:eastAsia="Times New Roman" w:cs="Times New Roman"/>
          <w:sz w:val="24"/>
          <w:szCs w:val="24"/>
          <w:lang w:eastAsia="pl-PL"/>
        </w:rPr>
        <w:t>, rząd Polski pragnie przedstawić następujące uwagi.</w:t>
      </w:r>
    </w:p>
    <w:p w:rsidR="000711ED" w:rsidRPr="000711ED" w:rsidRDefault="000711ED" w:rsidP="000711ED">
      <w:pPr>
        <w:spacing w:after="120" w:line="240" w:lineRule="auto"/>
        <w:jc w:val="both"/>
        <w:rPr>
          <w:rFonts w:eastAsia="Times New Roman" w:cs="Times New Roman"/>
          <w:sz w:val="24"/>
          <w:szCs w:val="24"/>
          <w:lang w:eastAsia="pl-PL"/>
        </w:rPr>
      </w:pPr>
      <w:r w:rsidRPr="000711ED">
        <w:rPr>
          <w:rFonts w:eastAsia="Times New Roman" w:cs="Times New Roman"/>
          <w:sz w:val="24"/>
          <w:szCs w:val="24"/>
          <w:lang w:eastAsia="pl-PL"/>
        </w:rPr>
        <w:t>W swoim wystąpieniu HFPC odniosła się do procedury sprzeciwu wobec opinii lub orzeczenia lekarza lub dentysty, w szczególności odnosząc się do zarzucanego jej nadmiernego formalizmu, braku możliwości skorzystania z niej w przypadkach, gdy lekarz odmawia wydania opinii lub orzeczenia, wątpliwości, czy można ją zastosować w przypadku odmowy skierowania na badanie i braku gwarancji szybkiego rozpatrzenia sprzeciwu.</w:t>
      </w:r>
    </w:p>
    <w:p w:rsidR="000711ED" w:rsidRPr="000711ED" w:rsidRDefault="000711ED" w:rsidP="000711ED">
      <w:pPr>
        <w:spacing w:after="120" w:line="240" w:lineRule="auto"/>
        <w:jc w:val="both"/>
        <w:rPr>
          <w:rFonts w:eastAsia="Times New Roman" w:cs="Times New Roman"/>
          <w:sz w:val="24"/>
          <w:szCs w:val="24"/>
          <w:lang w:eastAsia="pl-PL"/>
        </w:rPr>
      </w:pPr>
      <w:r w:rsidRPr="000711ED">
        <w:rPr>
          <w:rFonts w:eastAsia="Times New Roman" w:cs="Times New Roman"/>
          <w:sz w:val="24"/>
          <w:szCs w:val="24"/>
          <w:lang w:eastAsia="pl-PL"/>
        </w:rPr>
        <w:t>Należy podkreślić, że sprzeciw stanowi środek prawny m.in. dla kobiet, którym odmówiono zabiegu przerwania ciąży (we wszystkich okolicznościach przewidzianych w ustawie z dnia 7 stycznia 1993 r. o planowaniu rodziny, ochronie płodu ludzkiego i dopuszczalnych warunkach przerywania ciąży, dalej: ustawa z 1993 r.), skierowania na badanie prenatalne lub jeżeli odmówiono im badań prenatalnych pomimo skierowania. Na podstawie ww. ustawy pacjent może wnieść sprzeciw wobec opinii lub orzeczenia lekarza lub lekarza dentysty do Komisji Lekarskiej działającej przy Rzeczniku Praw Pacjenta, jeżeli opinia lub orzeczenie ma wpływ na prawa lub obowiązki pacjenta wynikające z przepisów prawa. Działalność Komisji Lekarskiej działającej przy Rzeczniku Praw Pacjenta reguluje rozporządzenie Ministra Zdrowia z dnia 10 marca 2010 r. w sprawie Komisji Lekarskiej działającej przy Rzeczniku Praw Pacjenta. Konsultanci krajowi, w porozumieniu z odpowiednimi konsultantami wojewódzkimi, przygotowują listę lekarzy uprawnionych do zasiadania w Komisji Lekarskiej do 30 marca każdego roku.</w:t>
      </w:r>
    </w:p>
    <w:p w:rsidR="000711ED" w:rsidRPr="000711ED" w:rsidRDefault="000711ED" w:rsidP="000711ED">
      <w:pPr>
        <w:spacing w:after="120" w:line="240" w:lineRule="auto"/>
        <w:jc w:val="both"/>
        <w:rPr>
          <w:rFonts w:eastAsia="Times New Roman" w:cs="Times New Roman"/>
          <w:sz w:val="24"/>
          <w:szCs w:val="24"/>
          <w:lang w:eastAsia="pl-PL"/>
        </w:rPr>
      </w:pPr>
      <w:r w:rsidRPr="000711ED">
        <w:rPr>
          <w:rFonts w:eastAsia="Times New Roman" w:cs="Times New Roman"/>
          <w:sz w:val="24"/>
          <w:szCs w:val="24"/>
          <w:lang w:eastAsia="pl-PL"/>
        </w:rPr>
        <w:t>Prawo pacjentki do sprzeciwu ma charakter ogólny, to znaczy nie ogranicza się do przypadków przerywania ciąży z przyczyn przewidzianych w ustawie z 1993 r. Uogólnienie prawa było działaniem celowym mającym na celu zapewnienie ochrony wszystkim pacjentom w przypadku, gdy opinia lub orzeczenie lekarza wpływa na ich prawa lub obowiązki wynikające z przepisów prawa (oraz w sytuacji, w której nie przewidziano innego środka prawnego). Odmowa wykonania zabiegu przez lekarza wpływa na prawa pacjentki niezależnie od wskazań do zabiegu w tym konkretnym przypadku i przyczyny odmowy.</w:t>
      </w:r>
    </w:p>
    <w:p w:rsidR="000711ED" w:rsidRPr="000711ED" w:rsidRDefault="000711ED" w:rsidP="000711ED">
      <w:pPr>
        <w:spacing w:after="120" w:line="240" w:lineRule="auto"/>
        <w:jc w:val="both"/>
        <w:rPr>
          <w:rFonts w:eastAsia="Times New Roman" w:cs="Times New Roman"/>
          <w:sz w:val="24"/>
          <w:szCs w:val="24"/>
          <w:lang w:eastAsia="pl-PL"/>
        </w:rPr>
      </w:pPr>
      <w:r w:rsidRPr="000711ED">
        <w:rPr>
          <w:rFonts w:eastAsia="Times New Roman" w:cs="Times New Roman"/>
          <w:sz w:val="24"/>
          <w:szCs w:val="24"/>
          <w:lang w:eastAsia="pl-PL"/>
        </w:rPr>
        <w:t xml:space="preserve">HFPC kwestionuje skuteczność tego środka w przypadku, gdy lekarz odmawia przerwania ciąży z powodu tzw. klauzuli sumienia, przypominając, że w 2019 r. Komisja Lekarska uznała za bezzasadny sprzeciw wobec odmowy przerwania ciąży opartej na przesłance sumienia, </w:t>
      </w:r>
      <w:r w:rsidRPr="000711ED">
        <w:rPr>
          <w:rFonts w:eastAsia="Times New Roman" w:cs="Times New Roman"/>
          <w:sz w:val="24"/>
          <w:szCs w:val="24"/>
          <w:lang w:eastAsia="pl-PL"/>
        </w:rPr>
        <w:lastRenderedPageBreak/>
        <w:t>ponieważ odmowa miała podstawę prawną. Należy jednak doprecyzować, że zgodnie z wyjaśnieniami Rzecznika Praw Pacjenta pacjentka otrzymała informację o możliwości przerwania ciąży w innej placówce medycznej. Komisja podkreśliła, że zgodnie z obowiązującymi przepisami każdy szpital, który zawarł umowę z Narodowym Funduszem Zdrowia w zakresie położnictwa i ginekologii, jest zobowiązany do realizacji zabiegów przerywania ciąży w przypadkach przewidzianych w ustawie z 1993 r. Naruszenie prawa w tym zakresie może skutkować nałożeniem przez Narodowy Fundusz Zdrowia kar umownych, pozwem cywilnym pacjenta lub sankcjami nałożonymi przez Rzecznika Praw Pacjenta. Wskazano również, że w chwili wydania decyzji przez komisję lekarską nie upłynęły jeszcze 23 tygodnie ciąży.</w:t>
      </w:r>
    </w:p>
    <w:p w:rsidR="000711ED" w:rsidRPr="000711ED" w:rsidRDefault="000711ED" w:rsidP="000711ED">
      <w:pPr>
        <w:autoSpaceDE w:val="0"/>
        <w:autoSpaceDN w:val="0"/>
        <w:adjustRightInd w:val="0"/>
        <w:spacing w:after="120" w:line="240" w:lineRule="auto"/>
        <w:jc w:val="both"/>
        <w:rPr>
          <w:rFonts w:eastAsia="Times New Roman" w:cs="Times New Roman"/>
          <w:sz w:val="24"/>
          <w:szCs w:val="24"/>
          <w:lang w:eastAsia="pl-PL"/>
        </w:rPr>
      </w:pPr>
      <w:r w:rsidRPr="000711ED">
        <w:rPr>
          <w:rFonts w:eastAsia="Times New Roman" w:cs="Times New Roman"/>
          <w:sz w:val="24"/>
          <w:szCs w:val="24"/>
          <w:lang w:eastAsia="pl-PL"/>
        </w:rPr>
        <w:t>Należy dodatkowo zaznaczyć, że ustawa z dnia 6 listopada 2008 r. o prawach pacjenta i Rzeczniku Praw Pacjenta, poza wprowadzeniem prawa sprzeciwu wobec opinii lub orzeczenia lekarza, powołała centralny organ administracji rządowej w postaci Rzecznika Praw Pacjenta, który jest istotny z punktu widzenia ochrony praw wszystkich pacjentów, w tym również kobiet w ciąży mających trudności w dostępie do zabiegu przerwania ciąży. Przedmiotem działania Rzecznika Praw Pacjenta jest ochrona praw pacjenta określonych w rozważanej ustawie oraz w przepisach odrębnych.</w:t>
      </w:r>
    </w:p>
    <w:p w:rsidR="000711ED" w:rsidRPr="000711ED" w:rsidRDefault="000711ED" w:rsidP="000711ED">
      <w:pPr>
        <w:autoSpaceDE w:val="0"/>
        <w:autoSpaceDN w:val="0"/>
        <w:adjustRightInd w:val="0"/>
        <w:spacing w:after="120" w:line="240" w:lineRule="auto"/>
        <w:jc w:val="both"/>
        <w:rPr>
          <w:rFonts w:eastAsia="Times New Roman" w:cs="Times New Roman"/>
          <w:sz w:val="24"/>
          <w:szCs w:val="24"/>
          <w:lang w:eastAsia="pl-PL"/>
        </w:rPr>
      </w:pPr>
      <w:r w:rsidRPr="000711ED">
        <w:rPr>
          <w:rFonts w:eastAsia="Times New Roman" w:cs="Times New Roman"/>
          <w:sz w:val="24"/>
          <w:szCs w:val="24"/>
          <w:lang w:eastAsia="pl-PL"/>
        </w:rPr>
        <w:t>Do zakresu działania Rzecznika należy m.in.:</w:t>
      </w:r>
    </w:p>
    <w:p w:rsidR="000711ED" w:rsidRPr="000711ED" w:rsidRDefault="000711ED" w:rsidP="00987EB2">
      <w:pPr>
        <w:numPr>
          <w:ilvl w:val="0"/>
          <w:numId w:val="26"/>
        </w:numPr>
        <w:autoSpaceDE w:val="0"/>
        <w:autoSpaceDN w:val="0"/>
        <w:adjustRightInd w:val="0"/>
        <w:spacing w:after="120" w:line="240" w:lineRule="auto"/>
        <w:jc w:val="both"/>
        <w:rPr>
          <w:rFonts w:eastAsia="Calibri" w:cs="Times New Roman"/>
          <w:sz w:val="24"/>
          <w:szCs w:val="24"/>
        </w:rPr>
      </w:pPr>
      <w:r w:rsidRPr="000711ED">
        <w:rPr>
          <w:rFonts w:eastAsia="Calibri" w:cs="Times New Roman"/>
          <w:sz w:val="24"/>
          <w:szCs w:val="24"/>
        </w:rPr>
        <w:t>prowadzenie postępowań w sprawach praktyk naruszających zbiorowe prawa pacjentów;</w:t>
      </w:r>
    </w:p>
    <w:p w:rsidR="000711ED" w:rsidRPr="000711ED" w:rsidRDefault="000711ED" w:rsidP="00987EB2">
      <w:pPr>
        <w:numPr>
          <w:ilvl w:val="0"/>
          <w:numId w:val="26"/>
        </w:numPr>
        <w:autoSpaceDE w:val="0"/>
        <w:autoSpaceDN w:val="0"/>
        <w:adjustRightInd w:val="0"/>
        <w:spacing w:after="120" w:line="240" w:lineRule="auto"/>
        <w:jc w:val="both"/>
        <w:rPr>
          <w:rFonts w:eastAsia="Calibri" w:cs="Times New Roman"/>
          <w:sz w:val="24"/>
          <w:szCs w:val="24"/>
        </w:rPr>
      </w:pPr>
      <w:r w:rsidRPr="000711ED">
        <w:rPr>
          <w:rFonts w:eastAsia="Calibri" w:cs="Times New Roman"/>
          <w:sz w:val="24"/>
          <w:szCs w:val="24"/>
        </w:rPr>
        <w:t>prowadzenie postępowań w trybie art. 50-53 ustawy (przepisy te regulują możliwość podjęcia przez Rzecznika postępowania wyjaśniającego, jeżeli poweźmie wiadomość co najmniej uprawdopodabniającą naruszenie praw pacjenta);</w:t>
      </w:r>
    </w:p>
    <w:p w:rsidR="000711ED" w:rsidRPr="000711ED" w:rsidRDefault="000711ED" w:rsidP="00987EB2">
      <w:pPr>
        <w:numPr>
          <w:ilvl w:val="0"/>
          <w:numId w:val="26"/>
        </w:numPr>
        <w:autoSpaceDE w:val="0"/>
        <w:autoSpaceDN w:val="0"/>
        <w:adjustRightInd w:val="0"/>
        <w:spacing w:after="120" w:line="240" w:lineRule="auto"/>
        <w:jc w:val="both"/>
        <w:rPr>
          <w:rFonts w:eastAsia="Calibri" w:cs="Times New Roman"/>
          <w:sz w:val="24"/>
          <w:szCs w:val="24"/>
        </w:rPr>
      </w:pPr>
      <w:r w:rsidRPr="000711ED">
        <w:rPr>
          <w:rFonts w:eastAsia="Calibri" w:cs="Times New Roman"/>
          <w:sz w:val="24"/>
          <w:szCs w:val="24"/>
        </w:rPr>
        <w:t>w sprawach cywilnych wykonywanie zadań określonych w art. 55 ustawy;</w:t>
      </w:r>
    </w:p>
    <w:p w:rsidR="000711ED" w:rsidRPr="000711ED" w:rsidRDefault="000711ED" w:rsidP="00987EB2">
      <w:pPr>
        <w:numPr>
          <w:ilvl w:val="0"/>
          <w:numId w:val="26"/>
        </w:numPr>
        <w:autoSpaceDE w:val="0"/>
        <w:autoSpaceDN w:val="0"/>
        <w:adjustRightInd w:val="0"/>
        <w:spacing w:after="120" w:line="240" w:lineRule="auto"/>
        <w:jc w:val="both"/>
        <w:rPr>
          <w:rFonts w:eastAsia="Calibri" w:cs="Times New Roman"/>
          <w:sz w:val="24"/>
          <w:szCs w:val="24"/>
        </w:rPr>
      </w:pPr>
      <w:r w:rsidRPr="000711ED">
        <w:rPr>
          <w:rFonts w:eastAsia="Calibri" w:cs="Times New Roman"/>
          <w:sz w:val="24"/>
          <w:szCs w:val="24"/>
        </w:rPr>
        <w:t>współpraca z organami władzy publicznej w celu zapewnienia pacjentom przestrzegania ich praw, w szczególności z ministrem właściwym do spraw zdrowia;</w:t>
      </w:r>
    </w:p>
    <w:p w:rsidR="000711ED" w:rsidRPr="000711ED" w:rsidRDefault="000711ED" w:rsidP="00987EB2">
      <w:pPr>
        <w:numPr>
          <w:ilvl w:val="0"/>
          <w:numId w:val="26"/>
        </w:numPr>
        <w:autoSpaceDE w:val="0"/>
        <w:autoSpaceDN w:val="0"/>
        <w:adjustRightInd w:val="0"/>
        <w:spacing w:after="120" w:line="240" w:lineRule="auto"/>
        <w:jc w:val="both"/>
        <w:rPr>
          <w:rFonts w:eastAsia="Calibri" w:cs="Times New Roman"/>
          <w:sz w:val="24"/>
          <w:szCs w:val="24"/>
        </w:rPr>
      </w:pPr>
      <w:r w:rsidRPr="000711ED">
        <w:rPr>
          <w:rFonts w:eastAsia="Calibri" w:cs="Times New Roman"/>
          <w:sz w:val="24"/>
          <w:szCs w:val="24"/>
        </w:rPr>
        <w:t>przedstawianie właściwym organom władzy publicznej, organizacjom i instytucjom oraz samorządom zawodów medycznych ocen i wniosków zmierzających do zapewnienia skutecznej ochrony praw pacjenta;</w:t>
      </w:r>
    </w:p>
    <w:p w:rsidR="000711ED" w:rsidRPr="000711ED" w:rsidRDefault="000711ED" w:rsidP="00987EB2">
      <w:pPr>
        <w:numPr>
          <w:ilvl w:val="0"/>
          <w:numId w:val="26"/>
        </w:numPr>
        <w:autoSpaceDE w:val="0"/>
        <w:autoSpaceDN w:val="0"/>
        <w:adjustRightInd w:val="0"/>
        <w:spacing w:after="120" w:line="240" w:lineRule="auto"/>
        <w:jc w:val="both"/>
        <w:rPr>
          <w:rFonts w:eastAsia="Calibri" w:cs="Times New Roman"/>
          <w:sz w:val="24"/>
          <w:szCs w:val="24"/>
        </w:rPr>
      </w:pPr>
      <w:r w:rsidRPr="000711ED">
        <w:rPr>
          <w:rFonts w:eastAsia="Calibri" w:cs="Times New Roman"/>
          <w:sz w:val="24"/>
          <w:szCs w:val="24"/>
        </w:rPr>
        <w:t>współpraca z organizacjami pozarządowymi, społecznymi i zawodowymi, do których celów statutowych należy ochrona praw pacjenta;</w:t>
      </w:r>
    </w:p>
    <w:p w:rsidR="000711ED" w:rsidRPr="000711ED" w:rsidRDefault="000711ED" w:rsidP="00987EB2">
      <w:pPr>
        <w:numPr>
          <w:ilvl w:val="0"/>
          <w:numId w:val="26"/>
        </w:numPr>
        <w:autoSpaceDE w:val="0"/>
        <w:autoSpaceDN w:val="0"/>
        <w:adjustRightInd w:val="0"/>
        <w:spacing w:after="120" w:line="240" w:lineRule="auto"/>
        <w:jc w:val="both"/>
        <w:rPr>
          <w:rFonts w:eastAsia="Calibri" w:cs="Times New Roman"/>
          <w:sz w:val="24"/>
          <w:szCs w:val="24"/>
        </w:rPr>
      </w:pPr>
      <w:r w:rsidRPr="000711ED">
        <w:rPr>
          <w:rFonts w:eastAsia="Calibri" w:cs="Times New Roman"/>
          <w:sz w:val="24"/>
          <w:szCs w:val="24"/>
        </w:rPr>
        <w:t>analiza skarg pacjentów w celu określenia zagrożeń i obszarów w systemie ochrony zdrowia wymagających naprawy.</w:t>
      </w:r>
    </w:p>
    <w:p w:rsidR="000711ED" w:rsidRPr="000711ED" w:rsidRDefault="000711ED" w:rsidP="000711ED">
      <w:pPr>
        <w:autoSpaceDE w:val="0"/>
        <w:autoSpaceDN w:val="0"/>
        <w:adjustRightInd w:val="0"/>
        <w:spacing w:after="120" w:line="240" w:lineRule="auto"/>
        <w:jc w:val="both"/>
        <w:rPr>
          <w:rFonts w:eastAsia="Times New Roman" w:cs="Times New Roman"/>
          <w:sz w:val="24"/>
          <w:szCs w:val="24"/>
          <w:lang w:eastAsia="pl-PL"/>
        </w:rPr>
      </w:pPr>
      <w:r w:rsidRPr="000711ED">
        <w:rPr>
          <w:rFonts w:eastAsia="Times New Roman" w:cs="Times New Roman"/>
          <w:sz w:val="24"/>
          <w:szCs w:val="24"/>
          <w:lang w:eastAsia="pl-PL"/>
        </w:rPr>
        <w:t>Ponadto, Rzecznik Praw Pacjenta – w odpowiedzi na kierowane pisemne wnioski, zgłoszenia mailowe, telefoniczne, a także w związku z osobistymi wizytami pacjentów w siedzibie Biura Rzecznika Praw Pacjenta – udziela informacji związanych z szeroko pojętą problematyką kobiet w ciąży. W świetle powyższego, kobieta w ciąży, której odmówiono dostępu do przysługującego jej świadczenia, ma możliwość zwrócenia się w tej kwestii również do Rzecznika Praw Pacjenta, który może podjąć w tej sprawie postępowanie wyjaśniające. Pacjentka, której odmówiono wykonania zabiegu przerwania ciąży może zatem – poza wniesieniem sprzeciwu wobec opinii albo orzeczenia lekarza – może dochodzić swoich praw także przy pomocy Rzecznika Praw Pacjenta.</w:t>
      </w:r>
    </w:p>
    <w:p w:rsidR="000711ED" w:rsidRPr="000711ED" w:rsidRDefault="000711ED" w:rsidP="000711ED">
      <w:pPr>
        <w:autoSpaceDE w:val="0"/>
        <w:autoSpaceDN w:val="0"/>
        <w:adjustRightInd w:val="0"/>
        <w:spacing w:after="120" w:line="240" w:lineRule="auto"/>
        <w:jc w:val="both"/>
        <w:rPr>
          <w:rFonts w:eastAsia="Times New Roman" w:cs="Times New Roman"/>
          <w:sz w:val="24"/>
          <w:szCs w:val="24"/>
          <w:lang w:eastAsia="pl-PL"/>
        </w:rPr>
      </w:pPr>
      <w:r w:rsidRPr="000711ED">
        <w:rPr>
          <w:rFonts w:eastAsia="Times New Roman" w:cs="Times New Roman"/>
          <w:color w:val="000000"/>
          <w:sz w:val="24"/>
          <w:szCs w:val="24"/>
          <w:lang w:eastAsia="pl-PL"/>
        </w:rPr>
        <w:lastRenderedPageBreak/>
        <w:t>W celu ułatwienia kontaktu z Biurem Rzecznika Praw Pacjenta, od 10 lat działa ogólnopolska bezpłatna infolinia telefoniczna 800 190 590. O</w:t>
      </w:r>
      <w:r w:rsidRPr="000711ED">
        <w:rPr>
          <w:rFonts w:eastAsia="Times New Roman" w:cs="Times New Roman"/>
          <w:sz w:val="24"/>
          <w:szCs w:val="24"/>
          <w:lang w:eastAsia="pl-PL"/>
        </w:rPr>
        <w:t>d 2018 r. w całym kraju, infolinia zaczęła funkcjonować jako jeden wspólny numer telefonu dla Narodowego Funduszu Zdrowia oraz Biura Rzecznika Praw Pacjenta. Telefoniczna Informacja Pacjenta jest obsługiwana przez kilkudziesięciu pracowników oddziałów wojewódzkich Funduszu oraz Biura Rzecznika Praw Pacjenta. Nowy jednolity numer w całym kraju zastąpił kilkanaście numerów funkcjonujących do tej pory w oddziałach wojewódzkich Funduszu. Gwarantuje on uzyskanie szybkiej, kompleksowej i przejrzystej informacji dotyczącej funkcjonowania systemu ochrony zdrowia w Polsce.</w:t>
      </w:r>
    </w:p>
    <w:p w:rsidR="000711ED" w:rsidRPr="000711ED" w:rsidRDefault="000711ED" w:rsidP="000711ED">
      <w:pPr>
        <w:autoSpaceDE w:val="0"/>
        <w:autoSpaceDN w:val="0"/>
        <w:adjustRightInd w:val="0"/>
        <w:spacing w:after="120" w:line="240" w:lineRule="auto"/>
        <w:jc w:val="both"/>
        <w:rPr>
          <w:rFonts w:eastAsia="Times New Roman" w:cs="Arial"/>
          <w:color w:val="000000"/>
          <w:sz w:val="24"/>
          <w:szCs w:val="24"/>
          <w:lang w:eastAsia="pl-PL"/>
        </w:rPr>
      </w:pPr>
      <w:r w:rsidRPr="000711ED">
        <w:rPr>
          <w:rFonts w:eastAsia="Times New Roman" w:cs="Arial"/>
          <w:color w:val="000000"/>
          <w:sz w:val="24"/>
          <w:szCs w:val="24"/>
          <w:lang w:eastAsia="pl-PL"/>
        </w:rPr>
        <w:t>Personel obsługujący numer 800 190 590 informuje dzwoniących o prawach ubezpieczonych, doradza, jak zgłosić naruszenie praw pacjenta, przekazuje dane kontaktowe do placówek medycznych i gabinetów współpracujących z NFZ, informuje o zasadach udzielania świadczeń medycznych i powszechnego ubezpieczenia zdrowotnego. Według Rzecznika Praw Pacjenta rocznie za pośrednictwem tej infolinii odbywa się prawie 50 000 telefonów.</w:t>
      </w:r>
    </w:p>
    <w:p w:rsidR="000711ED" w:rsidRPr="000711ED" w:rsidRDefault="000711ED" w:rsidP="000711ED">
      <w:pPr>
        <w:spacing w:after="120" w:line="240" w:lineRule="auto"/>
        <w:jc w:val="both"/>
        <w:rPr>
          <w:rFonts w:eastAsia="Times New Roman" w:cs="Times New Roman"/>
          <w:sz w:val="24"/>
          <w:szCs w:val="24"/>
          <w:lang w:eastAsia="pl-PL"/>
        </w:rPr>
      </w:pPr>
      <w:r w:rsidRPr="000711ED">
        <w:rPr>
          <w:rFonts w:eastAsia="Times New Roman" w:cs="Times New Roman"/>
          <w:sz w:val="24"/>
          <w:szCs w:val="24"/>
          <w:lang w:eastAsia="pl-PL"/>
        </w:rPr>
        <w:t>W 2019 r. w stosunku do pacjentek, które wskazywały na trudności w dostępie do zabiegu legalnej aborcji, Rzecznik Praw Pacjenta zarówno prowadził postępowania wyjaśniające, jak i podejmował interwencje na podstawie otrzymanych zawiadomień.</w:t>
      </w:r>
    </w:p>
    <w:p w:rsidR="000711ED" w:rsidRPr="000711ED" w:rsidRDefault="000711ED" w:rsidP="000711ED">
      <w:pPr>
        <w:spacing w:after="120" w:line="240" w:lineRule="auto"/>
        <w:jc w:val="both"/>
        <w:rPr>
          <w:rFonts w:eastAsia="Times New Roman" w:cs="Times New Roman"/>
          <w:sz w:val="24"/>
          <w:szCs w:val="24"/>
          <w:lang w:eastAsia="pl-PL"/>
        </w:rPr>
      </w:pPr>
      <w:r w:rsidRPr="000711ED">
        <w:rPr>
          <w:rFonts w:eastAsia="Times New Roman" w:cs="Times New Roman"/>
          <w:sz w:val="24"/>
          <w:szCs w:val="24"/>
          <w:lang w:eastAsia="pl-PL"/>
        </w:rPr>
        <w:t xml:space="preserve">Ponadto w komunikacji HFPC odniosła się również do kwestii realizacji w praktyce przepisów ustawy z 1993 r. W zakresie „klauzuli sumienia” w następstwie wyroku Trybunału Konstytucyjnego z dnia 7 października 2015 r. (Sygn. Akt K 12/14). W tym kontekście nalezy najpierw podkreślić, że polski system prawny (art. 53 ust. 1 w związku z art. 31 ust. 3 Konstytucji RP), jak również akty prawa międzynarodowego (art. 18 Międzynarodowego Paktu Praw Obywatelskich i Politycznych, art. 18 Powszechnej Deklaracji Praw Człowieka) gwarantują prawo do wolności sumienia. W Polsce korzystanie przez lekarzy z tzw. „klauzuli sumienia” zostało uregulowane w sposób zapewniający z jednej strony realizację prawa lekarza do powstrzymania się od wykonania świadczenia niezgodnego z jego sumieniem, z drugiej umożliwiający pacjentowi uzyskanie świadczenia, do którego jest uprawniony (a także realizację prawa pacjenta do informacji). Prawa pacjenta w tym zakresie nie zostały uszczuplone w wyniku ww. wyroku Trybunału Konstytucyjnego. </w:t>
      </w:r>
    </w:p>
    <w:p w:rsidR="000711ED" w:rsidRPr="000711ED" w:rsidRDefault="000711ED" w:rsidP="000711ED">
      <w:pPr>
        <w:autoSpaceDE w:val="0"/>
        <w:autoSpaceDN w:val="0"/>
        <w:adjustRightInd w:val="0"/>
        <w:spacing w:after="120" w:line="240" w:lineRule="auto"/>
        <w:jc w:val="both"/>
        <w:rPr>
          <w:rFonts w:eastAsia="Times New Roman" w:cs="Times New Roman"/>
          <w:sz w:val="24"/>
          <w:szCs w:val="24"/>
          <w:lang w:eastAsia="pl-PL"/>
        </w:rPr>
      </w:pPr>
      <w:r w:rsidRPr="000711ED">
        <w:rPr>
          <w:rFonts w:eastAsia="Times New Roman" w:cs="Times New Roman"/>
          <w:sz w:val="24"/>
          <w:szCs w:val="24"/>
          <w:lang w:eastAsia="pl-PL"/>
        </w:rPr>
        <w:t>Obecnie, zgodnie z art. 39 ustawy z dnia 5 grudnia 1996 r. o zawodach lekarza i lekarza dentysty, lekarz może powstrzymać się od wykonania świadczeń zdrowotnych niezgodnych z jego sumieniem, z zastrzeżeniem art. 30 tejże ustawy (w zakresie, w jakim przewiduje on obowiązek lekarza do udzielenia pomocy lekarskiej w każdym przypadku, gdy zwłoka w jej udzieleniu mogłaby spowodować niebezpieczeństwo utraty życia, ciężkiego uszkodzenia ciała lub ciężkiego rozstroju zdrowia). Taka odmowa musi być uzasadniona i odnotowana w dokumentacji medycznej. Lekarz wykonujący swój zawód na podstawie stosunku pracy lub w ramach służby ma ponadto obowiązek uprzedniego powiadomienia na piśmie przełożonego. W związku z ww. wyrokiem Trybunału Konstytucyjnego utraciły moc następujące przepisy:</w:t>
      </w:r>
    </w:p>
    <w:p w:rsidR="000711ED" w:rsidRPr="000711ED" w:rsidRDefault="000711ED" w:rsidP="000711ED">
      <w:pPr>
        <w:autoSpaceDE w:val="0"/>
        <w:autoSpaceDN w:val="0"/>
        <w:adjustRightInd w:val="0"/>
        <w:spacing w:after="120" w:line="240" w:lineRule="auto"/>
        <w:jc w:val="both"/>
        <w:rPr>
          <w:rFonts w:eastAsia="Times New Roman" w:cs="Times New Roman"/>
          <w:sz w:val="24"/>
          <w:szCs w:val="24"/>
          <w:lang w:eastAsia="pl-PL"/>
        </w:rPr>
      </w:pPr>
      <w:r w:rsidRPr="000711ED">
        <w:rPr>
          <w:rFonts w:eastAsia="Times New Roman" w:cs="Times New Roman"/>
          <w:sz w:val="24"/>
          <w:szCs w:val="24"/>
          <w:lang w:eastAsia="pl-PL"/>
        </w:rPr>
        <w:t>1) art. 39 zdanie pierwsze w związku z art. 30 ustawy z dnia 5 grudnia 1996 r. o zawodach lekarza i lekarza dentysty (Dz. U. z 2015 r. poz. 464) w zakresie, w jakim nakładały na lekarza obowiązek wykonania niezgodnego z jego sumieniem świadczenia zdrowotnego w „innych przypadkach niecierpiących zwłoki”;</w:t>
      </w:r>
    </w:p>
    <w:p w:rsidR="000711ED" w:rsidRPr="000711ED" w:rsidRDefault="000711ED" w:rsidP="000711ED">
      <w:pPr>
        <w:autoSpaceDE w:val="0"/>
        <w:autoSpaceDN w:val="0"/>
        <w:adjustRightInd w:val="0"/>
        <w:spacing w:after="120" w:line="240" w:lineRule="auto"/>
        <w:jc w:val="both"/>
        <w:rPr>
          <w:rFonts w:eastAsia="Times New Roman" w:cs="Times New Roman"/>
          <w:sz w:val="24"/>
          <w:szCs w:val="24"/>
          <w:lang w:eastAsia="pl-PL"/>
        </w:rPr>
      </w:pPr>
      <w:r w:rsidRPr="000711ED">
        <w:rPr>
          <w:rFonts w:eastAsia="Times New Roman" w:cs="Times New Roman"/>
          <w:sz w:val="24"/>
          <w:szCs w:val="24"/>
          <w:lang w:eastAsia="pl-PL"/>
        </w:rPr>
        <w:t xml:space="preserve">2) art. 39 zdanie pierwsze ustawy z dnia 5 grudnia 1996 r. o zawodach lekarza i lekarza dentysty w zakresie, w jakim nakładało na lekarza powstrzymującego się od wykonania świadczenia </w:t>
      </w:r>
      <w:r w:rsidRPr="000711ED">
        <w:rPr>
          <w:rFonts w:eastAsia="Times New Roman" w:cs="Times New Roman"/>
          <w:sz w:val="24"/>
          <w:szCs w:val="24"/>
          <w:lang w:eastAsia="pl-PL"/>
        </w:rPr>
        <w:lastRenderedPageBreak/>
        <w:t xml:space="preserve">zdrowotnego niezgodnego z jego sumieniem obowiązek skierowania pacjenta do innego dostępnego lekarza lub innego podmiotu leczniczego. </w:t>
      </w:r>
    </w:p>
    <w:p w:rsidR="000711ED" w:rsidRPr="000711ED" w:rsidRDefault="000711ED" w:rsidP="000711ED">
      <w:pPr>
        <w:spacing w:after="120" w:line="240" w:lineRule="auto"/>
        <w:jc w:val="both"/>
        <w:rPr>
          <w:rFonts w:eastAsia="Times New Roman" w:cs="Times New Roman"/>
          <w:sz w:val="24"/>
          <w:szCs w:val="24"/>
          <w:lang w:eastAsia="pl-PL"/>
        </w:rPr>
      </w:pPr>
      <w:r w:rsidRPr="000711ED">
        <w:rPr>
          <w:rFonts w:eastAsia="Times New Roman" w:cs="Times New Roman"/>
          <w:sz w:val="24"/>
          <w:szCs w:val="24"/>
          <w:lang w:eastAsia="pl-PL"/>
        </w:rPr>
        <w:t>Stąd też podjęta została analiza funkcjonowania przepisów w brzmieniu zmienionym wyrokiem Trybunału pod kątem tego, czy zabezpieczają z jednej strony prawo lekarza do powstrzymania się od wykonania świadczenia niezgodnego z jego sumieniem, z drugiej zaś czy zapewniają pacjentowi uzyskanie świadczenia, do którego jest uprawniony (a także zapewniają realizację w tym przypadku prawa pacjenta do informacji).</w:t>
      </w:r>
    </w:p>
    <w:p w:rsidR="000711ED" w:rsidRPr="000711ED" w:rsidRDefault="000711ED" w:rsidP="000711ED">
      <w:pPr>
        <w:spacing w:after="120" w:line="240" w:lineRule="auto"/>
        <w:jc w:val="both"/>
        <w:rPr>
          <w:rFonts w:eastAsia="Times New Roman" w:cs="Times New Roman"/>
          <w:sz w:val="24"/>
          <w:szCs w:val="24"/>
          <w:lang w:eastAsia="pl-PL"/>
        </w:rPr>
      </w:pPr>
      <w:r w:rsidRPr="000711ED">
        <w:rPr>
          <w:rFonts w:eastAsia="Times New Roman" w:cs="Times New Roman"/>
          <w:sz w:val="24"/>
          <w:szCs w:val="24"/>
          <w:lang w:eastAsia="pl-PL"/>
        </w:rPr>
        <w:t>W świetle obowiązujących przepisów, w tym przede wszystkim rozporządzenia Ministra Zdrowia z dnia 8 września 2015 r. w sprawie ogólnych warunków umów o udzielanie świadczeń opieki zdrowotnej wszystkie podmioty lecznicze (szpitale), które zawarły kontrakt z NFZ mają obowiązek udzielania świadczeń w nim przewidzianych – w pełnym zakresie i zgodnie z obowiązującym prawem. Stosowanie klauzuli sumienia nie powinno tego obowiązku naruszać. Podpisując umowę o udzielenie świadczeń opieki zdrowotnej świadczeniodawca zobowiązuje się do realizacji wszystkich świadczeń określonych jako  gwarantowane w stosownych rozporządzeniach wykonawczych do ustawy o świadczeniach opieki zdrowotnej finansowanych ze środków publicznych, w danym zakresie i rodzaju świadczeń, na jaki została zawarta umowa. Brak możliwości udzielenia świadczeń stanowi nienależyte wykonanie umowy. Odmowa wykonania zabiegu przerwania ciąży w przypadkach określonych w ustawie z 1993 r., przez świadczeniodawcę realizującego umowę w zakresie położnictwo i ginekologia, z równoczesnym niewskazaniem podmiotu leczniczego, gdzie kobieta ma możliwość skorzystania z dostępu do przedmiotowego świadczenia, jest sytuacją nieprawidłowego realizowania zawartej umowy.</w:t>
      </w:r>
    </w:p>
    <w:p w:rsidR="000711ED" w:rsidRPr="000711ED" w:rsidRDefault="000711ED" w:rsidP="000711ED">
      <w:pPr>
        <w:spacing w:after="120" w:line="240" w:lineRule="auto"/>
        <w:jc w:val="both"/>
        <w:rPr>
          <w:rFonts w:eastAsia="Times New Roman" w:cs="Times New Roman"/>
          <w:sz w:val="24"/>
          <w:szCs w:val="24"/>
          <w:lang w:eastAsia="pl-PL"/>
        </w:rPr>
      </w:pPr>
      <w:r w:rsidRPr="000711ED">
        <w:rPr>
          <w:rFonts w:eastAsia="Times New Roman" w:cs="Times New Roman"/>
          <w:sz w:val="24"/>
          <w:szCs w:val="24"/>
          <w:lang w:eastAsia="pl-PL"/>
        </w:rPr>
        <w:t>Jednocześnie, zgodnie z przepisami ustawy z dnia 15 kwietnia 2011 r. o działalności leczniczej, podmiot wykonujący działalność leczniczą podaje do wiadomości publicznej informacje o zakresie i rodzajach udzielanych świadczeń zdrowotnych. Podmiot wykonujący działalność leczniczą, na wniosek pacjenta, udziela ponadto szczegółowych informacji na temat udzielanych świadczeń zdrowotnych, w szczególności informacji dotyczących stosowanych metod diagnostycznych lub terapeutycznych oraz jakości i bezpieczeństwa tych metod.</w:t>
      </w:r>
    </w:p>
    <w:p w:rsidR="000711ED" w:rsidRPr="000711ED" w:rsidRDefault="000711ED" w:rsidP="000711ED">
      <w:pPr>
        <w:spacing w:after="120" w:line="240" w:lineRule="auto"/>
        <w:jc w:val="both"/>
        <w:rPr>
          <w:rFonts w:eastAsia="Times New Roman" w:cs="Times New Roman"/>
          <w:sz w:val="24"/>
          <w:szCs w:val="24"/>
          <w:lang w:eastAsia="pl-PL"/>
        </w:rPr>
      </w:pPr>
      <w:r w:rsidRPr="000711ED">
        <w:rPr>
          <w:rFonts w:eastAsia="Times New Roman" w:cs="Times New Roman"/>
          <w:sz w:val="24"/>
          <w:szCs w:val="24"/>
          <w:lang w:eastAsia="pl-PL"/>
        </w:rPr>
        <w:t>W konsekwencji w przypadku, gdy lekarz odmawia wykonania przerwania ciąży powołując się na klauzulę sumienia, obowiązek udzielenia informacji o sposobie wykonania umowy z NFZ w tym zakresie spoczywa na świadczeniodawcy, tj. zakładzie opieki zdrowotnej, w której lekarz powstrzymał się od wykonania zabiegu medycznego wbrew własnemu sumieniu. Należy również podkreślić, że prawo do powołania się na „klauzulę sumienia” jest prawem lekarza i podmiot medyczny nie może się na nie powoływać. Procedura ta jest regulowana przez prawo i ma charakter ogólny, a zatem ma zastosowanie do wszystkich świadczeń zdrowotnych.</w:t>
      </w:r>
    </w:p>
    <w:p w:rsidR="000711ED" w:rsidRPr="000711ED" w:rsidRDefault="000711ED" w:rsidP="000711ED">
      <w:pPr>
        <w:spacing w:after="120" w:line="240" w:lineRule="auto"/>
        <w:jc w:val="both"/>
        <w:rPr>
          <w:rFonts w:eastAsia="Times New Roman" w:cs="Times New Roman"/>
          <w:sz w:val="24"/>
          <w:szCs w:val="24"/>
          <w:lang w:eastAsia="pl-PL"/>
        </w:rPr>
      </w:pPr>
      <w:r w:rsidRPr="000711ED">
        <w:rPr>
          <w:rFonts w:eastAsia="Times New Roman" w:cs="Times New Roman"/>
          <w:sz w:val="24"/>
          <w:szCs w:val="24"/>
          <w:lang w:eastAsia="pl-PL"/>
        </w:rPr>
        <w:t>Konkludując, że w przypadku, gdy lekarz powstrzymuje się od  wykonania zabiegu przerywania ciąży ze względu na swoje sumienie, obowiązek poinformowania pacjentki spoczywa na świadczeniodawcy, czyli na podmiocie medycznym, w którym lekarz powstrzymuje się od wykonania zabiegu medycznego. Należy podkreślić, że podobnie jak w przypadku wszystkich świadczeń opieki zdrowotnej finansowanych ze środków publicznych, informacji o podmiotach świadczących usługi z zakresu położnictwa i ginekologii udzielają oddziały okręgowe Narodowego Funduszu Zdrowia. Dodatkowo pomocna jest w tym bezpłatna infolinia dla pacjenta.</w:t>
      </w:r>
    </w:p>
    <w:p w:rsidR="000711ED" w:rsidRPr="000711ED" w:rsidRDefault="000711ED" w:rsidP="000711ED">
      <w:pPr>
        <w:spacing w:after="120" w:line="240" w:lineRule="auto"/>
        <w:jc w:val="both"/>
        <w:rPr>
          <w:rFonts w:eastAsia="Times New Roman" w:cs="Times New Roman"/>
          <w:sz w:val="24"/>
          <w:szCs w:val="24"/>
          <w:lang w:eastAsia="pl-PL"/>
        </w:rPr>
      </w:pPr>
      <w:r w:rsidRPr="000711ED">
        <w:rPr>
          <w:rFonts w:eastAsia="Times New Roman" w:cs="Times New Roman"/>
          <w:sz w:val="24"/>
          <w:szCs w:val="24"/>
          <w:lang w:eastAsia="pl-PL"/>
        </w:rPr>
        <w:lastRenderedPageBreak/>
        <w:t>Rząd chciałby poinformować, że powyższe uregulowania znalazły odzwierciedlenie w opracowanych w maju 2019 r. „Zaleceniach konsultantów krajowych w dziedzinie położnictwa i ginekologii oraz perinatologii dotyczące opieki nad pacjentkami podejmującymi decyzję o zakończeniu ciąży w warunkach dopuszczalnych na podstawie ustawy o planowaniu rodziny, ochronie płodu ludzkiego i warunkach dopuszczalności przerywania ciąży”. W rekomendacjach tych również podkreślono, że każdy szpital, który zawarł z Narodowym Funduszem Zdrowia umowę o wykonywanie świadczeń zdrowotnych z zakresu położnictwa i ginekologii, zobowiązany jest do zapewnienia przeprowadzenia stosownej procedury w omawianym zakresie (zgodnie z wykazem świadczeń gwarantowanych z zakresu leczenia szpitalnego). Krajowi konsultanci podkreślili również w tych rekomendacjach, że „naruszenie prawa w tym zakresie może skutkować nałożeniem kar umownych przez NFZ, wytoczeniem powództwa cywilnego przez pacjentkę, jak również sankcjami nakładanymi przez Rzecznika Praw Pacjenta.”</w:t>
      </w:r>
      <w:r>
        <w:rPr>
          <w:rFonts w:eastAsia="Times New Roman" w:cs="Times New Roman"/>
          <w:sz w:val="24"/>
          <w:szCs w:val="24"/>
          <w:lang w:eastAsia="pl-PL"/>
        </w:rPr>
        <w:t xml:space="preserve"> </w:t>
      </w:r>
      <w:r w:rsidRPr="000711ED">
        <w:rPr>
          <w:rFonts w:eastAsia="Times New Roman" w:cs="Times New Roman"/>
          <w:sz w:val="24"/>
          <w:szCs w:val="24"/>
          <w:lang w:eastAsia="pl-PL"/>
        </w:rPr>
        <w:t>Rekomendacje zostały przekazane właściwym konsultantom wojewódzkim.</w:t>
      </w:r>
    </w:p>
    <w:p w:rsidR="00B465BC" w:rsidRDefault="00B465BC" w:rsidP="006165C6">
      <w:pPr>
        <w:pStyle w:val="Nagwek1"/>
        <w:rPr>
          <w:rFonts w:asciiTheme="minorHAnsi" w:hAnsiTheme="minorHAnsi"/>
          <w:sz w:val="28"/>
          <w:szCs w:val="28"/>
        </w:rPr>
      </w:pPr>
    </w:p>
    <w:p w:rsidR="006165C6" w:rsidRPr="00F24A3C" w:rsidRDefault="006165C6" w:rsidP="000F4063">
      <w:pPr>
        <w:pStyle w:val="Nagwek1"/>
        <w:jc w:val="both"/>
        <w:rPr>
          <w:rFonts w:asciiTheme="minorHAnsi" w:hAnsiTheme="minorHAnsi"/>
          <w:sz w:val="28"/>
          <w:szCs w:val="28"/>
        </w:rPr>
      </w:pPr>
      <w:bookmarkStart w:id="13" w:name="_Toc69124150"/>
      <w:r w:rsidRPr="00F24A3C">
        <w:rPr>
          <w:rFonts w:asciiTheme="minorHAnsi" w:hAnsiTheme="minorHAnsi"/>
          <w:sz w:val="28"/>
          <w:szCs w:val="28"/>
        </w:rPr>
        <w:t xml:space="preserve">Komunikacja </w:t>
      </w:r>
      <w:r w:rsidR="000F4063">
        <w:rPr>
          <w:rFonts w:asciiTheme="minorHAnsi" w:hAnsiTheme="minorHAnsi"/>
          <w:sz w:val="28"/>
          <w:szCs w:val="28"/>
        </w:rPr>
        <w:t>Human Rights in Practice</w:t>
      </w:r>
      <w:r w:rsidRPr="00F24A3C">
        <w:rPr>
          <w:rFonts w:asciiTheme="minorHAnsi" w:hAnsiTheme="minorHAnsi"/>
          <w:sz w:val="28"/>
          <w:szCs w:val="28"/>
        </w:rPr>
        <w:t xml:space="preserve"> w sprawie wykonania wyroku Europejskiego Trybunału Praw Człowieka </w:t>
      </w:r>
      <w:r w:rsidRPr="006165C6">
        <w:rPr>
          <w:rFonts w:asciiTheme="minorHAnsi" w:hAnsiTheme="minorHAnsi"/>
          <w:i/>
          <w:sz w:val="28"/>
          <w:szCs w:val="28"/>
        </w:rPr>
        <w:t>Husayn (A</w:t>
      </w:r>
      <w:r>
        <w:rPr>
          <w:rFonts w:asciiTheme="minorHAnsi" w:hAnsiTheme="minorHAnsi"/>
          <w:i/>
          <w:sz w:val="28"/>
          <w:szCs w:val="28"/>
        </w:rPr>
        <w:t>bu Zubaydah)</w:t>
      </w:r>
      <w:r w:rsidRPr="00F24A3C">
        <w:rPr>
          <w:rFonts w:asciiTheme="minorHAnsi" w:hAnsiTheme="minorHAnsi"/>
          <w:i/>
          <w:sz w:val="28"/>
          <w:szCs w:val="28"/>
        </w:rPr>
        <w:t xml:space="preserve"> p. Polsce</w:t>
      </w:r>
      <w:r w:rsidRPr="00F24A3C">
        <w:rPr>
          <w:rFonts w:asciiTheme="minorHAnsi" w:hAnsiTheme="minorHAnsi"/>
          <w:sz w:val="28"/>
          <w:szCs w:val="28"/>
        </w:rPr>
        <w:t xml:space="preserve"> z dnia </w:t>
      </w:r>
      <w:r>
        <w:rPr>
          <w:rFonts w:asciiTheme="minorHAnsi" w:hAnsiTheme="minorHAnsi"/>
          <w:sz w:val="28"/>
          <w:szCs w:val="28"/>
        </w:rPr>
        <w:t>6</w:t>
      </w:r>
      <w:r w:rsidRPr="00F24A3C">
        <w:rPr>
          <w:rFonts w:asciiTheme="minorHAnsi" w:hAnsiTheme="minorHAnsi"/>
          <w:sz w:val="28"/>
          <w:szCs w:val="28"/>
        </w:rPr>
        <w:t xml:space="preserve"> lutego 2020 r.</w:t>
      </w:r>
      <w:bookmarkEnd w:id="13"/>
      <w:r w:rsidRPr="00F24A3C">
        <w:rPr>
          <w:rFonts w:asciiTheme="minorHAnsi" w:hAnsiTheme="minorHAnsi"/>
          <w:sz w:val="28"/>
          <w:szCs w:val="28"/>
        </w:rPr>
        <w:t xml:space="preserve">   </w:t>
      </w:r>
    </w:p>
    <w:p w:rsidR="00F211E0" w:rsidRDefault="00F211E0" w:rsidP="006165C6">
      <w:pPr>
        <w:rPr>
          <w:sz w:val="24"/>
          <w:szCs w:val="24"/>
          <w:u w:val="single"/>
        </w:rPr>
      </w:pPr>
    </w:p>
    <w:p w:rsidR="006165C6" w:rsidRPr="007207F7" w:rsidRDefault="006165C6" w:rsidP="007207F7">
      <w:pPr>
        <w:spacing w:before="120" w:after="0" w:line="240" w:lineRule="auto"/>
        <w:rPr>
          <w:sz w:val="24"/>
          <w:szCs w:val="24"/>
          <w:u w:val="single"/>
        </w:rPr>
      </w:pPr>
      <w:r w:rsidRPr="007207F7">
        <w:rPr>
          <w:sz w:val="24"/>
          <w:szCs w:val="24"/>
          <w:u w:val="single"/>
        </w:rPr>
        <w:t>Treść komunikacji</w:t>
      </w:r>
    </w:p>
    <w:p w:rsidR="00F211E0" w:rsidRPr="007207F7" w:rsidRDefault="00F211E0" w:rsidP="007207F7">
      <w:pPr>
        <w:spacing w:before="120" w:after="0" w:line="240" w:lineRule="auto"/>
        <w:jc w:val="both"/>
        <w:rPr>
          <w:b/>
          <w:sz w:val="24"/>
          <w:szCs w:val="24"/>
        </w:rPr>
      </w:pPr>
      <w:r w:rsidRPr="007207F7">
        <w:rPr>
          <w:b/>
          <w:sz w:val="24"/>
          <w:szCs w:val="24"/>
        </w:rPr>
        <w:t>Wstęp i zalecenia</w:t>
      </w:r>
    </w:p>
    <w:p w:rsidR="00F211E0" w:rsidRPr="007207F7" w:rsidRDefault="00F211E0" w:rsidP="007207F7">
      <w:pPr>
        <w:spacing w:before="120" w:after="0" w:line="240" w:lineRule="auto"/>
        <w:jc w:val="both"/>
        <w:rPr>
          <w:sz w:val="24"/>
          <w:szCs w:val="24"/>
        </w:rPr>
      </w:pPr>
      <w:r w:rsidRPr="007207F7">
        <w:rPr>
          <w:sz w:val="24"/>
          <w:szCs w:val="24"/>
        </w:rPr>
        <w:t xml:space="preserve">Niniejsze wystąpienie zostaje przedłożone Komitetowi Ministrów („Komitet”) w związku z wykonaniem wyroków </w:t>
      </w:r>
      <w:r w:rsidRPr="007207F7">
        <w:rPr>
          <w:i/>
          <w:sz w:val="24"/>
          <w:szCs w:val="24"/>
        </w:rPr>
        <w:t>Husayn (Abu Zubaydah) p</w:t>
      </w:r>
      <w:r w:rsidR="002B4ACD" w:rsidRPr="007207F7">
        <w:rPr>
          <w:i/>
          <w:sz w:val="24"/>
          <w:szCs w:val="24"/>
        </w:rPr>
        <w:t>.</w:t>
      </w:r>
      <w:r w:rsidRPr="007207F7">
        <w:rPr>
          <w:i/>
          <w:sz w:val="24"/>
          <w:szCs w:val="24"/>
        </w:rPr>
        <w:t xml:space="preserve"> Polsce</w:t>
      </w:r>
      <w:r w:rsidRPr="007207F7">
        <w:rPr>
          <w:sz w:val="24"/>
          <w:szCs w:val="24"/>
        </w:rPr>
        <w:t xml:space="preserve"> (2014) i </w:t>
      </w:r>
      <w:r w:rsidRPr="007207F7">
        <w:rPr>
          <w:i/>
          <w:sz w:val="24"/>
          <w:szCs w:val="24"/>
        </w:rPr>
        <w:t>Husayn (Abu Zubaydah) p</w:t>
      </w:r>
      <w:r w:rsidR="002B4ACD" w:rsidRPr="007207F7">
        <w:rPr>
          <w:i/>
          <w:sz w:val="24"/>
          <w:szCs w:val="24"/>
        </w:rPr>
        <w:t>.</w:t>
      </w:r>
      <w:r w:rsidRPr="007207F7">
        <w:rPr>
          <w:i/>
          <w:sz w:val="24"/>
          <w:szCs w:val="24"/>
        </w:rPr>
        <w:t xml:space="preserve"> Litwie</w:t>
      </w:r>
      <w:r w:rsidRPr="007207F7">
        <w:rPr>
          <w:sz w:val="24"/>
          <w:szCs w:val="24"/>
        </w:rPr>
        <w:t xml:space="preserve"> (2018), które stały się ostateczne odpowiednio w dniach 16 lutego 2015 r. i 8 października 2018 r.</w:t>
      </w:r>
    </w:p>
    <w:p w:rsidR="00F211E0" w:rsidRPr="007207F7" w:rsidRDefault="00F211E0" w:rsidP="007207F7">
      <w:pPr>
        <w:spacing w:before="120" w:after="0" w:line="240" w:lineRule="auto"/>
        <w:jc w:val="both"/>
        <w:rPr>
          <w:sz w:val="24"/>
          <w:szCs w:val="24"/>
        </w:rPr>
      </w:pPr>
      <w:r w:rsidRPr="007207F7">
        <w:rPr>
          <w:sz w:val="24"/>
          <w:szCs w:val="24"/>
        </w:rPr>
        <w:t>W swoich wyrokach Europejski Trybunał Praw Człowieka (ETPCz) ustalił, ponad uzasadnioną wątpliwość, że każde z państw ponosi odpowiedzialność na podstawie Konwencji za tajne arbitralne przetrzymywanie naszego klienta oraz tortury lub nieludzkie traktowanie na ich terytorium, jak również za jego późniejsze przekazanie pomimo poważnego ryzyka związanego z dalszymi naruszeniami. ETPCz ustalił, że Abu Zubaydah był pozbawiony wolności w Polsce od okresie od 5 grudnia 2002 r. do 22 września 2003 r. oraz na Litwie od 17 lub 18 lutego 2005 r. do 25 marca 2006 r.</w:t>
      </w:r>
      <w:r w:rsidR="002B4ACD" w:rsidRPr="007207F7">
        <w:rPr>
          <w:rStyle w:val="Odwoanieprzypisudolnego"/>
          <w:sz w:val="24"/>
          <w:szCs w:val="24"/>
        </w:rPr>
        <w:footnoteReference w:id="113"/>
      </w:r>
      <w:r w:rsidRPr="007207F7">
        <w:rPr>
          <w:sz w:val="24"/>
          <w:szCs w:val="24"/>
        </w:rPr>
        <w:t xml:space="preserve">  Stwierdził, że bez udziału tych państw realizacja programu wydawania więźniów nie byłaby możliwa. Oba państwa umożliwiły władzom amerykańskim przekazanie Abu Zubaydah do innego tajnego ośrodka CIA, a następnie do bazy wojskowej w Guantanamo, gdzie – przytaczając słowa Trybunału – nadal jest on narażony na „r</w:t>
      </w:r>
      <w:r w:rsidR="002B4ACD" w:rsidRPr="007207F7">
        <w:rPr>
          <w:sz w:val="24"/>
          <w:szCs w:val="24"/>
        </w:rPr>
        <w:t>ażące naruszenie prawa do sądu”</w:t>
      </w:r>
      <w:r w:rsidRPr="007207F7">
        <w:rPr>
          <w:sz w:val="24"/>
          <w:szCs w:val="24"/>
        </w:rPr>
        <w:t>.</w:t>
      </w:r>
      <w:r w:rsidR="002B4ACD" w:rsidRPr="007207F7">
        <w:rPr>
          <w:rStyle w:val="Odwoanieprzypisudolnego"/>
          <w:sz w:val="24"/>
          <w:szCs w:val="24"/>
        </w:rPr>
        <w:footnoteReference w:id="114"/>
      </w:r>
      <w:r w:rsidRPr="007207F7">
        <w:rPr>
          <w:sz w:val="24"/>
          <w:szCs w:val="24"/>
        </w:rPr>
        <w:t xml:space="preserve"> Stwierdzono, że władze obu państw nie przeprowadziły skutecznego śledztwa, naruszyły przysługujące skarżącemu (a w szerszym kontekście społeczeństwu) prawo do prawdy oraz że brakowało skutecznych środków odwoławczych w odniesieniu do skarg </w:t>
      </w:r>
      <w:r w:rsidRPr="007207F7">
        <w:rPr>
          <w:sz w:val="24"/>
          <w:szCs w:val="24"/>
        </w:rPr>
        <w:lastRenderedPageBreak/>
        <w:t>naszego klienta</w:t>
      </w:r>
      <w:r w:rsidR="002B4ACD" w:rsidRPr="007207F7">
        <w:rPr>
          <w:rStyle w:val="Odwoanieprzypisudolnego"/>
          <w:sz w:val="24"/>
          <w:szCs w:val="24"/>
        </w:rPr>
        <w:footnoteReference w:id="115"/>
      </w:r>
      <w:r w:rsidRPr="007207F7">
        <w:rPr>
          <w:sz w:val="24"/>
          <w:szCs w:val="24"/>
        </w:rPr>
        <w:t>.  Polska została uznana za winną naruszenia art. 3, 5, 6, 8 i 13, zaś Litwa – art. 3, 5, 8 i 13 Konwencji.</w:t>
      </w:r>
    </w:p>
    <w:p w:rsidR="00F211E0" w:rsidRPr="007207F7" w:rsidRDefault="00F211E0" w:rsidP="007207F7">
      <w:pPr>
        <w:spacing w:before="120" w:after="0" w:line="240" w:lineRule="auto"/>
        <w:jc w:val="both"/>
        <w:rPr>
          <w:sz w:val="24"/>
          <w:szCs w:val="24"/>
        </w:rPr>
      </w:pPr>
      <w:r w:rsidRPr="007207F7">
        <w:rPr>
          <w:sz w:val="24"/>
          <w:szCs w:val="24"/>
        </w:rPr>
        <w:t>W świetle powyższych naruszeń, ETPCz stwierdził, że pozwane państwa muszą podjąć szereg istotnych kroków, a mianowicie:</w:t>
      </w:r>
    </w:p>
    <w:p w:rsidR="00F211E0" w:rsidRPr="007207F7" w:rsidRDefault="00F211E0" w:rsidP="00987EB2">
      <w:pPr>
        <w:pStyle w:val="Akapitzlist"/>
        <w:numPr>
          <w:ilvl w:val="0"/>
          <w:numId w:val="55"/>
        </w:numPr>
        <w:spacing w:before="120" w:after="0" w:line="240" w:lineRule="auto"/>
        <w:contextualSpacing w:val="0"/>
        <w:jc w:val="both"/>
        <w:rPr>
          <w:sz w:val="24"/>
          <w:szCs w:val="24"/>
        </w:rPr>
      </w:pPr>
      <w:r w:rsidRPr="007207F7">
        <w:rPr>
          <w:sz w:val="24"/>
          <w:szCs w:val="24"/>
        </w:rPr>
        <w:t>zapłacić określoną kwotę tytułem słusznego zadośćuczynienia wraz z kosztami postępowania w ciągu trzech miesięcy od dnia, w którym wyroki staną się ostateczne</w:t>
      </w:r>
      <w:r w:rsidR="002B4ACD" w:rsidRPr="007207F7">
        <w:rPr>
          <w:rStyle w:val="Odwoanieprzypisudolnego"/>
          <w:sz w:val="24"/>
          <w:szCs w:val="24"/>
        </w:rPr>
        <w:footnoteReference w:id="116"/>
      </w:r>
      <w:r w:rsidRPr="007207F7">
        <w:rPr>
          <w:sz w:val="24"/>
          <w:szCs w:val="24"/>
        </w:rPr>
        <w:t>;</w:t>
      </w:r>
    </w:p>
    <w:p w:rsidR="00F211E0" w:rsidRPr="007207F7" w:rsidRDefault="00F211E0" w:rsidP="00987EB2">
      <w:pPr>
        <w:pStyle w:val="Akapitzlist"/>
        <w:numPr>
          <w:ilvl w:val="0"/>
          <w:numId w:val="55"/>
        </w:numPr>
        <w:spacing w:before="120" w:after="0" w:line="240" w:lineRule="auto"/>
        <w:contextualSpacing w:val="0"/>
        <w:jc w:val="both"/>
        <w:rPr>
          <w:sz w:val="24"/>
          <w:szCs w:val="24"/>
        </w:rPr>
      </w:pPr>
      <w:r w:rsidRPr="007207F7">
        <w:rPr>
          <w:sz w:val="24"/>
          <w:szCs w:val="24"/>
        </w:rPr>
        <w:t>złożyć wobec władz amerykańskich oświadczenie mające na celu usunięcie lub przynajmniej dążenie do ograniczenia, w miarę możliwości, skutków popełnionych przez nie naruszeń</w:t>
      </w:r>
      <w:r w:rsidR="002B4ACD" w:rsidRPr="007207F7">
        <w:rPr>
          <w:rStyle w:val="Odwoanieprzypisudolnego"/>
          <w:sz w:val="24"/>
          <w:szCs w:val="24"/>
        </w:rPr>
        <w:footnoteReference w:id="117"/>
      </w:r>
      <w:r w:rsidRPr="007207F7">
        <w:rPr>
          <w:sz w:val="24"/>
          <w:szCs w:val="24"/>
        </w:rPr>
        <w:t>.  Zgodnie z treścią wyroku wydanego przeciwko Polsce: „Polska powinna zagwarantować współpracę z Rządem Stanów Zjednoczonych i jego pomoc poprzez podjęcie środków dyplomatycznych lub innych, aby ustalić wszystkie dokładne szczegóły dotyczące traktowania skarżącego, gdy był w rękach CIA oraz powinna złożyć konieczne oświadczenia i dokonać takich interwencji, samodzielnie lub zbiorowo, by zakończyć</w:t>
      </w:r>
      <w:r w:rsidR="002B4ACD" w:rsidRPr="007207F7">
        <w:rPr>
          <w:sz w:val="24"/>
          <w:szCs w:val="24"/>
        </w:rPr>
        <w:t xml:space="preserve"> trwające naruszanie jego praw”</w:t>
      </w:r>
      <w:r w:rsidR="002B4ACD" w:rsidRPr="007207F7">
        <w:rPr>
          <w:rStyle w:val="Odwoanieprzypisudolnego"/>
          <w:sz w:val="24"/>
          <w:szCs w:val="24"/>
        </w:rPr>
        <w:footnoteReference w:id="118"/>
      </w:r>
      <w:r w:rsidRPr="007207F7">
        <w:rPr>
          <w:sz w:val="24"/>
          <w:szCs w:val="24"/>
        </w:rPr>
        <w:t>;</w:t>
      </w:r>
    </w:p>
    <w:p w:rsidR="00F211E0" w:rsidRPr="007207F7" w:rsidRDefault="00F211E0" w:rsidP="00987EB2">
      <w:pPr>
        <w:pStyle w:val="Akapitzlist"/>
        <w:numPr>
          <w:ilvl w:val="0"/>
          <w:numId w:val="55"/>
        </w:numPr>
        <w:spacing w:before="120" w:after="0" w:line="240" w:lineRule="auto"/>
        <w:contextualSpacing w:val="0"/>
        <w:jc w:val="both"/>
        <w:rPr>
          <w:sz w:val="24"/>
          <w:szCs w:val="24"/>
        </w:rPr>
      </w:pPr>
      <w:r w:rsidRPr="007207F7">
        <w:rPr>
          <w:sz w:val="24"/>
          <w:szCs w:val="24"/>
        </w:rPr>
        <w:t>bezzwłocznie przeprowadzić skuteczne śledztwo mogące doprowadzić do ustalenia osób odpowiedzialnych. Zgodnie z brzmieniem wyroku wydanego przeciwko Litwie: „Śledztwo należy zakończyć tak szybko, jak to możliwe, gdy tylko wyjaśnione zostaną, o ile okaże się to możliwe, okoliczności i warunki, w jakich skarżący został przywieziony na Litwę, sposób, w jaki był tam traktowany, a następnie stamtąd usunięty, aby umożliwić ustalenie, a w stosownych przypadkach ukaranie osób odpowiedzialnych”</w:t>
      </w:r>
      <w:r w:rsidR="002B4ACD" w:rsidRPr="007207F7">
        <w:rPr>
          <w:rStyle w:val="Odwoanieprzypisudolnego"/>
          <w:sz w:val="24"/>
          <w:szCs w:val="24"/>
        </w:rPr>
        <w:footnoteReference w:id="119"/>
      </w:r>
      <w:r w:rsidRPr="007207F7">
        <w:rPr>
          <w:sz w:val="24"/>
          <w:szCs w:val="24"/>
        </w:rPr>
        <w:t>. Trybunał dodał, że: „W świetle materiału dowodowego zawartego w aktach sprawy wydaje się, że nie ma praktycznych nie do pokonania przeszkód, które uniemożliwiałyby przeprowadzenie śledztwa, które dotychczas było nieskuteczne</w:t>
      </w:r>
      <w:r w:rsidR="002B4ACD" w:rsidRPr="007207F7">
        <w:rPr>
          <w:rStyle w:val="Odwoanieprzypisudolnego"/>
          <w:sz w:val="24"/>
          <w:szCs w:val="24"/>
        </w:rPr>
        <w:footnoteReference w:id="120"/>
      </w:r>
      <w:r w:rsidRPr="007207F7">
        <w:rPr>
          <w:sz w:val="24"/>
          <w:szCs w:val="24"/>
        </w:rPr>
        <w:t>;</w:t>
      </w:r>
    </w:p>
    <w:p w:rsidR="00F211E0" w:rsidRPr="007207F7" w:rsidRDefault="00F211E0" w:rsidP="00987EB2">
      <w:pPr>
        <w:pStyle w:val="Akapitzlist"/>
        <w:numPr>
          <w:ilvl w:val="0"/>
          <w:numId w:val="55"/>
        </w:numPr>
        <w:spacing w:before="120" w:after="0" w:line="240" w:lineRule="auto"/>
        <w:contextualSpacing w:val="0"/>
        <w:jc w:val="both"/>
        <w:rPr>
          <w:sz w:val="24"/>
          <w:szCs w:val="24"/>
        </w:rPr>
      </w:pPr>
      <w:r w:rsidRPr="007207F7">
        <w:rPr>
          <w:sz w:val="24"/>
          <w:szCs w:val="24"/>
        </w:rPr>
        <w:t>przyznać się do popełnienia przestępstw: „Państwo powinno oficjalnie uznać naruszenie praw skarżącego i przyznać się do swoich przestępstw i odpowiedzialności za to oraz wkładu w okoliczności, w których obecnie się znajduje”</w:t>
      </w:r>
      <w:r w:rsidR="002B4ACD" w:rsidRPr="007207F7">
        <w:rPr>
          <w:rStyle w:val="Odwoanieprzypisudolnego"/>
          <w:sz w:val="24"/>
          <w:szCs w:val="24"/>
        </w:rPr>
        <w:footnoteReference w:id="121"/>
      </w:r>
      <w:r w:rsidRPr="007207F7">
        <w:rPr>
          <w:sz w:val="24"/>
          <w:szCs w:val="24"/>
        </w:rPr>
        <w:t>;</w:t>
      </w:r>
    </w:p>
    <w:p w:rsidR="00F211E0" w:rsidRPr="007207F7" w:rsidRDefault="00F211E0" w:rsidP="00987EB2">
      <w:pPr>
        <w:pStyle w:val="Akapitzlist"/>
        <w:numPr>
          <w:ilvl w:val="0"/>
          <w:numId w:val="55"/>
        </w:numPr>
        <w:spacing w:before="120" w:after="0" w:line="240" w:lineRule="auto"/>
        <w:contextualSpacing w:val="0"/>
        <w:jc w:val="both"/>
        <w:rPr>
          <w:sz w:val="24"/>
          <w:szCs w:val="24"/>
        </w:rPr>
      </w:pPr>
      <w:r w:rsidRPr="007207F7">
        <w:rPr>
          <w:sz w:val="24"/>
          <w:szCs w:val="24"/>
        </w:rPr>
        <w:t>podjąć niezbędne działania, takie jak reformy legislacyjne czy polityczne, w celu zapobieżenia podobnym naruszeniom praw podstawowych w przyszłości: „Państwo powinno udzielić odpowiednich gwarancji, że takie naruszenie praw jak w przypadku skarżącego nie powtórzy się w przyszłości i że będzie stale współpracować w ramach swoich obowiązków dotyczących praw człowieka wynikających z Konwencji”</w:t>
      </w:r>
      <w:r w:rsidR="002B4ACD" w:rsidRPr="007207F7">
        <w:rPr>
          <w:rStyle w:val="Odwoanieprzypisudolnego"/>
          <w:sz w:val="24"/>
          <w:szCs w:val="24"/>
        </w:rPr>
        <w:footnoteReference w:id="122"/>
      </w:r>
      <w:r w:rsidRPr="007207F7">
        <w:rPr>
          <w:sz w:val="24"/>
          <w:szCs w:val="24"/>
        </w:rPr>
        <w:t>.</w:t>
      </w:r>
    </w:p>
    <w:p w:rsidR="00F211E0" w:rsidRPr="007207F7" w:rsidRDefault="00F211E0" w:rsidP="007207F7">
      <w:pPr>
        <w:spacing w:before="120" w:after="0" w:line="240" w:lineRule="auto"/>
        <w:jc w:val="both"/>
        <w:rPr>
          <w:sz w:val="24"/>
          <w:szCs w:val="24"/>
        </w:rPr>
      </w:pPr>
      <w:r w:rsidRPr="007207F7">
        <w:rPr>
          <w:sz w:val="24"/>
          <w:szCs w:val="24"/>
        </w:rPr>
        <w:t>Wystąpienia te dostarczają Komitetowi informacji na temat obecnego stanu wykonywania wyroków ETPCz w odniesieniu do każdego z tych pięciu punktów. Ich celem jest wyrażenie stanowiska w przedmiocie „planów działań”</w:t>
      </w:r>
      <w:r w:rsidR="002B4ACD" w:rsidRPr="007207F7">
        <w:rPr>
          <w:rStyle w:val="Odwoanieprzypisudolnego"/>
          <w:sz w:val="24"/>
          <w:szCs w:val="24"/>
        </w:rPr>
        <w:footnoteReference w:id="123"/>
      </w:r>
      <w:r w:rsidRPr="007207F7">
        <w:rPr>
          <w:sz w:val="24"/>
          <w:szCs w:val="24"/>
        </w:rPr>
        <w:t xml:space="preserve">  przedstawionych przez poszczególne państwa. </w:t>
      </w:r>
      <w:r w:rsidRPr="007207F7">
        <w:rPr>
          <w:sz w:val="24"/>
          <w:szCs w:val="24"/>
        </w:rPr>
        <w:lastRenderedPageBreak/>
        <w:t>Plan litewski został przedstawiony w dniu 6 stycznia 2020 r., a plan polski w dniu 4 lutego 2020 r.</w:t>
      </w:r>
    </w:p>
    <w:p w:rsidR="00F211E0" w:rsidRPr="007207F7" w:rsidRDefault="00F211E0" w:rsidP="007207F7">
      <w:pPr>
        <w:spacing w:before="120" w:after="0" w:line="240" w:lineRule="auto"/>
        <w:jc w:val="both"/>
        <w:rPr>
          <w:sz w:val="24"/>
          <w:szCs w:val="24"/>
        </w:rPr>
      </w:pPr>
      <w:r w:rsidRPr="007207F7">
        <w:rPr>
          <w:sz w:val="24"/>
          <w:szCs w:val="24"/>
        </w:rPr>
        <w:t>Wystąpienia te kończą się sugestiami dotyczącymi konkretnych środków, które Komitet powinien zalecić w celu zapewnienia realnego wykonania wyroków Trybunału. Jak wyszczególniono poniżej, zwracamy się do Komitetu o wydanie następujących zaleceń: 1) zabezpieczenie wypłaty na rzecz skarżącego słusznego zadośćuczynienia zasądzonego przez Trybunał, bez nakładania na skarżącego dodatkowych nadmiernych obciążeń i mając na uwadze realia okoliczności stworzonych przez jego trwające arbitralne przetrzymywanie; 2) zapewnienie podjęcia przez Polskę i Litwę wszelkich możliwych kroków w celu zakończenia trwającego arbitralnego przetrzymywania skarżącego w ramach środków indywidualnych i zbiorowych; 3) podkreślenie niewystarczającego charakteru postępu w prowadzonych śledztwach, przejrzystości i prawdy w Polsce i na Litwie oraz zapewnienie rygorystycznego i szybkiego śledztwa, współpracy i odpowiedzialności; 4) zapewnienie uznania odpowiedzialności i przeprosin skarżącego; 5) określenie i wdrożenie środków generalnych mających na celu zapewnienie, aby poważne naruszenia w niniejszej sprawie nie powtarzały się.</w:t>
      </w:r>
    </w:p>
    <w:p w:rsidR="00F211E0" w:rsidRPr="007207F7" w:rsidRDefault="00F211E0" w:rsidP="007207F7">
      <w:pPr>
        <w:spacing w:before="120" w:after="0" w:line="240" w:lineRule="auto"/>
        <w:jc w:val="both"/>
        <w:rPr>
          <w:sz w:val="24"/>
          <w:szCs w:val="24"/>
        </w:rPr>
      </w:pPr>
      <w:r w:rsidRPr="007207F7">
        <w:rPr>
          <w:sz w:val="24"/>
          <w:szCs w:val="24"/>
        </w:rPr>
        <w:t>Jak wskazano poniżej, doceniamy dotychczas podjęte kroki, w szczególności przejawy zaangażowania po stronie Litwy w realne wykonanie wyroków oraz niedopuszczenie do powtórnych naruszeń, a także wyrażamy gotowość do współpracy z władzami obu państw w zakresie wykonania wyroków. Dotychczasowa sytuacja w obu państwach jest jednak bardzo daleka od pełnego i realnego wykonania. Jeśli państwa nie są w stanie podjąć pilnych kroków, aby temu zaradzić i zastosować się do wcześniejszych zaleceń Komitetu, to na pewnym etapie Komitet powinien rozważyć przyjęcie rezolucji tymczasowej. W świetle okoliczności przedstawionych poniżej etap ten został osiągnięty w związku z niewykonaniem wyroku przez Polskę. Waga tych spraw wymaga od Komitetu co najmniej dalszego aktywnego udziału i skorzystania z przysługujących mu uprawnień do czasu pełnego wykonania wyroku.</w:t>
      </w:r>
    </w:p>
    <w:p w:rsidR="00F211E0" w:rsidRPr="007207F7" w:rsidRDefault="002B4ACD" w:rsidP="007207F7">
      <w:pPr>
        <w:spacing w:before="120" w:after="0" w:line="240" w:lineRule="auto"/>
        <w:jc w:val="both"/>
        <w:rPr>
          <w:b/>
          <w:sz w:val="24"/>
          <w:szCs w:val="24"/>
        </w:rPr>
      </w:pPr>
      <w:r w:rsidRPr="007207F7">
        <w:rPr>
          <w:b/>
          <w:sz w:val="24"/>
          <w:szCs w:val="24"/>
        </w:rPr>
        <w:t>Aktualna sytuacja skarżącego</w:t>
      </w:r>
    </w:p>
    <w:p w:rsidR="00F211E0" w:rsidRPr="007207F7" w:rsidRDefault="00F211E0" w:rsidP="007207F7">
      <w:pPr>
        <w:spacing w:before="120" w:after="0" w:line="240" w:lineRule="auto"/>
        <w:jc w:val="both"/>
        <w:rPr>
          <w:sz w:val="24"/>
          <w:szCs w:val="24"/>
        </w:rPr>
      </w:pPr>
      <w:r w:rsidRPr="007207F7">
        <w:rPr>
          <w:sz w:val="24"/>
          <w:szCs w:val="24"/>
        </w:rPr>
        <w:t xml:space="preserve">W analizie wyroku przeprowadzonej w dniach 4-6 grudnia 2018 r. </w:t>
      </w:r>
      <w:r w:rsidR="005024E6" w:rsidRPr="007207F7">
        <w:rPr>
          <w:sz w:val="24"/>
          <w:szCs w:val="24"/>
        </w:rPr>
        <w:t>(posiedzenie w grudniu 2018 r.)</w:t>
      </w:r>
      <w:r w:rsidR="005024E6" w:rsidRPr="007207F7">
        <w:rPr>
          <w:rStyle w:val="Odwoanieprzypisudolnego"/>
          <w:sz w:val="24"/>
          <w:szCs w:val="24"/>
        </w:rPr>
        <w:footnoteReference w:id="124"/>
      </w:r>
      <w:r w:rsidRPr="007207F7">
        <w:rPr>
          <w:sz w:val="24"/>
          <w:szCs w:val="24"/>
        </w:rPr>
        <w:t>, Komitet zauważył, że: „Sytuacja skarżącego budzi głęboki niepokój. Pan Abu Zubaydah jest pozbawiony wolności od 2002 r. i nigdy nie został oskarżony o popełnienie przestępstwa, co samo w sobie stanowi r</w:t>
      </w:r>
      <w:r w:rsidR="005024E6" w:rsidRPr="007207F7">
        <w:rPr>
          <w:sz w:val="24"/>
          <w:szCs w:val="24"/>
        </w:rPr>
        <w:t>ażące naruszenie prawa do sądu”</w:t>
      </w:r>
      <w:r w:rsidR="005024E6" w:rsidRPr="007207F7">
        <w:rPr>
          <w:rStyle w:val="Odwoanieprzypisudolnego"/>
          <w:sz w:val="24"/>
          <w:szCs w:val="24"/>
        </w:rPr>
        <w:footnoteReference w:id="125"/>
      </w:r>
      <w:r w:rsidRPr="007207F7">
        <w:rPr>
          <w:sz w:val="24"/>
          <w:szCs w:val="24"/>
        </w:rPr>
        <w:t>. Uznał, że: „Władze powinny zatem pilnie wyjaśnić obecną sytuację skarżącego i uzyskać od władz amerykańskich zapewnienie, że zostanie położony kres trwającemu arbitralnemu pozbawieniu wolności skarżącego: to znaczy, że arbitralne pozbawienie wolności zostanie uchylone lub skarżący zostanie oskarżony o popełnienie przestępstwa w postępowaniu, które nie będzie stanowić rażącego naruszenia prawa do sądu. Władze powinny również uzyskać gwarancje, że skarżący nie będzie nadal poddawany nieludzkiemu traktowaniu, które stanowiło przedmiot krytyki Trybunału”</w:t>
      </w:r>
      <w:r w:rsidR="005024E6" w:rsidRPr="007207F7">
        <w:rPr>
          <w:rStyle w:val="Odwoanieprzypisudolnego"/>
          <w:sz w:val="24"/>
          <w:szCs w:val="24"/>
        </w:rPr>
        <w:footnoteReference w:id="126"/>
      </w:r>
      <w:r w:rsidRPr="007207F7">
        <w:rPr>
          <w:sz w:val="24"/>
          <w:szCs w:val="24"/>
        </w:rPr>
        <w:t xml:space="preserve">. Na swoim 1348 posiedzeniu, które odbyło się w dniach 4-6 czerwca 2019 r. </w:t>
      </w:r>
      <w:r w:rsidRPr="007207F7">
        <w:rPr>
          <w:sz w:val="24"/>
          <w:szCs w:val="24"/>
        </w:rPr>
        <w:lastRenderedPageBreak/>
        <w:t>(DH)</w:t>
      </w:r>
      <w:r w:rsidR="005A23C9">
        <w:rPr>
          <w:rStyle w:val="Odwoanieprzypisudolnego"/>
          <w:sz w:val="24"/>
          <w:szCs w:val="24"/>
        </w:rPr>
        <w:footnoteReference w:id="127"/>
      </w:r>
      <w:r w:rsidRPr="007207F7">
        <w:rPr>
          <w:sz w:val="24"/>
          <w:szCs w:val="24"/>
        </w:rPr>
        <w:t xml:space="preserve"> Komitet przypomniał, że naruszenia Konwencji stwierdzone przez ETPCz nie zostały naprawione, ponieważ pan Abu Zubaydah został „pozbawiony wolności na czas nieokreślony” w bazie wojskowej Guantanamo i jest narażony na dalsze nieludzkie traktowanie.</w:t>
      </w:r>
    </w:p>
    <w:p w:rsidR="00F211E0" w:rsidRPr="007207F7" w:rsidRDefault="00F211E0" w:rsidP="007207F7">
      <w:pPr>
        <w:spacing w:before="120" w:after="0" w:line="240" w:lineRule="auto"/>
        <w:jc w:val="both"/>
        <w:rPr>
          <w:sz w:val="24"/>
          <w:szCs w:val="24"/>
        </w:rPr>
      </w:pPr>
      <w:r w:rsidRPr="007207F7">
        <w:rPr>
          <w:sz w:val="24"/>
          <w:szCs w:val="24"/>
        </w:rPr>
        <w:t>Z przykrością stwierdzamy, że do dnia dzisiejszego sytuacja nie uległa zmianie. Osiemnaście lat po pierwszym przeniesieniu do tajnego ośrodka, nasz klient jest nadal arbitralnie przetrzymywany bez możliwości sądowej kontroli legalności jego zatrzymania czy realnej perspektywy zwolnienia.</w:t>
      </w:r>
    </w:p>
    <w:p w:rsidR="00F211E0" w:rsidRPr="007207F7" w:rsidRDefault="00F211E0" w:rsidP="007207F7">
      <w:pPr>
        <w:spacing w:before="120" w:after="0" w:line="240" w:lineRule="auto"/>
        <w:jc w:val="both"/>
        <w:rPr>
          <w:sz w:val="24"/>
          <w:szCs w:val="24"/>
        </w:rPr>
      </w:pPr>
      <w:r w:rsidRPr="007207F7">
        <w:rPr>
          <w:sz w:val="24"/>
          <w:szCs w:val="24"/>
        </w:rPr>
        <w:t>Państwa litewskie i polskie odniosły się w swoich planach działań do szeregu niedających się obronić twierdzeń wysuwanych przez Stany Zjednoczone co do legalności przetrzymywania skarżącego w bazie wojskowej Guantanamo bez przedstawienia zarzutów czy wszczęcia postępowania sądowego.</w:t>
      </w:r>
      <w:r w:rsidR="005024E6" w:rsidRPr="007207F7">
        <w:rPr>
          <w:rStyle w:val="Odwoanieprzypisudolnego"/>
          <w:sz w:val="24"/>
          <w:szCs w:val="24"/>
        </w:rPr>
        <w:footnoteReference w:id="128"/>
      </w:r>
      <w:r w:rsidRPr="007207F7">
        <w:rPr>
          <w:sz w:val="24"/>
          <w:szCs w:val="24"/>
        </w:rPr>
        <w:t xml:space="preserve"> W planach działań wskazano powołanie się przez władze amerykańskie na prawo do pozbawienia wolności na podstawie niepotwierdzonych koncepcji niekończącego się globalnego konfliktu. Wskazano powołanie się przez władze amerykańskie na fakt, że przed sądem dla Dystryktu Kolumbii nadal prowadzone jest postępowanie w sprawie bezprawnego pozbawienia wolności (habeas corpus) skarżącego. Nie zmniejsza to jednak stopnia bezprawności, zważywszy na fakt, że Abu Zubaydah złożył s</w:t>
      </w:r>
      <w:r w:rsidR="005024E6" w:rsidRPr="007207F7">
        <w:rPr>
          <w:sz w:val="24"/>
          <w:szCs w:val="24"/>
        </w:rPr>
        <w:t>kargę w dniu 6 sierpnia 2008 r.</w:t>
      </w:r>
      <w:r w:rsidR="005024E6" w:rsidRPr="007207F7">
        <w:rPr>
          <w:rStyle w:val="Odwoanieprzypisudolnego"/>
          <w:sz w:val="24"/>
          <w:szCs w:val="24"/>
        </w:rPr>
        <w:footnoteReference w:id="129"/>
      </w:r>
      <w:r w:rsidRPr="007207F7">
        <w:rPr>
          <w:sz w:val="24"/>
          <w:szCs w:val="24"/>
        </w:rPr>
        <w:t>, a dwanaście lat później nadal nie rozpoznano prawidłowo sporządzonego wniosku, w tym nie rozstrzygnięto co najmniej 24 wniosków złożonych przez obrońców</w:t>
      </w:r>
      <w:r w:rsidR="005024E6" w:rsidRPr="007207F7">
        <w:rPr>
          <w:rStyle w:val="Odwoanieprzypisudolnego"/>
          <w:sz w:val="24"/>
          <w:szCs w:val="24"/>
        </w:rPr>
        <w:footnoteReference w:id="130"/>
      </w:r>
      <w:r w:rsidRPr="007207F7">
        <w:rPr>
          <w:sz w:val="24"/>
          <w:szCs w:val="24"/>
        </w:rPr>
        <w:t xml:space="preserve">. </w:t>
      </w:r>
    </w:p>
    <w:p w:rsidR="00F211E0" w:rsidRPr="007207F7" w:rsidRDefault="00F211E0" w:rsidP="007207F7">
      <w:pPr>
        <w:spacing w:before="120" w:after="0" w:line="240" w:lineRule="auto"/>
        <w:jc w:val="both"/>
        <w:rPr>
          <w:sz w:val="24"/>
          <w:szCs w:val="24"/>
        </w:rPr>
      </w:pPr>
      <w:r w:rsidRPr="007207F7">
        <w:rPr>
          <w:sz w:val="24"/>
          <w:szCs w:val="24"/>
        </w:rPr>
        <w:t>Ponadto w polskich i litewskich planach działań</w:t>
      </w:r>
      <w:r w:rsidR="005024E6" w:rsidRPr="007207F7">
        <w:rPr>
          <w:rStyle w:val="Odwoanieprzypisudolnego"/>
          <w:sz w:val="24"/>
          <w:szCs w:val="24"/>
        </w:rPr>
        <w:footnoteReference w:id="131"/>
      </w:r>
      <w:r w:rsidRPr="007207F7">
        <w:rPr>
          <w:sz w:val="24"/>
          <w:szCs w:val="24"/>
        </w:rPr>
        <w:t xml:space="preserve">  odniesiono się również do powołania się przez władze amerykańskie na procedurę prowadzoną przez Radę Rewizyjną (Periodic Review Board, PRB) – administracyjną procedurę międzyagencyjną mającą na celu sprawdzenie zasadności dalszego przetrzymywania osób w bazie marynarki wojennej w Zatoce Guantanamo w celu ochrony przed zagrożeniami dla bezpieczeństwa Stanów Zjednoczonych. Ostatnią procedurę PRB dotyczącą sytuacji skarżącego przeprowadzono w sierpniu 2016 r. Pomimo krytycznego stanu zdrowia małżonki pełnomocnika z urzędu, który reprezentował skarżącego, a następnie jej śmierci w tygodniu, w którym wyznaczono termin rozprawy, Rada odmówiła zmiany terminu i posiedzenie odbyło się bez udziału obrońcy. W niejasny i niepoparty żadnymi dowodami sposób postanowiono wyrazić zgodę na dalsze pozbawienie wolności skarżącego na podstawie potencjalnego zagrożenia, jakie mógłby stanowić dla Stanów Zjednoczonych w przypadku uwolnienia. Decyzja ta została opisana przez Rzecznika Praw Obywatelskich ONZ – w decyzji o usunięciu skarżącego z listy [sankcji] na podstawie tego, że nie był członkiem Al-Kaidy (poniżej) – jako „całkowite spekulacje co do ob</w:t>
      </w:r>
      <w:r w:rsidR="005024E6" w:rsidRPr="007207F7">
        <w:rPr>
          <w:sz w:val="24"/>
          <w:szCs w:val="24"/>
        </w:rPr>
        <w:t>ecnego stanu umysłu Skarżącego”</w:t>
      </w:r>
      <w:r w:rsidR="005024E6" w:rsidRPr="007207F7">
        <w:rPr>
          <w:rStyle w:val="Odwoanieprzypisudolnego"/>
          <w:sz w:val="24"/>
          <w:szCs w:val="24"/>
        </w:rPr>
        <w:footnoteReference w:id="132"/>
      </w:r>
      <w:r w:rsidRPr="007207F7">
        <w:rPr>
          <w:sz w:val="24"/>
          <w:szCs w:val="24"/>
        </w:rPr>
        <w:t xml:space="preserve">. W raporcie </w:t>
      </w:r>
      <w:r w:rsidR="005024E6" w:rsidRPr="007207F7">
        <w:rPr>
          <w:sz w:val="24"/>
          <w:szCs w:val="24"/>
        </w:rPr>
        <w:t>Ombudsmana</w:t>
      </w:r>
      <w:r w:rsidRPr="007207F7">
        <w:rPr>
          <w:sz w:val="24"/>
          <w:szCs w:val="24"/>
        </w:rPr>
        <w:t xml:space="preserve"> ONZ wskazano, że „W jej opinii kroki (np. współpraca Skarżącego), które w każdych innych okolicznościach uznano by za pozytywne, są podejmowane przeciwko niemu w oparciu o bezpodstawne podejrzenia. Rzecznikowi trudno </w:t>
      </w:r>
      <w:r w:rsidRPr="007207F7">
        <w:rPr>
          <w:sz w:val="24"/>
          <w:szCs w:val="24"/>
        </w:rPr>
        <w:lastRenderedPageBreak/>
        <w:t xml:space="preserve">było w tych okolicznościach wyobrazić sobie, co mógłby zrobić, aby uzyskać </w:t>
      </w:r>
      <w:r w:rsidR="005024E6" w:rsidRPr="007207F7">
        <w:rPr>
          <w:sz w:val="24"/>
          <w:szCs w:val="24"/>
        </w:rPr>
        <w:t>w pełni pozytywne oświadczenie”</w:t>
      </w:r>
      <w:r w:rsidR="005024E6" w:rsidRPr="007207F7">
        <w:rPr>
          <w:rStyle w:val="Odwoanieprzypisudolnego"/>
          <w:sz w:val="24"/>
          <w:szCs w:val="24"/>
        </w:rPr>
        <w:footnoteReference w:id="133"/>
      </w:r>
      <w:r w:rsidRPr="007207F7">
        <w:rPr>
          <w:sz w:val="24"/>
          <w:szCs w:val="24"/>
        </w:rPr>
        <w:t>.</w:t>
      </w:r>
    </w:p>
    <w:p w:rsidR="00F211E0" w:rsidRPr="007207F7" w:rsidRDefault="00F211E0" w:rsidP="007207F7">
      <w:pPr>
        <w:spacing w:before="120" w:after="0" w:line="240" w:lineRule="auto"/>
        <w:jc w:val="both"/>
        <w:rPr>
          <w:sz w:val="24"/>
          <w:szCs w:val="24"/>
        </w:rPr>
      </w:pPr>
      <w:r w:rsidRPr="007207F7">
        <w:rPr>
          <w:sz w:val="24"/>
          <w:szCs w:val="24"/>
        </w:rPr>
        <w:t xml:space="preserve">Proces PRB jest zatem nie tylko daleki od niezależnej kontroli prawnej wymaganej prawem, ale również w żaden sposób nie zmniejsza rażącego naruszenia prawa do sądu, jakiego doświadczył Abu Zubaydah. Mimo że w tym tygodniu odbędzie się kolejne posiedzenie PRB i jak zawsze skarżący i jego obrońcy zrobią wszystko, by zostać wysłuchani, amerykańscy obrońcy wskazują, że charakter tego postępowania i brak niezależności Rady od CIA oznacza brak realnych perspektyw na rzetelną rozprawę czy też realną możliwość uwolnienia klienta i </w:t>
      </w:r>
      <w:r w:rsidR="005024E6" w:rsidRPr="007207F7">
        <w:rPr>
          <w:sz w:val="24"/>
          <w:szCs w:val="24"/>
        </w:rPr>
        <w:t>nie należy zbyt wiele oczekiwać.</w:t>
      </w:r>
      <w:r w:rsidR="005024E6" w:rsidRPr="007207F7">
        <w:rPr>
          <w:rStyle w:val="Odwoanieprzypisudolnego"/>
          <w:sz w:val="24"/>
          <w:szCs w:val="24"/>
        </w:rPr>
        <w:footnoteReference w:id="134"/>
      </w:r>
      <w:r w:rsidRPr="007207F7">
        <w:rPr>
          <w:sz w:val="24"/>
          <w:szCs w:val="24"/>
        </w:rPr>
        <w:t xml:space="preserve"> Jak zauważył niedawno jeden z amerykańskich komentatorów: „Wydaje się, że [PRB] jest obarczona wadami. Od czasu inauguracji prezydenta Trumpa (...) PRB ...stała się tzw. jednokierunkową zapadką (ang. one-way ratchet), która zaleca jedynie dalsze pozbawienie wolności i nigdy nie zaleca zwolnienia (...)</w:t>
      </w:r>
      <w:r w:rsidR="005A23C9">
        <w:rPr>
          <w:sz w:val="24"/>
          <w:szCs w:val="24"/>
        </w:rPr>
        <w:t>.</w:t>
      </w:r>
      <w:r w:rsidRPr="007207F7">
        <w:rPr>
          <w:sz w:val="24"/>
          <w:szCs w:val="24"/>
        </w:rPr>
        <w:t>”</w:t>
      </w:r>
      <w:r w:rsidR="005024E6" w:rsidRPr="007207F7">
        <w:rPr>
          <w:rStyle w:val="Odwoanieprzypisudolnego"/>
          <w:sz w:val="24"/>
          <w:szCs w:val="24"/>
        </w:rPr>
        <w:footnoteReference w:id="135"/>
      </w:r>
      <w:r w:rsidRPr="007207F7">
        <w:rPr>
          <w:sz w:val="24"/>
          <w:szCs w:val="24"/>
        </w:rPr>
        <w:t xml:space="preserve"> Od czasu objęcia urzędu przez prezydenta Trumpa nie wydano zgody na wydanie kolejnych osób pozbawiony</w:t>
      </w:r>
      <w:r w:rsidR="005024E6" w:rsidRPr="007207F7">
        <w:rPr>
          <w:sz w:val="24"/>
          <w:szCs w:val="24"/>
        </w:rPr>
        <w:t>ch wolności</w:t>
      </w:r>
      <w:r w:rsidRPr="007207F7">
        <w:rPr>
          <w:sz w:val="24"/>
          <w:szCs w:val="24"/>
        </w:rPr>
        <w:t>.</w:t>
      </w:r>
      <w:r w:rsidR="005024E6" w:rsidRPr="007207F7">
        <w:rPr>
          <w:rStyle w:val="Odwoanieprzypisudolnego"/>
          <w:sz w:val="24"/>
          <w:szCs w:val="24"/>
        </w:rPr>
        <w:footnoteReference w:id="136"/>
      </w:r>
    </w:p>
    <w:p w:rsidR="00F211E0" w:rsidRPr="007207F7" w:rsidRDefault="00F211E0" w:rsidP="007207F7">
      <w:pPr>
        <w:spacing w:before="120" w:after="0" w:line="240" w:lineRule="auto"/>
        <w:jc w:val="both"/>
        <w:rPr>
          <w:sz w:val="24"/>
          <w:szCs w:val="24"/>
        </w:rPr>
      </w:pPr>
      <w:r w:rsidRPr="007207F7">
        <w:rPr>
          <w:sz w:val="24"/>
          <w:szCs w:val="24"/>
        </w:rPr>
        <w:t>Wreszcie, w litewskich i polskich planach działań przytoczono oświadczenia Stanów Zjednoczonych, że skarżący jest nadal traktowany w sposób humanitarny, zgodnie z prawem krajowym, konwencjami genewskimi i obowiązującymi przepisami UNCAT. Po 18 latach w zasadzie bezkarnego i arbitralnego pozbawienia wolności jest to ewidentnie niezgodne z prawdą.</w:t>
      </w:r>
    </w:p>
    <w:p w:rsidR="00F211E0" w:rsidRPr="007207F7" w:rsidRDefault="00F211E0" w:rsidP="007207F7">
      <w:pPr>
        <w:spacing w:before="120" w:after="0" w:line="240" w:lineRule="auto"/>
        <w:jc w:val="both"/>
        <w:rPr>
          <w:sz w:val="24"/>
          <w:szCs w:val="24"/>
        </w:rPr>
      </w:pPr>
      <w:r w:rsidRPr="007207F7">
        <w:rPr>
          <w:sz w:val="24"/>
          <w:szCs w:val="24"/>
        </w:rPr>
        <w:t>Postępowanie to dotyczy wykonywania przez państwa europejskie wyroków ETPCz, ale ważne jest, aby nie dawać wiary przytaczanym przez władze amerykańskie usprawiedliwieniom postępowania, które zostało jednoznacznie uznane za poważne naruszenie praw skarżącego. W kontekście tej konkretnej sprawy pewne obawy budzi fakt, że Litwa i Polska przedstawiają stanowisko Stanów Zjednoczonych najwyraźniej bez zastrzeżeń, zważywszy na kategoryczne potępienie przez USA Europejskiego Trybunału oraz innych międzynarodowych sądów i organów. Takie postępowanie jest sprzeczne z wymogami ETPCz, zgodnie z którymi należy uznać współodpowiedzialność państw europejskich za wiktymizację skarżącego i podjąć wszelkie kroki w celu położenia kresu bezprawności jego obecnej sytuacji (jak omówiono poniżej).</w:t>
      </w:r>
    </w:p>
    <w:p w:rsidR="00F211E0" w:rsidRPr="007207F7" w:rsidRDefault="00F211E0" w:rsidP="00987EB2">
      <w:pPr>
        <w:pStyle w:val="Akapitzlist"/>
        <w:numPr>
          <w:ilvl w:val="0"/>
          <w:numId w:val="56"/>
        </w:numPr>
        <w:spacing w:before="120" w:after="0" w:line="240" w:lineRule="auto"/>
        <w:contextualSpacing w:val="0"/>
        <w:jc w:val="both"/>
        <w:rPr>
          <w:b/>
          <w:sz w:val="24"/>
          <w:szCs w:val="24"/>
        </w:rPr>
      </w:pPr>
      <w:r w:rsidRPr="007207F7">
        <w:rPr>
          <w:b/>
          <w:sz w:val="24"/>
          <w:szCs w:val="24"/>
        </w:rPr>
        <w:t>Środki indywidualne: Słuszne zadośćuczynienie</w:t>
      </w:r>
    </w:p>
    <w:p w:rsidR="00F211E0" w:rsidRPr="007207F7" w:rsidRDefault="00F211E0" w:rsidP="007207F7">
      <w:pPr>
        <w:spacing w:before="120" w:after="0" w:line="240" w:lineRule="auto"/>
        <w:jc w:val="both"/>
        <w:rPr>
          <w:sz w:val="24"/>
          <w:szCs w:val="24"/>
        </w:rPr>
      </w:pPr>
      <w:r w:rsidRPr="007207F7">
        <w:rPr>
          <w:sz w:val="24"/>
          <w:szCs w:val="24"/>
        </w:rPr>
        <w:t>W obu wyrokach Trybunał zasądził na rzecz skarżącego 100 000 EUR plus wszelkie podatki, które mogą być należne, tytułem zadośćuczynienia za szkodę niemajątkową. Kwoty te nie zostały jeszcze przekazane Abu Zubaydah ani wyznaczonemu przez niego beneficjentowi, a oba państwa powinny dopilnować, aby zasądzone zadośćuczynienie bezzwłocznie trafiło do wyznaczonego przez niego beneficjenta.</w:t>
      </w:r>
    </w:p>
    <w:p w:rsidR="00F211E0" w:rsidRPr="007207F7" w:rsidRDefault="00F211E0" w:rsidP="007207F7">
      <w:pPr>
        <w:spacing w:before="120" w:after="0" w:line="240" w:lineRule="auto"/>
        <w:jc w:val="both"/>
        <w:rPr>
          <w:b/>
          <w:sz w:val="24"/>
          <w:szCs w:val="24"/>
        </w:rPr>
      </w:pPr>
      <w:r w:rsidRPr="007207F7">
        <w:rPr>
          <w:b/>
          <w:sz w:val="24"/>
          <w:szCs w:val="24"/>
        </w:rPr>
        <w:t>Polska</w:t>
      </w:r>
    </w:p>
    <w:p w:rsidR="00F211E0" w:rsidRPr="007207F7" w:rsidRDefault="00F211E0" w:rsidP="007207F7">
      <w:pPr>
        <w:spacing w:before="120" w:after="0" w:line="240" w:lineRule="auto"/>
        <w:jc w:val="both"/>
        <w:rPr>
          <w:sz w:val="24"/>
          <w:szCs w:val="24"/>
        </w:rPr>
      </w:pPr>
      <w:r w:rsidRPr="007207F7">
        <w:rPr>
          <w:sz w:val="24"/>
          <w:szCs w:val="24"/>
        </w:rPr>
        <w:lastRenderedPageBreak/>
        <w:t>Po wyroku z 2014 r. polski rząd zobowiązał się do zapłaty zasądzonego przez Trybunał zadośćuczynienia wraz ze związanymi z postępowaniem kosztami i wydatkami. Koszty i wydatki zostały przekazane Interights. Rząd polski wyjaśnia jednak w komunikacji do Komitetu Ministrów z dnia 19 marca 2019 r., że po wydaniu wyroku przez ETPCz zasądzone zadośćuczynienie w wysokości 100 000 EUR nie mogło zostać wypłacone skarżącemu ze względu na przepisy krajowe, które zakazują wypłat na rzecz osób figurujących na listach sankcji ONZ i UE</w:t>
      </w:r>
      <w:r w:rsidR="005A23C9">
        <w:rPr>
          <w:rStyle w:val="Odwoanieprzypisudolnego"/>
          <w:sz w:val="24"/>
          <w:szCs w:val="24"/>
        </w:rPr>
        <w:footnoteReference w:id="137"/>
      </w:r>
      <w:r w:rsidRPr="007207F7">
        <w:rPr>
          <w:sz w:val="24"/>
          <w:szCs w:val="24"/>
        </w:rPr>
        <w:t>. W związku z tym Ministerstwo Spraw Zagranicznych RP wystąpiło do sądu krajowego – Sądu Okręgowego dla Warszawy-Śródmieścia, z wnioskiem o otwarcie rachunku depozytowego. Twierdzi, że nie miało możliwości doręczenia postanowienia Abu Zubaydah, ponieważ przebywał on w Guantanamo i wyjaśnia, że w związku z tym wyznaczono kuratora, a w dniu 11 stycznia 2018 r. Ministerstwo Spraw Zagranicznych przela</w:t>
      </w:r>
      <w:r w:rsidR="005024E6" w:rsidRPr="007207F7">
        <w:rPr>
          <w:sz w:val="24"/>
          <w:szCs w:val="24"/>
        </w:rPr>
        <w:t>ło kwotę na rachunek depozytowy</w:t>
      </w:r>
      <w:r w:rsidRPr="007207F7">
        <w:rPr>
          <w:sz w:val="24"/>
          <w:szCs w:val="24"/>
        </w:rPr>
        <w:t>.</w:t>
      </w:r>
      <w:r w:rsidR="005024E6" w:rsidRPr="007207F7">
        <w:rPr>
          <w:rStyle w:val="Odwoanieprzypisudolnego"/>
          <w:sz w:val="24"/>
          <w:szCs w:val="24"/>
        </w:rPr>
        <w:footnoteReference w:id="138"/>
      </w:r>
    </w:p>
    <w:p w:rsidR="00F211E0" w:rsidRPr="007207F7" w:rsidRDefault="00F211E0" w:rsidP="007207F7">
      <w:pPr>
        <w:spacing w:before="120" w:after="0" w:line="240" w:lineRule="auto"/>
        <w:jc w:val="both"/>
        <w:rPr>
          <w:sz w:val="24"/>
          <w:szCs w:val="24"/>
        </w:rPr>
      </w:pPr>
      <w:r w:rsidRPr="007207F7">
        <w:rPr>
          <w:sz w:val="24"/>
          <w:szCs w:val="24"/>
        </w:rPr>
        <w:t>Zrozumiałe są trudności spowodowane wpisaniem skarżącego na listę sankcji ONZ i UE. Skarżący został już jednak wykreślony z listy, a zatem usunięto wszelkie przeszkody w przekazaniu środków naszemu klientowi. W dniu 26 grudnia 2017 r. Abu Zubaydah został usunięty z listy sankcji ONZ przez Radę Bezpieczeństwa, po tym jak w raporcie Rzecznika Praw Obywatelskich ONZ stwierdzono, że nie jest on członkiem Al-Kaidy i nie stanowi obecnie żadnego zagrożenia, które uzasadniałob</w:t>
      </w:r>
      <w:r w:rsidR="005024E6" w:rsidRPr="007207F7">
        <w:rPr>
          <w:sz w:val="24"/>
          <w:szCs w:val="24"/>
        </w:rPr>
        <w:t>y umieszczenie go na tej liście</w:t>
      </w:r>
      <w:r w:rsidRPr="007207F7">
        <w:rPr>
          <w:sz w:val="24"/>
          <w:szCs w:val="24"/>
        </w:rPr>
        <w:t>.</w:t>
      </w:r>
      <w:r w:rsidR="005024E6" w:rsidRPr="007207F7">
        <w:rPr>
          <w:rStyle w:val="Odwoanieprzypisudolnego"/>
          <w:sz w:val="24"/>
          <w:szCs w:val="24"/>
        </w:rPr>
        <w:footnoteReference w:id="139"/>
      </w:r>
      <w:r w:rsidRPr="007207F7">
        <w:rPr>
          <w:sz w:val="24"/>
          <w:szCs w:val="24"/>
        </w:rPr>
        <w:t xml:space="preserve"> W związku z tym został o</w:t>
      </w:r>
      <w:r w:rsidR="005024E6" w:rsidRPr="007207F7">
        <w:rPr>
          <w:sz w:val="24"/>
          <w:szCs w:val="24"/>
        </w:rPr>
        <w:t>n również wykreślony z listy UE</w:t>
      </w:r>
      <w:r w:rsidRPr="007207F7">
        <w:rPr>
          <w:sz w:val="24"/>
          <w:szCs w:val="24"/>
        </w:rPr>
        <w:t>.</w:t>
      </w:r>
      <w:r w:rsidR="005024E6" w:rsidRPr="007207F7">
        <w:rPr>
          <w:rStyle w:val="Odwoanieprzypisudolnego"/>
          <w:sz w:val="24"/>
          <w:szCs w:val="24"/>
        </w:rPr>
        <w:footnoteReference w:id="140"/>
      </w:r>
      <w:r w:rsidRPr="007207F7">
        <w:rPr>
          <w:sz w:val="24"/>
          <w:szCs w:val="24"/>
        </w:rPr>
        <w:t xml:space="preserve"> Informacje dotyczące wykreślenia z obu list są publicznie dostępne i zostały załączone do wiadomości Komitetu. Informacje te przekazaliśmy rządowi prawie rok temu wraz z informacją o najbliższej osobie skarżącego, która powinna otrzymać środki.</w:t>
      </w:r>
    </w:p>
    <w:p w:rsidR="00F211E0" w:rsidRPr="007207F7" w:rsidRDefault="00F211E0" w:rsidP="007207F7">
      <w:pPr>
        <w:spacing w:before="120" w:after="0" w:line="240" w:lineRule="auto"/>
        <w:jc w:val="both"/>
        <w:rPr>
          <w:sz w:val="24"/>
          <w:szCs w:val="24"/>
        </w:rPr>
      </w:pPr>
      <w:r w:rsidRPr="007207F7">
        <w:rPr>
          <w:sz w:val="24"/>
          <w:szCs w:val="24"/>
        </w:rPr>
        <w:t>Rząd odmówił dokonania przelewu, powołując się na fakt, że ustanowił depozyt sądowy, który uważa za wystarczający; w skierowanym do Komitetu Ministrów stanowisku z dnia 7 marca 2019 r. polskie władze wskazują, że skarżący musi złożyć wniosek do sądów polskich. Pozostaje to jednak w sprzeczności z obowiązkiem rządu do zapewnienia, aby zasądzone zadośćuczynienie zostało wypłacone skarżącemu lub wyznaczonemu przez niego beneficjentowi. Nie wyraził on zgody na przekazanie należnej mu kwoty na rachunek depozytowy. Zgodnie z wiedzą autora, nie podjęto żadnych starań, aby skontaktować się ze skarżącym za pośrednictwem jego obrońcy. Jednostronna decyzja o przelaniu zasądzonego na rzecz skarżącego zadośćuczynienia na taki rachunek, niezależnie od intencji, która za nią stoi, nie czyni zadość zasadniczemu obowiązkowi wypłaty zadośćuczynienia na rzecz pokrzywdzonego.</w:t>
      </w:r>
    </w:p>
    <w:p w:rsidR="00F211E0" w:rsidRPr="007207F7" w:rsidRDefault="00F211E0" w:rsidP="007207F7">
      <w:pPr>
        <w:spacing w:before="120" w:after="0" w:line="240" w:lineRule="auto"/>
        <w:jc w:val="both"/>
        <w:rPr>
          <w:sz w:val="24"/>
          <w:szCs w:val="24"/>
        </w:rPr>
      </w:pPr>
      <w:r w:rsidRPr="007207F7">
        <w:rPr>
          <w:sz w:val="24"/>
          <w:szCs w:val="24"/>
        </w:rPr>
        <w:t xml:space="preserve">Jest to o tyle istotne, że w praktyce istnieją niezliczone przeszkody w ramach postępowania przed sądem krajowym w przedmiocie wydania środków w sposób proponowany przez rząd. Sam rząd wyraźnie zaznacza, że wymaga to co najmniej pełnomocnictwa i złożenia przed sądem oświadczeń dotyczących wycofania, w sytuacji, gdy wydanie takiej dokumentacji jest niezwykle trudne i do tej pory nie było możliwe. Skarżący nadal podlega reżimowi tajemnicy, </w:t>
      </w:r>
      <w:r w:rsidRPr="007207F7">
        <w:rPr>
          <w:sz w:val="24"/>
          <w:szCs w:val="24"/>
        </w:rPr>
        <w:lastRenderedPageBreak/>
        <w:t>zgodnie z którym każda informacja pochodząca od niego lub go dotycząca musi przejść przez nieprzejrzysty system odtajniania, który, choć nieco bardziej elastyczny niż poprzednio, pozostaje rygorystyczny i nieprzewidywalny. Amerykański pełnomocnik skarżącego, chociaż ma ograniczoną możliwość udzielenia informacji, potwierdził, że wiele wniosków nadal czeka na odtajnienie; ich odtajnianie, o ile w ogóle do niego dojdzie, może trwać latami. Z treści samego wyroku ETPCz oraz trudności napotykanych w trakcie całego procesu jasno wynikało, że od skarżącego nie można i nie należy oczekiwać sprostania normalnym wymogom dotyczącym dokumentacji w postępowaniu sądowym. Ponadto, nie jest możliwe ani rozsądne, aby Abu Zubaydah miał teraz występować do sądów polskich z wnioskiem o wydanie tych środków.</w:t>
      </w:r>
    </w:p>
    <w:p w:rsidR="00F211E0" w:rsidRPr="007207F7" w:rsidRDefault="00F211E0" w:rsidP="007207F7">
      <w:pPr>
        <w:spacing w:before="120" w:after="0" w:line="240" w:lineRule="auto"/>
        <w:jc w:val="both"/>
        <w:rPr>
          <w:sz w:val="24"/>
          <w:szCs w:val="24"/>
        </w:rPr>
      </w:pPr>
      <w:r w:rsidRPr="007207F7">
        <w:rPr>
          <w:sz w:val="24"/>
          <w:szCs w:val="24"/>
        </w:rPr>
        <w:t>Wypłata słusznego zadośćuczynienia w tej sprawie odzwierciedla polską odpowiedzialność za tortury i arbitralne pozbawienie wolności skarżącego. Nie może ona przerzucać na ofiarę trwającego arbitralnego pozbawienia wolności ciężaru podejmowania dalszych krajowych działań prawnych w odpowiedzialnym państwie. Zwracamy się z uprzejmym wnioskiem, aby Komitet Ministrów odrzucił twierdzenie rządu zawarte w jego planie na 2020 r., że wypełnił on swoje zobowiązanie w odniesieniu do słusznego zadośćuczynienia. Powinien on wezwać rząd do przekazania środków wskazanemu przez skarżącego członkowi rodziny oraz ułatwić ich wydanie bez konieczności angażowania skarżącego w dalsze kroki prawne. Pozostajemy do dyspozycji rządu w zakresie ponownego przekazania odpowiednich informacji i udzielenia mu wsparcia w znalezieniu odpowiedniego rozwiązania.</w:t>
      </w:r>
    </w:p>
    <w:p w:rsidR="00F211E0" w:rsidRPr="007207F7" w:rsidRDefault="00F211E0" w:rsidP="007207F7">
      <w:pPr>
        <w:spacing w:before="120" w:after="0" w:line="240" w:lineRule="auto"/>
        <w:jc w:val="both"/>
        <w:rPr>
          <w:b/>
          <w:sz w:val="24"/>
          <w:szCs w:val="24"/>
        </w:rPr>
      </w:pPr>
      <w:r w:rsidRPr="007207F7">
        <w:rPr>
          <w:b/>
          <w:sz w:val="24"/>
          <w:szCs w:val="24"/>
        </w:rPr>
        <w:t>Litwa</w:t>
      </w:r>
    </w:p>
    <w:p w:rsidR="00F211E0" w:rsidRPr="007207F7" w:rsidRDefault="00F211E0" w:rsidP="007207F7">
      <w:pPr>
        <w:spacing w:before="120" w:after="0" w:line="240" w:lineRule="auto"/>
        <w:jc w:val="both"/>
        <w:rPr>
          <w:sz w:val="24"/>
          <w:szCs w:val="24"/>
        </w:rPr>
      </w:pPr>
      <w:r w:rsidRPr="007207F7">
        <w:rPr>
          <w:sz w:val="24"/>
          <w:szCs w:val="24"/>
        </w:rPr>
        <w:t>W planie działań rządu litewskiego ze stycznia 2020 r. wskazano, że zasądzone zadośćuczynienie za szkodę niemajątkową oraz związane z postępowaniem koszty i wydatki, w łącznej kwocie 130 000 EUR, zostały przelane przez rząd na rachunek depozytowy notariusza na Litwie. Jak również przyznaje, jako przedstawiciel skarżącego, byliśmy w kontakcie z notariuszem w nadziei na wyjaśnienie procedury i warunków wydania środków oraz ułatwienie realizacji przelewu.</w:t>
      </w:r>
    </w:p>
    <w:p w:rsidR="00F211E0" w:rsidRPr="007207F7" w:rsidRDefault="00F211E0" w:rsidP="007207F7">
      <w:pPr>
        <w:spacing w:before="120" w:after="0" w:line="240" w:lineRule="auto"/>
        <w:jc w:val="both"/>
        <w:rPr>
          <w:sz w:val="24"/>
          <w:szCs w:val="24"/>
        </w:rPr>
      </w:pPr>
      <w:r w:rsidRPr="007207F7">
        <w:rPr>
          <w:sz w:val="24"/>
          <w:szCs w:val="24"/>
        </w:rPr>
        <w:t>Stało się jednak jasne, że wymogi te nie uwzględniają zakresu i charakteru przeszkód, przed którymi stoi skarżący jako ofiara trwającego arbitralnego pozbawienia wolności w Guantanamo. Amerykańscy pełnomocnicy poinformowali nas, że spełnienie kilku aspektów ustanowionych wymogów będzie niepraktyczne, a wręcz niemożliwe. Brak możliwości wydania dokumentów prawnych, nieuzasadnione wymagania w zakresie poświadczenia, legalizacji i wypłaty odpowiednich kwot pieniężnych doprowadziły do sytuacji, w której mimo naszych starań i nie z winy skarżącego, nie doszło jeszcze do przekazania słusznego zadośćuczynienia.</w:t>
      </w:r>
    </w:p>
    <w:p w:rsidR="00F211E0" w:rsidRPr="007207F7" w:rsidRDefault="00F211E0" w:rsidP="007207F7">
      <w:pPr>
        <w:spacing w:before="120" w:after="0" w:line="240" w:lineRule="auto"/>
        <w:jc w:val="both"/>
        <w:rPr>
          <w:sz w:val="24"/>
          <w:szCs w:val="24"/>
        </w:rPr>
      </w:pPr>
      <w:r w:rsidRPr="007207F7">
        <w:rPr>
          <w:sz w:val="24"/>
          <w:szCs w:val="24"/>
        </w:rPr>
        <w:t>Po pierwsze, jak wyjaśniła nam kancelaria notarialna, przekazanie będzie wymagało udzielenia przez klienta określonemu pełnomocnikowi szczegółowego i konkretnego pe</w:t>
      </w:r>
      <w:r w:rsidR="005024E6" w:rsidRPr="007207F7">
        <w:rPr>
          <w:sz w:val="24"/>
          <w:szCs w:val="24"/>
        </w:rPr>
        <w:t>łnomocnictwa właśnie w tym celu</w:t>
      </w:r>
      <w:r w:rsidRPr="007207F7">
        <w:rPr>
          <w:sz w:val="24"/>
          <w:szCs w:val="24"/>
        </w:rPr>
        <w:t>.</w:t>
      </w:r>
      <w:r w:rsidR="005024E6" w:rsidRPr="007207F7">
        <w:rPr>
          <w:rStyle w:val="Odwoanieprzypisudolnego"/>
          <w:sz w:val="24"/>
          <w:szCs w:val="24"/>
        </w:rPr>
        <w:footnoteReference w:id="141"/>
      </w:r>
      <w:r w:rsidRPr="007207F7">
        <w:rPr>
          <w:sz w:val="24"/>
          <w:szCs w:val="24"/>
        </w:rPr>
        <w:t xml:space="preserve"> Poinformowano nas, że udzielone pełnomocnikom amerykańskim pełnomocnictwa ogólne, które wystarczały do celów ETPCz jako ogniwo w celu upoważnienia pełnomocnika europejskiego, w tym przypadku nie będą wystarczające. Pełnomocnicy amerykańscy poinformowali nas, że wydanie nowego i szczególnego pełnomocnictwa tego rodzaju, jakie jest wymagane, jest niemożliwe. Trybunał odniósł się do „ograniczeń </w:t>
      </w:r>
      <w:r w:rsidRPr="007207F7">
        <w:rPr>
          <w:sz w:val="24"/>
          <w:szCs w:val="24"/>
        </w:rPr>
        <w:lastRenderedPageBreak/>
        <w:t>komunikacyjnych na niespotykaną dotychczas skalę”, które „uniemożliwiały przedstawienie informacji lub dowodów bezpośrednio prz</w:t>
      </w:r>
      <w:r w:rsidR="001318EE" w:rsidRPr="007207F7">
        <w:rPr>
          <w:sz w:val="24"/>
          <w:szCs w:val="24"/>
        </w:rPr>
        <w:t>ez klienta lub w związku z nim”</w:t>
      </w:r>
      <w:r w:rsidR="001318EE" w:rsidRPr="007207F7">
        <w:rPr>
          <w:rStyle w:val="Odwoanieprzypisudolnego"/>
          <w:sz w:val="24"/>
          <w:szCs w:val="24"/>
        </w:rPr>
        <w:footnoteReference w:id="142"/>
      </w:r>
      <w:r w:rsidRPr="007207F7">
        <w:rPr>
          <w:sz w:val="24"/>
          <w:szCs w:val="24"/>
        </w:rPr>
        <w:t xml:space="preserve"> i odrzucił podejmowane przez rząd w toku postępowania przed ETPCz próby nalegania na spełnienie wymogów formalnych, takich jak zwykle podpisywane pełnomocnictwo. Skoro wymogi te zostały uchylone przez ETPCz jako przeszkody dla słusznego rozstrzygnięcia sprawy, to nie powinny one utrudniać wykonania wyroku w części dotyczącej zadośćuczynienia.</w:t>
      </w:r>
    </w:p>
    <w:p w:rsidR="00F211E0" w:rsidRPr="007207F7" w:rsidRDefault="00F211E0" w:rsidP="007207F7">
      <w:pPr>
        <w:spacing w:before="120" w:after="0" w:line="240" w:lineRule="auto"/>
        <w:jc w:val="both"/>
        <w:rPr>
          <w:sz w:val="24"/>
          <w:szCs w:val="24"/>
        </w:rPr>
      </w:pPr>
      <w:r w:rsidRPr="007207F7">
        <w:rPr>
          <w:sz w:val="24"/>
          <w:szCs w:val="24"/>
        </w:rPr>
        <w:t>Oprócz kwestii związanych z dokładną treścią pełnomocnictwa, problem potęgują dodatkowe wymogi prawne narzucone przez wyznaczonego przez rząd litewski notariusza. Jak wyjaśnił notariusz, zgodnie z tymi wymogami: „Dokument ten musi zostać poświadczony notarialnie zgodnie z prawem państwa, w którym został podpisany; musi zostać opatrzony klauzulą apostille (lub zalegalizowany, jeśli dany kraj nie jest członkiem Konwencji haskiej) i przetłumaczony na język litewski; przed podpisaniem/przy podpisywaniu urzędowego wniosku o przekazanie środków finansowych notariuszowi należy okazać</w:t>
      </w:r>
      <w:r w:rsidR="001318EE" w:rsidRPr="007207F7">
        <w:rPr>
          <w:sz w:val="24"/>
          <w:szCs w:val="24"/>
        </w:rPr>
        <w:t xml:space="preserve"> dokument w wersji papierowej</w:t>
      </w:r>
      <w:r w:rsidRPr="007207F7">
        <w:rPr>
          <w:sz w:val="24"/>
          <w:szCs w:val="24"/>
        </w:rPr>
        <w:t>.</w:t>
      </w:r>
      <w:r w:rsidR="001318EE" w:rsidRPr="007207F7">
        <w:rPr>
          <w:sz w:val="24"/>
          <w:szCs w:val="24"/>
        </w:rPr>
        <w:t>”</w:t>
      </w:r>
      <w:r w:rsidR="001318EE" w:rsidRPr="007207F7">
        <w:rPr>
          <w:rStyle w:val="Odwoanieprzypisudolnego"/>
          <w:sz w:val="24"/>
          <w:szCs w:val="24"/>
        </w:rPr>
        <w:footnoteReference w:id="143"/>
      </w:r>
    </w:p>
    <w:p w:rsidR="00F211E0" w:rsidRPr="007207F7" w:rsidRDefault="00F211E0" w:rsidP="007207F7">
      <w:pPr>
        <w:spacing w:before="120" w:after="0" w:line="240" w:lineRule="auto"/>
        <w:jc w:val="both"/>
        <w:rPr>
          <w:sz w:val="24"/>
          <w:szCs w:val="24"/>
        </w:rPr>
      </w:pPr>
      <w:r w:rsidRPr="007207F7">
        <w:rPr>
          <w:sz w:val="24"/>
          <w:szCs w:val="24"/>
        </w:rPr>
        <w:t>Te formalności prawne są w sposób oczywisty niewykonalne w „miejscu nieobjętym ochroną prawną”, jaką jest Zatoka Guantanamo. Jest bardzo niejasne, w jaki sposób wymóg dotyczący „prawa państwa” miałby zostać zinterpretowany i zrealizowany, oraz gdzie lub w jaki sposób pełnomocnictwo i instrukcje podpisane w Guantanamo (jeśli ostatecznie zostaną odtajnione) mogłyby zostać „zalegalizowane”, przetłumaczone na język litewski i opatrzone klauzulą apostille. Amerykańscy pełnomocnicy poinformowali nas, że zapewnienie obecności notariusza, a nawet świadków, stanowi wyzwanie dla osób przetrzymywanych w Guantanamo. Ponadto sugerowanie, że gdyby dokumenty te mogły zostać zabezpieczone, klient powinien stawić się na Litwie osobiście, jest ewidentną fanaberią, a uznanie, że niżej podpisany pełnomocnik procesowy musi stawić się na Litwie osobiście, aby odebrać środki w jego imieniu, również nie jest odpowiednim rozwiązaniem.</w:t>
      </w:r>
    </w:p>
    <w:p w:rsidR="00F211E0" w:rsidRPr="007207F7" w:rsidRDefault="00F211E0" w:rsidP="007207F7">
      <w:pPr>
        <w:spacing w:before="120" w:after="0" w:line="240" w:lineRule="auto"/>
        <w:jc w:val="both"/>
        <w:rPr>
          <w:sz w:val="24"/>
          <w:szCs w:val="24"/>
        </w:rPr>
      </w:pPr>
      <w:r w:rsidRPr="007207F7">
        <w:rPr>
          <w:sz w:val="24"/>
          <w:szCs w:val="24"/>
        </w:rPr>
        <w:t>W odróżnieniu od sprawy polskiej, w której koszty i wydatki zostały uiszczone bezpośrednio na rzecz Interights, nadal nie uiszczono również kosztów i wydatków, a notariusz wyjaśnił, że „nie mogą być wypłacone oddzielnie od całej złożonej do depozytu kwoty, co oznacza, że notariusz może przekazać tylko kwotę w pełnej wysokości i tylko</w:t>
      </w:r>
      <w:r w:rsidR="001318EE" w:rsidRPr="007207F7">
        <w:rPr>
          <w:sz w:val="24"/>
          <w:szCs w:val="24"/>
        </w:rPr>
        <w:t xml:space="preserve"> zainteresowanej stronie (...)”</w:t>
      </w:r>
      <w:r w:rsidRPr="007207F7">
        <w:rPr>
          <w:sz w:val="24"/>
          <w:szCs w:val="24"/>
        </w:rPr>
        <w:t>.</w:t>
      </w:r>
      <w:r w:rsidR="001318EE" w:rsidRPr="007207F7">
        <w:rPr>
          <w:rStyle w:val="Odwoanieprzypisudolnego"/>
          <w:sz w:val="24"/>
          <w:szCs w:val="24"/>
        </w:rPr>
        <w:footnoteReference w:id="144"/>
      </w:r>
      <w:r w:rsidRPr="007207F7">
        <w:rPr>
          <w:sz w:val="24"/>
          <w:szCs w:val="24"/>
        </w:rPr>
        <w:t xml:space="preserve"> Nie ma podstaw do wstrzymania wypłaty tych kwot, a także do uzależnienia ich wypłaty od spełnienia nierealnych wymogów, o których mowa powyżej.</w:t>
      </w:r>
    </w:p>
    <w:p w:rsidR="00F211E0" w:rsidRPr="007207F7" w:rsidRDefault="00F211E0" w:rsidP="007207F7">
      <w:pPr>
        <w:spacing w:before="120" w:after="0" w:line="240" w:lineRule="auto"/>
        <w:jc w:val="both"/>
        <w:rPr>
          <w:sz w:val="24"/>
          <w:szCs w:val="24"/>
        </w:rPr>
      </w:pPr>
      <w:r w:rsidRPr="007207F7">
        <w:rPr>
          <w:sz w:val="24"/>
          <w:szCs w:val="24"/>
        </w:rPr>
        <w:t>Zwróciliśmy się do notariusza telefonicznie i mailowo z zapytaniem, czy możliwe jest zachowanie pewnej elastyczności w zakresie treści, formy i formalności związanych z pełnomocnictwem i przekazaniem środków, co – jak wskazał ETPCz – jest konieczne. Niestety, powiedziano nam, że nie jest to możliwe. W związku z tym nie wypłacono ani kosztów i wydatków ani zasądzonego zadośćuczynienia.</w:t>
      </w:r>
    </w:p>
    <w:p w:rsidR="00F211E0" w:rsidRPr="007207F7" w:rsidRDefault="00F211E0" w:rsidP="007207F7">
      <w:pPr>
        <w:spacing w:before="120" w:after="0" w:line="240" w:lineRule="auto"/>
        <w:jc w:val="both"/>
        <w:rPr>
          <w:sz w:val="24"/>
          <w:szCs w:val="24"/>
        </w:rPr>
      </w:pPr>
      <w:r w:rsidRPr="007207F7">
        <w:rPr>
          <w:sz w:val="24"/>
          <w:szCs w:val="24"/>
        </w:rPr>
        <w:t xml:space="preserve">O ile rozumiemy, że wymogi dotyczące notarialnego poświadczenia dokumentów mogą być normalną procedurą w innych okolicznościach, są one po prostu niewykonalne w (pozaprawnym) kontekście przetrzymywania więźniów przez rząd Stanów Zjednoczonych w Zatoce Guantanamo. Ponieważ przeszkody te są bezpośrednim skutkiem trwających naruszeń praw skarżącego w Guantanamo – do których przyczyniły się Litwa i Polska – rząd nie może </w:t>
      </w:r>
      <w:r w:rsidRPr="007207F7">
        <w:rPr>
          <w:sz w:val="24"/>
          <w:szCs w:val="24"/>
        </w:rPr>
        <w:lastRenderedPageBreak/>
        <w:t>pozwolić im na odmowę wypłaty zadośćuczynienia. Nie można dopuścić do tego, aby poprzez wymogi formalne nakładać na skarżącego niemożliwe, a w każdym razie nieracjonalne obciążenie.</w:t>
      </w:r>
    </w:p>
    <w:p w:rsidR="00F211E0" w:rsidRPr="007207F7" w:rsidRDefault="00F211E0" w:rsidP="007207F7">
      <w:pPr>
        <w:spacing w:before="120" w:after="0" w:line="240" w:lineRule="auto"/>
        <w:jc w:val="both"/>
        <w:rPr>
          <w:sz w:val="24"/>
          <w:szCs w:val="24"/>
        </w:rPr>
      </w:pPr>
      <w:r w:rsidRPr="007207F7">
        <w:rPr>
          <w:sz w:val="24"/>
          <w:szCs w:val="24"/>
        </w:rPr>
        <w:t>Oświadczenie Ministerstwa Sprawiedliwości Republiki Litewskiej, zgodnie z którym „Litwa wywiązała się już ze swojego obowiązku wypłaty na rzecz Abu Zubaydah zadośćuczynienia w sprawie dotyczącej więzienia CIA”</w:t>
      </w:r>
      <w:r w:rsidR="001318EE" w:rsidRPr="007207F7">
        <w:rPr>
          <w:rStyle w:val="Odwoanieprzypisudolnego"/>
          <w:sz w:val="24"/>
          <w:szCs w:val="24"/>
        </w:rPr>
        <w:footnoteReference w:id="145"/>
      </w:r>
      <w:r w:rsidRPr="007207F7">
        <w:rPr>
          <w:sz w:val="24"/>
          <w:szCs w:val="24"/>
        </w:rPr>
        <w:t xml:space="preserve"> jest więc obecnie niezgodne z prawdą, ale jesteśmy przekonani, że przy współpracy rządu można temu zaradzić.</w:t>
      </w:r>
    </w:p>
    <w:p w:rsidR="00F211E0" w:rsidRPr="007207F7" w:rsidRDefault="00F211E0" w:rsidP="007207F7">
      <w:pPr>
        <w:spacing w:before="120" w:after="0" w:line="240" w:lineRule="auto"/>
        <w:jc w:val="both"/>
        <w:rPr>
          <w:sz w:val="24"/>
          <w:szCs w:val="24"/>
        </w:rPr>
      </w:pPr>
      <w:r w:rsidRPr="007207F7">
        <w:rPr>
          <w:sz w:val="24"/>
          <w:szCs w:val="24"/>
        </w:rPr>
        <w:t>Oba rządy powinny wypłacić skarżącemu odpowiednie kwoty, a w przypadku Litwy także koszty obsługi prawnej. Jeżeli w dalszym ciągu tego nie uczynią, nie wywiążą się ze swojego obowiązku wypłaty zadośćuczynienia pokrzywdzonemu ze skutkiem natychmiastowym.</w:t>
      </w:r>
    </w:p>
    <w:p w:rsidR="00F211E0" w:rsidRPr="007207F7" w:rsidRDefault="00F211E0" w:rsidP="00987EB2">
      <w:pPr>
        <w:pStyle w:val="Akapitzlist"/>
        <w:numPr>
          <w:ilvl w:val="0"/>
          <w:numId w:val="56"/>
        </w:numPr>
        <w:spacing w:before="120" w:after="0" w:line="240" w:lineRule="auto"/>
        <w:contextualSpacing w:val="0"/>
        <w:jc w:val="both"/>
        <w:rPr>
          <w:b/>
          <w:sz w:val="24"/>
          <w:szCs w:val="24"/>
        </w:rPr>
      </w:pPr>
      <w:r w:rsidRPr="007207F7">
        <w:rPr>
          <w:b/>
          <w:sz w:val="24"/>
          <w:szCs w:val="24"/>
        </w:rPr>
        <w:t>Oświadczenia mające na celu uzyskanie gwarancji od Stanów Zjednoczonych</w:t>
      </w:r>
    </w:p>
    <w:p w:rsidR="00F211E0" w:rsidRPr="007207F7" w:rsidRDefault="00F211E0" w:rsidP="007207F7">
      <w:pPr>
        <w:spacing w:before="120" w:after="0" w:line="240" w:lineRule="auto"/>
        <w:jc w:val="both"/>
        <w:rPr>
          <w:sz w:val="24"/>
          <w:szCs w:val="24"/>
        </w:rPr>
      </w:pPr>
      <w:r w:rsidRPr="007207F7">
        <w:rPr>
          <w:sz w:val="24"/>
          <w:szCs w:val="24"/>
        </w:rPr>
        <w:t>Uznaje się, że oba rządy wielokrotnie występowały do władz USA o gwarancje dyplomatyczne w imieniu Abu Zubaydaha. Działania te muszą być kontynuowane i należy dołożyć wszelkich starań, aby były one bardziej ukierunkowane i skuteczne.</w:t>
      </w:r>
    </w:p>
    <w:p w:rsidR="00F211E0" w:rsidRPr="007207F7" w:rsidRDefault="00F211E0" w:rsidP="007207F7">
      <w:pPr>
        <w:spacing w:before="120" w:after="0" w:line="240" w:lineRule="auto"/>
        <w:jc w:val="both"/>
        <w:rPr>
          <w:b/>
          <w:sz w:val="24"/>
          <w:szCs w:val="24"/>
        </w:rPr>
      </w:pPr>
      <w:r w:rsidRPr="007207F7">
        <w:rPr>
          <w:b/>
          <w:sz w:val="24"/>
          <w:szCs w:val="24"/>
        </w:rPr>
        <w:t>Dotychczasowe oświadczenia:</w:t>
      </w:r>
    </w:p>
    <w:p w:rsidR="00F211E0" w:rsidRPr="007207F7" w:rsidRDefault="00F211E0" w:rsidP="007207F7">
      <w:pPr>
        <w:spacing w:before="120" w:after="0" w:line="240" w:lineRule="auto"/>
        <w:jc w:val="both"/>
        <w:rPr>
          <w:sz w:val="24"/>
          <w:szCs w:val="24"/>
        </w:rPr>
      </w:pPr>
      <w:r w:rsidRPr="007207F7">
        <w:rPr>
          <w:b/>
          <w:sz w:val="24"/>
          <w:szCs w:val="24"/>
        </w:rPr>
        <w:t>Polska:</w:t>
      </w:r>
      <w:r w:rsidRPr="007207F7">
        <w:rPr>
          <w:sz w:val="24"/>
          <w:szCs w:val="24"/>
        </w:rPr>
        <w:t xml:space="preserve"> Ministerstwo Spraw Zagranicznych RP informuje, iż od 13 maja 2015 r. wielokrotnie wysyłało noty dyplomatyczne w sprawie Abu Zubaydaha i Al Nashiriego.</w:t>
      </w:r>
      <w:r w:rsidR="001318EE" w:rsidRPr="007207F7">
        <w:rPr>
          <w:rStyle w:val="Odwoanieprzypisudolnego"/>
          <w:sz w:val="24"/>
          <w:szCs w:val="24"/>
        </w:rPr>
        <w:footnoteReference w:id="146"/>
      </w:r>
      <w:r w:rsidRPr="007207F7">
        <w:rPr>
          <w:sz w:val="24"/>
          <w:szCs w:val="24"/>
        </w:rPr>
        <w:t xml:space="preserve"> Ministerstwo Spraw Zagranicznych RP twierdzi również, że podjęło starania, aby kwestia gwarancji dyplomatycznych na rzecz skarżącego znalazła się w agendach wszystkich kolejnych spotkań z amerykańskimi odpowiednikami</w:t>
      </w:r>
      <w:r w:rsidR="001318EE" w:rsidRPr="007207F7">
        <w:rPr>
          <w:sz w:val="24"/>
          <w:szCs w:val="24"/>
        </w:rPr>
        <w:t>,</w:t>
      </w:r>
      <w:r w:rsidR="001318EE" w:rsidRPr="007207F7">
        <w:rPr>
          <w:rStyle w:val="Odwoanieprzypisudolnego"/>
          <w:sz w:val="24"/>
          <w:szCs w:val="24"/>
        </w:rPr>
        <w:footnoteReference w:id="147"/>
      </w:r>
      <w:r w:rsidRPr="007207F7">
        <w:rPr>
          <w:sz w:val="24"/>
          <w:szCs w:val="24"/>
        </w:rPr>
        <w:t xml:space="preserve"> aby udział w nich wzięli urzędnicy najwyższego szczebla politycznego, w tym Kancelaria Prezydenta, a rozmowy odbywały się z Ambasadą USA, Zastępcą Radcy Prawnego w Departamencie Stanu USA oraz Zastępcą Sekretarza Stanu. W swoim najnowszym planie działań rząd poinformował, że podjął starania w celu ponowienia wniosku do władz USA o gwarancje dyplomatyczne dla skarżącego; sporządzono notę dyplomatyczną, która ma zostać przekazana Ambasadzie USA w Warszawie na początku lutego 2020 r. Zwrócimy się z wnioskiem o podanie złożonych przez Polskę oświadczeń do wiadomości publicznej, a przynajmniej do wiadomości Komitetowi i pełnomocnikom procesowym klienta.</w:t>
      </w:r>
    </w:p>
    <w:p w:rsidR="00F211E0" w:rsidRPr="007207F7" w:rsidRDefault="00F211E0" w:rsidP="007207F7">
      <w:pPr>
        <w:spacing w:before="120" w:after="0" w:line="240" w:lineRule="auto"/>
        <w:jc w:val="both"/>
        <w:rPr>
          <w:sz w:val="24"/>
          <w:szCs w:val="24"/>
        </w:rPr>
      </w:pPr>
      <w:r w:rsidRPr="007207F7">
        <w:rPr>
          <w:b/>
          <w:sz w:val="24"/>
          <w:szCs w:val="24"/>
        </w:rPr>
        <w:t>Litwa:</w:t>
      </w:r>
      <w:r w:rsidRPr="007207F7">
        <w:rPr>
          <w:sz w:val="24"/>
          <w:szCs w:val="24"/>
        </w:rPr>
        <w:t xml:space="preserve"> Nasz klient docenia interwencje władz litewskich wobec władz USA opisane w przedstawionym Komitetowi Ministrów</w:t>
      </w:r>
      <w:r w:rsidR="001318EE" w:rsidRPr="007207F7">
        <w:rPr>
          <w:sz w:val="24"/>
          <w:szCs w:val="24"/>
        </w:rPr>
        <w:t xml:space="preserve"> zaktualizowanym planie działań</w:t>
      </w:r>
      <w:r w:rsidRPr="007207F7">
        <w:rPr>
          <w:sz w:val="24"/>
          <w:szCs w:val="24"/>
        </w:rPr>
        <w:t>.</w:t>
      </w:r>
      <w:r w:rsidR="001318EE" w:rsidRPr="007207F7">
        <w:rPr>
          <w:rStyle w:val="Odwoanieprzypisudolnego"/>
          <w:sz w:val="24"/>
          <w:szCs w:val="24"/>
        </w:rPr>
        <w:footnoteReference w:id="148"/>
      </w:r>
      <w:r w:rsidRPr="007207F7">
        <w:rPr>
          <w:sz w:val="24"/>
          <w:szCs w:val="24"/>
        </w:rPr>
        <w:t xml:space="preserve"> Poinformowano nas, że noty dyplomatyczne Ambasady Litwy zawierające wniosek o udzielenie gwarancji dyplomatycznych, aby położyć kres trwającemu arbitralnemu przetrzymywaniu Abu Zubaydaha i aby zagwarantować, że nie będzie on poddawany dalszemu nieludzkiemu traktowaniu, zostały przedstawione Stanom Zjednoczonym w lutym 2019 r. i listopadzie 2019 r. Jednakże dokładne oświadczenia złożone przez Litwę nie zostały podane do wiadomości publicznej i nalegamy, aby Komitet Ministrów zwrócił się do rządu o ich ujawnienie.</w:t>
      </w:r>
    </w:p>
    <w:p w:rsidR="00F211E0" w:rsidRPr="007207F7" w:rsidRDefault="00F211E0" w:rsidP="007207F7">
      <w:pPr>
        <w:spacing w:before="120" w:after="0" w:line="240" w:lineRule="auto"/>
        <w:jc w:val="both"/>
        <w:rPr>
          <w:sz w:val="24"/>
          <w:szCs w:val="24"/>
        </w:rPr>
      </w:pPr>
      <w:r w:rsidRPr="007207F7">
        <w:rPr>
          <w:b/>
          <w:sz w:val="24"/>
          <w:szCs w:val="24"/>
        </w:rPr>
        <w:lastRenderedPageBreak/>
        <w:t>Odpowiedź:</w:t>
      </w:r>
      <w:r w:rsidRPr="007207F7">
        <w:rPr>
          <w:sz w:val="24"/>
          <w:szCs w:val="24"/>
        </w:rPr>
        <w:t xml:space="preserve"> Z przykrością odnotowujemy odmowę współpracy i udzielenia gwarancji dyplomatycznych przez USA. Jak zauważono powyżej, odpowiedź USA zawiera niezasługujące na wiarę twierdzenia dotyczące zgodności z prawem trwającego od 18 lat arbitralnego pozbawienia wolności skarżącego bez przedstawiania mu zarzutów czy wszczęcia wobec niego postępowania sądowego. Są one pozbawione jakiejkolwiek podstawy prawnej czy moralnej i przeczą rozumowaniu i tezom wyroków Trybunału, które odnoszą się chociażby do „rażącego naruszenia prawa do sądu”, którego doświadcza skarżący. Powinny one zostać wyraźnie odrzucone przez odpowiednie państwa, a ta</w:t>
      </w:r>
      <w:r w:rsidR="001318EE" w:rsidRPr="007207F7">
        <w:rPr>
          <w:sz w:val="24"/>
          <w:szCs w:val="24"/>
        </w:rPr>
        <w:t>kże przez sam Komitet Ministrów</w:t>
      </w:r>
      <w:r w:rsidRPr="007207F7">
        <w:rPr>
          <w:sz w:val="24"/>
          <w:szCs w:val="24"/>
        </w:rPr>
        <w:t>.</w:t>
      </w:r>
      <w:r w:rsidR="001318EE" w:rsidRPr="007207F7">
        <w:rPr>
          <w:rStyle w:val="Odwoanieprzypisudolnego"/>
          <w:sz w:val="24"/>
          <w:szCs w:val="24"/>
        </w:rPr>
        <w:footnoteReference w:id="149"/>
      </w:r>
      <w:r w:rsidRPr="007207F7">
        <w:rPr>
          <w:sz w:val="24"/>
          <w:szCs w:val="24"/>
        </w:rPr>
        <w:t xml:space="preserve"> Pomimo odpowiedzi ze strony USA, państwa europejskie są zobowiązane do dalszego podjęcia wszelkich możliwych środków mających na celu położenie kresu tej niesprawiedliwości, a nadzór Komitetu będzie miał w tym względzie kluczowe znaczenie.</w:t>
      </w:r>
    </w:p>
    <w:p w:rsidR="00F211E0" w:rsidRPr="007207F7" w:rsidRDefault="00F211E0" w:rsidP="007207F7">
      <w:pPr>
        <w:spacing w:before="120" w:after="0" w:line="240" w:lineRule="auto"/>
        <w:jc w:val="both"/>
        <w:rPr>
          <w:b/>
          <w:sz w:val="24"/>
          <w:szCs w:val="24"/>
        </w:rPr>
      </w:pPr>
      <w:r w:rsidRPr="007207F7">
        <w:rPr>
          <w:b/>
          <w:sz w:val="24"/>
          <w:szCs w:val="24"/>
        </w:rPr>
        <w:t>Kolejne wspólne wysiłki:</w:t>
      </w:r>
    </w:p>
    <w:p w:rsidR="00F211E0" w:rsidRPr="007207F7" w:rsidRDefault="00F211E0" w:rsidP="007207F7">
      <w:pPr>
        <w:spacing w:before="120" w:after="0" w:line="240" w:lineRule="auto"/>
        <w:jc w:val="both"/>
        <w:rPr>
          <w:sz w:val="24"/>
          <w:szCs w:val="24"/>
        </w:rPr>
      </w:pPr>
      <w:r w:rsidRPr="007207F7">
        <w:rPr>
          <w:sz w:val="24"/>
          <w:szCs w:val="24"/>
        </w:rPr>
        <w:t>W swojej ostatniej decyzji z dnia 6 czerwca 2019 r., wydanej po odbyciu 1348. posiedzenia, Komitet Ministrów „stanowczo wezwał władze polskie do podjęcia nowych wysiłków na najwyższych szczeblach w celu wypełnienia ich zobowiązania wynikającego z art. 46 Konwencji, aby zapewnić, że skarżący nie będą już dłużej poddawani traktowaniu sprzecznemu z Konwencją, a także wezwał je do regularnego informowania Komitetu o podejmowanych krokach”. Na posiedzeniu Komitetu Ministrów w czerwcu 2019 r. również podkreślono znaczenie aktywnego kontynuowania przez władze litewskie wysiłków dyplomatycznych i stosowania wszelkich możliwych środków w celu położenia kresu dalszemu arbitralnemu przetrzymywaniu skarżącego.</w:t>
      </w:r>
    </w:p>
    <w:p w:rsidR="00F211E0" w:rsidRPr="007207F7" w:rsidRDefault="00F211E0" w:rsidP="007207F7">
      <w:pPr>
        <w:spacing w:before="120" w:after="0" w:line="240" w:lineRule="auto"/>
        <w:jc w:val="both"/>
        <w:rPr>
          <w:sz w:val="24"/>
          <w:szCs w:val="24"/>
        </w:rPr>
      </w:pPr>
      <w:r w:rsidRPr="007207F7">
        <w:rPr>
          <w:sz w:val="24"/>
          <w:szCs w:val="24"/>
        </w:rPr>
        <w:t>Komitet powinien nadal nalegać na przedstawicielstwa dyplomatyczne i skuteczne metody nacisku w celu rozwiązania problemu trwającego arbitralnego przetrzymywania naszego klienta. Należy nakłaniać Polskę i Litwę, by takie oświadczenia złożyły bezpośrednio, ale także by starały się to czynić wspólnie z innymi państwami, w tym za pośrednictwem odpowiednich instytucji międzynarodowych, do których państwa te należą. Obejmuje to dalsze składanie, tak indywidualnie jak i zbiorowo oświadczeń:</w:t>
      </w:r>
    </w:p>
    <w:p w:rsidR="00F211E0" w:rsidRPr="007207F7" w:rsidRDefault="00F211E0" w:rsidP="00987EB2">
      <w:pPr>
        <w:pStyle w:val="Akapitzlist"/>
        <w:numPr>
          <w:ilvl w:val="0"/>
          <w:numId w:val="57"/>
        </w:numPr>
        <w:spacing w:before="120" w:after="0" w:line="240" w:lineRule="auto"/>
        <w:contextualSpacing w:val="0"/>
        <w:jc w:val="both"/>
        <w:rPr>
          <w:sz w:val="24"/>
          <w:szCs w:val="24"/>
        </w:rPr>
      </w:pPr>
      <w:r w:rsidRPr="007207F7">
        <w:rPr>
          <w:sz w:val="24"/>
          <w:szCs w:val="24"/>
        </w:rPr>
        <w:t>zawierających wniosek do rządu USA o udzielenie gwarancji, że nasz klient nie będzie przetrzymywany bezterminowo, ale zostanie osądzony lub zwolniony;</w:t>
      </w:r>
    </w:p>
    <w:p w:rsidR="00F211E0" w:rsidRPr="007207F7" w:rsidRDefault="00F211E0" w:rsidP="00987EB2">
      <w:pPr>
        <w:pStyle w:val="Akapitzlist"/>
        <w:numPr>
          <w:ilvl w:val="0"/>
          <w:numId w:val="57"/>
        </w:numPr>
        <w:spacing w:before="120" w:after="0" w:line="240" w:lineRule="auto"/>
        <w:contextualSpacing w:val="0"/>
        <w:jc w:val="both"/>
        <w:rPr>
          <w:sz w:val="24"/>
          <w:szCs w:val="24"/>
        </w:rPr>
      </w:pPr>
      <w:r w:rsidRPr="007207F7">
        <w:rPr>
          <w:sz w:val="24"/>
          <w:szCs w:val="24"/>
        </w:rPr>
        <w:t>zawierających zapytanie o konkretne alternatywy, takie jak ułatwienie uwolnienia i resocjalizacji naszego klienta;</w:t>
      </w:r>
    </w:p>
    <w:p w:rsidR="00F211E0" w:rsidRPr="007207F7" w:rsidRDefault="00F211E0" w:rsidP="00987EB2">
      <w:pPr>
        <w:pStyle w:val="Akapitzlist"/>
        <w:numPr>
          <w:ilvl w:val="0"/>
          <w:numId w:val="57"/>
        </w:numPr>
        <w:spacing w:before="120" w:after="0" w:line="240" w:lineRule="auto"/>
        <w:contextualSpacing w:val="0"/>
        <w:jc w:val="both"/>
        <w:rPr>
          <w:sz w:val="24"/>
          <w:szCs w:val="24"/>
        </w:rPr>
      </w:pPr>
      <w:r w:rsidRPr="007207F7">
        <w:rPr>
          <w:sz w:val="24"/>
          <w:szCs w:val="24"/>
        </w:rPr>
        <w:lastRenderedPageBreak/>
        <w:t>zawierających wniosek o udzielenie gwarancji zaprzestania utrudniania kontaktu Abu Zubaydah ze światem zewnętrznym oraz uciszania naszego klienta, stanowiących aspekt trwającego rażącego naruszenia prawa do sądu.</w:t>
      </w:r>
    </w:p>
    <w:p w:rsidR="00F211E0" w:rsidRPr="007207F7" w:rsidRDefault="00F211E0" w:rsidP="007207F7">
      <w:pPr>
        <w:spacing w:before="120" w:after="0" w:line="240" w:lineRule="auto"/>
        <w:jc w:val="both"/>
        <w:rPr>
          <w:sz w:val="24"/>
          <w:szCs w:val="24"/>
        </w:rPr>
      </w:pPr>
      <w:r w:rsidRPr="007207F7">
        <w:rPr>
          <w:sz w:val="24"/>
          <w:szCs w:val="24"/>
        </w:rPr>
        <w:t>Zawarte w najnowszym planie działań Litwy niejasne odniesienia do „rozważenia” dalszego niezbędnego dialogu na ten temat w Waszyngtonie, w zakresie, w jakim mogłoby to przyczynić się do wykonania wyroku Trybunału, są niewystarczające. Równie niezadowalający jest brak wskazania przez Polskę jakichkolwiek planów, które odbiegałyby od dotychczas podjętych działań. Konieczne są konkretne działania indywidualne i zbiorowe, z udziałem państw podzielających to samo stanowisko i tych, które ponoszą odpowiedzialność za przyczynianie się do tych krzywd, w celu ostatecznego położenia kresu trwającej niesprawiedliwości.</w:t>
      </w:r>
    </w:p>
    <w:p w:rsidR="00F211E0" w:rsidRPr="007207F7" w:rsidRDefault="00F211E0" w:rsidP="007207F7">
      <w:pPr>
        <w:spacing w:before="120" w:after="0" w:line="240" w:lineRule="auto"/>
        <w:jc w:val="both"/>
        <w:rPr>
          <w:sz w:val="24"/>
          <w:szCs w:val="24"/>
        </w:rPr>
      </w:pPr>
      <w:r w:rsidRPr="007207F7">
        <w:rPr>
          <w:sz w:val="24"/>
          <w:szCs w:val="24"/>
        </w:rPr>
        <w:t>Wreszcie, uznajemy i ponawiamy zaproszenie Komitetu Ministrów z czerwca 2019 r. skierowane do Sekretarza Generalnego, aby zwrócić uwagę władz amerykańskich na decyzję Komitetu Ministrów w przedmiotowej sprawie, dążąc do ponownego rozważenia udzielenia gwarancji dyplomatycznych, o które zwróciły się Polska i Litwa.</w:t>
      </w:r>
      <w:r w:rsidR="001318EE" w:rsidRPr="007207F7">
        <w:rPr>
          <w:rStyle w:val="Odwoanieprzypisudolnego"/>
          <w:sz w:val="24"/>
          <w:szCs w:val="24"/>
        </w:rPr>
        <w:footnoteReference w:id="150"/>
      </w:r>
      <w:r w:rsidRPr="007207F7">
        <w:rPr>
          <w:sz w:val="24"/>
          <w:szCs w:val="24"/>
        </w:rPr>
        <w:t xml:space="preserve"> Czekamy na informacje o dalszym bezpośrednim zaangażowaniu na najwyższym szczeblu w Radzie Europy.</w:t>
      </w:r>
    </w:p>
    <w:p w:rsidR="00F211E0" w:rsidRPr="007207F7" w:rsidRDefault="00F211E0" w:rsidP="00987EB2">
      <w:pPr>
        <w:pStyle w:val="Akapitzlist"/>
        <w:numPr>
          <w:ilvl w:val="0"/>
          <w:numId w:val="56"/>
        </w:numPr>
        <w:spacing w:before="120" w:after="0" w:line="240" w:lineRule="auto"/>
        <w:contextualSpacing w:val="0"/>
        <w:jc w:val="both"/>
        <w:rPr>
          <w:b/>
          <w:sz w:val="24"/>
          <w:szCs w:val="24"/>
        </w:rPr>
      </w:pPr>
      <w:r w:rsidRPr="007207F7">
        <w:rPr>
          <w:b/>
          <w:sz w:val="24"/>
          <w:szCs w:val="24"/>
        </w:rPr>
        <w:t>Śledztwo, prawda i odpowiedzialność</w:t>
      </w:r>
    </w:p>
    <w:p w:rsidR="00F211E0" w:rsidRPr="007207F7" w:rsidRDefault="00F211E0" w:rsidP="007207F7">
      <w:pPr>
        <w:spacing w:before="120" w:after="0" w:line="240" w:lineRule="auto"/>
        <w:jc w:val="both"/>
        <w:rPr>
          <w:sz w:val="24"/>
          <w:szCs w:val="24"/>
        </w:rPr>
      </w:pPr>
      <w:r w:rsidRPr="007207F7">
        <w:rPr>
          <w:sz w:val="24"/>
          <w:szCs w:val="24"/>
        </w:rPr>
        <w:t>Z ubolewaniem odnotowujemy brak postępów w śledztwie w sprawie poważnych przestępstw, które stanowią przedmiot sprawy, oraz potrzebę większej przejrzystości w Polsce i na Litwie. Zamiast liczyć na współpracę ze strony USA, której konsekwentnie brak, powinny one skorzystać z dostępnych sposobów prowadzenia śledztwa i współpracy w celu kontynuowania rygorystycznego niezależnego śledztwa i dochodzenia odpowiedzialności, zgodnie z wyrokiem ETPCz. Poniżej przedstawiono szczegółowe informacje i zalecenia dotyczące procesów w każdym z państw.</w:t>
      </w:r>
    </w:p>
    <w:p w:rsidR="00F211E0" w:rsidRPr="007207F7" w:rsidRDefault="00F211E0" w:rsidP="007207F7">
      <w:pPr>
        <w:spacing w:before="120" w:after="0" w:line="240" w:lineRule="auto"/>
        <w:jc w:val="both"/>
        <w:rPr>
          <w:b/>
          <w:sz w:val="24"/>
          <w:szCs w:val="24"/>
        </w:rPr>
      </w:pPr>
      <w:r w:rsidRPr="007207F7">
        <w:rPr>
          <w:b/>
          <w:sz w:val="24"/>
          <w:szCs w:val="24"/>
        </w:rPr>
        <w:t>Polska</w:t>
      </w:r>
    </w:p>
    <w:p w:rsidR="00F211E0" w:rsidRPr="007207F7" w:rsidRDefault="00F211E0" w:rsidP="007207F7">
      <w:pPr>
        <w:spacing w:before="120" w:after="0" w:line="240" w:lineRule="auto"/>
        <w:jc w:val="both"/>
        <w:rPr>
          <w:sz w:val="24"/>
          <w:szCs w:val="24"/>
        </w:rPr>
      </w:pPr>
      <w:r w:rsidRPr="007207F7">
        <w:rPr>
          <w:sz w:val="24"/>
          <w:szCs w:val="24"/>
        </w:rPr>
        <w:t>Śledztwo w sprawie zarzutów dotyczących tajnego więzienia CIA w Polsce wszczęto w dniu 11 marca 2008 r. Po niemal 12 latach sprawy nadal nie rozstrzygnięto, przy czym niewiele jest konkretnych oznak postępu i nie przedstawiono żadnych zarzutów. Śledztwo było wielokrotnie przedłużane, ostatnim razem do dnia 31 marca 2020 r.</w:t>
      </w:r>
      <w:r w:rsidR="001318EE" w:rsidRPr="007207F7">
        <w:rPr>
          <w:rStyle w:val="Odwoanieprzypisudolnego"/>
          <w:sz w:val="24"/>
          <w:szCs w:val="24"/>
        </w:rPr>
        <w:footnoteReference w:id="151"/>
      </w:r>
      <w:r w:rsidRPr="007207F7">
        <w:rPr>
          <w:sz w:val="24"/>
          <w:szCs w:val="24"/>
        </w:rPr>
        <w:t xml:space="preserve">  Nawet przy założeniu prawdziwości twierdzenia Prokuratury co do złożoności sprawy, brak konkretnych postępów jest nie do pogodzenia ze zbyt długim upływem czasu.</w:t>
      </w:r>
    </w:p>
    <w:p w:rsidR="00F211E0" w:rsidRPr="007207F7" w:rsidRDefault="00F211E0" w:rsidP="007207F7">
      <w:pPr>
        <w:spacing w:before="120" w:after="0" w:line="240" w:lineRule="auto"/>
        <w:jc w:val="both"/>
        <w:rPr>
          <w:sz w:val="24"/>
          <w:szCs w:val="24"/>
        </w:rPr>
      </w:pPr>
      <w:r w:rsidRPr="007207F7">
        <w:rPr>
          <w:sz w:val="24"/>
          <w:szCs w:val="24"/>
        </w:rPr>
        <w:t>Przyjmujemy do wiadomości informacje przekazane przez rząd na temat podjętych kroków, w tym: tłumaczenia dokumentów, przetwarzania dowodów cyfrowych, w tym akt policyjnych i operatorów telefonii komórkowej, uzyskanie opinii biegłych i zeznań świadków</w:t>
      </w:r>
      <w:r w:rsidR="003A2BBC" w:rsidRPr="007207F7">
        <w:rPr>
          <w:rStyle w:val="Odwoanieprzypisudolnego"/>
          <w:sz w:val="24"/>
          <w:szCs w:val="24"/>
        </w:rPr>
        <w:footnoteReference w:id="152"/>
      </w:r>
      <w:r w:rsidRPr="007207F7">
        <w:rPr>
          <w:sz w:val="24"/>
          <w:szCs w:val="24"/>
        </w:rPr>
        <w:t>, w tym wysokiego rangą oficera Agencji Wywiadu Zagranicznego</w:t>
      </w:r>
      <w:r w:rsidR="003A2BBC" w:rsidRPr="007207F7">
        <w:rPr>
          <w:rStyle w:val="Odwoanieprzypisudolnego"/>
          <w:sz w:val="24"/>
          <w:szCs w:val="24"/>
        </w:rPr>
        <w:footnoteReference w:id="153"/>
      </w:r>
      <w:r w:rsidRPr="007207F7">
        <w:rPr>
          <w:sz w:val="24"/>
          <w:szCs w:val="24"/>
        </w:rPr>
        <w:t xml:space="preserve">. Należy wezwać rząd do przedstawienia jak najbardziej konkretnych informacji na temat informacji uzyskanych w wyniku tych czynności, biorąc pod uwagę znaczenie podkreślanego przez Trybunał prawa do ustalenia prawdy i wyciągania wniosków z doświadczeń. Należy wyjaśnić, w jaki sposób czynności te przyczyniają się do postępów w śledztwie oraz, w miarę możliwości, jakie dalsze czynności są podejmowane i planowane. Ogólna odmowa z powołaniem się na potrzebę </w:t>
      </w:r>
      <w:r w:rsidRPr="007207F7">
        <w:rPr>
          <w:sz w:val="24"/>
          <w:szCs w:val="24"/>
        </w:rPr>
        <w:lastRenderedPageBreak/>
        <w:t>„dokładności” śledztwa jest niewystarczająca. Władze polskie powinny również zostać poproszone o wskazanie zasobów i personelu przeznaczonego do prowadzenia śledztwa w świetle rzekomej złożoności sprawy oraz o planowanych czynnościach śledczych.</w:t>
      </w:r>
    </w:p>
    <w:p w:rsidR="00F211E0" w:rsidRPr="007207F7" w:rsidRDefault="00F211E0" w:rsidP="007207F7">
      <w:pPr>
        <w:spacing w:before="120" w:after="0" w:line="240" w:lineRule="auto"/>
        <w:jc w:val="both"/>
        <w:rPr>
          <w:sz w:val="24"/>
          <w:szCs w:val="24"/>
        </w:rPr>
      </w:pPr>
      <w:r w:rsidRPr="007207F7">
        <w:rPr>
          <w:sz w:val="24"/>
          <w:szCs w:val="24"/>
        </w:rPr>
        <w:t>Nieskuteczność dotychczas przeprowadzonego śledztwa jasno wynika ze związanych z nim przeszkód. Doniesienia, że zeznania byłego prezydenta i premiera zostały zablokowane przez organy publiczne odpowiedzialne za ochronę informacji niejawnych, budzą poważne obawy</w:t>
      </w:r>
      <w:r w:rsidR="003A2BBC" w:rsidRPr="007207F7">
        <w:rPr>
          <w:rStyle w:val="Odwoanieprzypisudolnego"/>
          <w:sz w:val="24"/>
          <w:szCs w:val="24"/>
        </w:rPr>
        <w:footnoteReference w:id="154"/>
      </w:r>
      <w:r w:rsidRPr="007207F7">
        <w:rPr>
          <w:sz w:val="24"/>
          <w:szCs w:val="24"/>
        </w:rPr>
        <w:t>. W takiej sprawie jak niniejsza, skuteczne śledztwo wymaga dostępu do świadków ze wszystkich stron państwa, w tym agencji wywiadowczych i tych na najwyższym szczeblu rządowym. Komitet Ministrów powinien zwrócić się do tych państw o zobowiązanie się, że przesłuchania świadków będą przebiegać bez przeszkód.</w:t>
      </w:r>
    </w:p>
    <w:p w:rsidR="00F211E0" w:rsidRPr="007207F7" w:rsidRDefault="00F211E0" w:rsidP="007207F7">
      <w:pPr>
        <w:spacing w:before="120" w:after="0" w:line="240" w:lineRule="auto"/>
        <w:jc w:val="both"/>
        <w:rPr>
          <w:sz w:val="24"/>
          <w:szCs w:val="24"/>
          <w:lang w:val="en-US"/>
        </w:rPr>
      </w:pPr>
      <w:r w:rsidRPr="007207F7">
        <w:rPr>
          <w:sz w:val="24"/>
          <w:szCs w:val="24"/>
        </w:rPr>
        <w:t xml:space="preserve">Oba rządy wydają się usprawiedliwiać brak postępów w śledztwie, powołując się na złożone i odrzucone wnioski o międzynarodową pomoc prawną. Uznaje się, że Polska domagała się od USA informacji określonych w swoim planie działań za 2018 r. (oraz na zasadniczo podobnych warunkach) w najnowszym planie działań za 2020 r., a w szczególności: dokumentacji dotyczącej spotkań na wysokim szczeblu między władzami polskimi i amerykańskimi za okres 2001-2003; informacji dotyczących firm obsługujących przeloty do Polski; wniosków o przesłuchanie Abu Zubaydah i Al Nashiriego w charakterze świadków; wniosków o przesłuchanie w charakterze świadków innych obywateli USA, którzy w przedmiotowym okresie przebywali w Polsce i mogą mieć związek ze sprawą; pełnej i nieocenzurowanej wersji programu zatrzymań i przesłuchań CIA Specjalnej komisji senatu USA ds. wywiadu [ang. </w:t>
      </w:r>
      <w:r w:rsidRPr="007207F7">
        <w:rPr>
          <w:sz w:val="24"/>
          <w:szCs w:val="24"/>
          <w:lang w:val="en-US"/>
        </w:rPr>
        <w:t>Senate Select Committee on Intelligence Committee Study of the Central Intelligence Agency's Detention and Interrogation Program], jak również raportu mniejszości i komentarzy C</w:t>
      </w:r>
      <w:r w:rsidR="003A2BBC" w:rsidRPr="007207F7">
        <w:rPr>
          <w:sz w:val="24"/>
          <w:szCs w:val="24"/>
          <w:lang w:val="en-US"/>
        </w:rPr>
        <w:t>IA</w:t>
      </w:r>
      <w:r w:rsidR="003A2BBC" w:rsidRPr="007207F7">
        <w:rPr>
          <w:rStyle w:val="Odwoanieprzypisudolnego"/>
          <w:sz w:val="24"/>
          <w:szCs w:val="24"/>
          <w:lang w:val="en-US"/>
        </w:rPr>
        <w:footnoteReference w:id="155"/>
      </w:r>
      <w:r w:rsidRPr="007207F7">
        <w:rPr>
          <w:sz w:val="24"/>
          <w:szCs w:val="24"/>
          <w:lang w:val="en-US"/>
        </w:rPr>
        <w:t>.</w:t>
      </w:r>
    </w:p>
    <w:p w:rsidR="00F211E0" w:rsidRPr="007207F7" w:rsidRDefault="00F211E0" w:rsidP="007207F7">
      <w:pPr>
        <w:spacing w:before="120" w:after="0" w:line="240" w:lineRule="auto"/>
        <w:jc w:val="both"/>
        <w:rPr>
          <w:sz w:val="24"/>
          <w:szCs w:val="24"/>
        </w:rPr>
      </w:pPr>
      <w:r w:rsidRPr="007207F7">
        <w:rPr>
          <w:sz w:val="24"/>
          <w:szCs w:val="24"/>
        </w:rPr>
        <w:t>O ile brak współpracy ze strony USA niewątpliwie stanowi przeszkodę, o tyle współpraca nie jest konieczna do przeprowadzenia śledztwa i pociągnięcia do odpowiedzialności. O powyższym świadczy postęp, aczkolwiek ograniczony, w śledztwie prowadzonym przez władze Włoch w sprawie zbrodni CIA na ich terytorium. Rząd nie powinien zasłaniać się brakiem współpracy ze strony USA, ale powinien aktywnie skorzystać z innych dostępnych sposobów dochodzenia odpowiedzialności.</w:t>
      </w:r>
    </w:p>
    <w:p w:rsidR="00F211E0" w:rsidRPr="007207F7" w:rsidRDefault="00F211E0" w:rsidP="00987EB2">
      <w:pPr>
        <w:pStyle w:val="Akapitzlist"/>
        <w:numPr>
          <w:ilvl w:val="0"/>
          <w:numId w:val="58"/>
        </w:numPr>
        <w:spacing w:before="120" w:after="0" w:line="240" w:lineRule="auto"/>
        <w:contextualSpacing w:val="0"/>
        <w:jc w:val="both"/>
        <w:rPr>
          <w:sz w:val="24"/>
          <w:szCs w:val="24"/>
        </w:rPr>
      </w:pPr>
      <w:r w:rsidRPr="007207F7">
        <w:rPr>
          <w:sz w:val="24"/>
          <w:szCs w:val="24"/>
        </w:rPr>
        <w:t>Przede wszystkim staranne zgromadzenie materiału dowodowego w Polsce powinno umożliwić dostęp do wielu dowodów, m.in. do informacji pierwszej kategorii, o przekazanie których władze polskie zwróciły się do władz amerykańskich (spotkania między USA a Polską). Jak stwierdził ETPCz, jest nie do pomyślenia, że urzędnicy wysokiego szczebla byli całkowicie nieświadomi programu i tajnych ośrodków w Polsce oraz – jak zauważono powyżej – niedopuszczalne jest, aby uniemożliwiono im przedstawienie dowodów.</w:t>
      </w:r>
    </w:p>
    <w:p w:rsidR="00F211E0" w:rsidRPr="007207F7" w:rsidRDefault="00F211E0" w:rsidP="00987EB2">
      <w:pPr>
        <w:pStyle w:val="Akapitzlist"/>
        <w:numPr>
          <w:ilvl w:val="0"/>
          <w:numId w:val="58"/>
        </w:numPr>
        <w:spacing w:before="120" w:after="0" w:line="240" w:lineRule="auto"/>
        <w:contextualSpacing w:val="0"/>
        <w:jc w:val="both"/>
        <w:rPr>
          <w:sz w:val="24"/>
          <w:szCs w:val="24"/>
        </w:rPr>
      </w:pPr>
      <w:r w:rsidRPr="007207F7">
        <w:rPr>
          <w:sz w:val="24"/>
          <w:szCs w:val="24"/>
        </w:rPr>
        <w:t>Istnieje również coraz więcej publicznie dostępnych informacji na temat roli wielu osób i państw w programie wydawania więźniów. Jak stwierdzono w najnowszym polskim planie działań w sposób ograniczony, kilka osób napisało książki, a niektóre ostatnio złożyły zeznania publicznie, jak to miało miejsce w zeszłym tygodniu, kiedy to psychologowie James Mitchell i John Jessen złożyli zeznania w postępowaniu przed sądem wojskowym w Zatoce Guantanamo</w:t>
      </w:r>
      <w:r w:rsidR="003A2BBC" w:rsidRPr="007207F7">
        <w:rPr>
          <w:rStyle w:val="Odwoanieprzypisudolnego"/>
          <w:sz w:val="24"/>
          <w:szCs w:val="24"/>
        </w:rPr>
        <w:footnoteReference w:id="156"/>
      </w:r>
      <w:r w:rsidRPr="007207F7">
        <w:rPr>
          <w:sz w:val="24"/>
          <w:szCs w:val="24"/>
        </w:rPr>
        <w:t xml:space="preserve"> .</w:t>
      </w:r>
    </w:p>
    <w:p w:rsidR="00F211E0" w:rsidRPr="007207F7" w:rsidRDefault="00F211E0" w:rsidP="00987EB2">
      <w:pPr>
        <w:pStyle w:val="Akapitzlist"/>
        <w:numPr>
          <w:ilvl w:val="0"/>
          <w:numId w:val="58"/>
        </w:numPr>
        <w:spacing w:before="120" w:after="0" w:line="240" w:lineRule="auto"/>
        <w:contextualSpacing w:val="0"/>
        <w:jc w:val="both"/>
        <w:rPr>
          <w:sz w:val="24"/>
          <w:szCs w:val="24"/>
        </w:rPr>
      </w:pPr>
      <w:r w:rsidRPr="007207F7">
        <w:rPr>
          <w:sz w:val="24"/>
          <w:szCs w:val="24"/>
        </w:rPr>
        <w:lastRenderedPageBreak/>
        <w:t>Inne państwa i organizacje międzynarodowe mogą stanowić źródło informacji i współpracy. Prokurator MTK przeprowadził ostatnio wstępne badanie w odniesieniu do Afganistanu, w tym programu wydawania więźniów, który – jak się okazało – był częściowo realizowany w tym państwie, i stwierdził, że istnieją wystarczające dowody pozwalające na oficjalne wszczęcie śledztwa, na które Trybunał nie wydał jeszcze zgody</w:t>
      </w:r>
      <w:r w:rsidR="003A2BBC" w:rsidRPr="007207F7">
        <w:rPr>
          <w:rStyle w:val="Odwoanieprzypisudolnego"/>
          <w:sz w:val="24"/>
          <w:szCs w:val="24"/>
        </w:rPr>
        <w:footnoteReference w:id="157"/>
      </w:r>
      <w:r w:rsidRPr="007207F7">
        <w:rPr>
          <w:sz w:val="24"/>
          <w:szCs w:val="24"/>
        </w:rPr>
        <w:t xml:space="preserve"> . Biuro prokuratora i inne podmioty międzynarodowe mogą wyrazić gotowość do udzielenia pomocy prokuratorom krajowym, jeśli zostaną o to poproszeni</w:t>
      </w:r>
      <w:r w:rsidR="003A2BBC" w:rsidRPr="007207F7">
        <w:rPr>
          <w:rStyle w:val="Odwoanieprzypisudolnego"/>
          <w:sz w:val="24"/>
          <w:szCs w:val="24"/>
        </w:rPr>
        <w:footnoteReference w:id="158"/>
      </w:r>
      <w:r w:rsidRPr="007207F7">
        <w:rPr>
          <w:sz w:val="24"/>
          <w:szCs w:val="24"/>
        </w:rPr>
        <w:t xml:space="preserve"> . Należy dążyć do aktywnej współpracy z innymi państwami. Otrzymano odpowiedź na wnioski o pomoc prawną z Włoch, Litwy, Rumunii i Zjednoczonych Emiratów Arabskich, które powinny zostać zrealizowane</w:t>
      </w:r>
      <w:r w:rsidR="003A2BBC" w:rsidRPr="007207F7">
        <w:rPr>
          <w:rStyle w:val="Odwoanieprzypisudolnego"/>
          <w:sz w:val="24"/>
          <w:szCs w:val="24"/>
        </w:rPr>
        <w:footnoteReference w:id="159"/>
      </w:r>
      <w:r w:rsidRPr="007207F7">
        <w:rPr>
          <w:sz w:val="24"/>
          <w:szCs w:val="24"/>
        </w:rPr>
        <w:t xml:space="preserve"> .</w:t>
      </w:r>
    </w:p>
    <w:p w:rsidR="00F211E0" w:rsidRPr="007207F7" w:rsidRDefault="003A2BBC" w:rsidP="00987EB2">
      <w:pPr>
        <w:pStyle w:val="Akapitzlist"/>
        <w:numPr>
          <w:ilvl w:val="0"/>
          <w:numId w:val="59"/>
        </w:numPr>
        <w:spacing w:before="120" w:after="0" w:line="240" w:lineRule="auto"/>
        <w:contextualSpacing w:val="0"/>
        <w:jc w:val="both"/>
        <w:rPr>
          <w:sz w:val="24"/>
          <w:szCs w:val="24"/>
        </w:rPr>
      </w:pPr>
      <w:r w:rsidRPr="007207F7">
        <w:rPr>
          <w:sz w:val="24"/>
          <w:szCs w:val="24"/>
        </w:rPr>
        <w:t>W</w:t>
      </w:r>
      <w:r w:rsidR="00F211E0" w:rsidRPr="007207F7">
        <w:rPr>
          <w:sz w:val="24"/>
          <w:szCs w:val="24"/>
        </w:rPr>
        <w:t>ciąż pojawiają się informacje dotyczące roli innych państw, w tym w ramach Rady Europy, takiej jak rola Wielkiej Brytanii – co zostało ujawnione w raporcie brytyjskiego parlamentarnego Komitetu ds. Wywiadu i Bezpieczeństwa opublikowanym w dniu 28 czerwca 2018 r. – a sprawa jest obecnie rozpatrywana przez brytyjską Prokuraturę Koronną. Oba państwa powinny zdecydowanie dążyć do współpracy międzynarodowej i zapewnić wprowadzenie praktycznych i instytucjonalnych rozwiązań w celu wspierania skutecznej współpracy między państwami.</w:t>
      </w:r>
    </w:p>
    <w:p w:rsidR="00F211E0" w:rsidRPr="007207F7" w:rsidRDefault="00F211E0" w:rsidP="00987EB2">
      <w:pPr>
        <w:pStyle w:val="Akapitzlist"/>
        <w:numPr>
          <w:ilvl w:val="0"/>
          <w:numId w:val="59"/>
        </w:numPr>
        <w:spacing w:before="120" w:after="0" w:line="240" w:lineRule="auto"/>
        <w:contextualSpacing w:val="0"/>
        <w:jc w:val="both"/>
        <w:rPr>
          <w:sz w:val="24"/>
          <w:szCs w:val="24"/>
        </w:rPr>
      </w:pPr>
      <w:r w:rsidRPr="007207F7">
        <w:rPr>
          <w:sz w:val="24"/>
          <w:szCs w:val="24"/>
        </w:rPr>
        <w:t>Wreszcie w samych Stanach Zjednoczonych znamienne jest, że amerykański sąd apelacyjny w orzeczeniu z dnia 18 września 2019 r. potwierdził możliwość skorzystania z prawa do wezwania do stawiennictwa świadków – w tym przypadku amerykańskich psychologów odpowiedzialnych za opracowanie metod tortur – oraz że instytucja „tajemnicy państwowej” nie ma zastosowania</w:t>
      </w:r>
      <w:r w:rsidR="003A2BBC" w:rsidRPr="007207F7">
        <w:rPr>
          <w:rStyle w:val="Odwoanieprzypisudolnego"/>
          <w:sz w:val="24"/>
          <w:szCs w:val="24"/>
        </w:rPr>
        <w:footnoteReference w:id="160"/>
      </w:r>
      <w:r w:rsidRPr="007207F7">
        <w:rPr>
          <w:sz w:val="24"/>
          <w:szCs w:val="24"/>
        </w:rPr>
        <w:t xml:space="preserve"> . Chętnie przyjmiemy uwagi władz na temat tego, jakie kroki zamierza podjąć Prokurator, biorąc pod uwagę tę nową możliwość pozyskania dowodów.</w:t>
      </w:r>
    </w:p>
    <w:p w:rsidR="00F211E0" w:rsidRPr="007207F7" w:rsidRDefault="00F211E0" w:rsidP="007207F7">
      <w:pPr>
        <w:spacing w:before="120" w:after="0" w:line="240" w:lineRule="auto"/>
        <w:jc w:val="both"/>
        <w:rPr>
          <w:sz w:val="24"/>
          <w:szCs w:val="24"/>
        </w:rPr>
      </w:pPr>
      <w:r w:rsidRPr="007207F7">
        <w:rPr>
          <w:sz w:val="24"/>
          <w:szCs w:val="24"/>
        </w:rPr>
        <w:t>Doceniamy, że w sytuacji, gdy Stany Zjednoczone odmówiły współpracy, Sekretarz Generalny interweniował bezpośrednio, wysyłając pismo do konsula generalnego w biurze stałego obserwatora w Strasburgu</w:t>
      </w:r>
      <w:r w:rsidR="003A2BBC" w:rsidRPr="007207F7">
        <w:rPr>
          <w:rStyle w:val="Odwoanieprzypisudolnego"/>
          <w:sz w:val="24"/>
          <w:szCs w:val="24"/>
        </w:rPr>
        <w:footnoteReference w:id="161"/>
      </w:r>
      <w:r w:rsidRPr="007207F7">
        <w:rPr>
          <w:sz w:val="24"/>
          <w:szCs w:val="24"/>
        </w:rPr>
        <w:t xml:space="preserve"> . Wzywamy go do podjęcia zdecydowanych działań następczych w celu ujawnienia i zakwestionowania ingerencji USA we wdrażanie zobowiązań państw europejskich oraz do ułatwienia międzynarodowego śledztwa i współpracy.</w:t>
      </w:r>
    </w:p>
    <w:p w:rsidR="00F211E0" w:rsidRPr="007207F7" w:rsidRDefault="00F211E0" w:rsidP="007207F7">
      <w:pPr>
        <w:spacing w:before="120" w:after="0" w:line="240" w:lineRule="auto"/>
        <w:jc w:val="both"/>
        <w:rPr>
          <w:sz w:val="24"/>
          <w:szCs w:val="24"/>
        </w:rPr>
      </w:pPr>
      <w:r w:rsidRPr="007207F7">
        <w:rPr>
          <w:sz w:val="24"/>
          <w:szCs w:val="24"/>
        </w:rPr>
        <w:t xml:space="preserve">Jak jasno wynika z wyroków ETPCz, istotne jest, aby prokuratura aktywnie współpracowała z ofiarą i informowała o tym opinię publiczną. Rząd polski informuje, że prokuratura w pełni </w:t>
      </w:r>
      <w:r w:rsidRPr="007207F7">
        <w:rPr>
          <w:sz w:val="24"/>
          <w:szCs w:val="24"/>
        </w:rPr>
        <w:lastRenderedPageBreak/>
        <w:t>informuje skarżących w postępowaniu i odpowiada na zapytania Rzecznika Praw Obywatelskich i organizacji pozarządowych, ale korespondencja z prokuraturą jest bardziej ograniczona niż wynika to z raportu</w:t>
      </w:r>
      <w:r w:rsidR="003A2BBC" w:rsidRPr="007207F7">
        <w:rPr>
          <w:rStyle w:val="Odwoanieprzypisudolnego"/>
          <w:sz w:val="24"/>
          <w:szCs w:val="24"/>
        </w:rPr>
        <w:footnoteReference w:id="162"/>
      </w:r>
      <w:r w:rsidRPr="007207F7">
        <w:rPr>
          <w:sz w:val="24"/>
          <w:szCs w:val="24"/>
        </w:rPr>
        <w:t xml:space="preserve"> . Wbrew twierdzeniom rządu, z raportu Helsińskiej Fundacji Praw Człowieka wynika, że prokuratura nie informuje opinii publicznej o postępach w śledztwie</w:t>
      </w:r>
      <w:r w:rsidR="003A2BBC" w:rsidRPr="007207F7">
        <w:rPr>
          <w:rStyle w:val="Odwoanieprzypisudolnego"/>
          <w:sz w:val="24"/>
          <w:szCs w:val="24"/>
        </w:rPr>
        <w:footnoteReference w:id="163"/>
      </w:r>
      <w:r w:rsidRPr="007207F7">
        <w:rPr>
          <w:sz w:val="24"/>
          <w:szCs w:val="24"/>
        </w:rPr>
        <w:t xml:space="preserve"> .</w:t>
      </w:r>
    </w:p>
    <w:p w:rsidR="00F211E0" w:rsidRPr="007207F7" w:rsidRDefault="00F211E0" w:rsidP="007207F7">
      <w:pPr>
        <w:spacing w:before="120" w:after="0" w:line="240" w:lineRule="auto"/>
        <w:jc w:val="both"/>
        <w:rPr>
          <w:sz w:val="24"/>
          <w:szCs w:val="24"/>
        </w:rPr>
      </w:pPr>
      <w:r w:rsidRPr="007207F7">
        <w:rPr>
          <w:sz w:val="24"/>
          <w:szCs w:val="24"/>
        </w:rPr>
        <w:t>Pełnomocnikowi skarżącego zależy na przeprowadzeniu skutecznego śledztwa oraz na udzieleniu, w każdy możliwy sposób, wsparcia w przedłużeniu znaczącego śledztwa. Należy jednak zauważyć, że ciągłe przedłużanie śledztwa bez konkretnych działań, które nie przynosi rezultatów, paraliżuje działania prawne pełnomocnika procesowego Abu Zubaydaha i społeczeństwa obywatelskiego, ponieważ nie ma możliwości wnoszenia środków zaskarżenia w toku trwającego śledztwa.</w:t>
      </w:r>
    </w:p>
    <w:p w:rsidR="00F211E0" w:rsidRPr="007207F7" w:rsidRDefault="00F211E0" w:rsidP="007207F7">
      <w:pPr>
        <w:spacing w:before="120" w:after="0" w:line="240" w:lineRule="auto"/>
        <w:jc w:val="both"/>
        <w:rPr>
          <w:b/>
          <w:sz w:val="24"/>
          <w:szCs w:val="24"/>
        </w:rPr>
      </w:pPr>
      <w:r w:rsidRPr="007207F7">
        <w:rPr>
          <w:b/>
          <w:sz w:val="24"/>
          <w:szCs w:val="24"/>
        </w:rPr>
        <w:t>Litwa</w:t>
      </w:r>
    </w:p>
    <w:p w:rsidR="00F211E0" w:rsidRPr="007207F7" w:rsidRDefault="00F211E0" w:rsidP="007207F7">
      <w:pPr>
        <w:spacing w:before="120" w:after="0" w:line="240" w:lineRule="auto"/>
        <w:jc w:val="both"/>
        <w:rPr>
          <w:sz w:val="24"/>
          <w:szCs w:val="24"/>
        </w:rPr>
      </w:pPr>
      <w:r w:rsidRPr="007207F7">
        <w:rPr>
          <w:sz w:val="24"/>
          <w:szCs w:val="24"/>
        </w:rPr>
        <w:t>Stwierdzenie naruszenia prawa do prawdy i obowiązku przeprowadzenia śledztwa to kluczowe elementy wyroku w tej sprawie i muszą to być kluczowe elementy każdego planu wykonania wyroku. Jednak od czasu wydania wyroku nie nastąpił wyraźny postęp w litewskim śledztwie, czy to w zakresie przejrzystości czy ustalaniu prawdy.</w:t>
      </w:r>
    </w:p>
    <w:p w:rsidR="00F211E0" w:rsidRPr="007207F7" w:rsidRDefault="00F211E0" w:rsidP="007207F7">
      <w:pPr>
        <w:spacing w:before="120" w:after="0" w:line="240" w:lineRule="auto"/>
        <w:jc w:val="both"/>
        <w:rPr>
          <w:sz w:val="24"/>
          <w:szCs w:val="24"/>
        </w:rPr>
      </w:pPr>
      <w:r w:rsidRPr="007207F7">
        <w:rPr>
          <w:sz w:val="24"/>
          <w:szCs w:val="24"/>
        </w:rPr>
        <w:t>Podcza</w:t>
      </w:r>
      <w:r w:rsidR="007207F7" w:rsidRPr="007207F7">
        <w:rPr>
          <w:sz w:val="24"/>
          <w:szCs w:val="24"/>
        </w:rPr>
        <w:t>s posiedzenia w czerwcu 2019 r.</w:t>
      </w:r>
      <w:r w:rsidR="007207F7" w:rsidRPr="007207F7">
        <w:rPr>
          <w:rStyle w:val="Odwoanieprzypisudolnego"/>
          <w:sz w:val="24"/>
          <w:szCs w:val="24"/>
        </w:rPr>
        <w:footnoteReference w:id="164"/>
      </w:r>
      <w:r w:rsidRPr="007207F7">
        <w:rPr>
          <w:sz w:val="24"/>
          <w:szCs w:val="24"/>
        </w:rPr>
        <w:t xml:space="preserve"> Komitet odnotował z zadowoleniem, że: „zespół śledczy zatwierdził plan śledztwa i ma dostęp do wszystkich istotnych informacji, w tym informacji niejawnych”. Z uznaniem odnotowujemy również złożone po tym spotkaniu przez Ministra Sprawiedliwości oświadczenie prasowe o konieczności „przestrzegania zasady zerowej tolerancji wobec wszelkich naruszeń praw człowieka” i podjęcia działań prewencyjnych na przyszłość</w:t>
      </w:r>
      <w:r w:rsidR="007207F7" w:rsidRPr="007207F7">
        <w:rPr>
          <w:rStyle w:val="Odwoanieprzypisudolnego"/>
          <w:sz w:val="24"/>
          <w:szCs w:val="24"/>
        </w:rPr>
        <w:footnoteReference w:id="165"/>
      </w:r>
      <w:r w:rsidRPr="007207F7">
        <w:rPr>
          <w:sz w:val="24"/>
          <w:szCs w:val="24"/>
        </w:rPr>
        <w:t>.</w:t>
      </w:r>
    </w:p>
    <w:p w:rsidR="00F211E0" w:rsidRPr="007207F7" w:rsidRDefault="00F211E0" w:rsidP="007207F7">
      <w:pPr>
        <w:spacing w:before="120" w:after="0" w:line="240" w:lineRule="auto"/>
        <w:jc w:val="both"/>
        <w:rPr>
          <w:sz w:val="24"/>
          <w:szCs w:val="24"/>
        </w:rPr>
      </w:pPr>
      <w:r w:rsidRPr="007207F7">
        <w:rPr>
          <w:sz w:val="24"/>
          <w:szCs w:val="24"/>
        </w:rPr>
        <w:t>Rząd litewski w swoim najbardziej aktualnym planie działania wskazuje jednak niewiele konkretnych zmian, a wiele uzasadnień dla ich braku. Wskazując, że „złożoność śledztwa jest z góry przesądzona przez okoliczność, że główny materiał dowodowy znajduje się w posiadaniu jurysdykcji zagranicznych”, władze usprawiedliwiają brak postępu w śledztwie brakiem współpracy ze strony USA. Stwierdza się, że we wrześniu 2018 r. do Departamentu Sprawiedliwości USA został skierowany wniosek o udzielenie międzynarodowej pomocy prawnej, który odrzucono w dniu 2 października 2018 r. Jak jednak zauważono powyżej w odniesieniu do Polski, istnieje wiele innych możliwości i mechanizmów, które zapewniają nowe sposoby współpracy w ramach USA i poza nimi.</w:t>
      </w:r>
    </w:p>
    <w:p w:rsidR="00F211E0" w:rsidRPr="007207F7" w:rsidRDefault="00F211E0" w:rsidP="007207F7">
      <w:pPr>
        <w:spacing w:before="120" w:after="0" w:line="240" w:lineRule="auto"/>
        <w:jc w:val="both"/>
        <w:rPr>
          <w:sz w:val="24"/>
          <w:szCs w:val="24"/>
        </w:rPr>
      </w:pPr>
      <w:r w:rsidRPr="007207F7">
        <w:rPr>
          <w:sz w:val="24"/>
          <w:szCs w:val="24"/>
        </w:rPr>
        <w:t>Dotychczas państwa nie spełniły wymogów Trybunału w zakresie przejrzystości. Ostatnie oficjalne stanowisko Prokuratury w sprawie naszego klienta zostało opublikowane na jej stronie internetowej w dniu 8 października 2018 r. i ma bardzo ograniczoną treść</w:t>
      </w:r>
      <w:r w:rsidR="007207F7" w:rsidRPr="007207F7">
        <w:rPr>
          <w:rStyle w:val="Odwoanieprzypisudolnego"/>
          <w:sz w:val="24"/>
          <w:szCs w:val="24"/>
        </w:rPr>
        <w:footnoteReference w:id="166"/>
      </w:r>
      <w:r w:rsidRPr="007207F7">
        <w:rPr>
          <w:sz w:val="24"/>
          <w:szCs w:val="24"/>
        </w:rPr>
        <w:t xml:space="preserve">. Wyniki śledztwa na Litwie pozostają utajnione przed opinią publiczną. Zawarta w najbardziej </w:t>
      </w:r>
      <w:r w:rsidRPr="007207F7">
        <w:rPr>
          <w:sz w:val="24"/>
          <w:szCs w:val="24"/>
        </w:rPr>
        <w:lastRenderedPageBreak/>
        <w:t>aktualnym planie działań przedstawionym Komitetowi sugestia, że na tym etapie śledztwa przedstawianie planu pozostałych czynności śledczych jest „przedwczesna”, jest trudna do pogodzenia ze zbyt długim upływem czasu. Podobnie, jak zauważył Trybunał, krytykując „owiane tajemnicą” śledztwo, usprawiedliwienia oparte na „poufnym charakterze materiałów śledztwa” są niewystarczające.</w:t>
      </w:r>
    </w:p>
    <w:p w:rsidR="00F211E0" w:rsidRPr="007207F7" w:rsidRDefault="00F211E0" w:rsidP="007207F7">
      <w:pPr>
        <w:spacing w:before="120" w:after="0" w:line="240" w:lineRule="auto"/>
        <w:jc w:val="both"/>
        <w:rPr>
          <w:sz w:val="24"/>
          <w:szCs w:val="24"/>
        </w:rPr>
      </w:pPr>
      <w:r w:rsidRPr="007207F7">
        <w:rPr>
          <w:sz w:val="24"/>
          <w:szCs w:val="24"/>
        </w:rPr>
        <w:t>Obiecująca jest jednak wprowadzona przez rząd litewski nowa kwalifikacja przestępstw, w sprawie których toczy się śledztwo. Wskazał, że w 2019 r. nastąpiła zmiana kwalifikacji postępowania przygotowawczego, które początkowo prowadzono na podstawie art. 292 ust. 3 Kodeksu karnego, dotyczącego bezprawnego przewozu osoby przez granicę państwa, oraz art. 228 ust. 1 przewidującego odpowiedzialność za przekroczenie uprawnień, na art. 100 Kodeksu karnego dotyczący traktowania człowieka zakazanego przez prawo międzynarodowe, który nie ulega prz</w:t>
      </w:r>
      <w:r w:rsidR="007207F7" w:rsidRPr="007207F7">
        <w:rPr>
          <w:sz w:val="24"/>
          <w:szCs w:val="24"/>
        </w:rPr>
        <w:t>edawnieniu</w:t>
      </w:r>
      <w:r w:rsidR="007207F7" w:rsidRPr="007207F7">
        <w:rPr>
          <w:rStyle w:val="Odwoanieprzypisudolnego"/>
          <w:sz w:val="24"/>
          <w:szCs w:val="24"/>
        </w:rPr>
        <w:footnoteReference w:id="167"/>
      </w:r>
      <w:r w:rsidRPr="007207F7">
        <w:rPr>
          <w:sz w:val="24"/>
          <w:szCs w:val="24"/>
        </w:rPr>
        <w:t>. Władze litewskie wyraziły również determinację do przeprowadzenia odpowiednich czynności śledczych zgodnie z prawem w celu ścigania osób odpowiedzialnych.</w:t>
      </w:r>
    </w:p>
    <w:p w:rsidR="00F211E0" w:rsidRPr="007207F7" w:rsidRDefault="00F211E0" w:rsidP="007207F7">
      <w:pPr>
        <w:spacing w:before="120" w:after="0" w:line="240" w:lineRule="auto"/>
        <w:jc w:val="both"/>
        <w:rPr>
          <w:sz w:val="24"/>
          <w:szCs w:val="24"/>
        </w:rPr>
      </w:pPr>
      <w:r w:rsidRPr="007207F7">
        <w:rPr>
          <w:sz w:val="24"/>
          <w:szCs w:val="24"/>
        </w:rPr>
        <w:t>Obecnie jednak rząd jedynie ogólnikowo wspomina o podjętych czynnościach śledczych. Niewiele jest dowodów na poparcie wniosku, że władze robią wszystko, co w ich mocy, aby przeprowadzić rygorystyczne śledztwo i ścigać osoby odpowiedzialne. Jak wspomniano w odniesieniu do Polski, istnieje wiele sposobów, z których można skorzystać, oraz form współpracy i wsparcia, których można poszukiwać. Nalegamy, aby Komitet Ministrów zwrócił się do rządu litewskiego o udzielenie bardziej szczegółowych, konkretnych wskazówek, zgodnie z podjętym zobowiązaniem i przejrzystością wymaganą w wyroku Trybunału.</w:t>
      </w:r>
    </w:p>
    <w:p w:rsidR="00F211E0" w:rsidRPr="007207F7" w:rsidRDefault="00F211E0" w:rsidP="007207F7">
      <w:pPr>
        <w:spacing w:before="120" w:after="0" w:line="240" w:lineRule="auto"/>
        <w:jc w:val="both"/>
        <w:rPr>
          <w:sz w:val="24"/>
          <w:szCs w:val="24"/>
        </w:rPr>
      </w:pPr>
      <w:r w:rsidRPr="007207F7">
        <w:rPr>
          <w:sz w:val="24"/>
          <w:szCs w:val="24"/>
        </w:rPr>
        <w:t>Podobnie jak w przypadku Polski, wzywa się Komitet do poszukiwania konkretnych wskazówek dotyczących wsparcia instytucjonalnego i zasobów, które mają być przeznaczone na kontynuowanie współpracy międzynarodowej z partnerami krajowymi i międzynarodowymi w celu skuteczniejszego prowadzenia śledztw w tych sprawach. Jak wskazano powyżej w odniesieniu do Polski „europejski nakaz dochodzeniowy dla właściwych organów rumuńskich” jest istotny, ale sam w sobie niewystarczający.</w:t>
      </w:r>
    </w:p>
    <w:p w:rsidR="00F211E0" w:rsidRPr="007207F7" w:rsidRDefault="00F211E0" w:rsidP="007207F7">
      <w:pPr>
        <w:spacing w:before="120" w:after="0" w:line="240" w:lineRule="auto"/>
        <w:jc w:val="both"/>
        <w:rPr>
          <w:sz w:val="24"/>
          <w:szCs w:val="24"/>
        </w:rPr>
      </w:pPr>
      <w:r w:rsidRPr="007207F7">
        <w:rPr>
          <w:sz w:val="24"/>
          <w:szCs w:val="24"/>
        </w:rPr>
        <w:t>Chociaż rząd litewski (Ministerstwo Sprawiedliwości) jest odpowiedzialny za tłumaczenie wyroku ETPCz na język litewski, to po niemal dwóch latach opublikowano jedynie streszczenie wyroku</w:t>
      </w:r>
      <w:r w:rsidR="007207F7" w:rsidRPr="007207F7">
        <w:rPr>
          <w:rStyle w:val="Odwoanieprzypisudolnego"/>
          <w:sz w:val="24"/>
          <w:szCs w:val="24"/>
        </w:rPr>
        <w:footnoteReference w:id="168"/>
      </w:r>
      <w:r w:rsidRPr="007207F7">
        <w:rPr>
          <w:sz w:val="24"/>
          <w:szCs w:val="24"/>
        </w:rPr>
        <w:t>. Nalegamy, aby doradzić rządowi litewskiemu jak najszybsze przygotowanie tłumaczenia, które stanowi niewielki element prawa społeczeństwa do poznania prawdy.</w:t>
      </w:r>
    </w:p>
    <w:p w:rsidR="00F211E0" w:rsidRPr="007207F7" w:rsidRDefault="00F211E0" w:rsidP="00987EB2">
      <w:pPr>
        <w:pStyle w:val="Akapitzlist"/>
        <w:numPr>
          <w:ilvl w:val="0"/>
          <w:numId w:val="56"/>
        </w:numPr>
        <w:spacing w:before="120" w:after="0" w:line="240" w:lineRule="auto"/>
        <w:contextualSpacing w:val="0"/>
        <w:jc w:val="both"/>
        <w:rPr>
          <w:b/>
          <w:sz w:val="24"/>
          <w:szCs w:val="24"/>
        </w:rPr>
      </w:pPr>
      <w:r w:rsidRPr="007207F7">
        <w:rPr>
          <w:b/>
          <w:sz w:val="24"/>
          <w:szCs w:val="24"/>
        </w:rPr>
        <w:t>Potwierdzenie</w:t>
      </w:r>
    </w:p>
    <w:p w:rsidR="00F211E0" w:rsidRPr="007207F7" w:rsidRDefault="00F211E0" w:rsidP="007207F7">
      <w:pPr>
        <w:spacing w:before="120" w:after="0" w:line="240" w:lineRule="auto"/>
        <w:jc w:val="both"/>
        <w:rPr>
          <w:sz w:val="24"/>
          <w:szCs w:val="24"/>
        </w:rPr>
      </w:pPr>
      <w:r w:rsidRPr="007207F7">
        <w:rPr>
          <w:sz w:val="24"/>
          <w:szCs w:val="24"/>
        </w:rPr>
        <w:t>Istotnym krokiem jest potwierdzenie faktów leżących u podstaw sprawy i naruszeń praw naszego klienta oraz odpowiedzialności Polski i Litwy za nie. Uznajemy oświadczenia urzędników wysokiego szczebla, takich jak były polski premier, o znaczeniu dla przyszłości zapewnienia, że „nic takieg</w:t>
      </w:r>
      <w:r w:rsidR="007207F7" w:rsidRPr="007207F7">
        <w:rPr>
          <w:sz w:val="24"/>
          <w:szCs w:val="24"/>
        </w:rPr>
        <w:t>o w Polsce już się nie wydarzy”</w:t>
      </w:r>
      <w:r w:rsidR="007207F7" w:rsidRPr="007207F7">
        <w:rPr>
          <w:rStyle w:val="Odwoanieprzypisudolnego"/>
          <w:sz w:val="24"/>
          <w:szCs w:val="24"/>
        </w:rPr>
        <w:footnoteReference w:id="169"/>
      </w:r>
      <w:r w:rsidRPr="007207F7">
        <w:rPr>
          <w:sz w:val="24"/>
          <w:szCs w:val="24"/>
        </w:rPr>
        <w:t>.</w:t>
      </w:r>
    </w:p>
    <w:p w:rsidR="00F211E0" w:rsidRPr="007207F7" w:rsidRDefault="00F211E0" w:rsidP="007207F7">
      <w:pPr>
        <w:spacing w:before="120" w:after="0" w:line="240" w:lineRule="auto"/>
        <w:jc w:val="both"/>
        <w:rPr>
          <w:sz w:val="24"/>
          <w:szCs w:val="24"/>
        </w:rPr>
      </w:pPr>
      <w:r w:rsidRPr="007207F7">
        <w:rPr>
          <w:sz w:val="24"/>
          <w:szCs w:val="24"/>
        </w:rPr>
        <w:lastRenderedPageBreak/>
        <w:t>Pomimo że ostateczne wyroki ETPCz zostały wydane w latach 2014 i 2018, państwa te nadal nie wyjaśniły ani nie potwierdziły faktów związanych z przetrzymywaniem naszego klienta, ani nie przyznały publicznie, że na ich terytorium funkcjonują więzienia CIA. Co istotne, mimo że fakty leżące u podstaw sprawy są obecnie powszechnie znane, państwa nie przyznały się do nich ani nie przeprosiły skarżącego.</w:t>
      </w:r>
    </w:p>
    <w:p w:rsidR="00F211E0" w:rsidRPr="007207F7" w:rsidRDefault="00F211E0" w:rsidP="007207F7">
      <w:pPr>
        <w:spacing w:before="120" w:after="0" w:line="240" w:lineRule="auto"/>
        <w:jc w:val="both"/>
        <w:rPr>
          <w:sz w:val="24"/>
          <w:szCs w:val="24"/>
        </w:rPr>
      </w:pPr>
      <w:r w:rsidRPr="007207F7">
        <w:rPr>
          <w:sz w:val="24"/>
          <w:szCs w:val="24"/>
        </w:rPr>
        <w:t>Wzywamy Komitet do zalecenia, aby rządy Polski i Litwy wydały oficjalne oświadczenie i uznały swoją odpowiedzialność za łamanie praw naszych klientów. W tym względzie publiczne przeprosiny stanowiłyby ważny krok w kierunku realnego wykonania wyroku.</w:t>
      </w:r>
    </w:p>
    <w:p w:rsidR="00F211E0" w:rsidRPr="007207F7" w:rsidRDefault="00F211E0" w:rsidP="00987EB2">
      <w:pPr>
        <w:pStyle w:val="Akapitzlist"/>
        <w:numPr>
          <w:ilvl w:val="0"/>
          <w:numId w:val="56"/>
        </w:numPr>
        <w:spacing w:before="120" w:after="0" w:line="240" w:lineRule="auto"/>
        <w:contextualSpacing w:val="0"/>
        <w:jc w:val="both"/>
        <w:rPr>
          <w:b/>
          <w:sz w:val="24"/>
          <w:szCs w:val="24"/>
        </w:rPr>
      </w:pPr>
      <w:r w:rsidRPr="007207F7">
        <w:rPr>
          <w:b/>
          <w:sz w:val="24"/>
          <w:szCs w:val="24"/>
        </w:rPr>
        <w:t>Środki generalne: Reforma</w:t>
      </w:r>
    </w:p>
    <w:p w:rsidR="00F211E0" w:rsidRPr="007207F7" w:rsidRDefault="00F211E0" w:rsidP="007207F7">
      <w:pPr>
        <w:spacing w:before="120" w:after="0" w:line="240" w:lineRule="auto"/>
        <w:jc w:val="both"/>
        <w:rPr>
          <w:sz w:val="24"/>
          <w:szCs w:val="24"/>
        </w:rPr>
      </w:pPr>
      <w:r w:rsidRPr="007207F7">
        <w:rPr>
          <w:sz w:val="24"/>
          <w:szCs w:val="24"/>
        </w:rPr>
        <w:t>Skuteczne wykonanie wyroku tego rodzaju wymaga procesu refleksji i reformy w celu niedopuszczenia do kolejnej takiej sytuacji. Z przedłożonych planów działań w szczególności nie wynikają żadne wnioski dotyczące odpowiedzialności instytucjonalnej i reformy. Szczególny niepokój budzi fakt, że Polska nie poradziła sobie z długotrwałymi niedociągnięciami prawnymi i ustrojowymi w zakresie nadzoru nad agencjami wywiadowczymi.</w:t>
      </w:r>
    </w:p>
    <w:p w:rsidR="00F211E0" w:rsidRPr="007207F7" w:rsidRDefault="00F211E0" w:rsidP="007207F7">
      <w:pPr>
        <w:spacing w:before="120" w:after="0" w:line="240" w:lineRule="auto"/>
        <w:jc w:val="both"/>
        <w:rPr>
          <w:b/>
          <w:sz w:val="24"/>
          <w:szCs w:val="24"/>
        </w:rPr>
      </w:pPr>
      <w:r w:rsidRPr="007207F7">
        <w:rPr>
          <w:b/>
          <w:sz w:val="24"/>
          <w:szCs w:val="24"/>
        </w:rPr>
        <w:t>Polska</w:t>
      </w:r>
    </w:p>
    <w:p w:rsidR="00F211E0" w:rsidRPr="007207F7" w:rsidRDefault="00F211E0" w:rsidP="007207F7">
      <w:pPr>
        <w:spacing w:before="120" w:after="0" w:line="240" w:lineRule="auto"/>
        <w:jc w:val="both"/>
        <w:rPr>
          <w:sz w:val="24"/>
          <w:szCs w:val="24"/>
        </w:rPr>
      </w:pPr>
      <w:r w:rsidRPr="007207F7">
        <w:rPr>
          <w:sz w:val="24"/>
          <w:szCs w:val="24"/>
        </w:rPr>
        <w:t xml:space="preserve">W swojej ostatniej decyzji z dnia 6 czerwca 2019 r., Komitet „z głębokim żalem przyjmuje brak postępów w przyjmowaniu niezbędnych środków generalnych i wzywa władze do zintensyfikowania bez dalszej zwłoki prac nad wprowadzeniem środków mających na celu wzmocnienie nadzoru nad służbami specjalnymi i do zapewnienia niezakłóconej komunikacji i wymiany dokumentów z Trybunałem oraz do poinformowania Komitetu o konkretnych rezultatach”. </w:t>
      </w:r>
    </w:p>
    <w:p w:rsidR="00F211E0" w:rsidRPr="007207F7" w:rsidRDefault="00F211E0" w:rsidP="007207F7">
      <w:pPr>
        <w:spacing w:before="120" w:after="0" w:line="240" w:lineRule="auto"/>
        <w:jc w:val="both"/>
        <w:rPr>
          <w:sz w:val="24"/>
          <w:szCs w:val="24"/>
        </w:rPr>
      </w:pPr>
      <w:r w:rsidRPr="007207F7">
        <w:rPr>
          <w:sz w:val="24"/>
          <w:szCs w:val="24"/>
        </w:rPr>
        <w:t>Pilna potrzeba reformy służb wywiadowczych od dawna budzi niepokój w Polsce. Dotychczas przeprowadzone nieliczne reformy stanowiły przedmiot krytyki ze względu na brak jasności co do kompetencji, struktury i nadzoru oraz utrzymujący się brak nadzoru i kont</w:t>
      </w:r>
      <w:r w:rsidR="007207F7" w:rsidRPr="007207F7">
        <w:rPr>
          <w:sz w:val="24"/>
          <w:szCs w:val="24"/>
        </w:rPr>
        <w:t>roli instytucjonalnej i sądowej</w:t>
      </w:r>
      <w:r w:rsidR="007207F7" w:rsidRPr="007207F7">
        <w:rPr>
          <w:rStyle w:val="Odwoanieprzypisudolnego"/>
          <w:sz w:val="24"/>
          <w:szCs w:val="24"/>
        </w:rPr>
        <w:footnoteReference w:id="170"/>
      </w:r>
      <w:r w:rsidRPr="007207F7">
        <w:rPr>
          <w:sz w:val="24"/>
          <w:szCs w:val="24"/>
        </w:rPr>
        <w:t>. W swoim planie działań za 2018 r. rząd odniósł się do długiego, trwającego procesu zmierzającego do zmiany systemowej, bez konkretnych wskazań i planów</w:t>
      </w:r>
      <w:r w:rsidR="007207F7" w:rsidRPr="007207F7">
        <w:rPr>
          <w:rStyle w:val="Odwoanieprzypisudolnego"/>
          <w:sz w:val="24"/>
          <w:szCs w:val="24"/>
        </w:rPr>
        <w:footnoteReference w:id="171"/>
      </w:r>
      <w:r w:rsidRPr="007207F7">
        <w:rPr>
          <w:sz w:val="24"/>
          <w:szCs w:val="24"/>
        </w:rPr>
        <w:t>. W planie za 2020 r. nic nie wskazuje na reformę prawną czy polityczną</w:t>
      </w:r>
      <w:r w:rsidR="00920B50">
        <w:rPr>
          <w:rStyle w:val="Odwoanieprzypisudolnego"/>
          <w:sz w:val="24"/>
          <w:szCs w:val="24"/>
        </w:rPr>
        <w:footnoteReference w:id="172"/>
      </w:r>
      <w:r w:rsidRPr="007207F7">
        <w:rPr>
          <w:sz w:val="24"/>
          <w:szCs w:val="24"/>
        </w:rPr>
        <w:t>.</w:t>
      </w:r>
    </w:p>
    <w:p w:rsidR="00F211E0" w:rsidRPr="007207F7" w:rsidRDefault="00F211E0" w:rsidP="007207F7">
      <w:pPr>
        <w:spacing w:before="120" w:after="0" w:line="240" w:lineRule="auto"/>
        <w:jc w:val="both"/>
        <w:rPr>
          <w:sz w:val="24"/>
          <w:szCs w:val="24"/>
        </w:rPr>
      </w:pPr>
      <w:r w:rsidRPr="007207F7">
        <w:rPr>
          <w:sz w:val="24"/>
          <w:szCs w:val="24"/>
        </w:rPr>
        <w:t>Wnioski międzyministerialnej grupy roboczej ds. Europejskiego Trybunału Praw Człowieka, zgodnie z którymi Agencja Bezpieczeństwa Wewnętrznego powinna rozważyć zmianę ustawy o ochronie informacji niejawnych, zostały odrzucone przez agencję i najwyraźniej pominięte</w:t>
      </w:r>
      <w:r w:rsidR="007207F7" w:rsidRPr="007207F7">
        <w:rPr>
          <w:rStyle w:val="Odwoanieprzypisudolnego"/>
          <w:sz w:val="24"/>
          <w:szCs w:val="24"/>
        </w:rPr>
        <w:footnoteReference w:id="173"/>
      </w:r>
      <w:r w:rsidRPr="007207F7">
        <w:rPr>
          <w:sz w:val="24"/>
          <w:szCs w:val="24"/>
        </w:rPr>
        <w:t>.</w:t>
      </w:r>
    </w:p>
    <w:p w:rsidR="00F211E0" w:rsidRPr="007207F7" w:rsidRDefault="00F211E0" w:rsidP="007207F7">
      <w:pPr>
        <w:spacing w:before="120" w:after="0" w:line="240" w:lineRule="auto"/>
        <w:jc w:val="both"/>
        <w:rPr>
          <w:sz w:val="24"/>
          <w:szCs w:val="24"/>
        </w:rPr>
      </w:pPr>
      <w:r w:rsidRPr="007207F7">
        <w:rPr>
          <w:sz w:val="24"/>
          <w:szCs w:val="24"/>
        </w:rPr>
        <w:t xml:space="preserve">Podobnie, we wrześniu 2019 r. grupa robocza ekspertów z różnych dziedzin, na zlecenie Rzecznika Praw Obywatelskich, wskazała szereg niezbędnych zmian legislacyjnych mających </w:t>
      </w:r>
      <w:r w:rsidRPr="007207F7">
        <w:rPr>
          <w:sz w:val="24"/>
          <w:szCs w:val="24"/>
        </w:rPr>
        <w:lastRenderedPageBreak/>
        <w:t>na celu zreformowanie służb wywiadowczych</w:t>
      </w:r>
      <w:r w:rsidR="007207F7" w:rsidRPr="007207F7">
        <w:rPr>
          <w:rStyle w:val="Odwoanieprzypisudolnego"/>
          <w:sz w:val="24"/>
          <w:szCs w:val="24"/>
        </w:rPr>
        <w:footnoteReference w:id="174"/>
      </w:r>
      <w:r w:rsidRPr="007207F7">
        <w:rPr>
          <w:sz w:val="24"/>
          <w:szCs w:val="24"/>
        </w:rPr>
        <w:t>. Eksperci stwierdzili między innymi, że lepszy nadzór, bardziej przejrzyste struktury i dostęp do informacji mają zasadnicze znaczenie dla zapewnienia równowagi między bezpieczeństwem publicznym a prawami człowieka. Według ich raportu, poprzednia reforma legislacyjna z 2016 r., zamiast poprawić sytuację, wręcz pogłębiła braki w zakresie ochrony praw człowieka: na przykład nowelizacja ustawy o Policji pozwoliła na niemal nieograniczony dostęp do danych internetowych, nowa ustawa o działaniach antyterrorystycznych przyznała służbom specjalnym szereg dodatkowych uprawnień i w zasadzie wyłączyła cudzoziemców spod ochrony konstytucyjnej jeśli chodzi o inwigilację, podczas gdy nowelizacja Kodeksu karnego, art.168a, przyznał możliwość korzystania z dowodów zdobywanych nielegalnie</w:t>
      </w:r>
      <w:r w:rsidR="007207F7" w:rsidRPr="007207F7">
        <w:rPr>
          <w:rStyle w:val="Odwoanieprzypisudolnego"/>
          <w:sz w:val="24"/>
          <w:szCs w:val="24"/>
        </w:rPr>
        <w:footnoteReference w:id="175"/>
      </w:r>
      <w:r w:rsidRPr="007207F7">
        <w:rPr>
          <w:sz w:val="24"/>
          <w:szCs w:val="24"/>
        </w:rPr>
        <w:t>. Opinia Komisji Weneckiej potwierdza, że reforma jest niewystarczająca, aby zapobiec „nadmiernej i nieuzasadnionej ingerencj</w:t>
      </w:r>
      <w:r w:rsidR="007207F7" w:rsidRPr="007207F7">
        <w:rPr>
          <w:sz w:val="24"/>
          <w:szCs w:val="24"/>
        </w:rPr>
        <w:t>i w prywatność osób fizycznych”</w:t>
      </w:r>
      <w:r w:rsidR="007207F7" w:rsidRPr="007207F7">
        <w:rPr>
          <w:rStyle w:val="Odwoanieprzypisudolnego"/>
          <w:sz w:val="24"/>
          <w:szCs w:val="24"/>
        </w:rPr>
        <w:footnoteReference w:id="176"/>
      </w:r>
      <w:r w:rsidRPr="007207F7">
        <w:rPr>
          <w:sz w:val="24"/>
          <w:szCs w:val="24"/>
        </w:rPr>
        <w:t>.</w:t>
      </w:r>
    </w:p>
    <w:p w:rsidR="00F211E0" w:rsidRPr="007207F7" w:rsidRDefault="00F211E0" w:rsidP="007207F7">
      <w:pPr>
        <w:spacing w:before="120" w:after="0" w:line="240" w:lineRule="auto"/>
        <w:jc w:val="both"/>
        <w:rPr>
          <w:sz w:val="24"/>
          <w:szCs w:val="24"/>
        </w:rPr>
      </w:pPr>
      <w:r w:rsidRPr="007207F7">
        <w:rPr>
          <w:sz w:val="24"/>
          <w:szCs w:val="24"/>
        </w:rPr>
        <w:t>Od wielu lat niedoskonałości ram prawnych regulujących działalność służb wywiadowczych są przedmiotem niepokoju. Okres pięciu lat od publikacji wyroku ETPCz wydaje się więcej niż wystarczającym okresem na opracowanie i przeprowadzenie reformy, która jest niezbędna do niedopuszczenia do kolejnych naruszeń leżących u podstaw niniejszej sprawy. Komitet powinien ostro skrytykować brak podjęcia jakichkolwiek środków w celu przeprowadzenia konstruktywnej reformy.</w:t>
      </w:r>
    </w:p>
    <w:p w:rsidR="00F211E0" w:rsidRPr="007207F7" w:rsidRDefault="00F211E0" w:rsidP="007207F7">
      <w:pPr>
        <w:spacing w:before="120" w:after="0" w:line="240" w:lineRule="auto"/>
        <w:jc w:val="both"/>
        <w:rPr>
          <w:b/>
          <w:sz w:val="24"/>
          <w:szCs w:val="24"/>
        </w:rPr>
      </w:pPr>
      <w:r w:rsidRPr="007207F7">
        <w:rPr>
          <w:b/>
          <w:sz w:val="24"/>
          <w:szCs w:val="24"/>
        </w:rPr>
        <w:t>Litwa</w:t>
      </w:r>
    </w:p>
    <w:p w:rsidR="00F211E0" w:rsidRPr="007207F7" w:rsidRDefault="00F211E0" w:rsidP="007207F7">
      <w:pPr>
        <w:spacing w:before="120" w:after="0" w:line="240" w:lineRule="auto"/>
        <w:jc w:val="both"/>
        <w:rPr>
          <w:sz w:val="24"/>
          <w:szCs w:val="24"/>
        </w:rPr>
      </w:pPr>
      <w:r w:rsidRPr="007207F7">
        <w:rPr>
          <w:sz w:val="24"/>
          <w:szCs w:val="24"/>
        </w:rPr>
        <w:t>Uznaje się, że na Litwie przeprowadzono znaczące reformy ustawodawcze związane z wykonaniem wyroków w tej i innych sprawach dotyczących wydawania więźniów. W dniu 27 lipca 2019 r. Kodeks karny Litwy został znowelizowany pod kątem kryminalizacji tortur (art. 100 ust. 3). Stanowi on również, że do tego przestępstwa nie ma zastosowania ustawowy termin przedaw</w:t>
      </w:r>
      <w:r w:rsidR="007207F7" w:rsidRPr="007207F7">
        <w:rPr>
          <w:sz w:val="24"/>
          <w:szCs w:val="24"/>
        </w:rPr>
        <w:t xml:space="preserve">nienia </w:t>
      </w:r>
      <w:r w:rsidR="00790C7F">
        <w:rPr>
          <w:rStyle w:val="Odwoanieprzypisudolnego"/>
          <w:sz w:val="24"/>
          <w:szCs w:val="24"/>
        </w:rPr>
        <w:footnoteReference w:id="177"/>
      </w:r>
      <w:r w:rsidR="007207F7" w:rsidRPr="007207F7">
        <w:rPr>
          <w:sz w:val="24"/>
          <w:szCs w:val="24"/>
        </w:rPr>
        <w:t>. Jak wspomniano powyżej</w:t>
      </w:r>
      <w:r w:rsidR="007207F7" w:rsidRPr="007207F7">
        <w:rPr>
          <w:rStyle w:val="Odwoanieprzypisudolnego"/>
          <w:sz w:val="24"/>
          <w:szCs w:val="24"/>
        </w:rPr>
        <w:footnoteReference w:id="178"/>
      </w:r>
      <w:r w:rsidRPr="007207F7">
        <w:rPr>
          <w:sz w:val="24"/>
          <w:szCs w:val="24"/>
        </w:rPr>
        <w:t>, w 2019 r. w sprawie naszych klientów zmieniono kwalifikację prawną na podstawi</w:t>
      </w:r>
      <w:r w:rsidR="007207F7" w:rsidRPr="007207F7">
        <w:rPr>
          <w:sz w:val="24"/>
          <w:szCs w:val="24"/>
        </w:rPr>
        <w:t>e tego artykułu Kodeksu karnego</w:t>
      </w:r>
      <w:r w:rsidR="007207F7" w:rsidRPr="007207F7">
        <w:rPr>
          <w:rStyle w:val="Odwoanieprzypisudolnego"/>
          <w:sz w:val="24"/>
          <w:szCs w:val="24"/>
        </w:rPr>
        <w:footnoteReference w:id="179"/>
      </w:r>
      <w:r w:rsidRPr="007207F7">
        <w:rPr>
          <w:sz w:val="24"/>
          <w:szCs w:val="24"/>
        </w:rPr>
        <w:t xml:space="preserve">. Nową ustawę o wywiadzie regulująca funkcjonowanie, koordynację i kontrolę instytucji wywiadowczych wprowadzono w czasie, gdy sprawa była rozpatrywana przez ETPCz </w:t>
      </w:r>
      <w:r w:rsidR="007207F7" w:rsidRPr="007207F7">
        <w:rPr>
          <w:rStyle w:val="Odwoanieprzypisudolnego"/>
          <w:sz w:val="24"/>
          <w:szCs w:val="24"/>
        </w:rPr>
        <w:footnoteReference w:id="180"/>
      </w:r>
      <w:r w:rsidRPr="007207F7">
        <w:rPr>
          <w:sz w:val="24"/>
          <w:szCs w:val="24"/>
        </w:rPr>
        <w:t>.</w:t>
      </w:r>
    </w:p>
    <w:p w:rsidR="00F211E0" w:rsidRPr="007207F7" w:rsidRDefault="00F211E0" w:rsidP="007207F7">
      <w:pPr>
        <w:spacing w:before="120" w:after="0" w:line="240" w:lineRule="auto"/>
        <w:jc w:val="both"/>
        <w:rPr>
          <w:sz w:val="24"/>
          <w:szCs w:val="24"/>
        </w:rPr>
      </w:pPr>
      <w:r w:rsidRPr="007207F7">
        <w:rPr>
          <w:sz w:val="24"/>
          <w:szCs w:val="24"/>
        </w:rPr>
        <w:t xml:space="preserve">Ostatnie wydarzenia wskazują jednak na regresywne kroki, niezgodne z wyrokiem wydanym </w:t>
      </w:r>
      <w:r w:rsidR="008E32CB">
        <w:rPr>
          <w:sz w:val="24"/>
          <w:szCs w:val="24"/>
        </w:rPr>
        <w:t xml:space="preserve">w sprawie </w:t>
      </w:r>
      <w:r w:rsidR="008E32CB" w:rsidRPr="008E32CB">
        <w:rPr>
          <w:i/>
          <w:sz w:val="24"/>
          <w:szCs w:val="24"/>
        </w:rPr>
        <w:t>Abu Zubaydah p.</w:t>
      </w:r>
      <w:r w:rsidRPr="008E32CB">
        <w:rPr>
          <w:i/>
          <w:sz w:val="24"/>
          <w:szCs w:val="24"/>
        </w:rPr>
        <w:t xml:space="preserve"> Litwie</w:t>
      </w:r>
      <w:r w:rsidRPr="007207F7">
        <w:rPr>
          <w:sz w:val="24"/>
          <w:szCs w:val="24"/>
        </w:rPr>
        <w:t xml:space="preserve">. W styczniu 2020 r. prezydent Litwy zarejestrował poprawki do ustawy o wywiadzie, ustawy o wywiadzie kryminalnym i Kodeksu wykroczeń administracyjnych, które wydają się rozszerzać uprawnienia służb wywiadowczych o uprawnienie do wzywania osób na „przesłuchania prewencyjne”, sprawdzania dokumentów osobistych oraz przeprowadzania zatrzymań administracyjnych. Prezydent i szef </w:t>
      </w:r>
      <w:r w:rsidRPr="007207F7">
        <w:rPr>
          <w:sz w:val="24"/>
          <w:szCs w:val="24"/>
        </w:rPr>
        <w:lastRenderedPageBreak/>
        <w:t>Departamentu Bezpieczeństwa Państwowego zasugerowali, że konieczne jest dalsze rozszerzenie uprawnień służb wywiadowczych. Komitet Ministrów powinien wezwać Litwę do dopilnowania, aby reforma opierała się na praworządności i była kompleksowa, a także aby przewidywała skuteczne gwarancje i nadzór w celu uniknięcia w przyszłości naruszeń praw przez służby bezpieczeństwa i w</w:t>
      </w:r>
      <w:r w:rsidR="007207F7" w:rsidRPr="007207F7">
        <w:rPr>
          <w:sz w:val="24"/>
          <w:szCs w:val="24"/>
        </w:rPr>
        <w:t>ywiadu</w:t>
      </w:r>
      <w:r w:rsidR="007207F7" w:rsidRPr="007207F7">
        <w:rPr>
          <w:rStyle w:val="Odwoanieprzypisudolnego"/>
          <w:sz w:val="24"/>
          <w:szCs w:val="24"/>
        </w:rPr>
        <w:footnoteReference w:id="181"/>
      </w:r>
      <w:r w:rsidRPr="007207F7">
        <w:rPr>
          <w:sz w:val="24"/>
          <w:szCs w:val="24"/>
        </w:rPr>
        <w:t>.</w:t>
      </w:r>
    </w:p>
    <w:p w:rsidR="00F211E0" w:rsidRPr="007207F7" w:rsidRDefault="00F211E0" w:rsidP="007207F7">
      <w:pPr>
        <w:spacing w:before="120" w:after="0" w:line="240" w:lineRule="auto"/>
        <w:jc w:val="both"/>
        <w:rPr>
          <w:b/>
          <w:sz w:val="24"/>
          <w:szCs w:val="24"/>
        </w:rPr>
      </w:pPr>
      <w:r w:rsidRPr="007207F7">
        <w:rPr>
          <w:b/>
          <w:sz w:val="24"/>
          <w:szCs w:val="24"/>
        </w:rPr>
        <w:t>Wnioski i zalecenia</w:t>
      </w:r>
    </w:p>
    <w:p w:rsidR="00F211E0" w:rsidRPr="007207F7" w:rsidRDefault="00F211E0" w:rsidP="007207F7">
      <w:pPr>
        <w:spacing w:before="120" w:after="0" w:line="240" w:lineRule="auto"/>
        <w:jc w:val="both"/>
        <w:rPr>
          <w:sz w:val="24"/>
          <w:szCs w:val="24"/>
        </w:rPr>
      </w:pPr>
      <w:r w:rsidRPr="007207F7">
        <w:rPr>
          <w:sz w:val="24"/>
          <w:szCs w:val="24"/>
        </w:rPr>
        <w:t>W świetle powyższych uwag zwracamy się do Komitetu Ministrów z wnioskiem o dalsze aktywne zaangażowanie w nadzór nad wykonaniem wyroków w tych kluczowych sprawach.</w:t>
      </w:r>
    </w:p>
    <w:p w:rsidR="00F211E0" w:rsidRPr="007207F7" w:rsidRDefault="00F211E0" w:rsidP="007207F7">
      <w:pPr>
        <w:spacing w:before="120" w:after="0" w:line="240" w:lineRule="auto"/>
        <w:jc w:val="both"/>
        <w:rPr>
          <w:sz w:val="24"/>
          <w:szCs w:val="24"/>
        </w:rPr>
      </w:pPr>
      <w:r w:rsidRPr="007207F7">
        <w:rPr>
          <w:sz w:val="24"/>
          <w:szCs w:val="24"/>
        </w:rPr>
        <w:t>Postuluje się rozważenie przyjęcia rezolucji w sprawie niewywiązania się przez państwo polskie, po prawie 6 latach od wydania przeciwko niemu wyroku, z zobowiązań w tym zakresie.</w:t>
      </w:r>
    </w:p>
    <w:p w:rsidR="00F211E0" w:rsidRPr="007207F7" w:rsidRDefault="00F211E0" w:rsidP="007207F7">
      <w:pPr>
        <w:spacing w:before="120" w:after="0" w:line="240" w:lineRule="auto"/>
        <w:jc w:val="both"/>
        <w:rPr>
          <w:sz w:val="24"/>
          <w:szCs w:val="24"/>
        </w:rPr>
      </w:pPr>
      <w:r w:rsidRPr="007207F7">
        <w:rPr>
          <w:sz w:val="24"/>
          <w:szCs w:val="24"/>
        </w:rPr>
        <w:t>Należy również wyrazić poważne zaniepokojenie dotychczasowym niewłaściwym wykonaniem wyroku przez Litwę oraz potrzebą pilnego podjęcia konkretnych działań, o których należy poinformować Komitet Ministrów, skarżącego i społeczeństwo.</w:t>
      </w:r>
    </w:p>
    <w:p w:rsidR="00F211E0" w:rsidRPr="007207F7" w:rsidRDefault="00F211E0" w:rsidP="007207F7">
      <w:pPr>
        <w:spacing w:before="120" w:after="0" w:line="240" w:lineRule="auto"/>
        <w:jc w:val="both"/>
        <w:rPr>
          <w:sz w:val="24"/>
          <w:szCs w:val="24"/>
        </w:rPr>
      </w:pPr>
      <w:r w:rsidRPr="007207F7">
        <w:rPr>
          <w:sz w:val="24"/>
          <w:szCs w:val="24"/>
        </w:rPr>
        <w:t>Zwracamy się do Komitetu o aktywne i zdecydowane zaangażowanie się wraz z innymi państwami, w tym ze Stanami Zjednoczonymi, w działania na rzecz położenia kresu „rażącego naruszenia prawa do sądu”, którego doświadcza skarżący, w ramach współodpowiedzialności kilku państw, w tym Polski i Litwy, oraz w celu ułatwienia współpracy międzynarodowej w zakresie śledztw, które w obu państwach utkwiły w martwym punkcie.</w:t>
      </w:r>
    </w:p>
    <w:p w:rsidR="00F211E0" w:rsidRPr="007207F7" w:rsidRDefault="00F211E0" w:rsidP="007207F7">
      <w:pPr>
        <w:spacing w:before="120" w:after="0" w:line="240" w:lineRule="auto"/>
        <w:jc w:val="both"/>
        <w:rPr>
          <w:sz w:val="24"/>
          <w:szCs w:val="24"/>
        </w:rPr>
      </w:pPr>
      <w:r w:rsidRPr="007207F7">
        <w:rPr>
          <w:sz w:val="24"/>
          <w:szCs w:val="24"/>
        </w:rPr>
        <w:t>Uznajemy i zachęcamy do podjęcia kroków, szczególnie tych przedstawionych w odniesieniu do litewskiej reformy ustawodawczej, aby włączyć przestępstwo tortur i zakwalifikować zbrodnie popełnione wobec Abu Zubaydah jako jedne z najpoważniejszych przestępstw, które nie ulegają przedawnieniu. Oba państwa są jednak dalekie od skutecznego wykonania wyroków.</w:t>
      </w:r>
    </w:p>
    <w:p w:rsidR="00F211E0" w:rsidRPr="007207F7" w:rsidRDefault="00F211E0" w:rsidP="007207F7">
      <w:pPr>
        <w:spacing w:before="120" w:after="0" w:line="240" w:lineRule="auto"/>
        <w:jc w:val="both"/>
        <w:rPr>
          <w:sz w:val="24"/>
          <w:szCs w:val="24"/>
        </w:rPr>
      </w:pPr>
      <w:r w:rsidRPr="007207F7">
        <w:rPr>
          <w:sz w:val="24"/>
          <w:szCs w:val="24"/>
        </w:rPr>
        <w:t>Zalecamy, aby rządy Polski i Litwy zostały wezwane do podjęcia następujących kroków w wykonaniu wyroków ETPCz:</w:t>
      </w:r>
    </w:p>
    <w:p w:rsidR="00F211E0" w:rsidRPr="007207F7" w:rsidRDefault="00F211E0" w:rsidP="00987EB2">
      <w:pPr>
        <w:pStyle w:val="Akapitzlist"/>
        <w:numPr>
          <w:ilvl w:val="0"/>
          <w:numId w:val="60"/>
        </w:numPr>
        <w:spacing w:before="120" w:after="0" w:line="240" w:lineRule="auto"/>
        <w:contextualSpacing w:val="0"/>
        <w:jc w:val="both"/>
        <w:rPr>
          <w:sz w:val="24"/>
          <w:szCs w:val="24"/>
        </w:rPr>
      </w:pPr>
      <w:r w:rsidRPr="007207F7">
        <w:rPr>
          <w:sz w:val="24"/>
          <w:szCs w:val="24"/>
        </w:rPr>
        <w:t>przekazanie zasądzonego zadośćuczynienia za szkody niemajątkowe (a w przypadku Litwy - zasądzonych kosztów postępowania) bezzwłocznie i bez nakładania dodatkowych obciążeń, takich jak czynności sądowe i notarialne, które nie powinny być nakładane w celu wykonania wyroku ETPCz i które są nieracjonalne w danych okolicznościach;</w:t>
      </w:r>
    </w:p>
    <w:p w:rsidR="00F211E0" w:rsidRPr="007207F7" w:rsidRDefault="00F211E0" w:rsidP="00987EB2">
      <w:pPr>
        <w:pStyle w:val="Akapitzlist"/>
        <w:numPr>
          <w:ilvl w:val="0"/>
          <w:numId w:val="60"/>
        </w:numPr>
        <w:spacing w:before="120" w:after="0" w:line="240" w:lineRule="auto"/>
        <w:contextualSpacing w:val="0"/>
        <w:jc w:val="both"/>
        <w:rPr>
          <w:sz w:val="24"/>
          <w:szCs w:val="24"/>
        </w:rPr>
      </w:pPr>
      <w:r w:rsidRPr="007207F7">
        <w:rPr>
          <w:sz w:val="24"/>
          <w:szCs w:val="24"/>
        </w:rPr>
        <w:t>przypomnienie państwom, że są one zobowiązane do zapłaty odsetek za zwłokę lub odmowę zapłaty;</w:t>
      </w:r>
    </w:p>
    <w:p w:rsidR="00F211E0" w:rsidRPr="007207F7" w:rsidRDefault="00F211E0" w:rsidP="00987EB2">
      <w:pPr>
        <w:pStyle w:val="Akapitzlist"/>
        <w:numPr>
          <w:ilvl w:val="0"/>
          <w:numId w:val="60"/>
        </w:numPr>
        <w:spacing w:before="120" w:after="0" w:line="240" w:lineRule="auto"/>
        <w:contextualSpacing w:val="0"/>
        <w:jc w:val="both"/>
        <w:rPr>
          <w:sz w:val="24"/>
          <w:szCs w:val="24"/>
        </w:rPr>
      </w:pPr>
      <w:r w:rsidRPr="007207F7">
        <w:rPr>
          <w:sz w:val="24"/>
          <w:szCs w:val="24"/>
        </w:rPr>
        <w:t>zwrócenie się do rządów o ujawnienie dotychczasowych oświadczeń złożonych wobec USA oraz o zdecydowane i aktywne zaangażowanie się, indywidualnie i zbiorowo, wraz z innymi państwami, w podejmowanie wysiłków na rzecz zapewnienia, by Abu Zubaydah został osądzony lub uwolniony, a jego prawa były przestrzegane bez dalszej zwłoki;</w:t>
      </w:r>
    </w:p>
    <w:p w:rsidR="00F211E0" w:rsidRPr="007207F7" w:rsidRDefault="00F211E0" w:rsidP="00987EB2">
      <w:pPr>
        <w:pStyle w:val="Akapitzlist"/>
        <w:numPr>
          <w:ilvl w:val="0"/>
          <w:numId w:val="60"/>
        </w:numPr>
        <w:spacing w:before="120" w:after="0" w:line="240" w:lineRule="auto"/>
        <w:contextualSpacing w:val="0"/>
        <w:jc w:val="both"/>
        <w:rPr>
          <w:sz w:val="24"/>
          <w:szCs w:val="24"/>
        </w:rPr>
      </w:pPr>
      <w:r w:rsidRPr="007207F7">
        <w:rPr>
          <w:sz w:val="24"/>
          <w:szCs w:val="24"/>
        </w:rPr>
        <w:lastRenderedPageBreak/>
        <w:t>rygorystyczne korzystanie z możliwości śledczych, jakie stwarza zwiększone informowanie opinii publicznej i międzynarodowe zaangażowanie w tę sprawę; nawiązanie skutecznej współpracy w zakresie śledztwa z innymi państwami i podmiotami międzynarodowymi; przedstawienie jasnego planu działań wraz z harmonogramem pozostałych etapów śledztwa oraz ostatecznym terminem zakończenia czynności śledczych;</w:t>
      </w:r>
    </w:p>
    <w:p w:rsidR="00F211E0" w:rsidRPr="007207F7" w:rsidRDefault="00F211E0" w:rsidP="00987EB2">
      <w:pPr>
        <w:pStyle w:val="Akapitzlist"/>
        <w:numPr>
          <w:ilvl w:val="0"/>
          <w:numId w:val="60"/>
        </w:numPr>
        <w:spacing w:before="120" w:after="0" w:line="240" w:lineRule="auto"/>
        <w:contextualSpacing w:val="0"/>
        <w:jc w:val="both"/>
        <w:rPr>
          <w:sz w:val="24"/>
          <w:szCs w:val="24"/>
        </w:rPr>
      </w:pPr>
      <w:r w:rsidRPr="007207F7">
        <w:rPr>
          <w:sz w:val="24"/>
          <w:szCs w:val="24"/>
        </w:rPr>
        <w:t>publicznego uznania rażących naruszeń praw naszego klienta na ich terytoriach oraz pełnego uznania i przeproszenia za udział Polski i Litwy;</w:t>
      </w:r>
    </w:p>
    <w:p w:rsidR="00F211E0" w:rsidRPr="007207F7" w:rsidRDefault="00F211E0" w:rsidP="00987EB2">
      <w:pPr>
        <w:pStyle w:val="Akapitzlist"/>
        <w:numPr>
          <w:ilvl w:val="0"/>
          <w:numId w:val="60"/>
        </w:numPr>
        <w:spacing w:before="120" w:after="0" w:line="240" w:lineRule="auto"/>
        <w:contextualSpacing w:val="0"/>
        <w:jc w:val="both"/>
        <w:rPr>
          <w:sz w:val="24"/>
          <w:szCs w:val="24"/>
        </w:rPr>
      </w:pPr>
      <w:r w:rsidRPr="007207F7">
        <w:rPr>
          <w:sz w:val="24"/>
          <w:szCs w:val="24"/>
        </w:rPr>
        <w:t>określenie konkretnych planów zmian legislacyjnych i ustrojowych mających na celu zreformowanie agencji wywiadowczych oraz innych środków niezbędnych do zagwarantowania, że podobna sytuacja się nie powtórzy;</w:t>
      </w:r>
    </w:p>
    <w:p w:rsidR="00F211E0" w:rsidRPr="007207F7" w:rsidRDefault="00F211E0" w:rsidP="00987EB2">
      <w:pPr>
        <w:pStyle w:val="Akapitzlist"/>
        <w:numPr>
          <w:ilvl w:val="0"/>
          <w:numId w:val="60"/>
        </w:numPr>
        <w:spacing w:before="120" w:after="0" w:line="240" w:lineRule="auto"/>
        <w:contextualSpacing w:val="0"/>
        <w:jc w:val="both"/>
        <w:rPr>
          <w:sz w:val="24"/>
          <w:szCs w:val="24"/>
        </w:rPr>
      </w:pPr>
      <w:r w:rsidRPr="007207F7">
        <w:rPr>
          <w:sz w:val="24"/>
          <w:szCs w:val="24"/>
        </w:rPr>
        <w:t>informowanie opinii publicznej o rozwoju sytuacji oraz przekazywanie Komitetowi pełniejszych, szczegółowych informacji na temat konkretnych wydarzeń i planów.</w:t>
      </w:r>
    </w:p>
    <w:p w:rsidR="00C00EB0" w:rsidRDefault="00C00EB0" w:rsidP="006165C6">
      <w:pPr>
        <w:rPr>
          <w:sz w:val="24"/>
          <w:szCs w:val="24"/>
          <w:u w:val="single"/>
        </w:rPr>
      </w:pPr>
    </w:p>
    <w:p w:rsidR="006165C6" w:rsidRPr="00C00EB0" w:rsidRDefault="006165C6" w:rsidP="006165C6">
      <w:pPr>
        <w:rPr>
          <w:sz w:val="24"/>
          <w:szCs w:val="24"/>
          <w:u w:val="single"/>
        </w:rPr>
      </w:pPr>
      <w:r w:rsidRPr="00C00EB0">
        <w:rPr>
          <w:sz w:val="24"/>
          <w:szCs w:val="24"/>
          <w:u w:val="single"/>
        </w:rPr>
        <w:t xml:space="preserve">Odpowiedź rządu z dnia 13 lutego 2020 r. </w:t>
      </w:r>
    </w:p>
    <w:p w:rsidR="00C00EB0" w:rsidRPr="00164420" w:rsidRDefault="00C00EB0" w:rsidP="00823C84">
      <w:pPr>
        <w:autoSpaceDE w:val="0"/>
        <w:autoSpaceDN w:val="0"/>
        <w:adjustRightInd w:val="0"/>
        <w:spacing w:before="120" w:after="0" w:line="240" w:lineRule="auto"/>
        <w:jc w:val="both"/>
        <w:rPr>
          <w:rFonts w:cs="Calibri"/>
          <w:sz w:val="24"/>
          <w:szCs w:val="24"/>
        </w:rPr>
      </w:pPr>
      <w:r w:rsidRPr="00164420">
        <w:rPr>
          <w:rFonts w:cs="Calibri"/>
          <w:sz w:val="24"/>
          <w:szCs w:val="24"/>
        </w:rPr>
        <w:t xml:space="preserve">W odpowiedzi na komunikację z dnia 6 lutego 2020 r. Human Rights in Practice, w </w:t>
      </w:r>
      <w:r w:rsidR="00790C7F" w:rsidRPr="00164420">
        <w:rPr>
          <w:rFonts w:cs="Calibri"/>
          <w:sz w:val="24"/>
          <w:szCs w:val="24"/>
        </w:rPr>
        <w:t>części</w:t>
      </w:r>
      <w:r w:rsidRPr="00164420">
        <w:rPr>
          <w:rFonts w:cs="Calibri"/>
          <w:sz w:val="24"/>
          <w:szCs w:val="24"/>
        </w:rPr>
        <w:t xml:space="preserve"> dotyczącej wykonywania wyroku Europejskiego Trybunału Praw Człowieka w sprawie </w:t>
      </w:r>
      <w:r w:rsidRPr="00164420">
        <w:rPr>
          <w:rFonts w:cs="Calibri,Italic"/>
          <w:i/>
          <w:iCs/>
          <w:sz w:val="24"/>
          <w:szCs w:val="24"/>
        </w:rPr>
        <w:t>Abu Zubaydah p. Polsce</w:t>
      </w:r>
      <w:r w:rsidRPr="00164420">
        <w:rPr>
          <w:rFonts w:cs="Calibri"/>
          <w:sz w:val="24"/>
          <w:szCs w:val="24"/>
        </w:rPr>
        <w:t>, rząd Polski chciałby przedstawić następujące uwagi.</w:t>
      </w:r>
    </w:p>
    <w:p w:rsidR="00C00EB0" w:rsidRPr="00164420" w:rsidRDefault="00C00EB0" w:rsidP="00823C84">
      <w:pPr>
        <w:autoSpaceDE w:val="0"/>
        <w:autoSpaceDN w:val="0"/>
        <w:adjustRightInd w:val="0"/>
        <w:spacing w:before="120" w:after="0" w:line="240" w:lineRule="auto"/>
        <w:jc w:val="both"/>
        <w:rPr>
          <w:rFonts w:cs="Calibri"/>
          <w:sz w:val="24"/>
          <w:szCs w:val="24"/>
        </w:rPr>
      </w:pPr>
      <w:r w:rsidRPr="00164420">
        <w:rPr>
          <w:rFonts w:cs="Calibri"/>
          <w:sz w:val="24"/>
          <w:szCs w:val="24"/>
        </w:rPr>
        <w:t xml:space="preserve">Po pierwsze, w odniesieniu do sprawy śledztwa krajowego i realizacji środków generalnych (reforma demokratycznego nadzoru nad służbami specjalnymi) rząd pragnie zwrócić uwagę na informacje zawarte w jego najnowszym planie działania z dnia 3 lutego 2020 r. (dokument  DH-DD(2020)100) i nie będzie ich powtarzał tutaj. </w:t>
      </w:r>
    </w:p>
    <w:p w:rsidR="00C00EB0" w:rsidRPr="00164420" w:rsidRDefault="00C00EB0" w:rsidP="00823C84">
      <w:pPr>
        <w:autoSpaceDE w:val="0"/>
        <w:autoSpaceDN w:val="0"/>
        <w:adjustRightInd w:val="0"/>
        <w:spacing w:before="120" w:after="0" w:line="240" w:lineRule="auto"/>
        <w:jc w:val="both"/>
        <w:rPr>
          <w:rFonts w:cs="Calibri"/>
          <w:sz w:val="24"/>
          <w:szCs w:val="24"/>
        </w:rPr>
      </w:pPr>
      <w:r w:rsidRPr="00164420">
        <w:rPr>
          <w:rFonts w:cs="Calibri"/>
          <w:sz w:val="24"/>
          <w:szCs w:val="24"/>
        </w:rPr>
        <w:t xml:space="preserve">W niniejszych uwagach rząd odniesie się do kwestii i rekomendacji podniesionych przez Human Rights in Practice w zakresie środków indywidualnych – wypłaty zadośćuczynienia oraz działań mających na celu uzyskanie gwarancji dyplomatycznych dla skarżącego ze strony rządu USA. </w:t>
      </w:r>
    </w:p>
    <w:p w:rsidR="00C00EB0" w:rsidRPr="00164420" w:rsidRDefault="00C00EB0" w:rsidP="00823C84">
      <w:pPr>
        <w:autoSpaceDE w:val="0"/>
        <w:autoSpaceDN w:val="0"/>
        <w:adjustRightInd w:val="0"/>
        <w:spacing w:before="120" w:after="0" w:line="240" w:lineRule="auto"/>
        <w:jc w:val="both"/>
        <w:rPr>
          <w:rFonts w:cs="Calibri,Bold"/>
          <w:b/>
          <w:bCs/>
          <w:sz w:val="24"/>
          <w:szCs w:val="24"/>
        </w:rPr>
      </w:pPr>
      <w:r w:rsidRPr="00164420">
        <w:rPr>
          <w:rFonts w:cs="Calibri,Bold"/>
          <w:b/>
          <w:bCs/>
          <w:sz w:val="24"/>
          <w:szCs w:val="24"/>
        </w:rPr>
        <w:t xml:space="preserve">Środki indywidualne – słuszne zadośćuczynienie </w:t>
      </w:r>
    </w:p>
    <w:p w:rsidR="00C00EB0" w:rsidRPr="00164420" w:rsidRDefault="00C00EB0" w:rsidP="00823C84">
      <w:pPr>
        <w:autoSpaceDE w:val="0"/>
        <w:autoSpaceDN w:val="0"/>
        <w:adjustRightInd w:val="0"/>
        <w:spacing w:before="120" w:after="0" w:line="240" w:lineRule="auto"/>
        <w:jc w:val="both"/>
        <w:rPr>
          <w:rFonts w:cs="Calibri"/>
          <w:sz w:val="24"/>
          <w:szCs w:val="24"/>
        </w:rPr>
      </w:pPr>
      <w:r w:rsidRPr="00164420">
        <w:rPr>
          <w:rFonts w:cs="Calibri"/>
          <w:sz w:val="24"/>
          <w:szCs w:val="24"/>
        </w:rPr>
        <w:t>Rząd Polski pragnie podkreślić, że słuszne zadośćuczynienie przyznane skarżącemu przez Trybunał zostało wpłacone na rachunek depozytowy ustanowiony przez są</w:t>
      </w:r>
      <w:r w:rsidR="00BD3249">
        <w:rPr>
          <w:rFonts w:cs="Calibri"/>
          <w:sz w:val="24"/>
          <w:szCs w:val="24"/>
        </w:rPr>
        <w:t>d krajowy na wniosek r</w:t>
      </w:r>
      <w:r w:rsidRPr="00164420">
        <w:rPr>
          <w:rFonts w:cs="Calibri"/>
          <w:sz w:val="24"/>
          <w:szCs w:val="24"/>
        </w:rPr>
        <w:t>ządu, z uwagi na ówczesne umieszczenie skarżącego na liście sankcyjnej ONZ i UE. Informacja w tym zakresie została przekazana Komitetowi Ministrów i aktualizowana na bieżąco (zobacz ostatni plan działań z 3 lutego 2020 r.). Po zniesieniu sankcji, przyznana  kwota pozostaje do dyspozycji skarżącego  i można ją pobrać z rachunku depozytowego za pośrednictwem sądu krajowego, który założył i prowadzi rachunek.</w:t>
      </w:r>
    </w:p>
    <w:p w:rsidR="00C00EB0" w:rsidRPr="00164420" w:rsidRDefault="00C00EB0" w:rsidP="00823C84">
      <w:pPr>
        <w:autoSpaceDE w:val="0"/>
        <w:autoSpaceDN w:val="0"/>
        <w:adjustRightInd w:val="0"/>
        <w:spacing w:before="120" w:after="0" w:line="240" w:lineRule="auto"/>
        <w:jc w:val="both"/>
        <w:rPr>
          <w:rFonts w:cs="Calibri"/>
          <w:sz w:val="24"/>
          <w:szCs w:val="24"/>
        </w:rPr>
      </w:pPr>
      <w:r w:rsidRPr="00164420">
        <w:rPr>
          <w:rFonts w:cs="Calibri"/>
          <w:sz w:val="24"/>
          <w:szCs w:val="24"/>
        </w:rPr>
        <w:t xml:space="preserve">W tym kontekście należy zauważyć, że wpłata sumy zasądzonego przez Trybunał zadośćuczynienia na rachunek depozytowy ustanowiony przez sąd krajowy jest dobrze ugruntowanym środkiem służącym zwolnieniu rządu z obowiązku zapłaty zadośćuczynienia w przypadku braku kontaktu ze skarżącym, śmierci skarżącego i braku informacji o jego spadkobiercach, odmowie przyjęcia przez skarżącego słusznego zadośćuczynienia lub w innych sytuacjach, w których mogą wystąpić nieprzewidziane przeszkody w realizacji płatności (jak w przypadku pana Abu Zubaydah, przeszkodą było jego uprzednie umieszczenie na listach </w:t>
      </w:r>
      <w:r w:rsidRPr="00164420">
        <w:rPr>
          <w:rFonts w:cs="Calibri"/>
          <w:sz w:val="24"/>
          <w:szCs w:val="24"/>
        </w:rPr>
        <w:lastRenderedPageBreak/>
        <w:t xml:space="preserve">sankcyjnych i ogromne trudności w skontaktowaniu się z nim) i są uznawane przez sąd krajowy jako uprawniające do ustanowienia rachunku depozytowego. Zgodnie z art 470 polskiego kodeksu cywilnego, prawidłowe wpłacenie długu na rachunek depozytowy utworzony przez sąd stanowi realizację zobowiązań wobec wierzyciela. Środek ten jest równoznaczny z zapłatą również w kontekście praktyki Komitetu Ministrów w zakresie nadzorowania wykonywania orzeczeń Europejskiego Trybunału Praw Człowieka, przewidzianej w Memorandum w sprawie monitorowania wypłaty kwot zasądzonych z tytułu słusznego zadośćuczynienia (dokument CM/Inf/DH(2008)7-final). Nigdy nie był również kontestowany przez Komitet Ministrów w odniesieniu do innych spraw przeciwko Polsce. </w:t>
      </w:r>
    </w:p>
    <w:p w:rsidR="00C00EB0" w:rsidRPr="00164420" w:rsidRDefault="00C00EB0" w:rsidP="00823C84">
      <w:pPr>
        <w:autoSpaceDE w:val="0"/>
        <w:autoSpaceDN w:val="0"/>
        <w:adjustRightInd w:val="0"/>
        <w:spacing w:before="120" w:after="0" w:line="240" w:lineRule="auto"/>
        <w:jc w:val="both"/>
        <w:rPr>
          <w:rFonts w:cs="Calibri"/>
          <w:sz w:val="24"/>
          <w:szCs w:val="24"/>
        </w:rPr>
      </w:pPr>
      <w:r w:rsidRPr="00164420">
        <w:rPr>
          <w:rFonts w:cs="Calibri"/>
          <w:sz w:val="24"/>
          <w:szCs w:val="24"/>
        </w:rPr>
        <w:t xml:space="preserve">Dlatego też mając na uwadze roszczenia zgłoszone przez Human Rights in Practice w komunikacji, należy zwrócić uwagę, że wypłata zadośćuczynienia na rachunek depozytowy na nazwisko skarżącego, o ile istnieją ważne powody takiego sposobu płatności oraz należne kwoty są do dyspozycji beneficjenta, o czym skarżący został poinformowany w takim zakresie, w jakim jest to możliwe, jest równoznaczne z zapłatą i nie może być traktowane jako sprzeczne z obowiązkiem pozwanego państwa do wypłaty zadośćuczynienia skarżącemu. </w:t>
      </w:r>
    </w:p>
    <w:p w:rsidR="00C00EB0" w:rsidRPr="00164420" w:rsidRDefault="00C00EB0" w:rsidP="00823C84">
      <w:pPr>
        <w:autoSpaceDE w:val="0"/>
        <w:autoSpaceDN w:val="0"/>
        <w:adjustRightInd w:val="0"/>
        <w:spacing w:before="120" w:after="0" w:line="240" w:lineRule="auto"/>
        <w:jc w:val="both"/>
        <w:rPr>
          <w:rFonts w:cs="Calibri"/>
          <w:sz w:val="24"/>
          <w:szCs w:val="24"/>
        </w:rPr>
      </w:pPr>
      <w:r w:rsidRPr="00164420">
        <w:rPr>
          <w:rFonts w:cs="Calibri"/>
          <w:sz w:val="24"/>
          <w:szCs w:val="24"/>
        </w:rPr>
        <w:t>Rząd pragnie przypomnieć, że podjął liczne starania, aby skontaktować się ze skarżącym w celu doręczenia mu postanowienia sądu krajowego z dnia 12 października 2015 r. o otwarciu rachunku depozytowego na jego nazwisko za pomocą różnych środków: międzynarodowej pomocy prawnej, kanałów dyplomatycznych, za pośrednictwem pełnomocników skarżącego, z których wszystkie zakończyły się niepowodzeniem. Tym samym doręczenie postanowienia nastąpiło za pośrednictwem kuratora sądu wyznaczonego dla skarżącego zgodnie z Konwencją haską z 15 listopada 1965 o doręczeniu za granicą dokumentów sądowych i pozasądowych w sprawach cywilnych lub handlowych.</w:t>
      </w:r>
    </w:p>
    <w:p w:rsidR="00C00EB0" w:rsidRPr="00164420" w:rsidRDefault="00C00EB0" w:rsidP="00823C84">
      <w:pPr>
        <w:autoSpaceDE w:val="0"/>
        <w:autoSpaceDN w:val="0"/>
        <w:adjustRightInd w:val="0"/>
        <w:spacing w:before="120" w:after="0" w:line="240" w:lineRule="auto"/>
        <w:jc w:val="both"/>
        <w:rPr>
          <w:rFonts w:cs="Calibri"/>
          <w:sz w:val="24"/>
          <w:szCs w:val="24"/>
        </w:rPr>
      </w:pPr>
      <w:r w:rsidRPr="00164420">
        <w:rPr>
          <w:rFonts w:cs="Calibri"/>
          <w:sz w:val="24"/>
          <w:szCs w:val="24"/>
        </w:rPr>
        <w:t xml:space="preserve">Ponadto, warunki wypłaty słusznego zadośćuczynienia z depozytu sądowego nie mogą być postrzegane jako uciążliwe. Zgodnie z postanowieniem sądu krajowego z dnia 12 października 2015 r. o ustanowieniu depozytu kwotę może odebrać osoba, dla której rachunek został utworzony, tj. Muhammad Zayn al-Abidin (Abu Zubaydah) albo jego przedstawiciel, po usunięciu nazwiska skarżącego z listy sankcyjnej ONZ i UE. W celu wypłaty środków z rachunku depozytowego skarżący lub jego przedstawiciel powinien złożyć wniosek w tej sprawie do sądu depozytowego i dostarczyć stosowne dokumenty, tj. informacje o usunięciu pana Abu Zubaydah z list sankcyjnych ONZ i UE, pełnomocnictwo dla swojego pełnomocnika oraz jego dyspozycję dotyczącą środków. Decyzję o wypłacie kwoty będącej w depozycie podejmie sąd depozytowy. Wymóg złożenia odpowiedniego wniosku do sądu depozytowego i przedstawienia pełnomocnictwa jest powszechny we wszystkich sprawach depozytowych i nigdy nie był oceniany przez Komitet Ministrów jako zbyt restrykcyjny. Wymóg szczególny w przypadku skarżącego – usunięcie z list sankcyjnych ONZ i UE już został spełniony. </w:t>
      </w:r>
    </w:p>
    <w:p w:rsidR="00C00EB0" w:rsidRPr="00164420" w:rsidRDefault="00C00EB0" w:rsidP="00823C84">
      <w:pPr>
        <w:autoSpaceDE w:val="0"/>
        <w:autoSpaceDN w:val="0"/>
        <w:adjustRightInd w:val="0"/>
        <w:spacing w:before="120" w:after="0" w:line="240" w:lineRule="auto"/>
        <w:jc w:val="both"/>
        <w:rPr>
          <w:rFonts w:cs="Calibri"/>
          <w:sz w:val="24"/>
          <w:szCs w:val="24"/>
        </w:rPr>
      </w:pPr>
      <w:r w:rsidRPr="00164420">
        <w:rPr>
          <w:rFonts w:cs="Calibri"/>
          <w:sz w:val="24"/>
          <w:szCs w:val="24"/>
        </w:rPr>
        <w:t>W dalszej kolejności należy podkreślić, że uzyskiwanie nowego pełnomocnictwa zgodnie z wymogami prawa krajowego w celu uzyskania słusznego zadośćuczynienia jest powszechną praktyką, zaakceptowaną przez Komitet Ministrów (zobacz w sprawie monitorowania wypłaty kwot zasądzonych z tytułu słusznego zadośćuczynienia), również jak dotąd we wszystkich sprawach przeciwko Polsce. Wymóg ten służy ważnemu celowi, jako że wypłata zadośćuczynienia osobie nieuprawnionej, tj. która została wyznaczona do odbioru środków bez odpowiedniego pełnomocnictwa udzielonego w tym celu przez skarżącego, nawet w sytuacji uznania tego przez Komitet Ministrów, nie byłaby ważna w świetle prawa polskiego.</w:t>
      </w:r>
    </w:p>
    <w:p w:rsidR="00C00EB0" w:rsidRPr="00164420" w:rsidRDefault="00C00EB0" w:rsidP="00823C84">
      <w:pPr>
        <w:autoSpaceDE w:val="0"/>
        <w:autoSpaceDN w:val="0"/>
        <w:adjustRightInd w:val="0"/>
        <w:spacing w:before="120" w:after="0" w:line="240" w:lineRule="auto"/>
        <w:jc w:val="both"/>
        <w:rPr>
          <w:rFonts w:cs="Calibri"/>
          <w:sz w:val="24"/>
          <w:szCs w:val="24"/>
        </w:rPr>
      </w:pPr>
      <w:r w:rsidRPr="00164420">
        <w:rPr>
          <w:rFonts w:cs="Calibri"/>
          <w:sz w:val="24"/>
          <w:szCs w:val="24"/>
        </w:rPr>
        <w:lastRenderedPageBreak/>
        <w:t>Oznacza to, że gdyby rząd wypłacił słuszne zadośćuczynienie na podstawie dyspozycji wypłaty, która nie została dokonana bezpośrednio przez skarżącego lub jego przedstawiciela z pełnomocnictwem do tego celu, a później otrzymałby inną dyspozycję od skarżącego lub jego przedstawiciela posiadającego w tym celu stosowne pełnomocnictwo, musiałby ponownie wypłacić zasądzoną sumę w całości wraz z odsetkami.</w:t>
      </w:r>
    </w:p>
    <w:p w:rsidR="00C00EB0" w:rsidRPr="00164420" w:rsidRDefault="00C00EB0" w:rsidP="00823C84">
      <w:pPr>
        <w:autoSpaceDE w:val="0"/>
        <w:autoSpaceDN w:val="0"/>
        <w:adjustRightInd w:val="0"/>
        <w:spacing w:before="120" w:after="0" w:line="240" w:lineRule="auto"/>
        <w:jc w:val="both"/>
        <w:rPr>
          <w:rFonts w:cs="Calibri"/>
          <w:sz w:val="24"/>
          <w:szCs w:val="24"/>
        </w:rPr>
      </w:pPr>
      <w:r w:rsidRPr="00164420">
        <w:rPr>
          <w:rFonts w:cs="Calibri"/>
          <w:sz w:val="24"/>
          <w:szCs w:val="24"/>
        </w:rPr>
        <w:t>W zakresie stwierdzenia Human Rights in Practice, że rząd odmówił przekazania środków zasądzonych przez Trybunał dla pana Abu Zubaydah po dostarczeniu informacji o usunięciu skarżącego z list sankcyjnych ONZ i UE I dla krewnego skarżącego, który powinien otrzymać te środki (Komunikacja do Komitetu Ministrów na podstawie Reguły 9.1 z dnia 4 października 2018 r.), należy zdecydowanie podkreślić, że rząd nigdy nie otrzymał żadnej dyspozycji od skarżącego lub jego pełnomocnika posiadającego do tego celu pełnomocnictwo dotyczące wypłaty zadośćuczynienia. Krewny skarżącego, który zdaniem Human Rights in Practice został wyznaczony przez pana Abu Zubaydah, aby otrzymać zasądzone zadośćuczynienie, nie może być uznany za osobę upoważnioną z prawnego punktu widzenia, z uwagi na brak dyspozycji skarżącego lub jego przedstawiciela posiadającego pełnomocnictwo do uzyskania słusznego zadośćuczynienia potwierdzającego to.</w:t>
      </w:r>
    </w:p>
    <w:p w:rsidR="00C00EB0" w:rsidRPr="00164420" w:rsidRDefault="00C00EB0" w:rsidP="00823C84">
      <w:pPr>
        <w:tabs>
          <w:tab w:val="left" w:pos="1770"/>
        </w:tabs>
        <w:autoSpaceDE w:val="0"/>
        <w:autoSpaceDN w:val="0"/>
        <w:adjustRightInd w:val="0"/>
        <w:spacing w:before="120" w:after="0" w:line="240" w:lineRule="auto"/>
        <w:jc w:val="both"/>
        <w:rPr>
          <w:rFonts w:cs="Calibri"/>
          <w:sz w:val="24"/>
          <w:szCs w:val="24"/>
        </w:rPr>
      </w:pPr>
      <w:r w:rsidRPr="00164420">
        <w:rPr>
          <w:rFonts w:cs="Calibri"/>
          <w:sz w:val="24"/>
          <w:szCs w:val="24"/>
        </w:rPr>
        <w:t xml:space="preserve">W tym względzie rząd pragnie oświadczyć, że jest w pełni świadomy wyjątkowych trudności w skontaktowaniu się ze skarżącym z powodu nietypowego statusu jego miejsca pobytu, ponieważ nadal przebywa on w </w:t>
      </w:r>
      <w:r w:rsidR="001733A2">
        <w:rPr>
          <w:rFonts w:cs="Calibri"/>
          <w:sz w:val="24"/>
          <w:szCs w:val="24"/>
        </w:rPr>
        <w:t>bazie marynarki wojennej USA w Zatoce</w:t>
      </w:r>
      <w:r w:rsidRPr="00164420">
        <w:rPr>
          <w:rFonts w:cs="Calibri"/>
          <w:sz w:val="24"/>
          <w:szCs w:val="24"/>
        </w:rPr>
        <w:t xml:space="preserve"> Guantanamo na Kubie. Rząd osobiście doświadczył natury tych przeszkód (patrz informacje w planie działań z 3 lutego 2020 r.). Jednak naszym zdaniem przeszkody te nie mogą zwolnić skarżącego od przestrzegania wymogów prawa. Jak zauważył autor komunikacji, reżim w jakim znajduje się skarżący wydaje się być bardziej elastyczny niż wcześniej, w związku z czym nie jest bezzasadne oczekiwanie, że w najbliższej przyszłości przedstawiciele skarżącego lub inne podmioty będą mogły się z nim kontaktować. Nieuzasadnione jest również oczekiwanie, że państwo pozwane, pozostanie na czas nieokreślony zobowiązane do zapewnienia takiego kontaktu przedstawicielom skarżącego, podczas gdy brak jest informacji o ich własnych próbach skontaktowania się z panem Abu Zubaydah.</w:t>
      </w:r>
    </w:p>
    <w:p w:rsidR="00C00EB0" w:rsidRPr="00164420" w:rsidRDefault="00C00EB0" w:rsidP="00823C84">
      <w:pPr>
        <w:autoSpaceDE w:val="0"/>
        <w:autoSpaceDN w:val="0"/>
        <w:adjustRightInd w:val="0"/>
        <w:spacing w:before="120" w:after="0" w:line="240" w:lineRule="auto"/>
        <w:jc w:val="both"/>
        <w:rPr>
          <w:rFonts w:cs="Calibri"/>
          <w:sz w:val="24"/>
          <w:szCs w:val="24"/>
        </w:rPr>
      </w:pPr>
      <w:r w:rsidRPr="00164420">
        <w:rPr>
          <w:rFonts w:cs="Calibri"/>
          <w:sz w:val="24"/>
          <w:szCs w:val="24"/>
        </w:rPr>
        <w:t xml:space="preserve">Jeżeli chodzi o wycofanie środków z rachunku depozytowego sądu, należy przypomnieć, że rząd nie bierze udziału w procesie zwalniania środków z rachunku depozytowego, gdyż jedynie do sądu depozytowego należy rozpatrzenie wniosku w tym zakresie. W konsekwencji rząd nie posiada żadnych informacji, czy skarżący lub jego przedstawiciele podjęli jakiekolwiek próby uzyskania zdeponowanej kwoty. Końcowo należy silnie podkreślić, ze rząd nigdy nie kontestował obowiązku wynikającego z wyroku w sprawie </w:t>
      </w:r>
      <w:r w:rsidRPr="00164420">
        <w:rPr>
          <w:rFonts w:cs="Calibri,Italic"/>
          <w:i/>
          <w:iCs/>
          <w:sz w:val="24"/>
          <w:szCs w:val="24"/>
        </w:rPr>
        <w:t>Abu Zubaydah v. Poland</w:t>
      </w:r>
      <w:r w:rsidRPr="00164420">
        <w:rPr>
          <w:rFonts w:cs="Calibri"/>
          <w:sz w:val="24"/>
          <w:szCs w:val="24"/>
        </w:rPr>
        <w:t>, wypłaty słusznego zadośćuczynienia przyznanego skarżącemu przez Trybunał i pomimo przeszkód aktywnie korzystał z wszelkich możliwych sposobów różnymi kanałami realizacji płatności na rzecz pana Abu Zubaydah.</w:t>
      </w:r>
    </w:p>
    <w:p w:rsidR="00C00EB0" w:rsidRPr="00164420" w:rsidRDefault="00C00EB0" w:rsidP="00823C84">
      <w:pPr>
        <w:autoSpaceDE w:val="0"/>
        <w:autoSpaceDN w:val="0"/>
        <w:adjustRightInd w:val="0"/>
        <w:spacing w:before="120" w:after="0" w:line="240" w:lineRule="auto"/>
        <w:jc w:val="both"/>
        <w:rPr>
          <w:rFonts w:cs="Calibri"/>
          <w:b/>
          <w:sz w:val="24"/>
          <w:szCs w:val="24"/>
        </w:rPr>
      </w:pPr>
      <w:r w:rsidRPr="00164420">
        <w:rPr>
          <w:rFonts w:cs="Calibri"/>
          <w:b/>
          <w:sz w:val="24"/>
          <w:szCs w:val="24"/>
        </w:rPr>
        <w:t>Środki indywidualne – gwarancje dyplomatyczne</w:t>
      </w:r>
    </w:p>
    <w:p w:rsidR="00C00EB0" w:rsidRPr="00426EFC" w:rsidRDefault="00C00EB0" w:rsidP="00823C84">
      <w:pPr>
        <w:autoSpaceDE w:val="0"/>
        <w:autoSpaceDN w:val="0"/>
        <w:adjustRightInd w:val="0"/>
        <w:spacing w:before="120" w:after="0" w:line="240" w:lineRule="auto"/>
        <w:jc w:val="both"/>
        <w:rPr>
          <w:rFonts w:cs="Calibri"/>
          <w:sz w:val="24"/>
          <w:szCs w:val="24"/>
        </w:rPr>
      </w:pPr>
      <w:r w:rsidRPr="00426EFC">
        <w:rPr>
          <w:rFonts w:cs="Calibri"/>
          <w:sz w:val="24"/>
          <w:szCs w:val="24"/>
        </w:rPr>
        <w:t xml:space="preserve">Odnośnie do rekomendacji Human Rights in Practice, aby ujawnić korespondencję rządu z rządem USA dotyczącą wniosków o udzielenie gwarancji dyplomatycznych, że pan Abu Zubaydah nie będzie nadal podlegać rażącej odmowie sprawiedliwości, rząd pragnie powtórzyć, że te dokumenty stanowią korespondencję dyplomatyczną, która ze względu na swoją formę i treść objęta jest tajemnicą dyplomatyczną, zgodnie z Konwencją wiedeńska o stosunkach dyplomatycznych z 1961 r. Należy zauważyć, że właśnie kwestia ujawnienia opinii </w:t>
      </w:r>
      <w:r w:rsidRPr="00426EFC">
        <w:rPr>
          <w:rFonts w:cs="Calibri"/>
          <w:sz w:val="24"/>
          <w:szCs w:val="24"/>
        </w:rPr>
        <w:lastRenderedPageBreak/>
        <w:t>publicznej not dyplomatycznych przekazanych przez rząd RP rządowi USA w ramach realizacji obowiązku uzyskania gwarancji dyplomatycznych dla, m.in. pana Abu Zubaydah, jest przedmiotem trwających postępowań przed polskim sądem administracyjnym. W tym postępowaniu,  wszczętym na podstawie odwołania złożonego przez obywatela polskiego od decyzji Ministerstwa Spraw Zagranicznych o odmowie udostępnienia informacji publicznej (ujawnienie przedmiotowych not dyplomatycznych) w związku z objęciem ich tajemnicą dyplomatyczną zgodnie z międzynarodowym prawem i praktyką, Sąd Administracyjny w Warszawie po zapoznaniu się z powyższymi notami oddalił odwołanie od decyzji MSZ. Ten wyrok nie jest jeszcze ostateczny.</w:t>
      </w:r>
    </w:p>
    <w:p w:rsidR="00C00EB0" w:rsidRPr="00426EFC" w:rsidRDefault="00C00EB0" w:rsidP="00823C84">
      <w:pPr>
        <w:autoSpaceDE w:val="0"/>
        <w:autoSpaceDN w:val="0"/>
        <w:adjustRightInd w:val="0"/>
        <w:spacing w:before="120" w:after="0" w:line="240" w:lineRule="auto"/>
        <w:jc w:val="both"/>
        <w:rPr>
          <w:rFonts w:cs="Calibri"/>
          <w:sz w:val="24"/>
          <w:szCs w:val="24"/>
        </w:rPr>
      </w:pPr>
      <w:r w:rsidRPr="00426EFC">
        <w:rPr>
          <w:rFonts w:cs="Calibri"/>
          <w:sz w:val="24"/>
          <w:szCs w:val="24"/>
        </w:rPr>
        <w:t xml:space="preserve">Równocześnie rząd pragnie podkreślić, że we wszelkiej korespondencji kierowanej do rządu USA z prośbą o udzielenie gwarancji dyplomatycznych dla, m.in., pana Abu Zubaydah, powoływane są zobowiązania rządu wynikające z art. 46 Konwencji o prawach człowieka i podstawowych wolności, przedstawiany jest kontekst wykonywania orzeczeń Europejskiego Trybunału Praw Człowieka, wyraźne odniesienie do decyzji Komitetu Ministrów przyjętych w grupie spraw </w:t>
      </w:r>
      <w:r w:rsidRPr="00C00EB0">
        <w:rPr>
          <w:rFonts w:cs="Calibri"/>
          <w:i/>
          <w:sz w:val="24"/>
          <w:szCs w:val="24"/>
        </w:rPr>
        <w:t>Al Nashiri p. Polsce</w:t>
      </w:r>
      <w:r w:rsidRPr="00426EFC">
        <w:rPr>
          <w:rFonts w:cs="Calibri"/>
          <w:sz w:val="24"/>
          <w:szCs w:val="24"/>
        </w:rPr>
        <w:t xml:space="preserve"> oraz wszystkie poprzednie wnioski są przywołane. Bardziej szczegółowe informacje na temat treści każdego wniosku zostały przekazane przez rząd RP w poprzednich planach działania i innych komunikacjach dotyczących pilnych środków indywidualnych, przekazanych Komitetowi Ministrów i dostępnych na stronie internetowej Hudoc-Exec.</w:t>
      </w:r>
    </w:p>
    <w:p w:rsidR="000711ED" w:rsidRDefault="000711ED" w:rsidP="00823C84">
      <w:pPr>
        <w:spacing w:before="120" w:after="0" w:line="240" w:lineRule="auto"/>
        <w:rPr>
          <w:sz w:val="24"/>
          <w:szCs w:val="24"/>
          <w:u w:val="single"/>
        </w:rPr>
      </w:pPr>
    </w:p>
    <w:p w:rsidR="004338D8" w:rsidRPr="00F24A3C" w:rsidRDefault="004338D8" w:rsidP="007C4C5E">
      <w:pPr>
        <w:pStyle w:val="Nagwek1"/>
        <w:jc w:val="both"/>
        <w:rPr>
          <w:rFonts w:asciiTheme="minorHAnsi" w:hAnsiTheme="minorHAnsi"/>
          <w:sz w:val="28"/>
          <w:szCs w:val="28"/>
        </w:rPr>
      </w:pPr>
      <w:bookmarkStart w:id="14" w:name="_Toc69124151"/>
      <w:r w:rsidRPr="00F24A3C">
        <w:rPr>
          <w:rFonts w:asciiTheme="minorHAnsi" w:hAnsiTheme="minorHAnsi"/>
          <w:sz w:val="28"/>
          <w:szCs w:val="28"/>
        </w:rPr>
        <w:t>Komunikacja Helsińskiej Fundacji Praw Człowieka</w:t>
      </w:r>
      <w:r w:rsidR="00EB3E7E">
        <w:rPr>
          <w:rFonts w:asciiTheme="minorHAnsi" w:hAnsiTheme="minorHAnsi"/>
          <w:sz w:val="28"/>
          <w:szCs w:val="28"/>
        </w:rPr>
        <w:t>, Towarzystwa Dziennikarskiego i Watchdog Polska</w:t>
      </w:r>
      <w:r w:rsidRPr="00F24A3C">
        <w:rPr>
          <w:rFonts w:asciiTheme="minorHAnsi" w:hAnsiTheme="minorHAnsi"/>
          <w:sz w:val="28"/>
          <w:szCs w:val="28"/>
        </w:rPr>
        <w:t xml:space="preserve"> w sprawie wykonania wyroku Europejskiego Trybunału Praw Człowieka </w:t>
      </w:r>
      <w:r w:rsidRPr="00F24A3C">
        <w:rPr>
          <w:rFonts w:asciiTheme="minorHAnsi" w:hAnsiTheme="minorHAnsi"/>
          <w:i/>
          <w:sz w:val="28"/>
          <w:szCs w:val="28"/>
        </w:rPr>
        <w:t>Kurłowicz p. Polsce</w:t>
      </w:r>
      <w:r w:rsidRPr="00F24A3C">
        <w:rPr>
          <w:rFonts w:asciiTheme="minorHAnsi" w:hAnsiTheme="minorHAnsi"/>
          <w:sz w:val="28"/>
          <w:szCs w:val="28"/>
        </w:rPr>
        <w:t xml:space="preserve"> z dnia 20 lutego 2020 r.</w:t>
      </w:r>
      <w:bookmarkEnd w:id="14"/>
      <w:r w:rsidRPr="00F24A3C">
        <w:rPr>
          <w:rFonts w:asciiTheme="minorHAnsi" w:hAnsiTheme="minorHAnsi"/>
          <w:sz w:val="28"/>
          <w:szCs w:val="28"/>
        </w:rPr>
        <w:t xml:space="preserve">   </w:t>
      </w:r>
    </w:p>
    <w:p w:rsidR="00CE0417" w:rsidRDefault="00CE0417">
      <w:pPr>
        <w:rPr>
          <w:sz w:val="24"/>
          <w:szCs w:val="24"/>
          <w:u w:val="single"/>
        </w:rPr>
      </w:pPr>
    </w:p>
    <w:p w:rsidR="004338D8" w:rsidRDefault="004338D8" w:rsidP="00BA2C68">
      <w:pPr>
        <w:spacing w:before="120" w:after="0" w:line="240" w:lineRule="auto"/>
        <w:rPr>
          <w:sz w:val="24"/>
          <w:szCs w:val="24"/>
          <w:u w:val="single"/>
        </w:rPr>
      </w:pPr>
      <w:r>
        <w:rPr>
          <w:sz w:val="24"/>
          <w:szCs w:val="24"/>
          <w:u w:val="single"/>
        </w:rPr>
        <w:t>Treść komunikacji</w:t>
      </w:r>
    </w:p>
    <w:p w:rsidR="00916CFB" w:rsidRPr="00916CFB" w:rsidRDefault="00916CFB" w:rsidP="00BA2C68">
      <w:pPr>
        <w:spacing w:before="120" w:after="0" w:line="240" w:lineRule="auto"/>
        <w:jc w:val="both"/>
        <w:rPr>
          <w:sz w:val="24"/>
          <w:szCs w:val="24"/>
          <w:u w:val="single"/>
        </w:rPr>
      </w:pPr>
      <w:r w:rsidRPr="00916CFB">
        <w:rPr>
          <w:rFonts w:ascii="Calibri" w:eastAsia="Times New Roman" w:hAnsi="Calibri" w:cs="Times New Roman"/>
          <w:sz w:val="24"/>
          <w:szCs w:val="24"/>
          <w:lang w:eastAsia="pl-PL"/>
        </w:rPr>
        <w:t xml:space="preserve">Helsińska Fundacja Praw Człowieka (dalej: HFPC), Towarzystwo Dziennikarskie (dalej: TD) oraz Watchdog Polska (dalej: WP) zwracają się do Komitetu Ministrów jako organu nadzorczego, zgodnie z Regułą 9 ust. 2 Regulaminu Komitetu Ministrów w sprawie nadzoru nad </w:t>
      </w:r>
      <w:r w:rsidRPr="00916CFB">
        <w:rPr>
          <w:rFonts w:eastAsia="Times New Roman" w:cs="Times New Roman"/>
          <w:sz w:val="24"/>
          <w:szCs w:val="24"/>
          <w:lang w:eastAsia="pl-PL"/>
        </w:rPr>
        <w:t>wykonywaniem wyroków i warunkami ugód.</w:t>
      </w:r>
    </w:p>
    <w:p w:rsidR="00916CFB" w:rsidRPr="00BA2C68" w:rsidRDefault="00916CFB" w:rsidP="00987EB2">
      <w:pPr>
        <w:pStyle w:val="Akapitzlist"/>
        <w:keepNext/>
        <w:keepLines/>
        <w:widowControl w:val="0"/>
        <w:numPr>
          <w:ilvl w:val="0"/>
          <w:numId w:val="62"/>
        </w:numPr>
        <w:tabs>
          <w:tab w:val="left" w:pos="1086"/>
        </w:tabs>
        <w:spacing w:before="120" w:after="0" w:line="240" w:lineRule="auto"/>
        <w:contextualSpacing w:val="0"/>
        <w:jc w:val="both"/>
        <w:outlineLvl w:val="1"/>
        <w:rPr>
          <w:rFonts w:eastAsia="Times New Roman" w:cs="Times New Roman"/>
          <w:b/>
          <w:bCs/>
          <w:color w:val="000000"/>
          <w:sz w:val="24"/>
          <w:szCs w:val="24"/>
          <w:lang w:bidi="en-US"/>
        </w:rPr>
      </w:pPr>
      <w:bookmarkStart w:id="15" w:name="bookmark0"/>
      <w:bookmarkStart w:id="16" w:name="bookmark1"/>
      <w:r w:rsidRPr="00BA2C68">
        <w:rPr>
          <w:rFonts w:eastAsia="Times New Roman" w:cs="Times New Roman"/>
          <w:b/>
          <w:bCs/>
          <w:color w:val="000000"/>
          <w:sz w:val="24"/>
          <w:szCs w:val="24"/>
          <w:lang w:bidi="en-US"/>
        </w:rPr>
        <w:t>Grupa spraw Kurłowicz</w:t>
      </w:r>
      <w:bookmarkEnd w:id="15"/>
      <w:bookmarkEnd w:id="16"/>
    </w:p>
    <w:p w:rsidR="00916CFB" w:rsidRPr="00916CFB" w:rsidRDefault="00916CFB" w:rsidP="00BA2C68">
      <w:pPr>
        <w:spacing w:before="120" w:after="0" w:line="240" w:lineRule="auto"/>
        <w:jc w:val="both"/>
        <w:rPr>
          <w:rFonts w:eastAsia="Times New Roman" w:cs="Times New Roman"/>
          <w:sz w:val="24"/>
          <w:szCs w:val="24"/>
          <w:lang w:eastAsia="pl-PL"/>
        </w:rPr>
      </w:pPr>
      <w:r w:rsidRPr="00916CFB">
        <w:rPr>
          <w:rFonts w:eastAsia="Times New Roman" w:cs="Times New Roman"/>
          <w:sz w:val="24"/>
          <w:szCs w:val="24"/>
          <w:lang w:eastAsia="pl-PL"/>
        </w:rPr>
        <w:t>Wyżej wymienione trzy organizacje pragną zwrócić uwagę Komitetu Ministrów na kwestię wykonywania w Polsce wyroków Europejskiego Trybunału Praw Człowieka (dalej: ETPCz) dotyczących przestępstwa zniesławienia, zgrupowanych w sprawie Kurłowicz p</w:t>
      </w:r>
      <w:r w:rsidR="008E6740">
        <w:rPr>
          <w:rFonts w:eastAsia="Times New Roman" w:cs="Times New Roman"/>
          <w:sz w:val="24"/>
          <w:szCs w:val="24"/>
          <w:lang w:eastAsia="pl-PL"/>
        </w:rPr>
        <w:t>.</w:t>
      </w:r>
      <w:r w:rsidRPr="00916CFB">
        <w:rPr>
          <w:rFonts w:eastAsia="Times New Roman" w:cs="Times New Roman"/>
          <w:sz w:val="24"/>
          <w:szCs w:val="24"/>
          <w:lang w:eastAsia="pl-PL"/>
        </w:rPr>
        <w:t xml:space="preserve"> Polsce (skarga nr 41029/06). Sprawy z tej grupy dotyczą naruszeń prawa do wolności wypowiedzi (art. 10) w związku ze skazaniem skarżących (polityków, dziennikarzy lub redaktorów) na kary grzywny za zniesławienie w różnych instancjach w latach 2002–2010. Wraz ze sprawą Kurłowicz (sprawa wiodąca), grupa składa się z pięciu spraw.</w:t>
      </w:r>
    </w:p>
    <w:p w:rsidR="00916CFB" w:rsidRPr="00916CFB" w:rsidRDefault="00916CFB" w:rsidP="00BA2C68">
      <w:pPr>
        <w:spacing w:before="120" w:after="0" w:line="240" w:lineRule="auto"/>
        <w:jc w:val="both"/>
        <w:rPr>
          <w:rFonts w:eastAsia="Times New Roman" w:cs="Times New Roman"/>
          <w:sz w:val="24"/>
          <w:szCs w:val="24"/>
          <w:lang w:eastAsia="pl-PL"/>
        </w:rPr>
      </w:pPr>
      <w:r w:rsidRPr="00916CFB">
        <w:rPr>
          <w:rFonts w:eastAsia="Times New Roman" w:cs="Times New Roman"/>
          <w:sz w:val="24"/>
          <w:szCs w:val="24"/>
          <w:lang w:eastAsia="pl-PL"/>
        </w:rPr>
        <w:t>Zwracając uwagę na istotną rolę, jaką prasa odgrywa w społeczeństwie demokratycznym, Trybunał wskazał, że ingerencja była nieproporcjonalna do realizowanego uprawnionego celu i nie była „konieczna w społeczeństwie demokratycznym” w rozumieniu art. 10 § 2 Konwencji.</w:t>
      </w:r>
    </w:p>
    <w:p w:rsidR="00916CFB" w:rsidRPr="00916CFB" w:rsidRDefault="00916CFB" w:rsidP="00BA2C68">
      <w:pPr>
        <w:spacing w:before="120" w:after="0" w:line="240" w:lineRule="auto"/>
        <w:jc w:val="both"/>
        <w:rPr>
          <w:sz w:val="24"/>
          <w:szCs w:val="24"/>
        </w:rPr>
      </w:pPr>
      <w:r w:rsidRPr="00916CFB">
        <w:rPr>
          <w:rFonts w:eastAsia="Times New Roman" w:cs="Times New Roman"/>
          <w:sz w:val="24"/>
          <w:szCs w:val="24"/>
          <w:lang w:eastAsia="pl-PL"/>
        </w:rPr>
        <w:lastRenderedPageBreak/>
        <w:t>Ponadto w wielu sprawach dotyczących przestępstwa zniesławienia ETPCz uznał, że Polska dopuściła się naruszenia art. 10 Konwencji. W licznych sprawach Polska złożyła również jednostronną deklarację lub z innych powodów skargi zostały skreślone z listy spraw</w:t>
      </w:r>
      <w:r w:rsidRPr="00916CFB">
        <w:rPr>
          <w:sz w:val="24"/>
          <w:szCs w:val="24"/>
          <w:lang w:eastAsia="pl-PL"/>
        </w:rPr>
        <w:footnoteReference w:id="182"/>
      </w:r>
      <w:r w:rsidRPr="00916CFB">
        <w:rPr>
          <w:rFonts w:eastAsia="Times New Roman" w:cs="Times New Roman"/>
          <w:sz w:val="24"/>
          <w:szCs w:val="24"/>
          <w:lang w:eastAsia="pl-PL"/>
        </w:rPr>
        <w:t xml:space="preserve">. Z bazy danych HUDOC wynika, że wiele spraw dotyczących przestępstwa zniesławienia nie zostało rozstrzygniętych: </w:t>
      </w:r>
      <w:r w:rsidRPr="00374268">
        <w:rPr>
          <w:rFonts w:eastAsia="Times New Roman" w:cs="Times New Roman"/>
          <w:i/>
          <w:sz w:val="24"/>
          <w:szCs w:val="24"/>
          <w:lang w:eastAsia="pl-PL"/>
        </w:rPr>
        <w:t>Koniuszewski p</w:t>
      </w:r>
      <w:r w:rsidR="008E6740" w:rsidRPr="00374268">
        <w:rPr>
          <w:rFonts w:eastAsia="Times New Roman" w:cs="Times New Roman"/>
          <w:i/>
          <w:sz w:val="24"/>
          <w:szCs w:val="24"/>
          <w:lang w:eastAsia="pl-PL"/>
        </w:rPr>
        <w:t>.</w:t>
      </w:r>
      <w:r w:rsidRPr="00374268">
        <w:rPr>
          <w:rFonts w:eastAsia="Times New Roman" w:cs="Times New Roman"/>
          <w:i/>
          <w:sz w:val="24"/>
          <w:szCs w:val="24"/>
          <w:lang w:eastAsia="pl-PL"/>
        </w:rPr>
        <w:t xml:space="preserve"> Polsce</w:t>
      </w:r>
      <w:r w:rsidRPr="00916CFB">
        <w:rPr>
          <w:rFonts w:eastAsia="Times New Roman" w:cs="Times New Roman"/>
          <w:sz w:val="24"/>
          <w:szCs w:val="24"/>
          <w:lang w:eastAsia="pl-PL"/>
        </w:rPr>
        <w:t xml:space="preserve"> (skarga nr 619/12), </w:t>
      </w:r>
      <w:r w:rsidRPr="00BA2C68">
        <w:rPr>
          <w:rFonts w:eastAsia="Times New Roman" w:cs="Times New Roman"/>
          <w:i/>
          <w:sz w:val="24"/>
          <w:szCs w:val="24"/>
          <w:lang w:eastAsia="pl-PL"/>
        </w:rPr>
        <w:t>Maciejewski p</w:t>
      </w:r>
      <w:r w:rsidR="008E6740" w:rsidRPr="00BA2C68">
        <w:rPr>
          <w:rFonts w:eastAsia="Times New Roman" w:cs="Times New Roman"/>
          <w:i/>
          <w:sz w:val="24"/>
          <w:szCs w:val="24"/>
          <w:lang w:eastAsia="pl-PL"/>
        </w:rPr>
        <w:t>.</w:t>
      </w:r>
      <w:r w:rsidRPr="00BA2C68">
        <w:rPr>
          <w:rFonts w:eastAsia="Times New Roman" w:cs="Times New Roman"/>
          <w:i/>
          <w:sz w:val="24"/>
          <w:szCs w:val="24"/>
          <w:lang w:eastAsia="pl-PL"/>
        </w:rPr>
        <w:t xml:space="preserve"> Polsce</w:t>
      </w:r>
      <w:r w:rsidRPr="00916CFB">
        <w:rPr>
          <w:rFonts w:eastAsia="Times New Roman" w:cs="Times New Roman"/>
          <w:sz w:val="24"/>
          <w:szCs w:val="24"/>
          <w:lang w:eastAsia="pl-PL"/>
        </w:rPr>
        <w:t xml:space="preserve"> (skarga nr 23755/03), </w:t>
      </w:r>
      <w:r w:rsidRPr="00374268">
        <w:rPr>
          <w:rFonts w:eastAsia="Times New Roman" w:cs="Times New Roman"/>
          <w:i/>
          <w:sz w:val="24"/>
          <w:szCs w:val="24"/>
          <w:lang w:eastAsia="pl-PL"/>
        </w:rPr>
        <w:t>Jucha i Żak p</w:t>
      </w:r>
      <w:r w:rsidR="00374268" w:rsidRPr="00374268">
        <w:rPr>
          <w:rFonts w:eastAsia="Times New Roman" w:cs="Times New Roman"/>
          <w:i/>
          <w:sz w:val="24"/>
          <w:szCs w:val="24"/>
          <w:lang w:eastAsia="pl-PL"/>
        </w:rPr>
        <w:t xml:space="preserve">. </w:t>
      </w:r>
      <w:r w:rsidRPr="00374268">
        <w:rPr>
          <w:rFonts w:eastAsia="Times New Roman" w:cs="Times New Roman"/>
          <w:i/>
          <w:sz w:val="24"/>
          <w:szCs w:val="24"/>
          <w:lang w:eastAsia="pl-PL"/>
        </w:rPr>
        <w:t>Polsce</w:t>
      </w:r>
      <w:r w:rsidRPr="00916CFB">
        <w:rPr>
          <w:rFonts w:eastAsia="Times New Roman" w:cs="Times New Roman"/>
          <w:sz w:val="24"/>
          <w:szCs w:val="24"/>
          <w:lang w:eastAsia="pl-PL"/>
        </w:rPr>
        <w:t xml:space="preserve"> (skarga nr 19127/06), </w:t>
      </w:r>
      <w:r w:rsidRPr="00374268">
        <w:rPr>
          <w:rFonts w:eastAsia="Times New Roman" w:cs="Times New Roman"/>
          <w:i/>
          <w:sz w:val="24"/>
          <w:szCs w:val="24"/>
          <w:lang w:eastAsia="pl-PL"/>
        </w:rPr>
        <w:t>Lewandowska-Malec p</w:t>
      </w:r>
      <w:r w:rsidR="00374268" w:rsidRPr="00374268">
        <w:rPr>
          <w:rFonts w:eastAsia="Times New Roman" w:cs="Times New Roman"/>
          <w:i/>
          <w:sz w:val="24"/>
          <w:szCs w:val="24"/>
          <w:lang w:eastAsia="pl-PL"/>
        </w:rPr>
        <w:t>.</w:t>
      </w:r>
      <w:r w:rsidRPr="00374268">
        <w:rPr>
          <w:rFonts w:eastAsia="Times New Roman" w:cs="Times New Roman"/>
          <w:i/>
          <w:sz w:val="24"/>
          <w:szCs w:val="24"/>
          <w:lang w:eastAsia="pl-PL"/>
        </w:rPr>
        <w:t xml:space="preserve"> Polsce</w:t>
      </w:r>
      <w:r w:rsidRPr="00916CFB">
        <w:rPr>
          <w:rFonts w:eastAsia="Times New Roman" w:cs="Times New Roman"/>
          <w:sz w:val="24"/>
          <w:szCs w:val="24"/>
          <w:lang w:eastAsia="pl-PL"/>
        </w:rPr>
        <w:t xml:space="preserve"> (skarga nr 39660/07), </w:t>
      </w:r>
      <w:r w:rsidRPr="00374268">
        <w:rPr>
          <w:rFonts w:eastAsia="Times New Roman" w:cs="Times New Roman"/>
          <w:i/>
          <w:sz w:val="24"/>
          <w:szCs w:val="24"/>
          <w:lang w:eastAsia="pl-PL"/>
        </w:rPr>
        <w:t>Kurłowicz p</w:t>
      </w:r>
      <w:r w:rsidR="00374268" w:rsidRPr="00374268">
        <w:rPr>
          <w:rFonts w:eastAsia="Times New Roman" w:cs="Times New Roman"/>
          <w:i/>
          <w:sz w:val="24"/>
          <w:szCs w:val="24"/>
          <w:lang w:eastAsia="pl-PL"/>
        </w:rPr>
        <w:t>.</w:t>
      </w:r>
      <w:r w:rsidRPr="00374268">
        <w:rPr>
          <w:rFonts w:eastAsia="Times New Roman" w:cs="Times New Roman"/>
          <w:i/>
          <w:sz w:val="24"/>
          <w:szCs w:val="24"/>
          <w:lang w:eastAsia="pl-PL"/>
        </w:rPr>
        <w:t xml:space="preserve"> Polsce</w:t>
      </w:r>
      <w:r w:rsidRPr="00916CFB">
        <w:rPr>
          <w:rFonts w:eastAsia="Times New Roman" w:cs="Times New Roman"/>
          <w:sz w:val="24"/>
          <w:szCs w:val="24"/>
          <w:lang w:eastAsia="pl-PL"/>
        </w:rPr>
        <w:t xml:space="preserve"> (skarga nr 41029/06), </w:t>
      </w:r>
      <w:r w:rsidRPr="00BA2C68">
        <w:rPr>
          <w:rFonts w:eastAsia="Times New Roman" w:cs="Times New Roman"/>
          <w:i/>
          <w:sz w:val="24"/>
          <w:szCs w:val="24"/>
          <w:lang w:eastAsia="pl-PL"/>
        </w:rPr>
        <w:t>Długołęcki p</w:t>
      </w:r>
      <w:r w:rsidR="00BA2C68">
        <w:rPr>
          <w:rFonts w:eastAsia="Times New Roman" w:cs="Times New Roman"/>
          <w:i/>
          <w:sz w:val="24"/>
          <w:szCs w:val="24"/>
          <w:lang w:eastAsia="pl-PL"/>
        </w:rPr>
        <w:t>.</w:t>
      </w:r>
      <w:r w:rsidRPr="00BA2C68">
        <w:rPr>
          <w:rFonts w:eastAsia="Times New Roman" w:cs="Times New Roman"/>
          <w:i/>
          <w:sz w:val="24"/>
          <w:szCs w:val="24"/>
          <w:lang w:eastAsia="pl-PL"/>
        </w:rPr>
        <w:t xml:space="preserve"> Polsce</w:t>
      </w:r>
      <w:r w:rsidRPr="00916CFB">
        <w:rPr>
          <w:rFonts w:eastAsia="Times New Roman" w:cs="Times New Roman"/>
          <w:sz w:val="24"/>
          <w:szCs w:val="24"/>
          <w:lang w:eastAsia="pl-PL"/>
        </w:rPr>
        <w:t xml:space="preserve"> (skarga nr 23608/03), </w:t>
      </w:r>
      <w:r w:rsidRPr="00BA2C68">
        <w:rPr>
          <w:rFonts w:eastAsia="Times New Roman" w:cs="Times New Roman"/>
          <w:i/>
          <w:sz w:val="24"/>
          <w:szCs w:val="24"/>
          <w:lang w:eastAsia="pl-PL"/>
        </w:rPr>
        <w:t>Dąbrowski p</w:t>
      </w:r>
      <w:r w:rsidR="00BA2C68" w:rsidRPr="00BA2C68">
        <w:rPr>
          <w:rFonts w:eastAsia="Times New Roman" w:cs="Times New Roman"/>
          <w:i/>
          <w:sz w:val="24"/>
          <w:szCs w:val="24"/>
          <w:lang w:eastAsia="pl-PL"/>
        </w:rPr>
        <w:t>.</w:t>
      </w:r>
      <w:r w:rsidRPr="00BA2C68">
        <w:rPr>
          <w:rFonts w:eastAsia="Times New Roman" w:cs="Times New Roman"/>
          <w:i/>
          <w:sz w:val="24"/>
          <w:szCs w:val="24"/>
          <w:lang w:eastAsia="pl-PL"/>
        </w:rPr>
        <w:t xml:space="preserve"> Polsce</w:t>
      </w:r>
      <w:r w:rsidRPr="00916CFB">
        <w:rPr>
          <w:rFonts w:eastAsia="Times New Roman" w:cs="Times New Roman"/>
          <w:sz w:val="24"/>
          <w:szCs w:val="24"/>
          <w:lang w:eastAsia="pl-PL"/>
        </w:rPr>
        <w:t xml:space="preserve"> (skarga nr 18235/02), </w:t>
      </w:r>
      <w:r w:rsidRPr="00BA2C68">
        <w:rPr>
          <w:rFonts w:eastAsia="Times New Roman" w:cs="Times New Roman"/>
          <w:i/>
          <w:sz w:val="24"/>
          <w:szCs w:val="24"/>
          <w:lang w:eastAsia="pl-PL"/>
        </w:rPr>
        <w:t>Malisiewicz-Gąsior p</w:t>
      </w:r>
      <w:r w:rsidR="00BA2C68" w:rsidRPr="00BA2C68">
        <w:rPr>
          <w:rFonts w:eastAsia="Times New Roman" w:cs="Times New Roman"/>
          <w:i/>
          <w:sz w:val="24"/>
          <w:szCs w:val="24"/>
          <w:lang w:eastAsia="pl-PL"/>
        </w:rPr>
        <w:t>.</w:t>
      </w:r>
      <w:r w:rsidRPr="00BA2C68">
        <w:rPr>
          <w:rFonts w:eastAsia="Times New Roman" w:cs="Times New Roman"/>
          <w:i/>
          <w:sz w:val="24"/>
          <w:szCs w:val="24"/>
          <w:lang w:eastAsia="pl-PL"/>
        </w:rPr>
        <w:t xml:space="preserve"> Polsce</w:t>
      </w:r>
      <w:r w:rsidRPr="00916CFB">
        <w:rPr>
          <w:rFonts w:eastAsia="Times New Roman" w:cs="Times New Roman"/>
          <w:sz w:val="24"/>
          <w:szCs w:val="24"/>
          <w:lang w:eastAsia="pl-PL"/>
        </w:rPr>
        <w:t xml:space="preserve"> (skarga nr 43797/98), </w:t>
      </w:r>
      <w:r w:rsidRPr="00BA2C68">
        <w:rPr>
          <w:i/>
          <w:sz w:val="24"/>
          <w:szCs w:val="24"/>
        </w:rPr>
        <w:t>Sokołowski p</w:t>
      </w:r>
      <w:r w:rsidR="00BA2C68" w:rsidRPr="00BA2C68">
        <w:rPr>
          <w:i/>
          <w:sz w:val="24"/>
          <w:szCs w:val="24"/>
        </w:rPr>
        <w:t>.</w:t>
      </w:r>
      <w:r w:rsidRPr="00BA2C68">
        <w:rPr>
          <w:i/>
          <w:sz w:val="24"/>
          <w:szCs w:val="24"/>
        </w:rPr>
        <w:t xml:space="preserve"> Polsce</w:t>
      </w:r>
      <w:r w:rsidRPr="00916CFB">
        <w:rPr>
          <w:sz w:val="24"/>
          <w:szCs w:val="24"/>
        </w:rPr>
        <w:t xml:space="preserve"> (skarga nr 75955/01), </w:t>
      </w:r>
      <w:r w:rsidRPr="00BA2C68">
        <w:rPr>
          <w:i/>
          <w:sz w:val="24"/>
          <w:szCs w:val="24"/>
        </w:rPr>
        <w:t>Galus p</w:t>
      </w:r>
      <w:r w:rsidR="00BA2C68" w:rsidRPr="00BA2C68">
        <w:rPr>
          <w:i/>
          <w:sz w:val="24"/>
          <w:szCs w:val="24"/>
        </w:rPr>
        <w:t>.</w:t>
      </w:r>
      <w:r w:rsidRPr="00BA2C68">
        <w:rPr>
          <w:i/>
          <w:sz w:val="24"/>
          <w:szCs w:val="24"/>
        </w:rPr>
        <w:t xml:space="preserve"> Polsce</w:t>
      </w:r>
      <w:r w:rsidRPr="00916CFB">
        <w:rPr>
          <w:sz w:val="24"/>
          <w:szCs w:val="24"/>
        </w:rPr>
        <w:t xml:space="preserve"> (skarga nr 61673/10), </w:t>
      </w:r>
      <w:r w:rsidRPr="00BA2C68">
        <w:rPr>
          <w:i/>
          <w:sz w:val="24"/>
          <w:szCs w:val="24"/>
        </w:rPr>
        <w:t>Szczerbiak p</w:t>
      </w:r>
      <w:r w:rsidR="00BA2C68" w:rsidRPr="00BA2C68">
        <w:rPr>
          <w:i/>
          <w:sz w:val="24"/>
          <w:szCs w:val="24"/>
        </w:rPr>
        <w:t>.</w:t>
      </w:r>
      <w:r w:rsidRPr="00BA2C68">
        <w:rPr>
          <w:i/>
          <w:sz w:val="24"/>
          <w:szCs w:val="24"/>
        </w:rPr>
        <w:t xml:space="preserve"> Polsce</w:t>
      </w:r>
      <w:r w:rsidRPr="00916CFB">
        <w:rPr>
          <w:sz w:val="24"/>
          <w:szCs w:val="24"/>
        </w:rPr>
        <w:t xml:space="preserve"> (skarga nr 23655/09) oraz </w:t>
      </w:r>
      <w:r w:rsidRPr="00BA2C68">
        <w:rPr>
          <w:i/>
          <w:sz w:val="24"/>
          <w:szCs w:val="24"/>
        </w:rPr>
        <w:t>Marek p</w:t>
      </w:r>
      <w:r w:rsidR="00BA2C68" w:rsidRPr="00BA2C68">
        <w:rPr>
          <w:i/>
          <w:sz w:val="24"/>
          <w:szCs w:val="24"/>
        </w:rPr>
        <w:t>.</w:t>
      </w:r>
      <w:r w:rsidRPr="00BA2C68">
        <w:rPr>
          <w:i/>
          <w:sz w:val="24"/>
          <w:szCs w:val="24"/>
        </w:rPr>
        <w:t xml:space="preserve"> Polsce</w:t>
      </w:r>
      <w:r w:rsidRPr="00916CFB">
        <w:rPr>
          <w:sz w:val="24"/>
          <w:szCs w:val="24"/>
        </w:rPr>
        <w:t xml:space="preserve"> (skarga nr 34103/03). Przed ETPCz toczy się szereg kolejnych spraw dotyczących zniesławienia</w:t>
      </w:r>
      <w:r w:rsidRPr="00916CFB">
        <w:rPr>
          <w:sz w:val="24"/>
          <w:szCs w:val="24"/>
          <w:vertAlign w:val="superscript"/>
        </w:rPr>
        <w:footnoteReference w:id="183"/>
      </w:r>
      <w:r w:rsidRPr="00916CFB">
        <w:rPr>
          <w:sz w:val="24"/>
          <w:szCs w:val="24"/>
        </w:rPr>
        <w:t>.</w:t>
      </w:r>
    </w:p>
    <w:p w:rsidR="00916CFB" w:rsidRPr="00BA2C68" w:rsidRDefault="00916CFB" w:rsidP="00987EB2">
      <w:pPr>
        <w:pStyle w:val="Akapitzlist"/>
        <w:keepNext/>
        <w:keepLines/>
        <w:widowControl w:val="0"/>
        <w:numPr>
          <w:ilvl w:val="0"/>
          <w:numId w:val="62"/>
        </w:numPr>
        <w:tabs>
          <w:tab w:val="left" w:pos="1086"/>
        </w:tabs>
        <w:spacing w:before="120" w:after="0" w:line="240" w:lineRule="auto"/>
        <w:contextualSpacing w:val="0"/>
        <w:jc w:val="both"/>
        <w:outlineLvl w:val="1"/>
        <w:rPr>
          <w:b/>
          <w:sz w:val="24"/>
          <w:szCs w:val="24"/>
        </w:rPr>
      </w:pPr>
      <w:r w:rsidRPr="00BA2C68">
        <w:rPr>
          <w:b/>
          <w:sz w:val="24"/>
          <w:szCs w:val="24"/>
        </w:rPr>
        <w:t>Rządowy raport z działań</w:t>
      </w:r>
    </w:p>
    <w:p w:rsidR="00916CFB" w:rsidRPr="00916CFB" w:rsidRDefault="00916CFB" w:rsidP="00BA2C68">
      <w:pPr>
        <w:pStyle w:val="Teksttreci0"/>
        <w:spacing w:before="120" w:line="240" w:lineRule="auto"/>
        <w:ind w:firstLine="0"/>
        <w:jc w:val="both"/>
        <w:rPr>
          <w:rFonts w:asciiTheme="minorHAnsi" w:hAnsiTheme="minorHAnsi"/>
          <w:sz w:val="24"/>
          <w:szCs w:val="24"/>
        </w:rPr>
      </w:pPr>
      <w:r w:rsidRPr="00916CFB">
        <w:rPr>
          <w:rFonts w:asciiTheme="minorHAnsi" w:hAnsiTheme="minorHAnsi"/>
          <w:sz w:val="24"/>
          <w:szCs w:val="24"/>
        </w:rPr>
        <w:t xml:space="preserve">W rządowym raporcie z działań z dnia 6 czerwca 2017 r. skupiono się na trzech aspektach związanych z przestępstwem zniesławienia: (1) rodzaju i dotkliwości kary wymierzanej przez sądy krajowe; (2) zbyt wąskiej definicji tego, czym jest debata publiczna, stosowanej przez sądy krajowe oraz nieuwzględnianiu kontekstów, w których składano kwestionowane oświadczenia; (3) braku rozróżnienia przez sądy krajowe stwierdzeń co do faktów od sądów ocennych. </w:t>
      </w:r>
    </w:p>
    <w:p w:rsidR="00916CFB" w:rsidRPr="00916CFB" w:rsidRDefault="00916CFB" w:rsidP="00BA2C68">
      <w:pPr>
        <w:pStyle w:val="Teksttreci0"/>
        <w:spacing w:before="120" w:line="240" w:lineRule="auto"/>
        <w:ind w:firstLine="0"/>
        <w:jc w:val="both"/>
        <w:rPr>
          <w:rFonts w:asciiTheme="minorHAnsi" w:hAnsiTheme="minorHAnsi"/>
          <w:sz w:val="24"/>
          <w:szCs w:val="24"/>
        </w:rPr>
      </w:pPr>
      <w:r w:rsidRPr="00916CFB">
        <w:rPr>
          <w:rFonts w:asciiTheme="minorHAnsi" w:hAnsiTheme="minorHAnsi"/>
          <w:sz w:val="24"/>
          <w:szCs w:val="24"/>
        </w:rPr>
        <w:t xml:space="preserve">Jako środek generalny rząd wskazał zmiany prawne wprowadzone w 2009 r., które doprowadziły do zniesienia kary pozbawienia wolności i ograniczeniu kary do kary grzywny lub kary ograniczenia wolności. Jeśli chodzi o typ kwalifikowany przestępstwa zniesławienia (art. 212 ust. 2 – zniesławienie za pomocą środków masowego komunikowania), maksymalne zagrożenie karą pozbawienia wolności zmniejszono z lat dwóch do jednego roku.  Zmiana ta obowiązuje od dnia 8 czerwca 2010 r. Rząd podkreślił również działania związane z rozpowszechnianiem wyroku i szkoleniem osób wykonujących zawody prawnicze. Rząd przekazał dane statystyczne w celu wykazania, że liczba kar pozbawienia wolności orzekanych na podstawie art. 212 ust. 2 utrzymuje się na niskim poziomie. Należy jednak zauważyć, że chociaż art. 212 § 1 k.k. został znowelizowany wspomnianą ustawą i zniesławienie nie jest już </w:t>
      </w:r>
      <w:r w:rsidRPr="00916CFB">
        <w:rPr>
          <w:rFonts w:asciiTheme="minorHAnsi" w:hAnsiTheme="minorHAnsi"/>
          <w:i/>
          <w:iCs/>
          <w:sz w:val="24"/>
          <w:szCs w:val="24"/>
        </w:rPr>
        <w:t>in principio</w:t>
      </w:r>
      <w:r w:rsidRPr="00916CFB">
        <w:rPr>
          <w:rFonts w:asciiTheme="minorHAnsi" w:hAnsiTheme="minorHAnsi"/>
          <w:sz w:val="24"/>
          <w:szCs w:val="24"/>
        </w:rPr>
        <w:t xml:space="preserve"> zagrożone karą pozbawienia wolności, to tego rodzaju kara może być nadal orzekana w sprawach dotyczących zniesławienia za pośrednictwem mediów (objętego art. 212 § 2 k.k.).</w:t>
      </w:r>
    </w:p>
    <w:p w:rsidR="00916CFB" w:rsidRPr="00916CFB" w:rsidRDefault="00916CFB" w:rsidP="00BA2C68">
      <w:pPr>
        <w:pStyle w:val="Teksttreci0"/>
        <w:spacing w:before="120" w:line="240" w:lineRule="auto"/>
        <w:ind w:firstLine="0"/>
        <w:jc w:val="both"/>
        <w:rPr>
          <w:rFonts w:asciiTheme="minorHAnsi" w:hAnsiTheme="minorHAnsi"/>
          <w:sz w:val="24"/>
          <w:szCs w:val="24"/>
        </w:rPr>
      </w:pPr>
      <w:r w:rsidRPr="00916CFB">
        <w:rPr>
          <w:rFonts w:asciiTheme="minorHAnsi" w:hAnsiTheme="minorHAnsi"/>
          <w:sz w:val="24"/>
          <w:szCs w:val="24"/>
        </w:rPr>
        <w:t>Ponadto rząd podkreślił, że istnieje potrzeba zapewnienia informacji i szkoleń pozwalających na zakwestionowanie zbyt wąskiej definicji debaty publicznej przyjętej przez sądy krajowe, jak również brak rozróżnienia pomiędzy stwierdzeniami co do faktów a sądami ocennymi. Rząd rozpowszechnia informacje o wyrokach ETPCz w tym zakresie. Dla przedstawienia skutków podejmowanych działań, rząd przytoczył przykłady orzeczeń sądów krajowych, w których zasady te zostały zastosowane. Przewidziano również wymianę informacji i szkolenia, aby poradzić sobie z brakiem rozróżnienia między sądami ocennymi a stwierdzeniami co do faktów.</w:t>
      </w:r>
    </w:p>
    <w:p w:rsidR="00916CFB" w:rsidRPr="00916CFB" w:rsidRDefault="00916CFB" w:rsidP="00BA2C68">
      <w:pPr>
        <w:pStyle w:val="Teksttreci0"/>
        <w:spacing w:before="120" w:line="240" w:lineRule="auto"/>
        <w:ind w:firstLine="0"/>
        <w:jc w:val="both"/>
        <w:rPr>
          <w:rFonts w:asciiTheme="minorHAnsi" w:hAnsiTheme="minorHAnsi"/>
          <w:sz w:val="24"/>
          <w:szCs w:val="24"/>
        </w:rPr>
      </w:pPr>
      <w:r w:rsidRPr="00916CFB">
        <w:rPr>
          <w:rFonts w:asciiTheme="minorHAnsi" w:hAnsiTheme="minorHAnsi"/>
          <w:sz w:val="24"/>
          <w:szCs w:val="24"/>
        </w:rPr>
        <w:t>Rząd polski stwierdza, że ten stan prawny, który opiera się zar</w:t>
      </w:r>
      <w:r w:rsidR="00BA2C68">
        <w:rPr>
          <w:rFonts w:asciiTheme="minorHAnsi" w:hAnsiTheme="minorHAnsi"/>
          <w:sz w:val="24"/>
          <w:szCs w:val="24"/>
        </w:rPr>
        <w:t xml:space="preserve">ówno na prawnokarnej </w:t>
      </w:r>
      <w:r w:rsidRPr="00916CFB">
        <w:rPr>
          <w:rFonts w:asciiTheme="minorHAnsi" w:hAnsiTheme="minorHAnsi"/>
          <w:sz w:val="24"/>
          <w:szCs w:val="24"/>
        </w:rPr>
        <w:t xml:space="preserve">jak i cywilnoprawnej instytucji zniesławienia należy utrzymać, aby zapobiec powstaniu luki prawnej w zakresie ochrony dobrego imienia. HFPC, TD i WP podzielają stanowisko Zgromadzenia </w:t>
      </w:r>
      <w:r w:rsidRPr="00916CFB">
        <w:rPr>
          <w:rFonts w:asciiTheme="minorHAnsi" w:hAnsiTheme="minorHAnsi"/>
          <w:sz w:val="24"/>
          <w:szCs w:val="24"/>
        </w:rPr>
        <w:lastRenderedPageBreak/>
        <w:t>Parlamentarnego Rady Europy i z tego względu uznają te twierdzenia za wysoce dyskusyjne.</w:t>
      </w:r>
    </w:p>
    <w:p w:rsidR="00916CFB" w:rsidRPr="00916CFB" w:rsidRDefault="00916CFB" w:rsidP="00987EB2">
      <w:pPr>
        <w:pStyle w:val="Nagwek20"/>
        <w:keepNext/>
        <w:keepLines/>
        <w:numPr>
          <w:ilvl w:val="0"/>
          <w:numId w:val="62"/>
        </w:numPr>
        <w:tabs>
          <w:tab w:val="left" w:pos="1105"/>
        </w:tabs>
        <w:spacing w:before="120" w:line="240" w:lineRule="auto"/>
        <w:jc w:val="both"/>
        <w:rPr>
          <w:rFonts w:asciiTheme="minorHAnsi" w:hAnsiTheme="minorHAnsi"/>
          <w:sz w:val="24"/>
          <w:szCs w:val="24"/>
        </w:rPr>
      </w:pPr>
      <w:r w:rsidRPr="00916CFB">
        <w:rPr>
          <w:rFonts w:asciiTheme="minorHAnsi" w:hAnsiTheme="minorHAnsi"/>
          <w:sz w:val="24"/>
          <w:szCs w:val="24"/>
        </w:rPr>
        <w:t>Przestępstwo zniesławienia – nierozstrzygnięta kwestia</w:t>
      </w:r>
    </w:p>
    <w:p w:rsidR="00916CFB" w:rsidRPr="00916CFB" w:rsidRDefault="00916CFB" w:rsidP="00BA2C68">
      <w:pPr>
        <w:pStyle w:val="Teksttreci0"/>
        <w:spacing w:before="120" w:line="240" w:lineRule="auto"/>
        <w:ind w:firstLine="0"/>
        <w:jc w:val="both"/>
        <w:rPr>
          <w:rFonts w:asciiTheme="minorHAnsi" w:hAnsiTheme="minorHAnsi"/>
          <w:sz w:val="24"/>
          <w:szCs w:val="24"/>
        </w:rPr>
      </w:pPr>
      <w:r w:rsidRPr="00916CFB">
        <w:rPr>
          <w:rFonts w:asciiTheme="minorHAnsi" w:hAnsiTheme="minorHAnsi"/>
          <w:sz w:val="24"/>
          <w:szCs w:val="24"/>
        </w:rPr>
        <w:t>Przestępstwo zniesławienia pozostaje nierozstrzygniętą kwestią. W dniu 14 lutego 2019 r. polski minister sprawiedliwości przyznał, że obecnie rząd prowadzi dyskusję w przedmiocie możliwości dekryminalizacji zniesławienia w Polsce</w:t>
      </w:r>
      <w:r w:rsidRPr="00916CFB">
        <w:rPr>
          <w:rFonts w:asciiTheme="minorHAnsi" w:hAnsiTheme="minorHAnsi"/>
          <w:sz w:val="24"/>
          <w:szCs w:val="24"/>
          <w:vertAlign w:val="superscript"/>
        </w:rPr>
        <w:footnoteReference w:id="184"/>
      </w:r>
      <w:r w:rsidRPr="00916CFB">
        <w:rPr>
          <w:rFonts w:asciiTheme="minorHAnsi" w:hAnsiTheme="minorHAnsi"/>
          <w:sz w:val="24"/>
          <w:szCs w:val="24"/>
        </w:rPr>
        <w:t>. Na dzień dzisiejszy nie podjęto jednak żadnych istotnych kroków zmierzających do odpowiedniego rozstrzygnięcia tej kwestii.</w:t>
      </w:r>
    </w:p>
    <w:p w:rsidR="00916CFB" w:rsidRPr="00384ADB" w:rsidRDefault="00916CFB" w:rsidP="00BA2C68">
      <w:pPr>
        <w:pStyle w:val="Teksttreci0"/>
        <w:spacing w:before="120" w:line="240" w:lineRule="auto"/>
        <w:ind w:firstLine="0"/>
        <w:jc w:val="both"/>
        <w:rPr>
          <w:rFonts w:asciiTheme="minorHAnsi" w:hAnsiTheme="minorHAnsi"/>
          <w:sz w:val="24"/>
          <w:szCs w:val="24"/>
        </w:rPr>
      </w:pPr>
      <w:r w:rsidRPr="00916CFB">
        <w:rPr>
          <w:rFonts w:asciiTheme="minorHAnsi" w:hAnsiTheme="minorHAnsi"/>
          <w:sz w:val="24"/>
          <w:szCs w:val="24"/>
        </w:rPr>
        <w:t xml:space="preserve">W </w:t>
      </w:r>
      <w:r w:rsidRPr="00384ADB">
        <w:rPr>
          <w:rFonts w:asciiTheme="minorHAnsi" w:hAnsiTheme="minorHAnsi"/>
          <w:sz w:val="24"/>
          <w:szCs w:val="24"/>
        </w:rPr>
        <w:t>Polsce zniesławienie pozostaje przestępstwem. Zgodnie z art. 212 Kodeksu karnego (dalej: k.k.) zniesławienie polega na „pomówieniu osoby o takie postępowanie lub właściwości, które mogą poniżyć ją w opinii publicznej lub narazić na utratę zaufania potrzebnego dla danego stanowiska, zawodu lub rodzaju działalności”.</w:t>
      </w:r>
    </w:p>
    <w:p w:rsidR="00916CFB" w:rsidRPr="00384ADB" w:rsidRDefault="00916CFB" w:rsidP="00BA2C68">
      <w:pPr>
        <w:pStyle w:val="Teksttreci0"/>
        <w:spacing w:before="120" w:line="240" w:lineRule="auto"/>
        <w:ind w:firstLine="0"/>
        <w:jc w:val="both"/>
        <w:rPr>
          <w:rFonts w:asciiTheme="minorHAnsi" w:hAnsiTheme="minorHAnsi"/>
          <w:sz w:val="24"/>
          <w:szCs w:val="24"/>
        </w:rPr>
      </w:pPr>
      <w:r w:rsidRPr="00384ADB">
        <w:rPr>
          <w:rFonts w:asciiTheme="minorHAnsi" w:hAnsiTheme="minorHAnsi"/>
          <w:sz w:val="24"/>
          <w:szCs w:val="24"/>
        </w:rPr>
        <w:t xml:space="preserve">Art. 212 § 2 k.k. nadal przewiduje </w:t>
      </w:r>
      <w:r w:rsidRPr="00384ADB">
        <w:rPr>
          <w:rFonts w:asciiTheme="minorHAnsi" w:hAnsiTheme="minorHAnsi"/>
          <w:bCs/>
          <w:sz w:val="24"/>
          <w:szCs w:val="24"/>
        </w:rPr>
        <w:t>sankcje do jednego roku pozbawienia wolności za zniesławienie za pośrednictwem mediów</w:t>
      </w:r>
      <w:r w:rsidRPr="00384ADB">
        <w:rPr>
          <w:rFonts w:asciiTheme="minorHAnsi" w:hAnsiTheme="minorHAnsi"/>
          <w:sz w:val="24"/>
          <w:szCs w:val="24"/>
        </w:rPr>
        <w:t>. ETPCz konsekwentnie stoi na stanowisku, że wymierzenie kary pozbawienia wolności za przestępstwo prasowe lub wypowiedź wyrażoną w związku z debatą publiczną będzie zgodne z wolnością wypowiedzi gwarantowaną przez art. 10 Europejskiej Konwencji Praw Człowieka tylko w wyjątkowych okolicznościach, w szczególności gdy inne prawa podstawowe zostały naruszone, jak na przykład w przypadku mowy nienawiści lub podżegania do przemocy</w:t>
      </w:r>
      <w:r w:rsidRPr="00384ADB">
        <w:rPr>
          <w:rFonts w:asciiTheme="minorHAnsi" w:hAnsiTheme="minorHAnsi"/>
          <w:sz w:val="24"/>
          <w:szCs w:val="24"/>
          <w:vertAlign w:val="superscript"/>
        </w:rPr>
        <w:footnoteReference w:id="185"/>
      </w:r>
      <w:r w:rsidRPr="00384ADB">
        <w:rPr>
          <w:rFonts w:asciiTheme="minorHAnsi" w:hAnsiTheme="minorHAnsi"/>
          <w:sz w:val="24"/>
          <w:szCs w:val="24"/>
        </w:rPr>
        <w:t>. Polski porządek prawny zawiera przepisy szczegółowe mające na celu przeciwdziałanie mowie nienawiści i podżeganiu do przemocy, które zagrożone są karą pozbawienia wolności</w:t>
      </w:r>
      <w:r w:rsidRPr="00384ADB">
        <w:rPr>
          <w:rFonts w:asciiTheme="minorHAnsi" w:hAnsiTheme="minorHAnsi"/>
          <w:sz w:val="24"/>
          <w:szCs w:val="24"/>
          <w:vertAlign w:val="superscript"/>
        </w:rPr>
        <w:footnoteReference w:id="186"/>
      </w:r>
      <w:r w:rsidRPr="00384ADB">
        <w:rPr>
          <w:rFonts w:asciiTheme="minorHAnsi" w:hAnsiTheme="minorHAnsi"/>
          <w:sz w:val="24"/>
          <w:szCs w:val="24"/>
        </w:rPr>
        <w:t>. Z tego też względu penalizacja zniesławienia karą pozbawienia wolności nie jest w żadnym wypadku konieczna w polskim systemie prawnym. W tym kontekście należy zauważyć, że już w 2007 r. Zgromadzenie Parlamentarne Rady Europy w swojej rezolucji 1577 wezwało te państwa członkowskie, które nadal przewidują karę pozbawienia wolności za zniesławienie, do ich niezwłocznego usunięcia</w:t>
      </w:r>
      <w:r w:rsidRPr="00384ADB">
        <w:rPr>
          <w:rFonts w:asciiTheme="minorHAnsi" w:hAnsiTheme="minorHAnsi"/>
          <w:sz w:val="24"/>
          <w:szCs w:val="24"/>
          <w:vertAlign w:val="superscript"/>
        </w:rPr>
        <w:footnoteReference w:id="187"/>
      </w:r>
      <w:r w:rsidRPr="00384ADB">
        <w:rPr>
          <w:rFonts w:asciiTheme="minorHAnsi" w:hAnsiTheme="minorHAnsi"/>
          <w:sz w:val="24"/>
          <w:szCs w:val="24"/>
        </w:rPr>
        <w:t>.</w:t>
      </w:r>
    </w:p>
    <w:p w:rsidR="00916CFB" w:rsidRPr="00384ADB" w:rsidRDefault="00916CFB" w:rsidP="00BA2C68">
      <w:pPr>
        <w:pStyle w:val="Teksttreci0"/>
        <w:spacing w:before="120" w:line="240" w:lineRule="auto"/>
        <w:ind w:firstLine="0"/>
        <w:jc w:val="both"/>
        <w:rPr>
          <w:rFonts w:asciiTheme="minorHAnsi" w:hAnsiTheme="minorHAnsi"/>
          <w:sz w:val="24"/>
          <w:szCs w:val="24"/>
        </w:rPr>
      </w:pPr>
      <w:r w:rsidRPr="00384ADB">
        <w:rPr>
          <w:rFonts w:asciiTheme="minorHAnsi" w:hAnsiTheme="minorHAnsi"/>
          <w:sz w:val="24"/>
          <w:szCs w:val="24"/>
        </w:rPr>
        <w:t>Jedyne inne działania, w zakresie środków generalnych, podjęte przez rząd w celu wykonania wyroków ETPCz polegały na publikacji i rozpowszechnianiu tych wyroków wśród sądów krajowych. Zgodnie z raportem z działań Krajowa Szkoła Sądownictwa i Prokuratury zorganizowała również cykl szkoleń dla sędziów pt. „Postępowanie karne jako forma ingerencji w swobodę wypowiedzi i warunki jej dopuszczalności w świetle orzecznictwa Europejskiego Trybunału Praw Człowieka dotyczącego art. 10 Konwencji”. Należy zauważyć, że środki te miały wpływ na interpretację interesu publicznego i rozróżnienie między sądami ocennymi a stanem faktycznym. Wykładnia zgodna z ETPCz nie jest jednak normą i nadal wydawane są wyroki, w których te reguły interpretacyjne nie są stosowane</w:t>
      </w:r>
      <w:r w:rsidRPr="00384ADB">
        <w:rPr>
          <w:rFonts w:asciiTheme="minorHAnsi" w:hAnsiTheme="minorHAnsi"/>
          <w:sz w:val="24"/>
          <w:szCs w:val="24"/>
          <w:vertAlign w:val="superscript"/>
        </w:rPr>
        <w:footnoteReference w:id="188"/>
      </w:r>
      <w:r w:rsidRPr="00384ADB">
        <w:rPr>
          <w:rFonts w:asciiTheme="minorHAnsi" w:hAnsiTheme="minorHAnsi"/>
          <w:sz w:val="24"/>
          <w:szCs w:val="24"/>
        </w:rPr>
        <w:t>. Nadal często zdarza się, że sądy nie uwzględniają zasad staranności dziennikarskiej, zmuszając oskarżonego do przedstawiania dowodów na wszystkie sformułowane stwierdzenia</w:t>
      </w:r>
      <w:r w:rsidRPr="00384ADB">
        <w:rPr>
          <w:rFonts w:asciiTheme="minorHAnsi" w:hAnsiTheme="minorHAnsi"/>
          <w:sz w:val="24"/>
          <w:szCs w:val="24"/>
          <w:vertAlign w:val="superscript"/>
        </w:rPr>
        <w:footnoteReference w:id="189"/>
      </w:r>
      <w:r w:rsidRPr="00384ADB">
        <w:rPr>
          <w:rFonts w:asciiTheme="minorHAnsi" w:hAnsiTheme="minorHAnsi"/>
          <w:sz w:val="24"/>
          <w:szCs w:val="24"/>
        </w:rPr>
        <w:t xml:space="preserve">. Należy zatem zauważyć, że </w:t>
      </w:r>
      <w:r w:rsidRPr="00384ADB">
        <w:rPr>
          <w:rFonts w:asciiTheme="minorHAnsi" w:hAnsiTheme="minorHAnsi"/>
          <w:bCs/>
          <w:sz w:val="24"/>
          <w:szCs w:val="24"/>
        </w:rPr>
        <w:t>środki zaproponowane w raporcie z działania nie są skuteczne.</w:t>
      </w:r>
    </w:p>
    <w:p w:rsidR="00916CFB" w:rsidRPr="00916CFB" w:rsidRDefault="00916CFB" w:rsidP="00987EB2">
      <w:pPr>
        <w:pStyle w:val="Nagwek20"/>
        <w:keepNext/>
        <w:keepLines/>
        <w:numPr>
          <w:ilvl w:val="0"/>
          <w:numId w:val="62"/>
        </w:numPr>
        <w:tabs>
          <w:tab w:val="left" w:pos="1100"/>
        </w:tabs>
        <w:spacing w:before="120" w:line="240" w:lineRule="auto"/>
        <w:jc w:val="both"/>
        <w:rPr>
          <w:rFonts w:asciiTheme="minorHAnsi" w:hAnsiTheme="minorHAnsi"/>
          <w:sz w:val="24"/>
          <w:szCs w:val="24"/>
        </w:rPr>
      </w:pPr>
      <w:r w:rsidRPr="00916CFB">
        <w:rPr>
          <w:rFonts w:asciiTheme="minorHAnsi" w:hAnsiTheme="minorHAnsi"/>
          <w:sz w:val="24"/>
          <w:szCs w:val="24"/>
        </w:rPr>
        <w:lastRenderedPageBreak/>
        <w:t>Rosnąca liczby spraw karnych o zniesławienie</w:t>
      </w:r>
    </w:p>
    <w:p w:rsidR="004338D8" w:rsidRPr="00384ADB" w:rsidRDefault="00916CFB" w:rsidP="00384ADB">
      <w:pPr>
        <w:spacing w:before="120" w:after="0" w:line="240" w:lineRule="auto"/>
        <w:jc w:val="both"/>
        <w:rPr>
          <w:sz w:val="24"/>
          <w:szCs w:val="24"/>
        </w:rPr>
      </w:pPr>
      <w:r w:rsidRPr="00384ADB">
        <w:rPr>
          <w:sz w:val="24"/>
          <w:szCs w:val="24"/>
        </w:rPr>
        <w:t xml:space="preserve">Środki te nie okazały się skuteczne w ograniczaniu liczby postępowań karnych i wyroków skazujących za zniesławienie. Dane statystyczne </w:t>
      </w:r>
      <w:r w:rsidRPr="00384ADB">
        <w:rPr>
          <w:bCs/>
          <w:sz w:val="24"/>
          <w:szCs w:val="24"/>
        </w:rPr>
        <w:t>świadczą bowiem o częstszym sięganiu po art. 212 k.k. przez sądy krajowe</w:t>
      </w:r>
      <w:r w:rsidRPr="00384ADB">
        <w:rPr>
          <w:sz w:val="24"/>
          <w:szCs w:val="24"/>
        </w:rPr>
        <w:t>.</w:t>
      </w:r>
    </w:p>
    <w:p w:rsidR="00916CFB" w:rsidRPr="00916CFB" w:rsidRDefault="00916CFB" w:rsidP="00384ADB">
      <w:pPr>
        <w:pStyle w:val="Teksttreci0"/>
        <w:spacing w:before="120" w:line="240" w:lineRule="auto"/>
        <w:ind w:firstLine="0"/>
        <w:jc w:val="both"/>
        <w:rPr>
          <w:rFonts w:asciiTheme="minorHAnsi" w:hAnsiTheme="minorHAnsi"/>
          <w:sz w:val="24"/>
          <w:szCs w:val="24"/>
        </w:rPr>
      </w:pPr>
      <w:r w:rsidRPr="00384ADB">
        <w:rPr>
          <w:rFonts w:asciiTheme="minorHAnsi" w:hAnsiTheme="minorHAnsi"/>
          <w:sz w:val="24"/>
          <w:szCs w:val="24"/>
        </w:rPr>
        <w:t>HFPC, TD i WP pragną jednak zwrócić uwagę, że dane statystyczne przedstawione poniżej wskazują na częstsze sięganie po art. 212 k.k. przez sądy krajowe, co świadczy o</w:t>
      </w:r>
      <w:r w:rsidRPr="00916CFB">
        <w:rPr>
          <w:rFonts w:asciiTheme="minorHAnsi" w:hAnsiTheme="minorHAnsi"/>
          <w:sz w:val="24"/>
          <w:szCs w:val="24"/>
        </w:rPr>
        <w:t xml:space="preserve"> niedostatecznym i nieskutecznym charakterze środków podjętych przez rząd.</w:t>
      </w:r>
    </w:p>
    <w:p w:rsidR="00916CFB" w:rsidRDefault="00916CFB" w:rsidP="00BA2C68">
      <w:pPr>
        <w:pStyle w:val="Teksttreci0"/>
        <w:spacing w:before="120" w:line="240" w:lineRule="auto"/>
        <w:ind w:firstLine="0"/>
        <w:jc w:val="both"/>
        <w:rPr>
          <w:rFonts w:asciiTheme="minorHAnsi" w:hAnsiTheme="minorHAnsi"/>
          <w:sz w:val="24"/>
          <w:szCs w:val="24"/>
        </w:rPr>
      </w:pPr>
      <w:r w:rsidRPr="00916CFB">
        <w:rPr>
          <w:rFonts w:asciiTheme="minorHAnsi" w:hAnsiTheme="minorHAnsi"/>
          <w:sz w:val="24"/>
          <w:szCs w:val="24"/>
        </w:rPr>
        <w:t>Według danych statystycznych Ministerstwa Sprawiedliwości, w 2012 r. za zniesławienie popełnione za pośrednictwem mediów skazano 60 osób. W okresie od listopada 2012 r. do 2015 r. systematycznie malała liczba osób skazywanych z art. 212 ust. 1 i 2 k.k. Przyczyniły się do tego w szczególności działania podjęte przez HFPC wraz ze Stowarzyszeniem Dziennikarzy Polskich, Stowarzyszeniem Gazet Lokalnych oraz Izbą Wydawców Prasy, a mianowicie kampania przeprowadzona w 2012 r. mająca na celu „wykreślenie art. 212 k.k.</w:t>
      </w:r>
      <w:r w:rsidRPr="00916CFB">
        <w:rPr>
          <w:rFonts w:asciiTheme="minorHAnsi" w:hAnsiTheme="minorHAnsi"/>
          <w:sz w:val="24"/>
          <w:szCs w:val="24"/>
          <w:vertAlign w:val="superscript"/>
        </w:rPr>
        <w:footnoteReference w:id="190"/>
      </w:r>
      <w:r w:rsidRPr="00916CFB">
        <w:rPr>
          <w:rFonts w:asciiTheme="minorHAnsi" w:hAnsiTheme="minorHAnsi"/>
          <w:sz w:val="24"/>
          <w:szCs w:val="24"/>
        </w:rPr>
        <w:t>”. Proponowanym pierwszym krokiem było usunięcie kary pozbawienia wolności z art. 212 ust. 2 (zniesławienie za pośrednictwem mediów), która dotyczyła głównie dziennikarzy i blogerów. Pomimo tej kampanii polski ustawodawca (Ministerstwo Sprawiedliwości) nie dostosował krajowego prawa o zniesławieniu do standardów międzynarodowych. Porównanie tych liczb ze 101 wyrokami skazującymi wydanymi na podstawie art. 212 § 2 k.k. w 2016 r. i 137 takimi wyrokami w 2017 r., dobitnie świadczy o tym, że podjęte przez polski rząd środki ogólne nie skutkowały skutecznym wdrożeniem wyroków ETPCz do krajowego systemu sądownictwa</w:t>
      </w:r>
      <w:r w:rsidRPr="00916CFB">
        <w:rPr>
          <w:rFonts w:asciiTheme="minorHAnsi" w:hAnsiTheme="minorHAnsi"/>
          <w:sz w:val="24"/>
          <w:szCs w:val="24"/>
          <w:vertAlign w:val="superscript"/>
        </w:rPr>
        <w:footnoteReference w:id="191"/>
      </w:r>
      <w:r w:rsidRPr="00916CFB">
        <w:rPr>
          <w:rFonts w:asciiTheme="minorHAnsi" w:hAnsiTheme="minorHAnsi"/>
          <w:sz w:val="24"/>
          <w:szCs w:val="24"/>
        </w:rPr>
        <w:t>.</w:t>
      </w:r>
    </w:p>
    <w:p w:rsidR="00BA2C68" w:rsidRPr="00916CFB" w:rsidRDefault="00BA2C68" w:rsidP="00BA2C68">
      <w:pPr>
        <w:pStyle w:val="Teksttreci0"/>
        <w:spacing w:before="120" w:line="240" w:lineRule="auto"/>
        <w:ind w:firstLine="0"/>
        <w:jc w:val="both"/>
        <w:rPr>
          <w:rFonts w:asciiTheme="minorHAnsi" w:hAnsiTheme="minorHAnsi"/>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003"/>
        <w:gridCol w:w="840"/>
        <w:gridCol w:w="725"/>
        <w:gridCol w:w="710"/>
        <w:gridCol w:w="710"/>
        <w:gridCol w:w="720"/>
        <w:gridCol w:w="715"/>
        <w:gridCol w:w="725"/>
      </w:tblGrid>
      <w:tr w:rsidR="00916CFB" w:rsidTr="0055674F">
        <w:trPr>
          <w:trHeight w:hRule="exact" w:val="1397"/>
          <w:jc w:val="center"/>
        </w:trPr>
        <w:tc>
          <w:tcPr>
            <w:tcW w:w="4003" w:type="dxa"/>
            <w:tcBorders>
              <w:top w:val="single" w:sz="4" w:space="0" w:color="auto"/>
              <w:left w:val="single" w:sz="4" w:space="0" w:color="auto"/>
            </w:tcBorders>
            <w:shd w:val="clear" w:color="auto" w:fill="D9D9D9" w:themeFill="background1" w:themeFillShade="D9"/>
            <w:vAlign w:val="center"/>
          </w:tcPr>
          <w:p w:rsidR="00916CFB" w:rsidRPr="00916CFB" w:rsidRDefault="00916CFB" w:rsidP="00BA2C68">
            <w:pPr>
              <w:pStyle w:val="Inne0"/>
              <w:spacing w:before="120" w:line="240" w:lineRule="auto"/>
              <w:ind w:firstLine="0"/>
              <w:jc w:val="center"/>
              <w:rPr>
                <w:rFonts w:asciiTheme="minorHAnsi" w:hAnsiTheme="minorHAnsi"/>
              </w:rPr>
            </w:pPr>
            <w:r w:rsidRPr="00916CFB">
              <w:rPr>
                <w:rFonts w:asciiTheme="minorHAnsi" w:hAnsiTheme="minorHAnsi"/>
                <w:b/>
                <w:bCs/>
              </w:rPr>
              <w:t>Rodzaj postępowania / liczba wyroków skazujących</w:t>
            </w:r>
            <w:r w:rsidRPr="00916CFB">
              <w:rPr>
                <w:rFonts w:asciiTheme="minorHAnsi" w:hAnsiTheme="minorHAnsi"/>
                <w:b/>
                <w:bCs/>
                <w:vertAlign w:val="superscript"/>
              </w:rPr>
              <w:footnoteReference w:id="192"/>
            </w:r>
          </w:p>
        </w:tc>
        <w:tc>
          <w:tcPr>
            <w:tcW w:w="840" w:type="dxa"/>
            <w:tcBorders>
              <w:top w:val="single" w:sz="4" w:space="0" w:color="auto"/>
              <w:left w:val="single" w:sz="4" w:space="0" w:color="auto"/>
            </w:tcBorders>
            <w:shd w:val="clear" w:color="auto" w:fill="D9D9D9" w:themeFill="background1" w:themeFillShade="D9"/>
            <w:vAlign w:val="center"/>
          </w:tcPr>
          <w:p w:rsidR="00916CFB" w:rsidRPr="00916CFB" w:rsidRDefault="00916CFB" w:rsidP="00BA2C68">
            <w:pPr>
              <w:pStyle w:val="Inne0"/>
              <w:spacing w:before="120" w:line="240" w:lineRule="auto"/>
              <w:ind w:firstLine="0"/>
              <w:jc w:val="center"/>
              <w:rPr>
                <w:rFonts w:asciiTheme="minorHAnsi" w:hAnsiTheme="minorHAnsi"/>
              </w:rPr>
            </w:pPr>
            <w:r w:rsidRPr="00916CFB">
              <w:rPr>
                <w:rFonts w:asciiTheme="minorHAnsi" w:hAnsiTheme="minorHAnsi"/>
                <w:b/>
                <w:bCs/>
              </w:rPr>
              <w:t>2012</w:t>
            </w:r>
          </w:p>
        </w:tc>
        <w:tc>
          <w:tcPr>
            <w:tcW w:w="725" w:type="dxa"/>
            <w:tcBorders>
              <w:top w:val="single" w:sz="4" w:space="0" w:color="auto"/>
              <w:left w:val="single" w:sz="4" w:space="0" w:color="auto"/>
            </w:tcBorders>
            <w:shd w:val="clear" w:color="auto" w:fill="D9D9D9" w:themeFill="background1" w:themeFillShade="D9"/>
            <w:vAlign w:val="center"/>
          </w:tcPr>
          <w:p w:rsidR="00916CFB" w:rsidRPr="00916CFB" w:rsidRDefault="00916CFB" w:rsidP="00BA2C68">
            <w:pPr>
              <w:pStyle w:val="Inne0"/>
              <w:spacing w:before="120" w:line="240" w:lineRule="auto"/>
              <w:ind w:firstLine="0"/>
              <w:jc w:val="center"/>
              <w:rPr>
                <w:rFonts w:asciiTheme="minorHAnsi" w:hAnsiTheme="minorHAnsi"/>
              </w:rPr>
            </w:pPr>
            <w:r w:rsidRPr="00916CFB">
              <w:rPr>
                <w:rFonts w:asciiTheme="minorHAnsi" w:hAnsiTheme="minorHAnsi"/>
                <w:b/>
                <w:bCs/>
              </w:rPr>
              <w:t>2013</w:t>
            </w:r>
          </w:p>
        </w:tc>
        <w:tc>
          <w:tcPr>
            <w:tcW w:w="710" w:type="dxa"/>
            <w:tcBorders>
              <w:top w:val="single" w:sz="4" w:space="0" w:color="auto"/>
              <w:left w:val="single" w:sz="4" w:space="0" w:color="auto"/>
            </w:tcBorders>
            <w:shd w:val="clear" w:color="auto" w:fill="D9D9D9" w:themeFill="background1" w:themeFillShade="D9"/>
            <w:vAlign w:val="center"/>
          </w:tcPr>
          <w:p w:rsidR="00916CFB" w:rsidRPr="00916CFB" w:rsidRDefault="00916CFB" w:rsidP="00BA2C68">
            <w:pPr>
              <w:pStyle w:val="Inne0"/>
              <w:spacing w:before="120" w:line="240" w:lineRule="auto"/>
              <w:ind w:firstLine="0"/>
              <w:jc w:val="center"/>
              <w:rPr>
                <w:rFonts w:asciiTheme="minorHAnsi" w:hAnsiTheme="minorHAnsi"/>
              </w:rPr>
            </w:pPr>
            <w:r w:rsidRPr="00916CFB">
              <w:rPr>
                <w:rFonts w:asciiTheme="minorHAnsi" w:hAnsiTheme="minorHAnsi"/>
                <w:b/>
                <w:bCs/>
              </w:rPr>
              <w:t>2014</w:t>
            </w:r>
          </w:p>
        </w:tc>
        <w:tc>
          <w:tcPr>
            <w:tcW w:w="710" w:type="dxa"/>
            <w:tcBorders>
              <w:top w:val="single" w:sz="4" w:space="0" w:color="auto"/>
              <w:left w:val="single" w:sz="4" w:space="0" w:color="auto"/>
            </w:tcBorders>
            <w:shd w:val="clear" w:color="auto" w:fill="D9D9D9" w:themeFill="background1" w:themeFillShade="D9"/>
            <w:vAlign w:val="center"/>
          </w:tcPr>
          <w:p w:rsidR="00916CFB" w:rsidRPr="00916CFB" w:rsidRDefault="00916CFB" w:rsidP="00BA2C68">
            <w:pPr>
              <w:pStyle w:val="Inne0"/>
              <w:spacing w:before="120" w:line="240" w:lineRule="auto"/>
              <w:ind w:firstLine="0"/>
              <w:jc w:val="center"/>
              <w:rPr>
                <w:rFonts w:asciiTheme="minorHAnsi" w:hAnsiTheme="minorHAnsi"/>
              </w:rPr>
            </w:pPr>
            <w:r w:rsidRPr="00916CFB">
              <w:rPr>
                <w:rFonts w:asciiTheme="minorHAnsi" w:hAnsiTheme="minorHAnsi"/>
                <w:b/>
                <w:bCs/>
              </w:rPr>
              <w:t>2015</w:t>
            </w:r>
          </w:p>
        </w:tc>
        <w:tc>
          <w:tcPr>
            <w:tcW w:w="720" w:type="dxa"/>
            <w:tcBorders>
              <w:top w:val="single" w:sz="4" w:space="0" w:color="auto"/>
              <w:left w:val="single" w:sz="4" w:space="0" w:color="auto"/>
            </w:tcBorders>
            <w:shd w:val="clear" w:color="auto" w:fill="D9D9D9" w:themeFill="background1" w:themeFillShade="D9"/>
            <w:vAlign w:val="center"/>
          </w:tcPr>
          <w:p w:rsidR="00916CFB" w:rsidRPr="00916CFB" w:rsidRDefault="00916CFB" w:rsidP="00BA2C68">
            <w:pPr>
              <w:pStyle w:val="Inne0"/>
              <w:spacing w:before="120" w:line="240" w:lineRule="auto"/>
              <w:ind w:firstLine="0"/>
              <w:jc w:val="center"/>
              <w:rPr>
                <w:rFonts w:asciiTheme="minorHAnsi" w:hAnsiTheme="minorHAnsi"/>
              </w:rPr>
            </w:pPr>
            <w:r w:rsidRPr="00916CFB">
              <w:rPr>
                <w:rFonts w:asciiTheme="minorHAnsi" w:hAnsiTheme="minorHAnsi"/>
                <w:b/>
                <w:bCs/>
              </w:rPr>
              <w:t>2016</w:t>
            </w:r>
          </w:p>
        </w:tc>
        <w:tc>
          <w:tcPr>
            <w:tcW w:w="715" w:type="dxa"/>
            <w:tcBorders>
              <w:top w:val="single" w:sz="4" w:space="0" w:color="auto"/>
              <w:left w:val="single" w:sz="4" w:space="0" w:color="auto"/>
            </w:tcBorders>
            <w:shd w:val="clear" w:color="auto" w:fill="D9D9D9" w:themeFill="background1" w:themeFillShade="D9"/>
            <w:vAlign w:val="center"/>
          </w:tcPr>
          <w:p w:rsidR="00916CFB" w:rsidRPr="00916CFB" w:rsidRDefault="00916CFB" w:rsidP="00BA2C68">
            <w:pPr>
              <w:pStyle w:val="Inne0"/>
              <w:spacing w:before="120" w:line="240" w:lineRule="auto"/>
              <w:ind w:firstLine="0"/>
              <w:jc w:val="center"/>
              <w:rPr>
                <w:rFonts w:asciiTheme="minorHAnsi" w:hAnsiTheme="minorHAnsi"/>
              </w:rPr>
            </w:pPr>
            <w:r w:rsidRPr="00916CFB">
              <w:rPr>
                <w:rFonts w:asciiTheme="minorHAnsi" w:hAnsiTheme="minorHAnsi"/>
                <w:b/>
                <w:bCs/>
              </w:rPr>
              <w:t>2017</w:t>
            </w:r>
          </w:p>
        </w:tc>
        <w:tc>
          <w:tcPr>
            <w:tcW w:w="725" w:type="dxa"/>
            <w:tcBorders>
              <w:top w:val="single" w:sz="4" w:space="0" w:color="auto"/>
              <w:left w:val="single" w:sz="4" w:space="0" w:color="auto"/>
              <w:right w:val="single" w:sz="4" w:space="0" w:color="auto"/>
            </w:tcBorders>
            <w:shd w:val="clear" w:color="auto" w:fill="D9D9D9" w:themeFill="background1" w:themeFillShade="D9"/>
            <w:vAlign w:val="center"/>
          </w:tcPr>
          <w:p w:rsidR="00916CFB" w:rsidRPr="00916CFB" w:rsidRDefault="00916CFB" w:rsidP="00BA2C68">
            <w:pPr>
              <w:pStyle w:val="Inne0"/>
              <w:spacing w:before="120" w:line="240" w:lineRule="auto"/>
              <w:ind w:firstLine="0"/>
              <w:jc w:val="center"/>
              <w:rPr>
                <w:rFonts w:asciiTheme="minorHAnsi" w:hAnsiTheme="minorHAnsi"/>
              </w:rPr>
            </w:pPr>
            <w:r w:rsidRPr="00916CFB">
              <w:rPr>
                <w:rFonts w:asciiTheme="minorHAnsi" w:hAnsiTheme="minorHAnsi"/>
                <w:b/>
                <w:bCs/>
              </w:rPr>
              <w:t>2018</w:t>
            </w:r>
          </w:p>
        </w:tc>
      </w:tr>
      <w:tr w:rsidR="00916CFB" w:rsidTr="0055674F">
        <w:trPr>
          <w:trHeight w:hRule="exact" w:val="830"/>
          <w:jc w:val="center"/>
        </w:trPr>
        <w:tc>
          <w:tcPr>
            <w:tcW w:w="4003" w:type="dxa"/>
            <w:tcBorders>
              <w:top w:val="single" w:sz="4" w:space="0" w:color="auto"/>
              <w:left w:val="single" w:sz="4" w:space="0" w:color="auto"/>
            </w:tcBorders>
            <w:shd w:val="clear" w:color="auto" w:fill="FFFFFF"/>
            <w:vAlign w:val="bottom"/>
          </w:tcPr>
          <w:p w:rsidR="00916CFB" w:rsidRPr="00916CFB" w:rsidRDefault="00916CFB" w:rsidP="00BA2C68">
            <w:pPr>
              <w:pStyle w:val="Inne0"/>
              <w:spacing w:before="120" w:line="240" w:lineRule="auto"/>
              <w:ind w:firstLine="0"/>
              <w:rPr>
                <w:rFonts w:asciiTheme="minorHAnsi" w:hAnsiTheme="minorHAnsi"/>
              </w:rPr>
            </w:pPr>
            <w:r w:rsidRPr="00916CFB">
              <w:rPr>
                <w:rFonts w:asciiTheme="minorHAnsi" w:hAnsiTheme="minorHAnsi"/>
              </w:rPr>
              <w:t>Art. 212 §1 k.k.</w:t>
            </w:r>
          </w:p>
        </w:tc>
        <w:tc>
          <w:tcPr>
            <w:tcW w:w="840" w:type="dxa"/>
            <w:tcBorders>
              <w:top w:val="single" w:sz="4" w:space="0" w:color="auto"/>
              <w:left w:val="single" w:sz="4" w:space="0" w:color="auto"/>
            </w:tcBorders>
            <w:shd w:val="clear" w:color="auto" w:fill="FFFFFF"/>
            <w:vAlign w:val="bottom"/>
          </w:tcPr>
          <w:p w:rsidR="00916CFB" w:rsidRPr="00916CFB" w:rsidRDefault="00916CFB" w:rsidP="00BA2C68">
            <w:pPr>
              <w:pStyle w:val="Inne0"/>
              <w:spacing w:before="120" w:line="240" w:lineRule="auto"/>
              <w:ind w:firstLine="0"/>
              <w:jc w:val="right"/>
              <w:rPr>
                <w:rFonts w:asciiTheme="minorHAnsi" w:hAnsiTheme="minorHAnsi"/>
              </w:rPr>
            </w:pPr>
            <w:r w:rsidRPr="00916CFB">
              <w:rPr>
                <w:rFonts w:asciiTheme="minorHAnsi" w:hAnsiTheme="minorHAnsi"/>
              </w:rPr>
              <w:t>179</w:t>
            </w:r>
          </w:p>
        </w:tc>
        <w:tc>
          <w:tcPr>
            <w:tcW w:w="725" w:type="dxa"/>
            <w:tcBorders>
              <w:top w:val="single" w:sz="4" w:space="0" w:color="auto"/>
            </w:tcBorders>
            <w:shd w:val="clear" w:color="auto" w:fill="FFFFFF"/>
            <w:vAlign w:val="bottom"/>
          </w:tcPr>
          <w:p w:rsidR="00916CFB" w:rsidRPr="00916CFB" w:rsidRDefault="00916CFB" w:rsidP="00BA2C68">
            <w:pPr>
              <w:pStyle w:val="Inne0"/>
              <w:spacing w:before="120" w:line="240" w:lineRule="auto"/>
              <w:ind w:firstLine="0"/>
              <w:jc w:val="right"/>
              <w:rPr>
                <w:rFonts w:asciiTheme="minorHAnsi" w:hAnsiTheme="minorHAnsi"/>
              </w:rPr>
            </w:pPr>
            <w:r w:rsidRPr="00916CFB">
              <w:rPr>
                <w:rFonts w:asciiTheme="minorHAnsi" w:hAnsiTheme="minorHAnsi"/>
              </w:rPr>
              <w:t>165</w:t>
            </w:r>
          </w:p>
        </w:tc>
        <w:tc>
          <w:tcPr>
            <w:tcW w:w="710" w:type="dxa"/>
            <w:tcBorders>
              <w:top w:val="single" w:sz="4" w:space="0" w:color="auto"/>
            </w:tcBorders>
            <w:shd w:val="clear" w:color="auto" w:fill="FFFFFF"/>
            <w:vAlign w:val="bottom"/>
          </w:tcPr>
          <w:p w:rsidR="00916CFB" w:rsidRPr="00916CFB" w:rsidRDefault="00916CFB" w:rsidP="00BA2C68">
            <w:pPr>
              <w:pStyle w:val="Inne0"/>
              <w:spacing w:before="120" w:line="240" w:lineRule="auto"/>
              <w:ind w:firstLine="0"/>
              <w:jc w:val="right"/>
              <w:rPr>
                <w:rFonts w:asciiTheme="minorHAnsi" w:hAnsiTheme="minorHAnsi"/>
              </w:rPr>
            </w:pPr>
            <w:r w:rsidRPr="00916CFB">
              <w:rPr>
                <w:rFonts w:asciiTheme="minorHAnsi" w:hAnsiTheme="minorHAnsi"/>
              </w:rPr>
              <w:t>163</w:t>
            </w:r>
          </w:p>
        </w:tc>
        <w:tc>
          <w:tcPr>
            <w:tcW w:w="710" w:type="dxa"/>
            <w:tcBorders>
              <w:top w:val="single" w:sz="4" w:space="0" w:color="auto"/>
            </w:tcBorders>
            <w:shd w:val="clear" w:color="auto" w:fill="FFFFFF"/>
            <w:vAlign w:val="bottom"/>
          </w:tcPr>
          <w:p w:rsidR="00916CFB" w:rsidRPr="00916CFB" w:rsidRDefault="00916CFB" w:rsidP="00BA2C68">
            <w:pPr>
              <w:pStyle w:val="Inne0"/>
              <w:spacing w:before="120" w:line="240" w:lineRule="auto"/>
              <w:ind w:firstLine="0"/>
              <w:jc w:val="right"/>
              <w:rPr>
                <w:rFonts w:asciiTheme="minorHAnsi" w:hAnsiTheme="minorHAnsi"/>
              </w:rPr>
            </w:pPr>
            <w:r w:rsidRPr="00916CFB">
              <w:rPr>
                <w:rFonts w:asciiTheme="minorHAnsi" w:hAnsiTheme="minorHAnsi"/>
              </w:rPr>
              <w:t>157</w:t>
            </w:r>
          </w:p>
        </w:tc>
        <w:tc>
          <w:tcPr>
            <w:tcW w:w="720" w:type="dxa"/>
            <w:tcBorders>
              <w:top w:val="single" w:sz="4" w:space="0" w:color="auto"/>
            </w:tcBorders>
            <w:shd w:val="clear" w:color="auto" w:fill="FFFFFF"/>
            <w:vAlign w:val="bottom"/>
          </w:tcPr>
          <w:p w:rsidR="00916CFB" w:rsidRPr="00916CFB" w:rsidRDefault="00916CFB" w:rsidP="00BA2C68">
            <w:pPr>
              <w:pStyle w:val="Inne0"/>
              <w:spacing w:before="120" w:line="240" w:lineRule="auto"/>
              <w:ind w:firstLine="0"/>
              <w:jc w:val="right"/>
              <w:rPr>
                <w:rFonts w:asciiTheme="minorHAnsi" w:hAnsiTheme="minorHAnsi"/>
              </w:rPr>
            </w:pPr>
            <w:r w:rsidRPr="00916CFB">
              <w:rPr>
                <w:rFonts w:asciiTheme="minorHAnsi" w:hAnsiTheme="minorHAnsi"/>
              </w:rPr>
              <w:t>229</w:t>
            </w:r>
          </w:p>
        </w:tc>
        <w:tc>
          <w:tcPr>
            <w:tcW w:w="715" w:type="dxa"/>
            <w:tcBorders>
              <w:top w:val="single" w:sz="4" w:space="0" w:color="auto"/>
            </w:tcBorders>
            <w:shd w:val="clear" w:color="auto" w:fill="FFFFFF"/>
            <w:vAlign w:val="bottom"/>
          </w:tcPr>
          <w:p w:rsidR="00916CFB" w:rsidRPr="00916CFB" w:rsidRDefault="00916CFB" w:rsidP="00BA2C68">
            <w:pPr>
              <w:pStyle w:val="Inne0"/>
              <w:spacing w:before="120" w:line="240" w:lineRule="auto"/>
              <w:ind w:firstLine="0"/>
              <w:jc w:val="right"/>
              <w:rPr>
                <w:rFonts w:asciiTheme="minorHAnsi" w:hAnsiTheme="minorHAnsi"/>
              </w:rPr>
            </w:pPr>
            <w:r w:rsidRPr="00916CFB">
              <w:rPr>
                <w:rFonts w:asciiTheme="minorHAnsi" w:hAnsiTheme="minorHAnsi"/>
              </w:rPr>
              <w:t>201</w:t>
            </w:r>
          </w:p>
        </w:tc>
        <w:tc>
          <w:tcPr>
            <w:tcW w:w="725" w:type="dxa"/>
            <w:tcBorders>
              <w:top w:val="single" w:sz="4" w:space="0" w:color="auto"/>
              <w:left w:val="single" w:sz="4" w:space="0" w:color="auto"/>
              <w:right w:val="single" w:sz="4" w:space="0" w:color="auto"/>
            </w:tcBorders>
            <w:shd w:val="clear" w:color="auto" w:fill="FFFFFF"/>
            <w:vAlign w:val="bottom"/>
          </w:tcPr>
          <w:p w:rsidR="00916CFB" w:rsidRPr="00916CFB" w:rsidRDefault="00916CFB" w:rsidP="00BA2C68">
            <w:pPr>
              <w:pStyle w:val="Inne0"/>
              <w:spacing w:before="120" w:line="240" w:lineRule="auto"/>
              <w:ind w:firstLine="0"/>
              <w:jc w:val="right"/>
              <w:rPr>
                <w:rFonts w:asciiTheme="minorHAnsi" w:hAnsiTheme="minorHAnsi"/>
              </w:rPr>
            </w:pPr>
            <w:r w:rsidRPr="00916CFB">
              <w:rPr>
                <w:rFonts w:asciiTheme="minorHAnsi" w:hAnsiTheme="minorHAnsi"/>
              </w:rPr>
              <w:t>221</w:t>
            </w:r>
          </w:p>
        </w:tc>
      </w:tr>
      <w:tr w:rsidR="00916CFB" w:rsidTr="0055674F">
        <w:trPr>
          <w:trHeight w:hRule="exact" w:val="576"/>
          <w:jc w:val="center"/>
        </w:trPr>
        <w:tc>
          <w:tcPr>
            <w:tcW w:w="4003" w:type="dxa"/>
            <w:tcBorders>
              <w:left w:val="single" w:sz="4" w:space="0" w:color="auto"/>
              <w:bottom w:val="single" w:sz="4" w:space="0" w:color="auto"/>
            </w:tcBorders>
            <w:shd w:val="clear" w:color="auto" w:fill="FFFFFF"/>
            <w:vAlign w:val="center"/>
          </w:tcPr>
          <w:p w:rsidR="00916CFB" w:rsidRPr="00916CFB" w:rsidRDefault="00916CFB" w:rsidP="00BA2C68">
            <w:pPr>
              <w:pStyle w:val="Inne0"/>
              <w:spacing w:before="120" w:line="240" w:lineRule="auto"/>
              <w:ind w:firstLine="0"/>
              <w:rPr>
                <w:rFonts w:asciiTheme="minorHAnsi" w:hAnsiTheme="minorHAnsi"/>
              </w:rPr>
            </w:pPr>
            <w:r w:rsidRPr="00916CFB">
              <w:rPr>
                <w:rFonts w:asciiTheme="minorHAnsi" w:hAnsiTheme="minorHAnsi"/>
              </w:rPr>
              <w:t>Art. 212 § 2 k.k.</w:t>
            </w:r>
          </w:p>
        </w:tc>
        <w:tc>
          <w:tcPr>
            <w:tcW w:w="840" w:type="dxa"/>
            <w:tcBorders>
              <w:left w:val="single" w:sz="4" w:space="0" w:color="auto"/>
              <w:bottom w:val="single" w:sz="4" w:space="0" w:color="auto"/>
            </w:tcBorders>
            <w:shd w:val="clear" w:color="auto" w:fill="FFFFFF"/>
            <w:vAlign w:val="center"/>
          </w:tcPr>
          <w:p w:rsidR="00916CFB" w:rsidRPr="00916CFB" w:rsidRDefault="00916CFB" w:rsidP="00BA2C68">
            <w:pPr>
              <w:pStyle w:val="Inne0"/>
              <w:spacing w:before="120" w:line="240" w:lineRule="auto"/>
              <w:ind w:firstLine="0"/>
              <w:jc w:val="right"/>
              <w:rPr>
                <w:rFonts w:asciiTheme="minorHAnsi" w:hAnsiTheme="minorHAnsi"/>
              </w:rPr>
            </w:pPr>
            <w:r w:rsidRPr="00916CFB">
              <w:rPr>
                <w:rFonts w:asciiTheme="minorHAnsi" w:hAnsiTheme="minorHAnsi"/>
              </w:rPr>
              <w:t>60</w:t>
            </w:r>
          </w:p>
        </w:tc>
        <w:tc>
          <w:tcPr>
            <w:tcW w:w="725" w:type="dxa"/>
            <w:tcBorders>
              <w:bottom w:val="single" w:sz="4" w:space="0" w:color="auto"/>
            </w:tcBorders>
            <w:shd w:val="clear" w:color="auto" w:fill="FFFFFF"/>
            <w:vAlign w:val="center"/>
          </w:tcPr>
          <w:p w:rsidR="00916CFB" w:rsidRPr="00916CFB" w:rsidRDefault="00916CFB" w:rsidP="00BA2C68">
            <w:pPr>
              <w:pStyle w:val="Inne0"/>
              <w:spacing w:before="120" w:line="240" w:lineRule="auto"/>
              <w:ind w:firstLine="0"/>
              <w:jc w:val="right"/>
              <w:rPr>
                <w:rFonts w:asciiTheme="minorHAnsi" w:hAnsiTheme="minorHAnsi"/>
              </w:rPr>
            </w:pPr>
            <w:r w:rsidRPr="00916CFB">
              <w:rPr>
                <w:rFonts w:asciiTheme="minorHAnsi" w:hAnsiTheme="minorHAnsi"/>
              </w:rPr>
              <w:t>58</w:t>
            </w:r>
          </w:p>
        </w:tc>
        <w:tc>
          <w:tcPr>
            <w:tcW w:w="710" w:type="dxa"/>
            <w:tcBorders>
              <w:bottom w:val="single" w:sz="4" w:space="0" w:color="auto"/>
            </w:tcBorders>
            <w:shd w:val="clear" w:color="auto" w:fill="FFFFFF"/>
            <w:vAlign w:val="center"/>
          </w:tcPr>
          <w:p w:rsidR="00916CFB" w:rsidRPr="00916CFB" w:rsidRDefault="00916CFB" w:rsidP="00BA2C68">
            <w:pPr>
              <w:pStyle w:val="Inne0"/>
              <w:spacing w:before="120" w:line="240" w:lineRule="auto"/>
              <w:ind w:firstLine="0"/>
              <w:jc w:val="right"/>
              <w:rPr>
                <w:rFonts w:asciiTheme="minorHAnsi" w:hAnsiTheme="minorHAnsi"/>
              </w:rPr>
            </w:pPr>
            <w:r w:rsidRPr="00916CFB">
              <w:rPr>
                <w:rFonts w:asciiTheme="minorHAnsi" w:hAnsiTheme="minorHAnsi"/>
              </w:rPr>
              <w:t>58</w:t>
            </w:r>
          </w:p>
        </w:tc>
        <w:tc>
          <w:tcPr>
            <w:tcW w:w="710" w:type="dxa"/>
            <w:tcBorders>
              <w:bottom w:val="single" w:sz="4" w:space="0" w:color="auto"/>
            </w:tcBorders>
            <w:shd w:val="clear" w:color="auto" w:fill="FFFFFF"/>
            <w:vAlign w:val="center"/>
          </w:tcPr>
          <w:p w:rsidR="00916CFB" w:rsidRPr="00916CFB" w:rsidRDefault="00916CFB" w:rsidP="00BA2C68">
            <w:pPr>
              <w:pStyle w:val="Inne0"/>
              <w:spacing w:before="120" w:line="240" w:lineRule="auto"/>
              <w:ind w:firstLine="0"/>
              <w:jc w:val="right"/>
              <w:rPr>
                <w:rFonts w:asciiTheme="minorHAnsi" w:hAnsiTheme="minorHAnsi"/>
              </w:rPr>
            </w:pPr>
            <w:r w:rsidRPr="00916CFB">
              <w:rPr>
                <w:rFonts w:asciiTheme="minorHAnsi" w:hAnsiTheme="minorHAnsi"/>
              </w:rPr>
              <w:t>70</w:t>
            </w:r>
          </w:p>
        </w:tc>
        <w:tc>
          <w:tcPr>
            <w:tcW w:w="720" w:type="dxa"/>
            <w:tcBorders>
              <w:bottom w:val="single" w:sz="4" w:space="0" w:color="auto"/>
            </w:tcBorders>
            <w:shd w:val="clear" w:color="auto" w:fill="FFFFFF"/>
            <w:vAlign w:val="center"/>
          </w:tcPr>
          <w:p w:rsidR="00916CFB" w:rsidRPr="00916CFB" w:rsidRDefault="00916CFB" w:rsidP="00BA2C68">
            <w:pPr>
              <w:pStyle w:val="Inne0"/>
              <w:spacing w:before="120" w:line="240" w:lineRule="auto"/>
              <w:ind w:firstLine="0"/>
              <w:jc w:val="right"/>
              <w:rPr>
                <w:rFonts w:asciiTheme="minorHAnsi" w:hAnsiTheme="minorHAnsi"/>
              </w:rPr>
            </w:pPr>
            <w:r w:rsidRPr="00916CFB">
              <w:rPr>
                <w:rFonts w:asciiTheme="minorHAnsi" w:hAnsiTheme="minorHAnsi"/>
              </w:rPr>
              <w:t>101</w:t>
            </w:r>
          </w:p>
        </w:tc>
        <w:tc>
          <w:tcPr>
            <w:tcW w:w="715" w:type="dxa"/>
            <w:tcBorders>
              <w:bottom w:val="single" w:sz="4" w:space="0" w:color="auto"/>
            </w:tcBorders>
            <w:shd w:val="clear" w:color="auto" w:fill="FFFFFF"/>
            <w:vAlign w:val="center"/>
          </w:tcPr>
          <w:p w:rsidR="00916CFB" w:rsidRPr="00916CFB" w:rsidRDefault="00916CFB" w:rsidP="00BA2C68">
            <w:pPr>
              <w:pStyle w:val="Inne0"/>
              <w:spacing w:before="120" w:line="240" w:lineRule="auto"/>
              <w:ind w:firstLine="0"/>
              <w:jc w:val="right"/>
              <w:rPr>
                <w:rFonts w:asciiTheme="minorHAnsi" w:hAnsiTheme="minorHAnsi"/>
              </w:rPr>
            </w:pPr>
            <w:r w:rsidRPr="00916CFB">
              <w:rPr>
                <w:rFonts w:asciiTheme="minorHAnsi" w:hAnsiTheme="minorHAnsi"/>
              </w:rPr>
              <w:t>137</w:t>
            </w:r>
          </w:p>
        </w:tc>
        <w:tc>
          <w:tcPr>
            <w:tcW w:w="725" w:type="dxa"/>
            <w:tcBorders>
              <w:left w:val="single" w:sz="4" w:space="0" w:color="auto"/>
              <w:bottom w:val="single" w:sz="4" w:space="0" w:color="auto"/>
              <w:right w:val="single" w:sz="4" w:space="0" w:color="auto"/>
            </w:tcBorders>
            <w:shd w:val="clear" w:color="auto" w:fill="FFFFFF"/>
            <w:vAlign w:val="center"/>
          </w:tcPr>
          <w:p w:rsidR="00916CFB" w:rsidRPr="00916CFB" w:rsidRDefault="00916CFB" w:rsidP="00BA2C68">
            <w:pPr>
              <w:pStyle w:val="Inne0"/>
              <w:spacing w:before="120" w:line="240" w:lineRule="auto"/>
              <w:ind w:firstLine="0"/>
              <w:jc w:val="right"/>
              <w:rPr>
                <w:rFonts w:asciiTheme="minorHAnsi" w:hAnsiTheme="minorHAnsi"/>
              </w:rPr>
            </w:pPr>
            <w:r w:rsidRPr="00916CFB">
              <w:rPr>
                <w:rFonts w:asciiTheme="minorHAnsi" w:hAnsiTheme="minorHAnsi"/>
              </w:rPr>
              <w:t>118</w:t>
            </w:r>
          </w:p>
        </w:tc>
      </w:tr>
    </w:tbl>
    <w:p w:rsidR="00916CFB" w:rsidRPr="00916CFB" w:rsidRDefault="00916CFB" w:rsidP="00BA2C68">
      <w:pPr>
        <w:pStyle w:val="Teksttreci0"/>
        <w:spacing w:before="120" w:line="240" w:lineRule="auto"/>
        <w:ind w:firstLine="743"/>
        <w:jc w:val="both"/>
        <w:rPr>
          <w:rFonts w:asciiTheme="minorHAnsi" w:hAnsiTheme="minorHAnsi"/>
          <w:sz w:val="24"/>
          <w:szCs w:val="24"/>
        </w:rPr>
      </w:pPr>
    </w:p>
    <w:p w:rsidR="00916CFB" w:rsidRPr="00916CFB" w:rsidRDefault="00916CFB" w:rsidP="00BA2C68">
      <w:pPr>
        <w:pStyle w:val="Teksttreci0"/>
        <w:spacing w:before="120" w:line="240" w:lineRule="auto"/>
        <w:ind w:firstLine="0"/>
        <w:jc w:val="both"/>
        <w:rPr>
          <w:rFonts w:asciiTheme="minorHAnsi" w:hAnsiTheme="minorHAnsi"/>
          <w:sz w:val="24"/>
          <w:szCs w:val="24"/>
        </w:rPr>
      </w:pPr>
      <w:r w:rsidRPr="00916CFB">
        <w:rPr>
          <w:rFonts w:asciiTheme="minorHAnsi" w:hAnsiTheme="minorHAnsi"/>
          <w:sz w:val="24"/>
          <w:szCs w:val="24"/>
        </w:rPr>
        <w:t>Zmniejszyła się liczba przypadków, w których zniesławienie za pośrednictwem mediów jest zagrożone karą pozbawienia wolności</w:t>
      </w:r>
      <w:r w:rsidRPr="00916CFB">
        <w:rPr>
          <w:rFonts w:asciiTheme="minorHAnsi" w:hAnsiTheme="minorHAnsi"/>
          <w:sz w:val="24"/>
          <w:szCs w:val="24"/>
          <w:vertAlign w:val="superscript"/>
        </w:rPr>
        <w:footnoteReference w:id="193"/>
      </w:r>
      <w:r w:rsidRPr="00916CFB">
        <w:rPr>
          <w:rFonts w:asciiTheme="minorHAnsi" w:hAnsiTheme="minorHAnsi"/>
          <w:sz w:val="24"/>
          <w:szCs w:val="24"/>
        </w:rPr>
        <w:t xml:space="preserve">. Tymczasem osobom, wobec których wszczęto postępowanie karne na podstawie art. 212 § 2 k.k., nadal grożą surowe konsekwencje, a samo zagrożenie tą karą może zagrażać wolności słowa w Polsce, a w szczególności działać odstraszająco na polskie niezależne dziennikarstwo. Nawet mniej dotkliwe kary, takie jak </w:t>
      </w:r>
      <w:r w:rsidRPr="00916CFB">
        <w:rPr>
          <w:rFonts w:asciiTheme="minorHAnsi" w:hAnsiTheme="minorHAnsi"/>
          <w:sz w:val="24"/>
          <w:szCs w:val="24"/>
        </w:rPr>
        <w:lastRenderedPageBreak/>
        <w:t xml:space="preserve">grzywna czy ograniczenie wolności, nawet w przypadku zawieszenia ich wykonania na okres próby, mogą </w:t>
      </w:r>
      <w:r w:rsidRPr="00384ADB">
        <w:rPr>
          <w:rFonts w:asciiTheme="minorHAnsi" w:hAnsiTheme="minorHAnsi"/>
          <w:sz w:val="24"/>
          <w:szCs w:val="24"/>
        </w:rPr>
        <w:t xml:space="preserve">również mieć </w:t>
      </w:r>
      <w:r w:rsidRPr="00384ADB">
        <w:rPr>
          <w:rFonts w:asciiTheme="minorHAnsi" w:hAnsiTheme="minorHAnsi"/>
          <w:bCs/>
          <w:sz w:val="24"/>
          <w:szCs w:val="24"/>
        </w:rPr>
        <w:t>„efekt mrożący” na debatę publiczną</w:t>
      </w:r>
      <w:r w:rsidRPr="00384ADB">
        <w:rPr>
          <w:rFonts w:asciiTheme="minorHAnsi" w:hAnsiTheme="minorHAnsi"/>
          <w:sz w:val="24"/>
          <w:szCs w:val="24"/>
        </w:rPr>
        <w:t>, bowiem w świetle prawa karnego nadal są to kary, a tym samym są one ujawniane w rejestrze karnym</w:t>
      </w:r>
      <w:r w:rsidRPr="00916CFB">
        <w:rPr>
          <w:rFonts w:asciiTheme="minorHAnsi" w:hAnsiTheme="minorHAnsi"/>
          <w:sz w:val="24"/>
          <w:szCs w:val="24"/>
        </w:rPr>
        <w:t>. Wpis o skazaniu ma istotne konsekwencje dla skazanych, gdyż wyklucza możliwość wykonywania niektórych zawodów. Ponadto istnieją również poważne uciążliwości związane z samym postępowaniem karnym w sprawach o zniesławienie, takie jak obowiązek osobistego stawiennictwa na rozprawie czy możliwość zastosowania środków zapobiegawczych w postaci tymczasowego aresztowania lub obserwacji psychiatrycznej.</w:t>
      </w:r>
    </w:p>
    <w:p w:rsidR="00916CFB" w:rsidRPr="00916CFB" w:rsidRDefault="00916CFB" w:rsidP="00987EB2">
      <w:pPr>
        <w:pStyle w:val="Nagwek20"/>
        <w:keepNext/>
        <w:keepLines/>
        <w:numPr>
          <w:ilvl w:val="0"/>
          <w:numId w:val="62"/>
        </w:numPr>
        <w:tabs>
          <w:tab w:val="left" w:pos="1100"/>
        </w:tabs>
        <w:spacing w:before="120" w:line="240" w:lineRule="auto"/>
        <w:jc w:val="both"/>
        <w:rPr>
          <w:rFonts w:asciiTheme="minorHAnsi" w:hAnsiTheme="minorHAnsi"/>
          <w:sz w:val="24"/>
          <w:szCs w:val="24"/>
        </w:rPr>
      </w:pPr>
      <w:r w:rsidRPr="00916CFB">
        <w:rPr>
          <w:rFonts w:asciiTheme="minorHAnsi" w:hAnsiTheme="minorHAnsi"/>
          <w:sz w:val="24"/>
          <w:szCs w:val="24"/>
        </w:rPr>
        <w:t>Szersze wykorzystywanie środków karnych przeciwko wypowiedziom</w:t>
      </w:r>
    </w:p>
    <w:p w:rsidR="00916CFB" w:rsidRPr="00916CFB" w:rsidRDefault="00916CFB" w:rsidP="00BA2C68">
      <w:pPr>
        <w:pStyle w:val="Teksttreci0"/>
        <w:spacing w:before="120" w:line="240" w:lineRule="auto"/>
        <w:ind w:firstLine="0"/>
        <w:jc w:val="both"/>
        <w:rPr>
          <w:rFonts w:asciiTheme="minorHAnsi" w:hAnsiTheme="minorHAnsi"/>
          <w:sz w:val="24"/>
          <w:szCs w:val="24"/>
        </w:rPr>
      </w:pPr>
      <w:r w:rsidRPr="00916CFB">
        <w:rPr>
          <w:rFonts w:asciiTheme="minorHAnsi" w:hAnsiTheme="minorHAnsi"/>
          <w:sz w:val="24"/>
          <w:szCs w:val="24"/>
        </w:rPr>
        <w:t>W ostatnich kilku miesiącach można było zaobserwować jeszcze jedną tendencję, a mianowicie szersze wykorzystywanie karnej „machiny państwowej” do ochrony reputacji poszczególnych funkcjonariuszy. Najdobitniejszym przykładem jest sprawa Wojciecha Czuchnowskiego, redaktora Gazety Wyborczej, przeciwko któremu prowadzono śledztwo o znieważenie organu konstytucyjnego po opublikowaniu szeregu artykułów, w których analizowano powiązania pomiędzy najwyższymi rangą sędziami Trybunału Konstytucyjnego a agencjami wywiadowczymi</w:t>
      </w:r>
      <w:r w:rsidRPr="00916CFB">
        <w:rPr>
          <w:rFonts w:asciiTheme="minorHAnsi" w:hAnsiTheme="minorHAnsi"/>
          <w:sz w:val="24"/>
          <w:szCs w:val="24"/>
          <w:vertAlign w:val="superscript"/>
        </w:rPr>
        <w:footnoteReference w:id="194"/>
      </w:r>
      <w:r w:rsidRPr="00916CFB">
        <w:rPr>
          <w:rFonts w:asciiTheme="minorHAnsi" w:hAnsiTheme="minorHAnsi"/>
          <w:sz w:val="24"/>
          <w:szCs w:val="24"/>
        </w:rPr>
        <w:t>. W pojedynczych przypadkach dziennikarzom stawiane są poważne zarzuty, takie jak szpiegostwo w przypadku reportera tygodnika Newsweek Polska, który badał kulisy nominacji pana Woyciechowskiego, prezesa zarządu Polskiej Wytwórni Papierów Wartościowych i związanej z tym sprawy zwolnień grupowych w tej spółce.</w:t>
      </w:r>
    </w:p>
    <w:p w:rsidR="00916CFB" w:rsidRPr="00916CFB" w:rsidRDefault="00916CFB" w:rsidP="00987EB2">
      <w:pPr>
        <w:pStyle w:val="Nagwek20"/>
        <w:keepNext/>
        <w:keepLines/>
        <w:numPr>
          <w:ilvl w:val="0"/>
          <w:numId w:val="62"/>
        </w:numPr>
        <w:tabs>
          <w:tab w:val="left" w:pos="1455"/>
        </w:tabs>
        <w:spacing w:before="120" w:line="240" w:lineRule="auto"/>
        <w:jc w:val="both"/>
        <w:rPr>
          <w:rFonts w:asciiTheme="minorHAnsi" w:hAnsiTheme="minorHAnsi"/>
          <w:sz w:val="24"/>
          <w:szCs w:val="24"/>
        </w:rPr>
      </w:pPr>
      <w:r w:rsidRPr="00916CFB">
        <w:rPr>
          <w:rFonts w:asciiTheme="minorHAnsi" w:hAnsiTheme="minorHAnsi"/>
          <w:sz w:val="24"/>
          <w:szCs w:val="24"/>
        </w:rPr>
        <w:t>Konsekwencje utrzymania przestępstwa zniesławienia</w:t>
      </w:r>
    </w:p>
    <w:p w:rsidR="00916CFB" w:rsidRPr="00384ADB" w:rsidRDefault="00916CFB" w:rsidP="00BA2C68">
      <w:pPr>
        <w:pStyle w:val="Teksttreci0"/>
        <w:spacing w:before="120" w:line="240" w:lineRule="auto"/>
        <w:ind w:firstLine="0"/>
        <w:jc w:val="both"/>
        <w:rPr>
          <w:rFonts w:asciiTheme="minorHAnsi" w:hAnsiTheme="minorHAnsi"/>
          <w:sz w:val="24"/>
          <w:szCs w:val="24"/>
        </w:rPr>
      </w:pPr>
      <w:r w:rsidRPr="00916CFB">
        <w:rPr>
          <w:rFonts w:asciiTheme="minorHAnsi" w:hAnsiTheme="minorHAnsi"/>
          <w:sz w:val="24"/>
          <w:szCs w:val="24"/>
        </w:rPr>
        <w:t xml:space="preserve">W praktyce HFPC, TD i WP obserwujemy, że ten „efekt mrożący” w większym stopniu dotyczy lokalnej prasy i lokalnych działaczy, których w przypadku oskarżenia o zniesławienie często nie stać na profesjonalną pomoc prawną. Jak wynika z naszej praktyki, wobec gazet lokalnych często prowadzi się </w:t>
      </w:r>
      <w:r w:rsidRPr="00384ADB">
        <w:rPr>
          <w:rFonts w:asciiTheme="minorHAnsi" w:hAnsiTheme="minorHAnsi"/>
          <w:sz w:val="24"/>
          <w:szCs w:val="24"/>
        </w:rPr>
        <w:t>jednocześnie kilka postępowań, karnych i cywilnych. Za przykład posłużyć może szereg spraw wszczętych przez lokalnego prawnika przeciwko tygodnikowi Kurier Słupecki. W związku z tymi samymi publikacjami dziennikarzom grozi zarówno postępowanie karne, jak i cywilne</w:t>
      </w:r>
      <w:r w:rsidRPr="00384ADB">
        <w:rPr>
          <w:rFonts w:asciiTheme="minorHAnsi" w:hAnsiTheme="minorHAnsi"/>
          <w:sz w:val="24"/>
          <w:szCs w:val="24"/>
          <w:vertAlign w:val="superscript"/>
        </w:rPr>
        <w:footnoteReference w:id="195"/>
      </w:r>
      <w:r w:rsidRPr="00384ADB">
        <w:rPr>
          <w:rFonts w:asciiTheme="minorHAnsi" w:hAnsiTheme="minorHAnsi"/>
          <w:sz w:val="24"/>
          <w:szCs w:val="24"/>
        </w:rPr>
        <w:t>.</w:t>
      </w:r>
    </w:p>
    <w:p w:rsidR="00916CFB" w:rsidRPr="00384ADB" w:rsidRDefault="00916CFB" w:rsidP="00BA2C68">
      <w:pPr>
        <w:pStyle w:val="Teksttreci0"/>
        <w:spacing w:before="120" w:line="240" w:lineRule="auto"/>
        <w:ind w:firstLine="0"/>
        <w:jc w:val="both"/>
        <w:rPr>
          <w:rFonts w:asciiTheme="minorHAnsi" w:hAnsiTheme="minorHAnsi"/>
          <w:sz w:val="24"/>
          <w:szCs w:val="24"/>
        </w:rPr>
      </w:pPr>
      <w:r w:rsidRPr="00384ADB">
        <w:rPr>
          <w:rFonts w:asciiTheme="minorHAnsi" w:hAnsiTheme="minorHAnsi"/>
          <w:sz w:val="24"/>
          <w:szCs w:val="24"/>
        </w:rPr>
        <w:t xml:space="preserve">Ponadto postępowanie karne w sprawie o zniesławienie uznaje się za jedną z głównych przyczyn </w:t>
      </w:r>
      <w:r w:rsidRPr="00384ADB">
        <w:rPr>
          <w:rFonts w:asciiTheme="minorHAnsi" w:hAnsiTheme="minorHAnsi"/>
          <w:bCs/>
          <w:sz w:val="24"/>
          <w:szCs w:val="24"/>
        </w:rPr>
        <w:t>pogorszenia się dziennikarstwa śledczego w Polsce</w:t>
      </w:r>
      <w:r w:rsidRPr="00384ADB">
        <w:rPr>
          <w:rFonts w:asciiTheme="minorHAnsi" w:hAnsiTheme="minorHAnsi"/>
          <w:sz w:val="24"/>
          <w:szCs w:val="24"/>
        </w:rPr>
        <w:t xml:space="preserve"> i zmiany zawodu wielu lokalnych dziennikarzy (i blogerów), którzy często wybierają „bezpieczniejszą” formę dziennikarstwa, która w mniejszym stopniu naraża ich na ewentualną odpowiedzialność karną. Należy zauważyć, że o ile tradycyjnie art. 212 § 2 k.k. dotyczył głównie dziennikarzy, którzy mieli dostęp do mediów pozainternetowych, o tyle obecnie na surowszą odpowiedzialność za tzw. kwalifikowany typ zniesławienia narażeni są wszyscy użytkownicy Internetu. Ponadto należy zauważyć, że procedura ta ma wpływ na ciężar dowodu, który zgodnie z polskim Kodeksem postępowania karnego powinien spoczywać na oskarżycielu. W przypadku wniesienia do sądu prywatnego aktu oskarżenia </w:t>
      </w:r>
      <w:r w:rsidRPr="00384ADB">
        <w:rPr>
          <w:rFonts w:asciiTheme="minorHAnsi" w:hAnsiTheme="minorHAnsi"/>
          <w:bCs/>
          <w:sz w:val="24"/>
          <w:szCs w:val="24"/>
        </w:rPr>
        <w:t>ciężar dowodu spoczywa na oskarżonym</w:t>
      </w:r>
      <w:r w:rsidRPr="00384ADB">
        <w:rPr>
          <w:rFonts w:asciiTheme="minorHAnsi" w:hAnsiTheme="minorHAnsi"/>
          <w:sz w:val="24"/>
          <w:szCs w:val="24"/>
        </w:rPr>
        <w:t>.</w:t>
      </w:r>
    </w:p>
    <w:p w:rsidR="00916CFB" w:rsidRPr="00916CFB" w:rsidRDefault="00916CFB" w:rsidP="00BA2C68">
      <w:pPr>
        <w:pStyle w:val="Teksttreci0"/>
        <w:spacing w:before="120" w:line="240" w:lineRule="auto"/>
        <w:ind w:firstLine="0"/>
        <w:jc w:val="both"/>
        <w:rPr>
          <w:rFonts w:asciiTheme="minorHAnsi" w:hAnsiTheme="minorHAnsi"/>
          <w:sz w:val="24"/>
          <w:szCs w:val="24"/>
        </w:rPr>
      </w:pPr>
      <w:r w:rsidRPr="00384ADB">
        <w:rPr>
          <w:rFonts w:asciiTheme="minorHAnsi" w:hAnsiTheme="minorHAnsi"/>
          <w:sz w:val="24"/>
          <w:szCs w:val="24"/>
        </w:rPr>
        <w:t>Dodatkowo należy podkreślić, że polski porządek prawny przewiduje inne niż</w:t>
      </w:r>
      <w:r w:rsidRPr="00916CFB">
        <w:rPr>
          <w:rFonts w:asciiTheme="minorHAnsi" w:hAnsiTheme="minorHAnsi"/>
          <w:sz w:val="24"/>
          <w:szCs w:val="24"/>
        </w:rPr>
        <w:t xml:space="preserve"> zniesławienie środki ochrony dobrego imienia, takie jak cywilnoprawna ochrona dóbr osobistych</w:t>
      </w:r>
      <w:r w:rsidRPr="00916CFB">
        <w:rPr>
          <w:rFonts w:asciiTheme="minorHAnsi" w:hAnsiTheme="minorHAnsi"/>
          <w:sz w:val="24"/>
          <w:szCs w:val="24"/>
          <w:vertAlign w:val="superscript"/>
        </w:rPr>
        <w:footnoteReference w:id="196"/>
      </w:r>
      <w:r w:rsidRPr="00916CFB">
        <w:rPr>
          <w:rFonts w:asciiTheme="minorHAnsi" w:hAnsiTheme="minorHAnsi"/>
          <w:sz w:val="24"/>
          <w:szCs w:val="24"/>
        </w:rPr>
        <w:t xml:space="preserve"> czy </w:t>
      </w:r>
      <w:r w:rsidRPr="00916CFB">
        <w:rPr>
          <w:rFonts w:asciiTheme="minorHAnsi" w:hAnsiTheme="minorHAnsi"/>
          <w:sz w:val="24"/>
          <w:szCs w:val="24"/>
        </w:rPr>
        <w:lastRenderedPageBreak/>
        <w:t>żądanie sprostowania (sprostowanie informacji w prasie)</w:t>
      </w:r>
      <w:r w:rsidRPr="00916CFB">
        <w:rPr>
          <w:rFonts w:asciiTheme="minorHAnsi" w:hAnsiTheme="minorHAnsi"/>
          <w:sz w:val="24"/>
          <w:szCs w:val="24"/>
          <w:vertAlign w:val="superscript"/>
        </w:rPr>
        <w:footnoteReference w:id="197"/>
      </w:r>
      <w:r w:rsidRPr="00916CFB">
        <w:rPr>
          <w:rFonts w:asciiTheme="minorHAnsi" w:hAnsiTheme="minorHAnsi"/>
          <w:sz w:val="24"/>
          <w:szCs w:val="24"/>
        </w:rPr>
        <w:t>.</w:t>
      </w:r>
    </w:p>
    <w:p w:rsidR="00916CFB" w:rsidRPr="00916CFB" w:rsidRDefault="00916CFB" w:rsidP="00BA2C68">
      <w:pPr>
        <w:pStyle w:val="Teksttreci0"/>
        <w:spacing w:before="120" w:line="240" w:lineRule="auto"/>
        <w:ind w:firstLine="0"/>
        <w:jc w:val="both"/>
        <w:rPr>
          <w:rFonts w:asciiTheme="minorHAnsi" w:hAnsiTheme="minorHAnsi"/>
          <w:sz w:val="24"/>
          <w:szCs w:val="24"/>
        </w:rPr>
      </w:pPr>
      <w:r w:rsidRPr="00384ADB">
        <w:rPr>
          <w:rFonts w:asciiTheme="minorHAnsi" w:hAnsiTheme="minorHAnsi"/>
          <w:sz w:val="24"/>
          <w:szCs w:val="24"/>
        </w:rPr>
        <w:t xml:space="preserve">Inną istotną konsekwencją </w:t>
      </w:r>
      <w:r w:rsidRPr="00384ADB">
        <w:rPr>
          <w:rFonts w:asciiTheme="minorHAnsi" w:hAnsiTheme="minorHAnsi"/>
          <w:bCs/>
          <w:sz w:val="24"/>
          <w:szCs w:val="24"/>
        </w:rPr>
        <w:t>zniesławienia jest jego upolitycznienie</w:t>
      </w:r>
      <w:r w:rsidRPr="00384ADB">
        <w:rPr>
          <w:rFonts w:asciiTheme="minorHAnsi" w:hAnsiTheme="minorHAnsi"/>
          <w:sz w:val="24"/>
          <w:szCs w:val="24"/>
        </w:rPr>
        <w:t>. Nie tylko ze względu na</w:t>
      </w:r>
      <w:r w:rsidRPr="00916CFB">
        <w:rPr>
          <w:rFonts w:asciiTheme="minorHAnsi" w:hAnsiTheme="minorHAnsi"/>
          <w:sz w:val="24"/>
          <w:szCs w:val="24"/>
        </w:rPr>
        <w:t xml:space="preserve"> częstsze sięganie po niego przez polityków, ale także ze względu na potencjalne, wybiórcze korzystanie z instytucji ułaskawienia przez Prezydenta. W 2017 r. Prezydent ułaskawił Tomasza Wróblewskiego</w:t>
      </w:r>
      <w:r w:rsidRPr="00916CFB">
        <w:rPr>
          <w:rFonts w:asciiTheme="minorHAnsi" w:hAnsiTheme="minorHAnsi"/>
          <w:sz w:val="24"/>
          <w:szCs w:val="24"/>
          <w:vertAlign w:val="superscript"/>
        </w:rPr>
        <w:footnoteReference w:id="198"/>
      </w:r>
      <w:r w:rsidRPr="00916CFB">
        <w:rPr>
          <w:rFonts w:asciiTheme="minorHAnsi" w:hAnsiTheme="minorHAnsi"/>
          <w:sz w:val="24"/>
          <w:szCs w:val="24"/>
        </w:rPr>
        <w:t>. Obecnie Prezydent rozpatruje wniosek o ułaskawienie w sprawie działacza i polityka Jana Śpiewaka. HFPC, TD i WP są zdania, że stosowanie ułaskawienia może być wybiórcze i chronić tylko media prorządowe lub rządowe. To z kolei prowadziłoby do sytuacji, w której artykuł ten byłby skuteczny tylko wobec pewnej grupy mediów, osób, szczególnie tych niezależnych lub pozostających w opozycji do rządu.</w:t>
      </w:r>
    </w:p>
    <w:p w:rsidR="00916CFB" w:rsidRPr="00916CFB" w:rsidRDefault="00916CFB" w:rsidP="00987EB2">
      <w:pPr>
        <w:pStyle w:val="Nagwek20"/>
        <w:keepNext/>
        <w:keepLines/>
        <w:numPr>
          <w:ilvl w:val="0"/>
          <w:numId w:val="62"/>
        </w:numPr>
        <w:tabs>
          <w:tab w:val="left" w:pos="1095"/>
        </w:tabs>
        <w:spacing w:before="120" w:line="240" w:lineRule="auto"/>
        <w:jc w:val="both"/>
        <w:rPr>
          <w:rFonts w:asciiTheme="minorHAnsi" w:hAnsiTheme="minorHAnsi"/>
          <w:sz w:val="24"/>
          <w:szCs w:val="24"/>
        </w:rPr>
      </w:pPr>
      <w:r w:rsidRPr="00916CFB">
        <w:rPr>
          <w:rFonts w:asciiTheme="minorHAnsi" w:hAnsiTheme="minorHAnsi"/>
          <w:sz w:val="24"/>
          <w:szCs w:val="24"/>
        </w:rPr>
        <w:t>Zalecenia mające na celu zapewnienie właściwego wdrożenia</w:t>
      </w:r>
    </w:p>
    <w:p w:rsidR="00916CFB" w:rsidRPr="00916CFB" w:rsidRDefault="00916CFB" w:rsidP="00BA2C68">
      <w:pPr>
        <w:pStyle w:val="Teksttreci0"/>
        <w:spacing w:before="120" w:line="240" w:lineRule="auto"/>
        <w:ind w:firstLine="0"/>
        <w:jc w:val="both"/>
        <w:rPr>
          <w:rFonts w:asciiTheme="minorHAnsi" w:hAnsiTheme="minorHAnsi"/>
          <w:sz w:val="24"/>
          <w:szCs w:val="24"/>
        </w:rPr>
      </w:pPr>
      <w:r w:rsidRPr="00916CFB">
        <w:rPr>
          <w:rFonts w:asciiTheme="minorHAnsi" w:hAnsiTheme="minorHAnsi"/>
          <w:sz w:val="24"/>
          <w:szCs w:val="24"/>
        </w:rPr>
        <w:t>W świetle powyższego, HFPC, TD i WP stwierdzają, że środków podjętych przez polski rząd, które sprowadzają się praktycznie wyłącznie do wdrożenia środków indywidualnych na podstawie art. 540 § 3 k.p.k., nie można w żaden sposób uznać za wystarczające w odniesieniu do wykonania wyroków ETPCz dotyczących przestępstwa zniesławienia. Uważamy, że pełne wykonanie wyroków wydanych w sprawach o zniesławienia wymagałoby:</w:t>
      </w:r>
    </w:p>
    <w:p w:rsidR="00916CFB" w:rsidRPr="00384ADB" w:rsidRDefault="00916CFB" w:rsidP="00987EB2">
      <w:pPr>
        <w:pStyle w:val="Teksttreci0"/>
        <w:numPr>
          <w:ilvl w:val="0"/>
          <w:numId w:val="63"/>
        </w:numPr>
        <w:tabs>
          <w:tab w:val="left" w:pos="1438"/>
        </w:tabs>
        <w:spacing w:before="120" w:line="240" w:lineRule="auto"/>
        <w:ind w:left="1080" w:firstLine="0"/>
        <w:jc w:val="both"/>
        <w:rPr>
          <w:rFonts w:asciiTheme="minorHAnsi" w:hAnsiTheme="minorHAnsi"/>
          <w:sz w:val="24"/>
          <w:szCs w:val="24"/>
        </w:rPr>
      </w:pPr>
      <w:r w:rsidRPr="00384ADB">
        <w:rPr>
          <w:rFonts w:asciiTheme="minorHAnsi" w:hAnsiTheme="minorHAnsi"/>
          <w:bCs/>
          <w:sz w:val="24"/>
          <w:szCs w:val="24"/>
        </w:rPr>
        <w:t>dekryminalizacji zniesławienia;</w:t>
      </w:r>
    </w:p>
    <w:p w:rsidR="00916CFB" w:rsidRPr="00384ADB" w:rsidRDefault="00916CFB" w:rsidP="00987EB2">
      <w:pPr>
        <w:pStyle w:val="Teksttreci0"/>
        <w:numPr>
          <w:ilvl w:val="0"/>
          <w:numId w:val="63"/>
        </w:numPr>
        <w:tabs>
          <w:tab w:val="left" w:pos="1438"/>
        </w:tabs>
        <w:spacing w:before="120" w:line="240" w:lineRule="auto"/>
        <w:ind w:left="1440" w:hanging="360"/>
        <w:jc w:val="both"/>
        <w:rPr>
          <w:rFonts w:asciiTheme="minorHAnsi" w:hAnsiTheme="minorHAnsi"/>
          <w:sz w:val="24"/>
          <w:szCs w:val="24"/>
        </w:rPr>
      </w:pPr>
      <w:r w:rsidRPr="00384ADB">
        <w:rPr>
          <w:rFonts w:asciiTheme="minorHAnsi" w:hAnsiTheme="minorHAnsi"/>
          <w:bCs/>
          <w:sz w:val="24"/>
          <w:szCs w:val="24"/>
        </w:rPr>
        <w:t>w pierwszej kolejności lub ewentualnie – usunięcia kary pozbawienia wolności z art. 212 ust. 2 k.k.;</w:t>
      </w:r>
    </w:p>
    <w:p w:rsidR="00916CFB" w:rsidRPr="00384ADB" w:rsidRDefault="00916CFB" w:rsidP="00987EB2">
      <w:pPr>
        <w:pStyle w:val="Teksttreci0"/>
        <w:numPr>
          <w:ilvl w:val="0"/>
          <w:numId w:val="63"/>
        </w:numPr>
        <w:tabs>
          <w:tab w:val="left" w:pos="1438"/>
        </w:tabs>
        <w:spacing w:before="120" w:line="240" w:lineRule="auto"/>
        <w:ind w:left="1440" w:hanging="360"/>
        <w:jc w:val="both"/>
        <w:rPr>
          <w:rFonts w:asciiTheme="minorHAnsi" w:hAnsiTheme="minorHAnsi"/>
          <w:sz w:val="24"/>
          <w:szCs w:val="24"/>
        </w:rPr>
      </w:pPr>
      <w:r w:rsidRPr="00384ADB">
        <w:rPr>
          <w:rFonts w:asciiTheme="minorHAnsi" w:hAnsiTheme="minorHAnsi"/>
          <w:bCs/>
          <w:sz w:val="24"/>
          <w:szCs w:val="24"/>
        </w:rPr>
        <w:t>włączenia szkoleń przygotowawczych dla sędziów i prokuratorów dotyczących orzecznictwa ETPCz w zakresie wolności słowa.</w:t>
      </w:r>
    </w:p>
    <w:p w:rsidR="00916CFB" w:rsidRPr="00384ADB" w:rsidRDefault="00916CFB" w:rsidP="00BA2C68">
      <w:pPr>
        <w:pStyle w:val="Teksttreci0"/>
        <w:spacing w:before="120" w:line="240" w:lineRule="auto"/>
        <w:ind w:firstLine="0"/>
        <w:jc w:val="both"/>
        <w:rPr>
          <w:rFonts w:asciiTheme="minorHAnsi" w:hAnsiTheme="minorHAnsi"/>
          <w:sz w:val="24"/>
          <w:szCs w:val="24"/>
        </w:rPr>
      </w:pPr>
      <w:r w:rsidRPr="00384ADB">
        <w:rPr>
          <w:rFonts w:asciiTheme="minorHAnsi" w:hAnsiTheme="minorHAnsi"/>
          <w:sz w:val="24"/>
          <w:szCs w:val="24"/>
        </w:rPr>
        <w:t xml:space="preserve">Podsumowując, wprawdzie Trybunał nie wymaga w swoim orzecznictwie zniesienia przestępstwa zniesławienia w krajowych systemach prawnych, to jednak wieloletnia obserwacja procesów o zniesławienie w Polsce skłoniła nas do wniosku, że </w:t>
      </w:r>
      <w:r w:rsidRPr="00384ADB">
        <w:rPr>
          <w:rFonts w:asciiTheme="minorHAnsi" w:hAnsiTheme="minorHAnsi"/>
          <w:bCs/>
          <w:sz w:val="24"/>
          <w:szCs w:val="24"/>
        </w:rPr>
        <w:t>jedynym rozwiązaniem, które może zagwarantować, że instytucja ta nie będzie nadużywana, jest właśnie jej dekryminalizacja i sięgnięcie po środki cywilnoprawne jako właściwe środki ochrony cudzej reputacji</w:t>
      </w:r>
      <w:r w:rsidRPr="00384ADB">
        <w:rPr>
          <w:rFonts w:asciiTheme="minorHAnsi" w:hAnsiTheme="minorHAnsi"/>
          <w:sz w:val="24"/>
          <w:szCs w:val="24"/>
        </w:rPr>
        <w:t>. HFPC, TD i WP podzielają te stanowiska z Rzecznikiem Praw Obywatelskich, który w dniu 1 września 2016 r. wezwał władze do zniesienia instytucji zniesławienia. Rzecznik w szczególności podkreślił, że po dekryminalizacji do kodeksu karnego należy wprowadzić nowe przestępstwo (oszczerstwo – celowe rozpowszechnianie fałszywych informacji na temat danej osoby) oraz zmiany w systemie cywilnym w celu ułatwienia korzystania z drogi cywilnej w sprawie o zniesławienie</w:t>
      </w:r>
      <w:r w:rsidRPr="00384ADB">
        <w:rPr>
          <w:rStyle w:val="Odwoanieprzypisudolnego"/>
          <w:rFonts w:asciiTheme="minorHAnsi" w:hAnsiTheme="minorHAnsi"/>
          <w:sz w:val="24"/>
          <w:szCs w:val="24"/>
        </w:rPr>
        <w:footnoteReference w:id="199"/>
      </w:r>
      <w:r w:rsidRPr="00384ADB">
        <w:rPr>
          <w:rFonts w:asciiTheme="minorHAnsi" w:hAnsiTheme="minorHAnsi"/>
          <w:sz w:val="24"/>
          <w:szCs w:val="24"/>
        </w:rPr>
        <w:t>.</w:t>
      </w:r>
    </w:p>
    <w:p w:rsidR="00916CFB" w:rsidRPr="00916CFB" w:rsidRDefault="00916CFB" w:rsidP="00BA2C68">
      <w:pPr>
        <w:pStyle w:val="Teksttreci0"/>
        <w:spacing w:before="120" w:line="240" w:lineRule="auto"/>
        <w:ind w:firstLine="0"/>
        <w:jc w:val="both"/>
        <w:rPr>
          <w:rFonts w:asciiTheme="minorHAnsi" w:hAnsiTheme="minorHAnsi"/>
          <w:sz w:val="24"/>
          <w:szCs w:val="24"/>
        </w:rPr>
      </w:pPr>
      <w:r w:rsidRPr="00384ADB">
        <w:rPr>
          <w:rFonts w:asciiTheme="minorHAnsi" w:hAnsiTheme="minorHAnsi"/>
          <w:sz w:val="24"/>
          <w:szCs w:val="24"/>
        </w:rPr>
        <w:t xml:space="preserve">Ewentualnie, gdyby całkowite zniesienie zniesławienia nie było możliwe w obecnym klimacie politycznym, zwracamy się do </w:t>
      </w:r>
      <w:r w:rsidRPr="00384ADB">
        <w:rPr>
          <w:rFonts w:asciiTheme="minorHAnsi" w:hAnsiTheme="minorHAnsi"/>
          <w:bCs/>
          <w:sz w:val="24"/>
          <w:szCs w:val="24"/>
        </w:rPr>
        <w:t xml:space="preserve">Komitetu Ministrów z uprzejmą prośbą o zachęcenie rządu polskiego do zniesienia kary pozbawienia wolności przewidzianej w art. 212 ust. 2 Kodeksu karnego. </w:t>
      </w:r>
      <w:r w:rsidRPr="00384ADB">
        <w:rPr>
          <w:rFonts w:asciiTheme="minorHAnsi" w:hAnsiTheme="minorHAnsi"/>
          <w:sz w:val="24"/>
          <w:szCs w:val="24"/>
        </w:rPr>
        <w:t>Uważamy, że chociaż rozwiązanie to nie jest wystarczające, to może stanowić pozytywny krok naprzód, zmniejszający zagrożenie dla dziennikarzy i blogerów. Chociaż jako nowa demokracja powinniśmy być szczególnie wrażliwi na znaczenie pluralistycznej debaty, z obserwacji HFPC, WP i TD wynika, że po instytucję zniesławienia często sięga się w celu</w:t>
      </w:r>
      <w:r w:rsidRPr="00916CFB">
        <w:rPr>
          <w:rFonts w:asciiTheme="minorHAnsi" w:hAnsiTheme="minorHAnsi"/>
          <w:sz w:val="24"/>
          <w:szCs w:val="24"/>
        </w:rPr>
        <w:t xml:space="preserve"> blokowania debaty na temat spraw leżących w interesie publicznym, a nie w celu realnej </w:t>
      </w:r>
      <w:r w:rsidRPr="00916CFB">
        <w:rPr>
          <w:rFonts w:asciiTheme="minorHAnsi" w:hAnsiTheme="minorHAnsi"/>
          <w:sz w:val="24"/>
          <w:szCs w:val="24"/>
        </w:rPr>
        <w:lastRenderedPageBreak/>
        <w:t>ochrony uzasadnionych celów.</w:t>
      </w:r>
    </w:p>
    <w:p w:rsidR="00916CFB" w:rsidRPr="00916CFB" w:rsidRDefault="00916CFB" w:rsidP="00BA2C68">
      <w:pPr>
        <w:pStyle w:val="Teksttreci0"/>
        <w:spacing w:before="120" w:line="240" w:lineRule="auto"/>
        <w:ind w:firstLine="0"/>
        <w:jc w:val="both"/>
        <w:rPr>
          <w:rFonts w:asciiTheme="minorHAnsi" w:hAnsiTheme="minorHAnsi"/>
          <w:sz w:val="24"/>
          <w:szCs w:val="24"/>
        </w:rPr>
      </w:pPr>
      <w:r w:rsidRPr="00916CFB">
        <w:rPr>
          <w:rFonts w:asciiTheme="minorHAnsi" w:hAnsiTheme="minorHAnsi"/>
          <w:sz w:val="24"/>
          <w:szCs w:val="24"/>
        </w:rPr>
        <w:t>Należy dopracować szkolenia przygotowawcze dla sędziów i prokuratorów dotyczące orzecznictwa ETPCz w zakresie wolności słowa i zniesławienia. Szkolenia te powinny dotyczyć takich kwestii jak: grubsza skóra polityków, rozróżnienie między stwierdzeniami co do faktów a sądami ocennymi, interesem publicznym a debatą polityczną, a także kwestię ciężaru dowodu.</w:t>
      </w:r>
    </w:p>
    <w:p w:rsidR="00916CFB" w:rsidRPr="00384ADB" w:rsidRDefault="00916CFB" w:rsidP="00BA2C68">
      <w:pPr>
        <w:pStyle w:val="Teksttreci0"/>
        <w:spacing w:before="120" w:line="240" w:lineRule="auto"/>
        <w:ind w:firstLine="0"/>
        <w:jc w:val="both"/>
        <w:rPr>
          <w:rFonts w:asciiTheme="minorHAnsi" w:hAnsiTheme="minorHAnsi"/>
          <w:sz w:val="24"/>
          <w:szCs w:val="24"/>
        </w:rPr>
      </w:pPr>
      <w:r w:rsidRPr="00916CFB">
        <w:rPr>
          <w:rFonts w:asciiTheme="minorHAnsi" w:hAnsiTheme="minorHAnsi"/>
          <w:sz w:val="24"/>
          <w:szCs w:val="24"/>
        </w:rPr>
        <w:t xml:space="preserve">W związku z powyższym, zwracamy się do Komitetu Ministrów z uprzejmą prośbą o uwzględnienie wszystkich przedstawionych powyżej argumentów i włączenie spraw przeciwko Polsce dotyczących zniesławienia do porządku obrad kolejnego posiedzenia Komitetu Ministrów ds. Praw Człowieka, które zaplanowano na marzec 2020 r. Ponadto, wobec długotrwałego pomijania przez rząd RP stanowiska Zgromadzenia Parlamentarnego Rady Europy i ETPCz w odniesieniu do zniesławienia oraz ciągłej niewystarczalności działań podejmowanych przez rząd RP przedstawionych w raporcie z działań, pragniemy zwrócić uwagę na pilną potrzebę zajęcia się przedmiotową </w:t>
      </w:r>
      <w:r w:rsidRPr="00384ADB">
        <w:rPr>
          <w:rFonts w:asciiTheme="minorHAnsi" w:hAnsiTheme="minorHAnsi"/>
          <w:sz w:val="24"/>
          <w:szCs w:val="24"/>
        </w:rPr>
        <w:t xml:space="preserve">kwestią, bowiem obecny stan prawny zagraża wolności słowa w Polsce, a w szczególności niezależnemu statusowi polskich mediów. Z tego też względu zwracamy się do Komitetu Ministrów z prośbą o </w:t>
      </w:r>
      <w:r w:rsidRPr="00384ADB">
        <w:rPr>
          <w:rFonts w:asciiTheme="minorHAnsi" w:hAnsiTheme="minorHAnsi"/>
          <w:bCs/>
          <w:sz w:val="24"/>
          <w:szCs w:val="24"/>
        </w:rPr>
        <w:t>rozważenie objęcia spraw przeciwko Polsce dotyczących zniesławienia procedurą wzmocnionego nadzoru</w:t>
      </w:r>
      <w:r w:rsidRPr="00384ADB">
        <w:rPr>
          <w:rFonts w:asciiTheme="minorHAnsi" w:hAnsiTheme="minorHAnsi"/>
          <w:sz w:val="24"/>
          <w:szCs w:val="24"/>
        </w:rPr>
        <w:t>.</w:t>
      </w:r>
    </w:p>
    <w:p w:rsidR="00916CFB" w:rsidRDefault="00916CFB" w:rsidP="00BA2C68">
      <w:pPr>
        <w:spacing w:before="120" w:after="0" w:line="240" w:lineRule="auto"/>
        <w:rPr>
          <w:sz w:val="24"/>
          <w:szCs w:val="24"/>
          <w:u w:val="single"/>
        </w:rPr>
      </w:pPr>
    </w:p>
    <w:p w:rsidR="00916CFB" w:rsidRDefault="00916CFB" w:rsidP="00916CFB">
      <w:pPr>
        <w:rPr>
          <w:sz w:val="24"/>
          <w:szCs w:val="24"/>
          <w:u w:val="single"/>
        </w:rPr>
      </w:pPr>
      <w:r>
        <w:rPr>
          <w:sz w:val="24"/>
          <w:szCs w:val="24"/>
          <w:u w:val="single"/>
        </w:rPr>
        <w:t xml:space="preserve">Odpowiedź rządu z dnia </w:t>
      </w:r>
      <w:r w:rsidR="00367DB0">
        <w:rPr>
          <w:sz w:val="24"/>
          <w:szCs w:val="24"/>
          <w:u w:val="single"/>
        </w:rPr>
        <w:t xml:space="preserve">11 marca 2020 r. </w:t>
      </w:r>
    </w:p>
    <w:p w:rsidR="00367DB0" w:rsidRPr="00367DB0" w:rsidRDefault="00367DB0" w:rsidP="00367DB0">
      <w:pPr>
        <w:spacing w:after="120" w:line="240" w:lineRule="auto"/>
        <w:jc w:val="both"/>
        <w:rPr>
          <w:rFonts w:eastAsia="Times New Roman" w:cs="Times New Roman"/>
          <w:sz w:val="24"/>
          <w:szCs w:val="24"/>
          <w:lang w:eastAsia="pl-PL"/>
        </w:rPr>
      </w:pPr>
      <w:r w:rsidRPr="00367DB0">
        <w:rPr>
          <w:rFonts w:eastAsia="Times New Roman" w:cs="Times New Roman"/>
          <w:sz w:val="24"/>
          <w:szCs w:val="24"/>
          <w:lang w:eastAsia="pl-PL"/>
        </w:rPr>
        <w:t xml:space="preserve">W odpowiedzi na komunikację Helsińskiej Fundacji Praw Człowieka, Towarzystwa Dziennikarskiego i Watchdog Polska (dalej: „Autorzy”) z dnia 11 lutego 2020 r. dotyczącą wykonania wyroku Europejskiego Trybunału Praw Człowieka w sprawie </w:t>
      </w:r>
      <w:r w:rsidRPr="00367DB0">
        <w:rPr>
          <w:rFonts w:eastAsia="Times New Roman" w:cs="Times New Roman"/>
          <w:i/>
          <w:sz w:val="24"/>
          <w:szCs w:val="24"/>
          <w:lang w:eastAsia="pl-PL"/>
        </w:rPr>
        <w:t>Kurłowicz p. Polsce</w:t>
      </w:r>
      <w:r w:rsidRPr="00367DB0">
        <w:rPr>
          <w:rFonts w:eastAsia="Times New Roman" w:cs="Times New Roman"/>
          <w:sz w:val="24"/>
          <w:szCs w:val="24"/>
          <w:lang w:eastAsia="pl-PL"/>
        </w:rPr>
        <w:t xml:space="preserve">, rząd RP pragnie zgłosić następujące uwagi dotyczące przedstawionych w niej rekomendacji dla Państwa-Strony. </w:t>
      </w:r>
    </w:p>
    <w:p w:rsidR="00367DB0" w:rsidRPr="00367DB0" w:rsidRDefault="00367DB0" w:rsidP="00367DB0">
      <w:pPr>
        <w:spacing w:after="120" w:line="240" w:lineRule="auto"/>
        <w:jc w:val="both"/>
        <w:rPr>
          <w:rFonts w:eastAsia="Times New Roman" w:cs="Times New Roman"/>
          <w:sz w:val="24"/>
          <w:szCs w:val="24"/>
          <w:lang w:eastAsia="pl-PL"/>
        </w:rPr>
      </w:pPr>
      <w:r w:rsidRPr="00367DB0">
        <w:rPr>
          <w:rFonts w:eastAsia="Times New Roman" w:cs="Times New Roman"/>
          <w:sz w:val="24"/>
          <w:szCs w:val="24"/>
          <w:lang w:eastAsia="pl-PL"/>
        </w:rPr>
        <w:t xml:space="preserve">Przede wszystkim rząd chciałby odnieść się do informacji przekazanych przez Autorów na temat orzeczeń Trybunału w polskich sprawach dotyczących art. 10 Konwencji, które rzekomo pozostają niewdrożone. W tym względzie rząd chciałby wyjaśnić, że większość spraw cytowanych przez Autorów została już wykonana. W konsekwencji Komitet Ministrów przyjął rezolucje końcowe </w:t>
      </w:r>
      <w:r>
        <w:rPr>
          <w:rFonts w:eastAsia="Times New Roman" w:cs="Times New Roman"/>
          <w:sz w:val="24"/>
          <w:szCs w:val="24"/>
          <w:lang w:eastAsia="pl-PL"/>
        </w:rPr>
        <w:t>w tych sprawach, tj.:</w:t>
      </w:r>
    </w:p>
    <w:p w:rsidR="00367DB0" w:rsidRPr="00367DB0" w:rsidRDefault="00367DB0" w:rsidP="00987EB2">
      <w:pPr>
        <w:numPr>
          <w:ilvl w:val="0"/>
          <w:numId w:val="19"/>
        </w:numPr>
        <w:spacing w:after="120" w:line="240" w:lineRule="auto"/>
        <w:ind w:left="357" w:hanging="357"/>
        <w:jc w:val="both"/>
        <w:rPr>
          <w:rFonts w:eastAsia="Times New Roman" w:cs="Times New Roman"/>
          <w:sz w:val="24"/>
          <w:szCs w:val="24"/>
          <w:lang w:eastAsia="pl-PL"/>
        </w:rPr>
      </w:pPr>
      <w:r w:rsidRPr="00367DB0">
        <w:rPr>
          <w:rFonts w:eastAsia="Times New Roman" w:cs="Times New Roman"/>
          <w:i/>
          <w:sz w:val="24"/>
          <w:szCs w:val="24"/>
          <w:lang w:eastAsia="pl-PL"/>
        </w:rPr>
        <w:t>Sokołowski p. Polsce</w:t>
      </w:r>
      <w:r w:rsidRPr="00367DB0">
        <w:rPr>
          <w:rFonts w:eastAsia="Times New Roman" w:cs="Times New Roman"/>
          <w:sz w:val="24"/>
          <w:szCs w:val="24"/>
          <w:lang w:eastAsia="pl-PL"/>
        </w:rPr>
        <w:t xml:space="preserve"> (skarga nr 75955/01) – rezolucja końcowa CM/ResDH(2009)134,</w:t>
      </w:r>
    </w:p>
    <w:p w:rsidR="00367DB0" w:rsidRPr="00367DB0" w:rsidRDefault="00367DB0" w:rsidP="00987EB2">
      <w:pPr>
        <w:numPr>
          <w:ilvl w:val="0"/>
          <w:numId w:val="19"/>
        </w:numPr>
        <w:spacing w:after="120" w:line="240" w:lineRule="auto"/>
        <w:ind w:left="357" w:hanging="357"/>
        <w:jc w:val="both"/>
        <w:rPr>
          <w:rFonts w:eastAsia="Times New Roman" w:cs="Times New Roman"/>
          <w:sz w:val="24"/>
          <w:szCs w:val="24"/>
          <w:lang w:eastAsia="pl-PL"/>
        </w:rPr>
      </w:pPr>
      <w:r w:rsidRPr="00367DB0">
        <w:rPr>
          <w:rFonts w:eastAsia="Times New Roman" w:cs="Times New Roman"/>
          <w:i/>
          <w:sz w:val="24"/>
          <w:szCs w:val="24"/>
          <w:lang w:eastAsia="pl-PL"/>
        </w:rPr>
        <w:t>Dąbrowski p. Polsce</w:t>
      </w:r>
      <w:r w:rsidRPr="00367DB0">
        <w:rPr>
          <w:rFonts w:eastAsia="Times New Roman" w:cs="Times New Roman"/>
          <w:sz w:val="24"/>
          <w:szCs w:val="24"/>
          <w:lang w:eastAsia="pl-PL"/>
        </w:rPr>
        <w:t xml:space="preserve"> (skarga nr 18235/02) – rezolucja końcowa CM/ResDH(2011)16,</w:t>
      </w:r>
    </w:p>
    <w:p w:rsidR="00367DB0" w:rsidRPr="00367DB0" w:rsidRDefault="00367DB0" w:rsidP="00987EB2">
      <w:pPr>
        <w:numPr>
          <w:ilvl w:val="0"/>
          <w:numId w:val="19"/>
        </w:numPr>
        <w:spacing w:after="120" w:line="240" w:lineRule="auto"/>
        <w:ind w:left="357" w:hanging="357"/>
        <w:jc w:val="both"/>
        <w:rPr>
          <w:rFonts w:eastAsia="Times New Roman" w:cs="Times New Roman"/>
          <w:sz w:val="24"/>
          <w:szCs w:val="24"/>
          <w:lang w:eastAsia="pl-PL"/>
        </w:rPr>
      </w:pPr>
      <w:r w:rsidRPr="00367DB0">
        <w:rPr>
          <w:rFonts w:eastAsia="Times New Roman" w:cs="Times New Roman"/>
          <w:i/>
          <w:sz w:val="24"/>
          <w:szCs w:val="24"/>
          <w:lang w:eastAsia="pl-PL"/>
        </w:rPr>
        <w:t>Malisiewicz-Gąsior p. Polsce</w:t>
      </w:r>
      <w:r w:rsidRPr="00367DB0">
        <w:rPr>
          <w:rFonts w:eastAsia="Times New Roman" w:cs="Times New Roman"/>
          <w:sz w:val="24"/>
          <w:szCs w:val="24"/>
          <w:lang w:eastAsia="pl-PL"/>
        </w:rPr>
        <w:t xml:space="preserve"> (skarga nr 43797/98) – rezolucja końcowa CM/ResDH(2011)16,</w:t>
      </w:r>
    </w:p>
    <w:p w:rsidR="00367DB0" w:rsidRPr="00367DB0" w:rsidRDefault="00367DB0" w:rsidP="00987EB2">
      <w:pPr>
        <w:numPr>
          <w:ilvl w:val="0"/>
          <w:numId w:val="19"/>
        </w:numPr>
        <w:spacing w:after="120" w:line="240" w:lineRule="auto"/>
        <w:ind w:left="357" w:hanging="357"/>
        <w:jc w:val="both"/>
        <w:rPr>
          <w:rFonts w:eastAsia="Times New Roman" w:cs="Times New Roman"/>
          <w:sz w:val="24"/>
          <w:szCs w:val="24"/>
          <w:lang w:eastAsia="pl-PL"/>
        </w:rPr>
      </w:pPr>
      <w:r w:rsidRPr="00367DB0">
        <w:rPr>
          <w:rFonts w:eastAsia="Times New Roman" w:cs="Times New Roman"/>
          <w:i/>
          <w:sz w:val="24"/>
          <w:szCs w:val="24"/>
          <w:lang w:eastAsia="pl-PL"/>
        </w:rPr>
        <w:t xml:space="preserve">Galus p. Polsce </w:t>
      </w:r>
      <w:r w:rsidRPr="00367DB0">
        <w:rPr>
          <w:rFonts w:eastAsia="Times New Roman" w:cs="Times New Roman"/>
          <w:sz w:val="24"/>
          <w:szCs w:val="24"/>
          <w:lang w:eastAsia="pl-PL"/>
        </w:rPr>
        <w:t>(skarga nr 61673/10) – rezolucja końcowa CM/ResDH(2013)124,</w:t>
      </w:r>
    </w:p>
    <w:p w:rsidR="00367DB0" w:rsidRPr="00367DB0" w:rsidRDefault="00367DB0" w:rsidP="00987EB2">
      <w:pPr>
        <w:numPr>
          <w:ilvl w:val="0"/>
          <w:numId w:val="19"/>
        </w:numPr>
        <w:spacing w:after="120" w:line="240" w:lineRule="auto"/>
        <w:ind w:left="357" w:hanging="357"/>
        <w:jc w:val="both"/>
        <w:rPr>
          <w:rFonts w:eastAsia="Times New Roman" w:cs="Times New Roman"/>
          <w:sz w:val="24"/>
          <w:szCs w:val="24"/>
          <w:lang w:eastAsia="pl-PL"/>
        </w:rPr>
      </w:pPr>
      <w:r w:rsidRPr="00367DB0">
        <w:rPr>
          <w:rFonts w:eastAsia="Times New Roman" w:cs="Times New Roman"/>
          <w:i/>
          <w:sz w:val="24"/>
          <w:szCs w:val="24"/>
          <w:lang w:eastAsia="pl-PL"/>
        </w:rPr>
        <w:t xml:space="preserve">Długołęcki p. Polsce </w:t>
      </w:r>
      <w:r w:rsidRPr="00367DB0">
        <w:rPr>
          <w:rFonts w:eastAsia="Times New Roman" w:cs="Times New Roman"/>
          <w:sz w:val="24"/>
          <w:szCs w:val="24"/>
          <w:lang w:eastAsia="pl-PL"/>
        </w:rPr>
        <w:t>(skarga nr 23806/03) – rezolucja końcowa CM/ResDH(2015)49.</w:t>
      </w:r>
    </w:p>
    <w:p w:rsidR="00367DB0" w:rsidRPr="00367DB0" w:rsidRDefault="00367DB0" w:rsidP="00367DB0">
      <w:pPr>
        <w:spacing w:after="120" w:line="240" w:lineRule="auto"/>
        <w:jc w:val="both"/>
        <w:rPr>
          <w:rFonts w:eastAsia="Times New Roman" w:cs="Times New Roman"/>
          <w:sz w:val="24"/>
          <w:szCs w:val="24"/>
          <w:lang w:eastAsia="pl-PL"/>
        </w:rPr>
      </w:pPr>
      <w:r w:rsidRPr="00367DB0">
        <w:rPr>
          <w:rFonts w:eastAsia="Times New Roman" w:cs="Times New Roman"/>
          <w:sz w:val="24"/>
          <w:szCs w:val="24"/>
          <w:lang w:eastAsia="pl-PL"/>
        </w:rPr>
        <w:t xml:space="preserve">Ponadto wydaje się, że odnosząc się do sprawy </w:t>
      </w:r>
      <w:r w:rsidRPr="00367DB0">
        <w:rPr>
          <w:rFonts w:eastAsia="Times New Roman" w:cs="Times New Roman"/>
          <w:i/>
          <w:sz w:val="24"/>
          <w:szCs w:val="24"/>
          <w:lang w:eastAsia="pl-PL"/>
        </w:rPr>
        <w:t>Marek [Bogusław] p. Polsce</w:t>
      </w:r>
      <w:r w:rsidRPr="00367DB0">
        <w:rPr>
          <w:rFonts w:eastAsia="Times New Roman" w:cs="Times New Roman"/>
          <w:sz w:val="24"/>
          <w:szCs w:val="24"/>
          <w:lang w:eastAsia="pl-PL"/>
        </w:rPr>
        <w:t xml:space="preserve"> (skarga nr 34103/03), która dotyczyła przewlekłości postępowania przed sądami administracyjnymi i została zamknięta rezolucją końcową CM/ResDH(2018)465, Autorzy mogli mieć na myśli inną sprawę dotyczącą art. 10 Konwencji, tj. </w:t>
      </w:r>
      <w:r w:rsidRPr="00367DB0">
        <w:rPr>
          <w:rFonts w:eastAsia="Times New Roman" w:cs="Times New Roman"/>
          <w:i/>
          <w:sz w:val="24"/>
          <w:szCs w:val="24"/>
          <w:lang w:eastAsia="pl-PL"/>
        </w:rPr>
        <w:t>Andrzej Marek p. Polsce</w:t>
      </w:r>
      <w:r w:rsidRPr="00367DB0">
        <w:rPr>
          <w:rFonts w:eastAsia="Times New Roman" w:cs="Times New Roman"/>
          <w:sz w:val="24"/>
          <w:szCs w:val="24"/>
          <w:lang w:eastAsia="pl-PL"/>
        </w:rPr>
        <w:t xml:space="preserve"> (skarga nr 3032/07), w której również przyjęto rezolucję tymczasową w 2013 r. (CM/ResDH(2013)124). Wreszcie, sprawa </w:t>
      </w:r>
      <w:r w:rsidRPr="00367DB0">
        <w:rPr>
          <w:rFonts w:eastAsia="Times New Roman" w:cs="Times New Roman"/>
          <w:i/>
          <w:sz w:val="24"/>
          <w:szCs w:val="24"/>
          <w:lang w:eastAsia="pl-PL"/>
        </w:rPr>
        <w:t>Szczerbiak p. Polsce</w:t>
      </w:r>
      <w:r w:rsidRPr="00367DB0">
        <w:rPr>
          <w:rFonts w:eastAsia="Times New Roman" w:cs="Times New Roman"/>
          <w:sz w:val="24"/>
          <w:szCs w:val="24"/>
          <w:lang w:eastAsia="pl-PL"/>
        </w:rPr>
        <w:t xml:space="preserve"> (skarga nr 23655/09) została wykreślona z listy spraw Trybunału zgodnie </w:t>
      </w:r>
      <w:r w:rsidRPr="00367DB0">
        <w:rPr>
          <w:rFonts w:eastAsia="Times New Roman" w:cs="Times New Roman"/>
          <w:sz w:val="24"/>
          <w:szCs w:val="24"/>
          <w:lang w:eastAsia="pl-PL"/>
        </w:rPr>
        <w:lastRenderedPageBreak/>
        <w:t xml:space="preserve">z art. 37 ust. 1 lit. c) Konwencji (jednostronna deklaracja złożona przez rząd), w związku z czym wykonanie orzeczenia Trybunału w tej sprawie nigdy nie znajdowało się pod nadzorem Komitetu Ministrów. </w:t>
      </w:r>
    </w:p>
    <w:p w:rsidR="00367DB0" w:rsidRPr="00367DB0" w:rsidRDefault="00367DB0" w:rsidP="00367DB0">
      <w:pPr>
        <w:spacing w:after="120" w:line="240" w:lineRule="auto"/>
        <w:jc w:val="both"/>
        <w:rPr>
          <w:rFonts w:eastAsia="Times New Roman" w:cs="Times New Roman"/>
          <w:sz w:val="24"/>
          <w:szCs w:val="24"/>
          <w:lang w:eastAsia="pl-PL"/>
        </w:rPr>
      </w:pPr>
      <w:r w:rsidRPr="00367DB0">
        <w:rPr>
          <w:rFonts w:eastAsia="Times New Roman" w:cs="Times New Roman"/>
          <w:sz w:val="24"/>
          <w:szCs w:val="24"/>
          <w:lang w:eastAsia="pl-PL"/>
        </w:rPr>
        <w:t xml:space="preserve">Odnosząc się do uwag Autorów dotyczących przestępstwa zniesławienia i ich rekomendacji dotyczących dekryminalizacji zniesławienia, rząd pragnie podkreślić, że ani wyroki Trybunału w grupie spraw </w:t>
      </w:r>
      <w:r w:rsidRPr="00367DB0">
        <w:rPr>
          <w:rFonts w:eastAsia="Times New Roman" w:cs="Times New Roman"/>
          <w:i/>
          <w:sz w:val="24"/>
          <w:szCs w:val="24"/>
          <w:lang w:eastAsia="pl-PL"/>
        </w:rPr>
        <w:t>Kurłowicz</w:t>
      </w:r>
      <w:r w:rsidRPr="00367DB0">
        <w:rPr>
          <w:rFonts w:eastAsia="Times New Roman" w:cs="Times New Roman"/>
          <w:sz w:val="24"/>
          <w:szCs w:val="24"/>
          <w:lang w:eastAsia="pl-PL"/>
        </w:rPr>
        <w:t>, ani sama Konwencja nie nakładają na Państwo-Stronę obowiązku dekryminalizacji tego rodzaju przestępstwa.</w:t>
      </w:r>
    </w:p>
    <w:p w:rsidR="00367DB0" w:rsidRPr="00367DB0" w:rsidRDefault="00367DB0" w:rsidP="00367DB0">
      <w:pPr>
        <w:spacing w:after="120" w:line="240" w:lineRule="auto"/>
        <w:jc w:val="both"/>
        <w:rPr>
          <w:rFonts w:eastAsia="Times New Roman" w:cs="Times New Roman"/>
          <w:sz w:val="24"/>
          <w:szCs w:val="24"/>
          <w:lang w:eastAsia="pl-PL"/>
        </w:rPr>
      </w:pPr>
      <w:r w:rsidRPr="00367DB0">
        <w:rPr>
          <w:rFonts w:eastAsia="Times New Roman" w:cs="Times New Roman"/>
          <w:sz w:val="24"/>
          <w:szCs w:val="24"/>
          <w:lang w:eastAsia="pl-PL"/>
        </w:rPr>
        <w:t>To, że inne międzynarodowe organy i instytucje monitorujące przestrzeganie praw człowieka postulują utrzymanie jedynie odpowiedzialności cywilnej za takie czyny, nie przesądza o konieczności całkowitego zniesienia odpowiedzialności karnej lub uchylenia kary pozbawienia wolności. Dlatego polski system prawny nie stoi w sprzeczności z jakimkolwiek zobowiązaniem międzynarodowym. Co więcej, systemy prawne wielu Państw-Stron Konwencji przewidują taką odpowiedzialność karną.</w:t>
      </w:r>
    </w:p>
    <w:p w:rsidR="00367DB0" w:rsidRPr="00367DB0" w:rsidRDefault="00367DB0" w:rsidP="00367DB0">
      <w:pPr>
        <w:spacing w:after="120" w:line="240" w:lineRule="auto"/>
        <w:jc w:val="both"/>
        <w:rPr>
          <w:rFonts w:eastAsia="Times New Roman" w:cs="Times New Roman"/>
          <w:sz w:val="24"/>
          <w:szCs w:val="24"/>
          <w:lang w:eastAsia="pl-PL"/>
        </w:rPr>
      </w:pPr>
      <w:r w:rsidRPr="00367DB0">
        <w:rPr>
          <w:rFonts w:eastAsia="Times New Roman" w:cs="Times New Roman"/>
          <w:sz w:val="24"/>
          <w:szCs w:val="24"/>
          <w:lang w:eastAsia="pl-PL"/>
        </w:rPr>
        <w:t>W Polsce zniesławienie stanowi przestępstwo ścigane na wniosek pokrzywdzonego, zagrożone grzywną, ograniczeniem wolności (kara społeczna) lub w przypadku zniesławienia kwalifikowanego – popełnionego za pomocą środków masowego porozumiewania się – pozbawieniem wolności do jednego roku. W ocenie rządu rezygnacja z kary pozbawienia wolności za kwalifikowany rodzaj zniesławienia orzeczonej przez sąd w sprawie naruszenia godności i czci, nie jest uzasadniona.</w:t>
      </w:r>
    </w:p>
    <w:p w:rsidR="00367DB0" w:rsidRPr="00367DB0" w:rsidRDefault="00367DB0" w:rsidP="00367DB0">
      <w:pPr>
        <w:spacing w:after="120" w:line="240" w:lineRule="auto"/>
        <w:jc w:val="both"/>
        <w:rPr>
          <w:rFonts w:eastAsia="Times New Roman" w:cs="Times New Roman"/>
          <w:sz w:val="24"/>
          <w:szCs w:val="24"/>
          <w:lang w:eastAsia="pl-PL"/>
        </w:rPr>
      </w:pPr>
      <w:r w:rsidRPr="00367DB0">
        <w:rPr>
          <w:rFonts w:eastAsia="Times New Roman" w:cs="Times New Roman"/>
          <w:sz w:val="24"/>
          <w:szCs w:val="24"/>
          <w:lang w:eastAsia="pl-PL"/>
        </w:rPr>
        <w:t>Biorąc pod uwagę sytuację osoby, której cześć została naruszona za pomocą środków masowego przekazu, posiadających ogromny potencjał perswazyjnego wpływania na opinię odbiorców, staje się oczywiste, jak ważna jest ochrona prawnokarna osoby zniesławionej przez wypowiedź w środkach masowego przekazu. Kara za zniesławienie jest wyrazem dezaprobaty dla zachowania sprawcy. Ponadto w niektórych przypadkach odpowiedzialność cywilna może nie być wystarczająca, aby naprawić sytuację ofiary wywołaną zachowaniem sprawcy.</w:t>
      </w:r>
    </w:p>
    <w:p w:rsidR="00367DB0" w:rsidRPr="00367DB0" w:rsidRDefault="00367DB0" w:rsidP="00367DB0">
      <w:pPr>
        <w:spacing w:after="120" w:line="240" w:lineRule="auto"/>
        <w:jc w:val="both"/>
        <w:rPr>
          <w:rFonts w:eastAsia="Times New Roman" w:cs="Times New Roman"/>
          <w:sz w:val="24"/>
          <w:szCs w:val="24"/>
          <w:lang w:eastAsia="pl-PL"/>
        </w:rPr>
      </w:pPr>
      <w:r w:rsidRPr="00367DB0">
        <w:rPr>
          <w:rFonts w:eastAsia="Times New Roman" w:cs="Times New Roman"/>
          <w:sz w:val="24"/>
          <w:szCs w:val="24"/>
          <w:lang w:eastAsia="pl-PL"/>
        </w:rPr>
        <w:t>Należy podkreślić, że zniesławiające informacje przekazywane za pomocą środków masowego przekazu trafiają do odbiorców z domniemaniem prawdziwości ich treści. Dlatego krzywda wyrządzona osobie zniesławionej w publikacji prasowej, radiowej lub telewizyjnej jest zwykle bardzo trudna do naprawienia, a w niektórych przypadkach nawet niemożliwa, podczas gdy efekt poniżenia lub utraty zaufania publicznego jest w wielu przypadkach nieodwracalny. Wynika to z szerokiego działania mediów w czasie i przestrzeni – wiadomości mogą być przekazywane przez media także po wielu latach.</w:t>
      </w:r>
    </w:p>
    <w:p w:rsidR="00367DB0" w:rsidRPr="00367DB0" w:rsidRDefault="00367DB0" w:rsidP="00367DB0">
      <w:pPr>
        <w:spacing w:after="120" w:line="240" w:lineRule="auto"/>
        <w:jc w:val="both"/>
        <w:rPr>
          <w:rFonts w:eastAsia="Times New Roman" w:cs="Times New Roman"/>
          <w:sz w:val="24"/>
          <w:szCs w:val="24"/>
          <w:lang w:eastAsia="pl-PL"/>
        </w:rPr>
      </w:pPr>
      <w:r w:rsidRPr="00367DB0">
        <w:rPr>
          <w:rFonts w:eastAsia="Times New Roman" w:cs="Times New Roman"/>
          <w:sz w:val="24"/>
          <w:szCs w:val="24"/>
          <w:lang w:eastAsia="pl-PL"/>
        </w:rPr>
        <w:t xml:space="preserve">Niezależnie od powyższego należy zauważyć, że dane statystyczne dotyczące spraw o zniesławienie wskazują na wyraźny spadek liczby osób skazanych prawomocnymi wyrokami za przestępstwo z art. 212 § 2 Kodeksu karnego, czyli kwalifikowany rodzaj zniesławienia, w 2018 r. - w porównaniu z 2017 r. Szczegółowe dane za lata 2014-2018 przedstawia poniższa tabela (dane za rok 2019 nie są jeszcze dostępne):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399"/>
        <w:gridCol w:w="1550"/>
        <w:gridCol w:w="2150"/>
        <w:gridCol w:w="1495"/>
        <w:gridCol w:w="1531"/>
      </w:tblGrid>
      <w:tr w:rsidR="00367DB0" w:rsidRPr="00367DB0" w:rsidTr="00684137">
        <w:trPr>
          <w:trHeight w:val="765"/>
        </w:trPr>
        <w:tc>
          <w:tcPr>
            <w:tcW w:w="959" w:type="dxa"/>
            <w:vMerge w:val="restart"/>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Rok</w:t>
            </w:r>
          </w:p>
        </w:tc>
        <w:tc>
          <w:tcPr>
            <w:tcW w:w="1417" w:type="dxa"/>
            <w:vMerge w:val="restart"/>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Łączna liczba osób skazanych  (art. 212 § 2 KK)</w:t>
            </w:r>
          </w:p>
        </w:tc>
        <w:tc>
          <w:tcPr>
            <w:tcW w:w="3764" w:type="dxa"/>
            <w:gridSpan w:val="2"/>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Kary pozbawienia wolności</w:t>
            </w:r>
          </w:p>
        </w:tc>
        <w:tc>
          <w:tcPr>
            <w:tcW w:w="1535" w:type="dxa"/>
            <w:vMerge w:val="restart"/>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Grzywny</w:t>
            </w:r>
          </w:p>
        </w:tc>
        <w:tc>
          <w:tcPr>
            <w:tcW w:w="1535" w:type="dxa"/>
            <w:vMerge w:val="restart"/>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Ograniczenie wolności</w:t>
            </w:r>
          </w:p>
        </w:tc>
      </w:tr>
      <w:tr w:rsidR="00367DB0" w:rsidRPr="00367DB0" w:rsidTr="00684137">
        <w:trPr>
          <w:trHeight w:val="765"/>
        </w:trPr>
        <w:tc>
          <w:tcPr>
            <w:tcW w:w="959" w:type="dxa"/>
            <w:vMerge/>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p>
        </w:tc>
        <w:tc>
          <w:tcPr>
            <w:tcW w:w="1417" w:type="dxa"/>
            <w:vMerge/>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p>
        </w:tc>
        <w:tc>
          <w:tcPr>
            <w:tcW w:w="1560"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 xml:space="preserve">Łączna liczba kar </w:t>
            </w:r>
            <w:r w:rsidRPr="00367DB0">
              <w:rPr>
                <w:rFonts w:eastAsia="Times New Roman" w:cs="Times New Roman"/>
                <w:sz w:val="24"/>
                <w:szCs w:val="24"/>
                <w:lang w:eastAsia="pl-PL"/>
              </w:rPr>
              <w:lastRenderedPageBreak/>
              <w:t>pozbawienia wolności</w:t>
            </w:r>
          </w:p>
        </w:tc>
        <w:tc>
          <w:tcPr>
            <w:tcW w:w="2204"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lastRenderedPageBreak/>
              <w:t xml:space="preserve">W tym z warunkowym </w:t>
            </w:r>
            <w:r w:rsidRPr="00367DB0">
              <w:rPr>
                <w:rFonts w:eastAsia="Times New Roman" w:cs="Times New Roman"/>
                <w:sz w:val="24"/>
                <w:szCs w:val="24"/>
                <w:lang w:eastAsia="pl-PL"/>
              </w:rPr>
              <w:lastRenderedPageBreak/>
              <w:t>zawieszeniem wykonania kary</w:t>
            </w:r>
          </w:p>
        </w:tc>
        <w:tc>
          <w:tcPr>
            <w:tcW w:w="1535" w:type="dxa"/>
            <w:vMerge/>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p>
        </w:tc>
        <w:tc>
          <w:tcPr>
            <w:tcW w:w="1535" w:type="dxa"/>
            <w:vMerge/>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p>
        </w:tc>
      </w:tr>
      <w:tr w:rsidR="00367DB0" w:rsidRPr="00367DB0" w:rsidTr="00684137">
        <w:tc>
          <w:tcPr>
            <w:tcW w:w="959"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2014</w:t>
            </w:r>
          </w:p>
        </w:tc>
        <w:tc>
          <w:tcPr>
            <w:tcW w:w="1417"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58</w:t>
            </w:r>
          </w:p>
        </w:tc>
        <w:tc>
          <w:tcPr>
            <w:tcW w:w="1560"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4</w:t>
            </w:r>
          </w:p>
        </w:tc>
        <w:tc>
          <w:tcPr>
            <w:tcW w:w="2204"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4</w:t>
            </w:r>
          </w:p>
        </w:tc>
        <w:tc>
          <w:tcPr>
            <w:tcW w:w="1535"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44</w:t>
            </w:r>
          </w:p>
        </w:tc>
        <w:tc>
          <w:tcPr>
            <w:tcW w:w="1535"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10</w:t>
            </w:r>
          </w:p>
        </w:tc>
      </w:tr>
      <w:tr w:rsidR="00367DB0" w:rsidRPr="00367DB0" w:rsidTr="00684137">
        <w:tc>
          <w:tcPr>
            <w:tcW w:w="959"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2015</w:t>
            </w:r>
          </w:p>
        </w:tc>
        <w:tc>
          <w:tcPr>
            <w:tcW w:w="1417"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70</w:t>
            </w:r>
          </w:p>
        </w:tc>
        <w:tc>
          <w:tcPr>
            <w:tcW w:w="1560"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8</w:t>
            </w:r>
          </w:p>
        </w:tc>
        <w:tc>
          <w:tcPr>
            <w:tcW w:w="2204"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8</w:t>
            </w:r>
          </w:p>
        </w:tc>
        <w:tc>
          <w:tcPr>
            <w:tcW w:w="1535"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51</w:t>
            </w:r>
          </w:p>
        </w:tc>
        <w:tc>
          <w:tcPr>
            <w:tcW w:w="1535"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11</w:t>
            </w:r>
          </w:p>
        </w:tc>
      </w:tr>
      <w:tr w:rsidR="00367DB0" w:rsidRPr="00367DB0" w:rsidTr="00684137">
        <w:tc>
          <w:tcPr>
            <w:tcW w:w="959"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2016</w:t>
            </w:r>
          </w:p>
        </w:tc>
        <w:tc>
          <w:tcPr>
            <w:tcW w:w="1417"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101</w:t>
            </w:r>
          </w:p>
        </w:tc>
        <w:tc>
          <w:tcPr>
            <w:tcW w:w="1560"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4</w:t>
            </w:r>
          </w:p>
        </w:tc>
        <w:tc>
          <w:tcPr>
            <w:tcW w:w="2204"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3</w:t>
            </w:r>
          </w:p>
        </w:tc>
        <w:tc>
          <w:tcPr>
            <w:tcW w:w="1535"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83</w:t>
            </w:r>
          </w:p>
        </w:tc>
        <w:tc>
          <w:tcPr>
            <w:tcW w:w="1535"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14</w:t>
            </w:r>
          </w:p>
        </w:tc>
      </w:tr>
      <w:tr w:rsidR="00367DB0" w:rsidRPr="00367DB0" w:rsidTr="00684137">
        <w:tc>
          <w:tcPr>
            <w:tcW w:w="959"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2017</w:t>
            </w:r>
          </w:p>
        </w:tc>
        <w:tc>
          <w:tcPr>
            <w:tcW w:w="1417"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137</w:t>
            </w:r>
          </w:p>
        </w:tc>
        <w:tc>
          <w:tcPr>
            <w:tcW w:w="1560"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9</w:t>
            </w:r>
          </w:p>
        </w:tc>
        <w:tc>
          <w:tcPr>
            <w:tcW w:w="2204"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8</w:t>
            </w:r>
          </w:p>
        </w:tc>
        <w:tc>
          <w:tcPr>
            <w:tcW w:w="1535"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102</w:t>
            </w:r>
          </w:p>
        </w:tc>
        <w:tc>
          <w:tcPr>
            <w:tcW w:w="1535"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26</w:t>
            </w:r>
          </w:p>
        </w:tc>
      </w:tr>
      <w:tr w:rsidR="00367DB0" w:rsidRPr="00367DB0" w:rsidTr="00684137">
        <w:tc>
          <w:tcPr>
            <w:tcW w:w="959"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2018</w:t>
            </w:r>
          </w:p>
        </w:tc>
        <w:tc>
          <w:tcPr>
            <w:tcW w:w="1417"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118</w:t>
            </w:r>
          </w:p>
        </w:tc>
        <w:tc>
          <w:tcPr>
            <w:tcW w:w="1560"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6</w:t>
            </w:r>
          </w:p>
        </w:tc>
        <w:tc>
          <w:tcPr>
            <w:tcW w:w="2204"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4</w:t>
            </w:r>
          </w:p>
        </w:tc>
        <w:tc>
          <w:tcPr>
            <w:tcW w:w="1535"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91</w:t>
            </w:r>
          </w:p>
        </w:tc>
        <w:tc>
          <w:tcPr>
            <w:tcW w:w="1535" w:type="dxa"/>
            <w:shd w:val="clear" w:color="auto" w:fill="auto"/>
            <w:vAlign w:val="center"/>
          </w:tcPr>
          <w:p w:rsidR="00367DB0" w:rsidRPr="00367DB0" w:rsidRDefault="00367DB0" w:rsidP="00367DB0">
            <w:pPr>
              <w:spacing w:after="120" w:line="240" w:lineRule="auto"/>
              <w:jc w:val="center"/>
              <w:rPr>
                <w:rFonts w:eastAsia="Times New Roman" w:cs="Times New Roman"/>
                <w:sz w:val="24"/>
                <w:szCs w:val="24"/>
                <w:lang w:eastAsia="pl-PL"/>
              </w:rPr>
            </w:pPr>
            <w:r w:rsidRPr="00367DB0">
              <w:rPr>
                <w:rFonts w:eastAsia="Times New Roman" w:cs="Times New Roman"/>
                <w:sz w:val="24"/>
                <w:szCs w:val="24"/>
                <w:lang w:eastAsia="pl-PL"/>
              </w:rPr>
              <w:t>21</w:t>
            </w:r>
          </w:p>
        </w:tc>
      </w:tr>
    </w:tbl>
    <w:p w:rsidR="00367DB0" w:rsidRPr="00367DB0" w:rsidRDefault="00367DB0" w:rsidP="00367DB0">
      <w:pPr>
        <w:spacing w:after="120" w:line="240" w:lineRule="auto"/>
        <w:jc w:val="both"/>
        <w:rPr>
          <w:rFonts w:eastAsia="Times New Roman" w:cs="Times New Roman"/>
          <w:sz w:val="24"/>
          <w:szCs w:val="24"/>
          <w:lang w:eastAsia="pl-PL"/>
        </w:rPr>
      </w:pPr>
    </w:p>
    <w:p w:rsidR="00367DB0" w:rsidRPr="00367DB0" w:rsidRDefault="00367DB0" w:rsidP="00367DB0">
      <w:pPr>
        <w:spacing w:after="120" w:line="240" w:lineRule="auto"/>
        <w:jc w:val="both"/>
        <w:rPr>
          <w:rFonts w:eastAsia="Times New Roman" w:cs="Times New Roman"/>
          <w:sz w:val="24"/>
          <w:szCs w:val="24"/>
          <w:lang w:eastAsia="pl-PL"/>
        </w:rPr>
      </w:pPr>
      <w:r w:rsidRPr="00367DB0">
        <w:rPr>
          <w:rFonts w:eastAsia="Times New Roman" w:cs="Times New Roman"/>
          <w:sz w:val="24"/>
          <w:szCs w:val="24"/>
          <w:lang w:eastAsia="pl-PL"/>
        </w:rPr>
        <w:t xml:space="preserve">Należy również podkreślić, że przypadki skazania osób na podstawie art. 212 § 2 Kodeksu karnego są bardzo rzadkie. Większość oskarżonych w takich sprawach to osoby prywatne. Jak wynika z zapytania przeprowadzonego przez Ministerstwo Sprawiedliwości za lata 2016 (czerwiec)-2019, tylko w jednym przypadku osoba skazana była dziennikarzem. Ponadto w przeważającej większości tych przypadków zniesławienie zostało popełnione przy użyciu środka masowego przekazu, takiego jak internet, a w niektórych pojedynczych przypadkach - TV, a w jednym przypadku - lokalnej gazety. Internet jest medium o zdecydowanie najszerszej dostępności i obecnie jest najpowszechniejszym środkiem komunikacji masowej. Internauci mają możliwość bardzo szybkiej reakcji i często czują się bezkarni co wynika z przekonania o anonimowości. Z tego powodu Internet jest często zdominowany przez dosadny i wulgarny język, a poziom debaty publicznej obniża się i staje się coraz bardziej brutalny. Mowa nienawiści w Internecie staje się coraz bardziej powszechna. W tej rzeczywistości rezygnacja z ochrony godności i dobrego imienia jednostki w postaci sankcji karnej za takie zachowanie, w tym kary pozbawienia wolności, mogłaby wywołać u sprawców poczucie bezkarności i zachęcić ich do popełnienia przestępstw tego typu. </w:t>
      </w:r>
    </w:p>
    <w:p w:rsidR="00367DB0" w:rsidRPr="00367DB0" w:rsidRDefault="00367DB0" w:rsidP="00367DB0">
      <w:pPr>
        <w:spacing w:after="120" w:line="240" w:lineRule="auto"/>
        <w:jc w:val="both"/>
        <w:rPr>
          <w:rFonts w:ascii="Calibri" w:eastAsia="Times New Roman" w:hAnsi="Calibri" w:cs="Times New Roman"/>
          <w:sz w:val="24"/>
          <w:szCs w:val="24"/>
          <w:lang w:eastAsia="pl-PL"/>
        </w:rPr>
      </w:pPr>
      <w:r w:rsidRPr="00367DB0">
        <w:rPr>
          <w:rFonts w:ascii="Calibri" w:eastAsia="Times New Roman" w:hAnsi="Calibri" w:cs="Times New Roman"/>
          <w:sz w:val="24"/>
          <w:szCs w:val="24"/>
          <w:lang w:eastAsia="pl-PL"/>
        </w:rPr>
        <w:t xml:space="preserve">Autorzy komunikacji zaznaczają, że postępowanie karne o zniesławienie jest postrzegane jako jedna z głównych przyczyn pogorszenia się dziennikarstwa śledczego w Polsce i przechodzenia przez wielu lokalnych dziennikarzy zawodu na bezpieczniejsze formy dziennikarstwa. W tym względzie rząd pragnie zwrócić uwagę na sprawę </w:t>
      </w:r>
      <w:r w:rsidRPr="00367DB0">
        <w:rPr>
          <w:rFonts w:ascii="Calibri" w:eastAsia="Times New Roman" w:hAnsi="Calibri" w:cs="Times New Roman"/>
          <w:i/>
          <w:sz w:val="24"/>
          <w:szCs w:val="24"/>
          <w:lang w:eastAsia="pl-PL"/>
        </w:rPr>
        <w:t>Gęsina-Torres p. Polsce</w:t>
      </w:r>
      <w:r w:rsidRPr="00367DB0">
        <w:rPr>
          <w:rFonts w:ascii="Calibri" w:eastAsia="Times New Roman" w:hAnsi="Calibri" w:cs="Times New Roman"/>
          <w:sz w:val="24"/>
          <w:szCs w:val="24"/>
          <w:lang w:eastAsia="pl-PL"/>
        </w:rPr>
        <w:t xml:space="preserve"> (skarga nr 11915/15), która dotyczyła odpowiedzialności karnej skarżącego za sposób, w jaki zebrał informacje w celu przygotowania programu telewizyjnego, czyli z wykorzystaniem dziennikarskiej prowokacji i techniki dziennikarstwa wcieleniowego. Jednakże Trybunał uznał, że sprawa nie ujawniła żadnego podejrzenia naruszenia praw i wolności określonych w Konwencji lub jej Protokołach i uznał skargę za niedopuszczalną ze względu na jej oczywiście bezzasadny charakter. Trybunał stwierdził, że władze krajowe, uzasadniając ingerencję w sprawie, oparły się na przesłankach, które były zarówno istotne, jak i wystarczające. Trybunał był również przekonany, że nie doszło do zaniechania rozpoznania sprawy w zakresie, w jakim nadawała się ona do oceny w świetle Artykułu 10 Konwencji.</w:t>
      </w:r>
    </w:p>
    <w:p w:rsidR="00367DB0" w:rsidRPr="00367DB0" w:rsidRDefault="00367DB0" w:rsidP="00367DB0">
      <w:pPr>
        <w:spacing w:after="120" w:line="240" w:lineRule="auto"/>
        <w:jc w:val="both"/>
        <w:rPr>
          <w:rFonts w:eastAsia="Times New Roman" w:cs="Times New Roman"/>
          <w:sz w:val="24"/>
          <w:szCs w:val="24"/>
          <w:lang w:eastAsia="pl-PL"/>
        </w:rPr>
      </w:pPr>
      <w:r w:rsidRPr="00367DB0">
        <w:rPr>
          <w:rFonts w:eastAsia="Times New Roman" w:cs="Times New Roman"/>
          <w:sz w:val="24"/>
          <w:szCs w:val="24"/>
          <w:lang w:eastAsia="pl-PL"/>
        </w:rPr>
        <w:t xml:space="preserve">Kolejna uwaga Autorów podkreślona w komunikacji dotyczy możliwego upolitycznienia przestępstwa zniesławienia z powodu wybiórczego użycia przez Prezydenta instytucji  ułaskawienia. Rząd chciałby jednak podkreślić, że prezydenckie ułaskawienie zawsze było prerogatywą Prezydenta przewidzianą w Konstytucji i w tym sensie nie może być interpretowane jako upolitycznienie przestępstwa zniesławienia. </w:t>
      </w:r>
    </w:p>
    <w:p w:rsidR="00367DB0" w:rsidRPr="00367DB0" w:rsidRDefault="00367DB0" w:rsidP="00367DB0">
      <w:pPr>
        <w:spacing w:after="120" w:line="240" w:lineRule="auto"/>
        <w:jc w:val="both"/>
        <w:rPr>
          <w:rFonts w:eastAsia="Times New Roman" w:cs="Times New Roman"/>
          <w:sz w:val="24"/>
          <w:szCs w:val="24"/>
          <w:lang w:eastAsia="pl-PL"/>
        </w:rPr>
      </w:pPr>
      <w:r w:rsidRPr="00367DB0">
        <w:rPr>
          <w:rFonts w:eastAsia="Times New Roman" w:cs="Times New Roman"/>
          <w:sz w:val="24"/>
          <w:szCs w:val="24"/>
          <w:lang w:eastAsia="pl-PL"/>
        </w:rPr>
        <w:lastRenderedPageBreak/>
        <w:t>Ponadto Autorzy uważają, że jedyne środki generalne przyjęte przez rząd w celu wykonania wyroków Trybunału obejmowały publikację i rozpowszechnienie wyroków Trybunału wśród sądów krajowych. W tym kontekście rząd pragnie podkreślić, że działania podjęte przez polskie władze przyniosły pozytywne efekty w praktyce sądów krajowych. Można zatem zauważyć pozytywny trend w statystykach orzeczeń Trybunału w sprawach polskich w odniesieniu do art. 10 Konwencji. Analiza orzecznictwa Trybunału wskazuje, że w latach 2011-2019 Trybunał w 13 na 31 wyroków przeciwko Polsce dotyczących art. 10 Konwencji nie stwierdził naruszenia tego przepisu (tj. w 42% spraw).</w:t>
      </w:r>
    </w:p>
    <w:p w:rsidR="00367DB0" w:rsidRPr="00367DB0" w:rsidRDefault="00367DB0" w:rsidP="00367DB0">
      <w:pPr>
        <w:spacing w:after="120" w:line="240" w:lineRule="auto"/>
        <w:jc w:val="both"/>
        <w:rPr>
          <w:rFonts w:eastAsia="Times New Roman" w:cs="Times New Roman"/>
          <w:sz w:val="24"/>
          <w:szCs w:val="24"/>
          <w:lang w:eastAsia="pl-PL"/>
        </w:rPr>
      </w:pPr>
      <w:r w:rsidRPr="00367DB0">
        <w:rPr>
          <w:rFonts w:eastAsia="Times New Roman" w:cs="Times New Roman"/>
          <w:sz w:val="24"/>
          <w:szCs w:val="24"/>
          <w:lang w:eastAsia="pl-PL"/>
        </w:rPr>
        <w:t xml:space="preserve">W odniesieniu do wykonywania środków generalnych poprzez upowszechnianie orzecznictwa Trybunału, w tym w sprawach dotyczących wolności wypowiedzi, należy również zauważyć, że Ministerstwo Sprawiedliwości utworzyło i systematycznie rozwija największą w Polsce ogólnodostępną bazę wyroków Trybunału przetłumaczonych na język polski. </w:t>
      </w:r>
    </w:p>
    <w:p w:rsidR="00367DB0" w:rsidRPr="00367DB0" w:rsidRDefault="00367DB0" w:rsidP="00367DB0">
      <w:pPr>
        <w:spacing w:after="120" w:line="240" w:lineRule="auto"/>
        <w:jc w:val="both"/>
        <w:rPr>
          <w:rFonts w:eastAsia="Times New Roman" w:cs="Times New Roman"/>
          <w:sz w:val="24"/>
          <w:szCs w:val="24"/>
          <w:lang w:eastAsia="pl-PL"/>
        </w:rPr>
      </w:pPr>
      <w:r w:rsidRPr="00367DB0">
        <w:rPr>
          <w:rFonts w:eastAsia="Times New Roman" w:cs="Times New Roman"/>
          <w:sz w:val="24"/>
          <w:szCs w:val="24"/>
          <w:lang w:eastAsia="pl-PL"/>
        </w:rPr>
        <w:t xml:space="preserve">Co więcej, w wyniku porozumienia z dnia 24 marca 2014 r. pomiędzy Ministerstwem Sprawiedliwości, Trybunałem Konstytucyjnym, Naczelnym Sądem Administracyjnym i Ministerstwem Spraw Zagranicznych, do których następnie dołączyła Prokuratura Krajowa, strony porozumienia tłumaczą również wybrane wyroki Trybunału wydane przeciwko innym Stronom Konwencji. Polskie tłumaczenia znajdują się na stronie Ministerstwa Sprawiedliwości, na Portalu Orzeczeń Sądów Powszechnych oraz w bazie danych HUDOC. </w:t>
      </w:r>
    </w:p>
    <w:p w:rsidR="00367DB0" w:rsidRPr="00367DB0" w:rsidRDefault="00367DB0" w:rsidP="00367DB0">
      <w:pPr>
        <w:spacing w:after="120" w:line="240" w:lineRule="auto"/>
        <w:jc w:val="both"/>
        <w:rPr>
          <w:rFonts w:eastAsia="Times New Roman" w:cs="Times New Roman"/>
          <w:sz w:val="24"/>
          <w:szCs w:val="24"/>
          <w:lang w:eastAsia="pl-PL"/>
        </w:rPr>
      </w:pPr>
      <w:r w:rsidRPr="00367DB0">
        <w:rPr>
          <w:rFonts w:eastAsia="Times New Roman" w:cs="Times New Roman"/>
          <w:sz w:val="24"/>
          <w:szCs w:val="24"/>
          <w:lang w:eastAsia="pl-PL"/>
        </w:rPr>
        <w:t>Podobnie przetłumaczono na język polski informacje (factsheets) dotyczące orzecznictwa Trybunału, w tym cztery zestawienia dotyczące wolności słowa opracowane przez Sekretariat Trybunału (</w:t>
      </w:r>
      <w:r w:rsidRPr="00367DB0">
        <w:rPr>
          <w:rFonts w:eastAsia="Times New Roman" w:cs="Times New Roman"/>
          <w:i/>
          <w:sz w:val="24"/>
          <w:szCs w:val="24"/>
          <w:lang w:eastAsia="pl-PL"/>
        </w:rPr>
        <w:t>Ochrona źródeł dziennikarskich, Ochrona dobrego imienia, Dostęp do Internetu, Mowa nienawiści</w:t>
      </w:r>
      <w:r w:rsidRPr="00367DB0">
        <w:rPr>
          <w:rFonts w:eastAsia="Times New Roman" w:cs="Times New Roman"/>
          <w:sz w:val="24"/>
          <w:szCs w:val="24"/>
          <w:lang w:eastAsia="pl-PL"/>
        </w:rPr>
        <w:t xml:space="preserve">). Zostały one zamieszczone na stronie internetowej Ministerstwa Sprawiedliwości. Informacje o najnowszych orzeczeniach Trybunału w sprawach przeciwko Polsce są również tam publikowane, a także są rozpowszechniane za pośrednictwem newslettera Ministerstwa Sprawiedliwości, który jest rozsyłany do sądów, prokuratur i jednostek organizacyjnych służby więziennej (ponad 2600 subskrybentów). Ponadto Ministerstwo Sprawiedliwości przygotowywało notki informacyjne na temat standardów wynikających z orzecznictwa Trybunału, w tym w sprawach z zakresu wolności wypowiedzi i wolności wypowiedzi w sprawach z zakresu prawa pracy, i opublikowało je na swojej stronie internetowej. Sądy krajowe zostały poinformowane o przedstawionych powyżej sposobach dostępu do orzecznictwa Trybunału w tłumaczeniu na język polski. </w:t>
      </w:r>
    </w:p>
    <w:p w:rsidR="00367DB0" w:rsidRPr="00367DB0" w:rsidRDefault="00367DB0" w:rsidP="00367DB0">
      <w:pPr>
        <w:spacing w:after="120" w:line="240" w:lineRule="auto"/>
        <w:jc w:val="both"/>
        <w:rPr>
          <w:rFonts w:eastAsia="Times New Roman" w:cs="Times New Roman"/>
          <w:sz w:val="24"/>
          <w:szCs w:val="24"/>
          <w:lang w:eastAsia="pl-PL"/>
        </w:rPr>
      </w:pPr>
      <w:r w:rsidRPr="00367DB0">
        <w:rPr>
          <w:rFonts w:eastAsia="Times New Roman" w:cs="Times New Roman"/>
          <w:sz w:val="24"/>
          <w:szCs w:val="24"/>
          <w:lang w:eastAsia="pl-PL"/>
        </w:rPr>
        <w:t>Co więcej, w 2017 r. zgodnie z ustawą z dnia 12 lipca 2017 r. o zmianie ustawy Prawo o ustroju sądów powszechnych oraz innych ustaw, w każdym okręgu sądowym w sprawach cywilnych i karnych powołano koordynatorów ds. współpracy międzynarodowej i praw człowieka (łącznie 90 koordynatorów). Jednym z podstawowych obowiązków koordynatorów jest zapewnienie sędziom, asesorom sądowym, referendarzom sądowym oraz asystentom sędziów pomocy w uzyskaniu informacji dotyczących standardów wynikających z Konwencji. Jednocześnie koordynator jest upoważniony do poinformowania prezesa właściwego sądu o potrzebie zorganizowania narady sędziów, asesorów sądowych i referendarzy sądowych, w szczególności w celu zapewnienia zgodności ze standardami wynikającymi z Konwencji. W maju 2018 r. Ministerstwo Sprawiedliwości zorganizowało szkolenie dla wszystkich koordynatorów, podczas którego omówiono również standardy orzecznictwa Trybunału dotyczące wolności słowa.</w:t>
      </w:r>
    </w:p>
    <w:p w:rsidR="00367DB0" w:rsidRPr="00367DB0" w:rsidRDefault="00367DB0" w:rsidP="00367DB0">
      <w:pPr>
        <w:spacing w:after="120" w:line="240" w:lineRule="auto"/>
        <w:jc w:val="both"/>
        <w:rPr>
          <w:rFonts w:eastAsia="Times New Roman" w:cs="Times New Roman"/>
          <w:sz w:val="24"/>
          <w:szCs w:val="24"/>
          <w:lang w:eastAsia="pl-PL"/>
        </w:rPr>
      </w:pPr>
      <w:r w:rsidRPr="00367DB0">
        <w:rPr>
          <w:rFonts w:eastAsia="Times New Roman" w:cs="Times New Roman"/>
          <w:sz w:val="24"/>
          <w:szCs w:val="24"/>
          <w:lang w:eastAsia="pl-PL"/>
        </w:rPr>
        <w:lastRenderedPageBreak/>
        <w:t>Mając na uwadze powyższe, rząd stoi na stanowisku, że obowiązujące przepisy prawne i praktyka krajowa nie stoją w sprzeczności ze standardami Konwencji dotyczącymi wolności wypowiedzi. W związku z tym nie są obecnie prowadzone żadne prace legislacyjne zmierzające do zmiany lub wykreślenia art. 212 § 2 Kodeksu karnego.</w:t>
      </w:r>
    </w:p>
    <w:p w:rsidR="00367DB0" w:rsidRPr="00367DB0" w:rsidRDefault="00367DB0" w:rsidP="00367DB0">
      <w:pPr>
        <w:spacing w:after="120" w:line="240" w:lineRule="auto"/>
        <w:jc w:val="both"/>
        <w:rPr>
          <w:rFonts w:eastAsia="Times New Roman" w:cs="Times New Roman"/>
          <w:sz w:val="24"/>
          <w:szCs w:val="24"/>
          <w:lang w:eastAsia="pl-PL"/>
        </w:rPr>
      </w:pPr>
      <w:r w:rsidRPr="00367DB0">
        <w:rPr>
          <w:rFonts w:eastAsia="Times New Roman" w:cs="Times New Roman"/>
          <w:sz w:val="24"/>
          <w:szCs w:val="24"/>
          <w:lang w:eastAsia="pl-PL"/>
        </w:rPr>
        <w:t>Na koniec, odnosząc się do zaleceń Autorów dotyczących szkoleń wstępnych oraz doskonalenia zawodowego w zakresie orzecznictwa Trybunału w zakresie wolności wypowiedzi dla aplikantów sędziowskich i prokuratorskich, należy podkreślić, że powyższe kwestie, w tym kwestie zniesławienia i przestępstw przeciwko czci i nietykalności cielesnej, są objęte szkoleniem w ramach aplikacji sędziowskiej prowadzonym przez Krajową Szkołę Sądownictwa i Prokuratury</w:t>
      </w:r>
    </w:p>
    <w:p w:rsidR="00367DB0" w:rsidRPr="00367DB0" w:rsidRDefault="00367DB0" w:rsidP="00367DB0">
      <w:pPr>
        <w:spacing w:after="120" w:line="240" w:lineRule="auto"/>
        <w:jc w:val="both"/>
        <w:rPr>
          <w:rFonts w:eastAsia="Times New Roman" w:cs="Times New Roman"/>
          <w:sz w:val="24"/>
          <w:szCs w:val="24"/>
          <w:lang w:eastAsia="pl-PL"/>
        </w:rPr>
      </w:pPr>
      <w:r w:rsidRPr="00367DB0">
        <w:rPr>
          <w:rFonts w:eastAsia="Times New Roman" w:cs="Times New Roman"/>
          <w:sz w:val="24"/>
          <w:szCs w:val="24"/>
          <w:lang w:eastAsia="pl-PL"/>
        </w:rPr>
        <w:t>W zakresie doskonalenia zawodowego sędziów, asesorów sądowych, prokuratorów i asesorów prokuratorskich, Krajowa Szkoła Sądownictwa i Prokuratury przeprowadziła w 2018 i 2019 r. następujące szkolenia:</w:t>
      </w:r>
    </w:p>
    <w:p w:rsidR="00367DB0" w:rsidRPr="00367DB0" w:rsidRDefault="00BA2C68" w:rsidP="00987EB2">
      <w:pPr>
        <w:numPr>
          <w:ilvl w:val="0"/>
          <w:numId w:val="18"/>
        </w:numPr>
        <w:spacing w:after="120" w:line="240" w:lineRule="auto"/>
        <w:jc w:val="both"/>
        <w:rPr>
          <w:rFonts w:eastAsia="Calibri" w:cs="Times New Roman"/>
          <w:sz w:val="24"/>
          <w:szCs w:val="24"/>
        </w:rPr>
      </w:pPr>
      <w:r w:rsidRPr="00BA2C68">
        <w:rPr>
          <w:rFonts w:eastAsia="Calibri" w:cs="Times New Roman"/>
          <w:sz w:val="24"/>
          <w:szCs w:val="24"/>
        </w:rPr>
        <w:t>„</w:t>
      </w:r>
      <w:r w:rsidR="00367DB0" w:rsidRPr="00BA2C68">
        <w:rPr>
          <w:rFonts w:eastAsia="Calibri" w:cs="Times New Roman"/>
          <w:sz w:val="24"/>
          <w:szCs w:val="24"/>
        </w:rPr>
        <w:t>Gwarancje procesowe ochrony praw człowieka</w:t>
      </w:r>
      <w:r w:rsidRPr="00BA2C68">
        <w:rPr>
          <w:rFonts w:eastAsia="Calibri" w:cs="Times New Roman"/>
          <w:sz w:val="24"/>
          <w:szCs w:val="24"/>
        </w:rPr>
        <w:t>”</w:t>
      </w:r>
      <w:r w:rsidR="00367DB0" w:rsidRPr="00367DB0">
        <w:rPr>
          <w:rFonts w:eastAsia="Calibri" w:cs="Times New Roman"/>
          <w:i/>
          <w:sz w:val="24"/>
          <w:szCs w:val="24"/>
        </w:rPr>
        <w:t xml:space="preserve"> </w:t>
      </w:r>
      <w:r w:rsidR="00367DB0" w:rsidRPr="00367DB0">
        <w:rPr>
          <w:rFonts w:eastAsia="Times New Roman" w:cs="Times New Roman"/>
          <w:sz w:val="24"/>
          <w:szCs w:val="24"/>
          <w:lang w:eastAsia="pl-PL"/>
        </w:rPr>
        <w:t>– jednym z zagadnień szczegółowych poruszonych podczas szkolenia było prawo do wolności wypowiedzi na przykładzie orzecznictwa Trybunału,</w:t>
      </w:r>
    </w:p>
    <w:p w:rsidR="00367DB0" w:rsidRPr="00367DB0" w:rsidRDefault="00BA2C68" w:rsidP="00987EB2">
      <w:pPr>
        <w:numPr>
          <w:ilvl w:val="0"/>
          <w:numId w:val="18"/>
        </w:numPr>
        <w:spacing w:after="120" w:line="240" w:lineRule="auto"/>
        <w:jc w:val="both"/>
        <w:rPr>
          <w:rFonts w:eastAsia="Times New Roman" w:cs="Times New Roman"/>
          <w:sz w:val="24"/>
          <w:szCs w:val="24"/>
          <w:lang w:eastAsia="pl-PL"/>
        </w:rPr>
      </w:pPr>
      <w:r w:rsidRPr="00BA2C68">
        <w:rPr>
          <w:rFonts w:eastAsia="Calibri" w:cs="Times New Roman"/>
          <w:sz w:val="24"/>
          <w:szCs w:val="24"/>
        </w:rPr>
        <w:t>„</w:t>
      </w:r>
      <w:r w:rsidR="00367DB0" w:rsidRPr="00BA2C68">
        <w:rPr>
          <w:rFonts w:eastAsia="Calibri" w:cs="Times New Roman"/>
          <w:sz w:val="24"/>
          <w:szCs w:val="24"/>
        </w:rPr>
        <w:t>Praktyczne aspekty różnorodności kulturowej w postępowaniu karnym</w:t>
      </w:r>
      <w:r w:rsidRPr="00BA2C68">
        <w:rPr>
          <w:rFonts w:eastAsia="Calibri" w:cs="Times New Roman"/>
          <w:sz w:val="24"/>
          <w:szCs w:val="24"/>
        </w:rPr>
        <w:t>”</w:t>
      </w:r>
      <w:r w:rsidR="00367DB0" w:rsidRPr="00BA2C68">
        <w:rPr>
          <w:rFonts w:eastAsia="Times New Roman" w:cs="Times New Roman"/>
          <w:sz w:val="24"/>
          <w:szCs w:val="24"/>
          <w:lang w:eastAsia="pl-PL"/>
        </w:rPr>
        <w:t xml:space="preserve"> </w:t>
      </w:r>
      <w:r w:rsidR="00367DB0" w:rsidRPr="00367DB0">
        <w:rPr>
          <w:rFonts w:eastAsia="Times New Roman" w:cs="Times New Roman"/>
          <w:sz w:val="24"/>
          <w:szCs w:val="24"/>
          <w:lang w:eastAsia="pl-PL"/>
        </w:rPr>
        <w:t>– zagadnienia szczegółowe poruszane podczas szkolenia to: agresja językowa i deprecjacja/złośliwa dyskryminacja komunikacyjna; stereotypy językowe i komunikacyjne, opis a charakterystyka, automatyzmy komunikacyjne.</w:t>
      </w:r>
    </w:p>
    <w:p w:rsidR="00367DB0" w:rsidRPr="00367DB0" w:rsidRDefault="00367DB0" w:rsidP="00367DB0">
      <w:pPr>
        <w:spacing w:after="120" w:line="240" w:lineRule="auto"/>
        <w:jc w:val="both"/>
        <w:rPr>
          <w:rFonts w:eastAsia="Times New Roman" w:cs="Times New Roman"/>
          <w:sz w:val="24"/>
          <w:szCs w:val="24"/>
          <w:lang w:eastAsia="pl-PL"/>
        </w:rPr>
      </w:pPr>
      <w:r w:rsidRPr="00367DB0">
        <w:rPr>
          <w:rFonts w:eastAsia="Times New Roman" w:cs="Times New Roman"/>
          <w:sz w:val="24"/>
          <w:szCs w:val="24"/>
          <w:lang w:eastAsia="pl-PL"/>
        </w:rPr>
        <w:t xml:space="preserve">Ponadto Krajowa Szkoła Sądownictwa i Prokuratury w 2018 r. umożliwiła również wybranym sędziom i prokuratorom udział w międzynarodowych wydarzeniach szkoleniowych, których przedmiotem były zagadnienia dotyczące art. 10 Konwencji oraz problematyki zniesławienia, tj. Hate speech and media (w Zagrzebiu), Language training on the vocabulary of Human Rights’ EU Law (w Lizbonie i Barcelonie, jednym ze szczegółowych zagadnień była wolność wypowiedzi), Freedom of expression (we Florencji). Należy też wspomnieć, że w 2018 r. został także udostępniony kurs e-learningowy pt.: „Ochrona danych i prawo do prywatności" w języku polskim, w ramach programu HELP (Human Rights Education for Legal Professionals). </w:t>
      </w:r>
    </w:p>
    <w:p w:rsidR="00367DB0" w:rsidRPr="00367DB0" w:rsidRDefault="00367DB0" w:rsidP="00367DB0">
      <w:pPr>
        <w:spacing w:after="120" w:line="240" w:lineRule="auto"/>
        <w:jc w:val="both"/>
        <w:rPr>
          <w:rFonts w:eastAsia="Times New Roman" w:cs="Times New Roman"/>
          <w:sz w:val="24"/>
          <w:szCs w:val="24"/>
          <w:lang w:eastAsia="pl-PL"/>
        </w:rPr>
      </w:pPr>
      <w:r w:rsidRPr="00367DB0">
        <w:rPr>
          <w:rFonts w:eastAsia="Times New Roman" w:cs="Times New Roman"/>
          <w:sz w:val="24"/>
          <w:szCs w:val="24"/>
          <w:lang w:eastAsia="pl-PL"/>
        </w:rPr>
        <w:t>Podsumowując, rząd jest zdania, że powyższe dane, analiza orzecznictwa sądów krajowych oraz działania upowszechniające i szkoleniowe dotyczące standardów Trybunału w zakresie wolności wypowiedzi doprowadziły do ujednolicenia praktyki sądów krajowych z normami określonymi przez Trybunał w jego orzeczeniach dotyczących art. 10 Konwencji.</w:t>
      </w:r>
    </w:p>
    <w:p w:rsidR="00367DB0" w:rsidRPr="00367DB0" w:rsidRDefault="00367DB0" w:rsidP="00367DB0">
      <w:pPr>
        <w:spacing w:after="120" w:line="240" w:lineRule="auto"/>
        <w:jc w:val="both"/>
        <w:rPr>
          <w:rFonts w:eastAsia="Times New Roman" w:cs="Times New Roman"/>
          <w:sz w:val="24"/>
          <w:szCs w:val="24"/>
          <w:lang w:eastAsia="pl-PL"/>
        </w:rPr>
      </w:pPr>
      <w:r w:rsidRPr="00367DB0">
        <w:rPr>
          <w:rFonts w:eastAsia="Times New Roman" w:cs="Times New Roman"/>
          <w:sz w:val="24"/>
          <w:szCs w:val="24"/>
          <w:lang w:eastAsia="pl-PL"/>
        </w:rPr>
        <w:t>W konsekwencji rząd jest zdania, że standardowa procedura nadzoru Komitetu Ministrów w niniejszej grupie spraw powinna pozostać niezmieniona i nie ma podstaw do objęcia spraw procedurą wzmocnioną.</w:t>
      </w:r>
    </w:p>
    <w:p w:rsidR="00367DB0" w:rsidRDefault="00367DB0" w:rsidP="00916CFB">
      <w:pPr>
        <w:rPr>
          <w:sz w:val="24"/>
          <w:szCs w:val="24"/>
          <w:u w:val="single"/>
        </w:rPr>
      </w:pPr>
    </w:p>
    <w:p w:rsidR="00145764" w:rsidRPr="00F24A3C" w:rsidRDefault="00145764" w:rsidP="007C4C5E">
      <w:pPr>
        <w:pStyle w:val="Nagwek1"/>
        <w:jc w:val="both"/>
        <w:rPr>
          <w:rFonts w:asciiTheme="minorHAnsi" w:hAnsiTheme="minorHAnsi"/>
          <w:sz w:val="28"/>
          <w:szCs w:val="28"/>
        </w:rPr>
      </w:pPr>
      <w:bookmarkStart w:id="17" w:name="_Toc69124152"/>
      <w:r w:rsidRPr="00F24A3C">
        <w:rPr>
          <w:rFonts w:asciiTheme="minorHAnsi" w:hAnsiTheme="minorHAnsi"/>
          <w:sz w:val="28"/>
          <w:szCs w:val="28"/>
        </w:rPr>
        <w:t xml:space="preserve">Komunikacja </w:t>
      </w:r>
      <w:r w:rsidR="00EB3E7E">
        <w:rPr>
          <w:rFonts w:asciiTheme="minorHAnsi" w:hAnsiTheme="minorHAnsi"/>
          <w:sz w:val="28"/>
          <w:szCs w:val="28"/>
        </w:rPr>
        <w:t>Open Society Justice Initiative w</w:t>
      </w:r>
      <w:r w:rsidRPr="00F24A3C">
        <w:rPr>
          <w:rFonts w:asciiTheme="minorHAnsi" w:hAnsiTheme="minorHAnsi"/>
          <w:sz w:val="28"/>
          <w:szCs w:val="28"/>
        </w:rPr>
        <w:t xml:space="preserve"> sprawie wykonania wyroku Europejskiego Trybunału Praw Człowieka </w:t>
      </w:r>
      <w:r>
        <w:rPr>
          <w:rFonts w:asciiTheme="minorHAnsi" w:hAnsiTheme="minorHAnsi"/>
          <w:i/>
          <w:sz w:val="28"/>
          <w:szCs w:val="28"/>
        </w:rPr>
        <w:t>Al Nashiri</w:t>
      </w:r>
      <w:r w:rsidRPr="00F24A3C">
        <w:rPr>
          <w:rFonts w:asciiTheme="minorHAnsi" w:hAnsiTheme="minorHAnsi"/>
          <w:i/>
          <w:sz w:val="28"/>
          <w:szCs w:val="28"/>
        </w:rPr>
        <w:t xml:space="preserve"> p. Polsce</w:t>
      </w:r>
      <w:r w:rsidRPr="00F24A3C">
        <w:rPr>
          <w:rFonts w:asciiTheme="minorHAnsi" w:hAnsiTheme="minorHAnsi"/>
          <w:sz w:val="28"/>
          <w:szCs w:val="28"/>
        </w:rPr>
        <w:t xml:space="preserve"> z dnia </w:t>
      </w:r>
      <w:r>
        <w:rPr>
          <w:rFonts w:asciiTheme="minorHAnsi" w:hAnsiTheme="minorHAnsi"/>
          <w:sz w:val="28"/>
          <w:szCs w:val="28"/>
        </w:rPr>
        <w:t>12</w:t>
      </w:r>
      <w:r w:rsidRPr="00F24A3C">
        <w:rPr>
          <w:rFonts w:asciiTheme="minorHAnsi" w:hAnsiTheme="minorHAnsi"/>
          <w:sz w:val="28"/>
          <w:szCs w:val="28"/>
        </w:rPr>
        <w:t xml:space="preserve"> lutego 2020 r.</w:t>
      </w:r>
      <w:bookmarkEnd w:id="17"/>
      <w:r w:rsidRPr="00F24A3C">
        <w:rPr>
          <w:rFonts w:asciiTheme="minorHAnsi" w:hAnsiTheme="minorHAnsi"/>
          <w:sz w:val="28"/>
          <w:szCs w:val="28"/>
        </w:rPr>
        <w:t xml:space="preserve">   </w:t>
      </w:r>
    </w:p>
    <w:p w:rsidR="00145764" w:rsidRDefault="00145764" w:rsidP="00916CFB">
      <w:pPr>
        <w:rPr>
          <w:sz w:val="24"/>
          <w:szCs w:val="24"/>
          <w:u w:val="single"/>
        </w:rPr>
      </w:pPr>
    </w:p>
    <w:p w:rsidR="00145764" w:rsidRDefault="00145764" w:rsidP="00916CFB">
      <w:pPr>
        <w:rPr>
          <w:sz w:val="24"/>
          <w:szCs w:val="24"/>
          <w:u w:val="single"/>
        </w:rPr>
      </w:pPr>
      <w:r>
        <w:rPr>
          <w:sz w:val="24"/>
          <w:szCs w:val="24"/>
          <w:u w:val="single"/>
        </w:rPr>
        <w:t>Treść komunikacji</w:t>
      </w:r>
    </w:p>
    <w:p w:rsidR="00221AE5" w:rsidRPr="003101CF" w:rsidRDefault="00221AE5" w:rsidP="00987EB2">
      <w:pPr>
        <w:spacing w:before="120" w:after="0" w:line="240" w:lineRule="auto"/>
        <w:jc w:val="both"/>
        <w:rPr>
          <w:b/>
          <w:sz w:val="24"/>
          <w:szCs w:val="24"/>
        </w:rPr>
      </w:pPr>
      <w:r w:rsidRPr="003101CF">
        <w:rPr>
          <w:b/>
          <w:sz w:val="24"/>
          <w:szCs w:val="24"/>
        </w:rPr>
        <w:lastRenderedPageBreak/>
        <w:t>Streszczenie i zalecenia</w:t>
      </w:r>
    </w:p>
    <w:p w:rsidR="00221AE5" w:rsidRPr="00221AE5" w:rsidRDefault="00221AE5" w:rsidP="00987EB2">
      <w:pPr>
        <w:spacing w:before="120" w:after="0" w:line="240" w:lineRule="auto"/>
        <w:jc w:val="both"/>
        <w:rPr>
          <w:sz w:val="24"/>
          <w:szCs w:val="24"/>
        </w:rPr>
      </w:pPr>
      <w:r w:rsidRPr="00221AE5">
        <w:rPr>
          <w:sz w:val="24"/>
          <w:szCs w:val="24"/>
        </w:rPr>
        <w:t>W niniejszym wystąpieniu poruszono kwestię niewykonania przez polski rząd wyrok</w:t>
      </w:r>
      <w:r w:rsidR="003101CF">
        <w:rPr>
          <w:sz w:val="24"/>
          <w:szCs w:val="24"/>
        </w:rPr>
        <w:t xml:space="preserve">u w sprawie </w:t>
      </w:r>
      <w:r w:rsidR="003101CF" w:rsidRPr="003101CF">
        <w:rPr>
          <w:i/>
          <w:sz w:val="24"/>
          <w:szCs w:val="24"/>
        </w:rPr>
        <w:t>Al Nashiri p.</w:t>
      </w:r>
      <w:r w:rsidRPr="003101CF">
        <w:rPr>
          <w:i/>
          <w:sz w:val="24"/>
          <w:szCs w:val="24"/>
        </w:rPr>
        <w:t xml:space="preserve"> Polsce</w:t>
      </w:r>
      <w:r w:rsidRPr="00221AE5">
        <w:rPr>
          <w:sz w:val="24"/>
          <w:szCs w:val="24"/>
        </w:rPr>
        <w:t>, który został wydany przez Europejski Trybunał Praw Człowieka („Trybunał”) w dniu 24 lipca 2014 r.</w:t>
      </w:r>
      <w:r w:rsidR="00B4606C">
        <w:rPr>
          <w:rStyle w:val="Odwoanieprzypisudolnego"/>
          <w:sz w:val="24"/>
          <w:szCs w:val="24"/>
        </w:rPr>
        <w:footnoteReference w:id="200"/>
      </w:r>
      <w:r w:rsidRPr="00221AE5">
        <w:rPr>
          <w:sz w:val="24"/>
          <w:szCs w:val="24"/>
        </w:rPr>
        <w:t xml:space="preserve"> Jednym z pełnomocników pana Al Nashiriego przed Europejskim Trybunałem Praw Człowieka była organizacja Open Society Justice Initiative („Organizacja Justice Initiative”).</w:t>
      </w:r>
    </w:p>
    <w:p w:rsidR="00221AE5" w:rsidRPr="00221AE5" w:rsidRDefault="00987EB2" w:rsidP="00987EB2">
      <w:pPr>
        <w:spacing w:before="120" w:after="0" w:line="240" w:lineRule="auto"/>
        <w:jc w:val="both"/>
        <w:rPr>
          <w:sz w:val="24"/>
          <w:szCs w:val="24"/>
        </w:rPr>
      </w:pPr>
      <w:r>
        <w:rPr>
          <w:sz w:val="24"/>
          <w:szCs w:val="24"/>
        </w:rPr>
        <w:t xml:space="preserve">W sprawie </w:t>
      </w:r>
      <w:r w:rsidRPr="00987EB2">
        <w:rPr>
          <w:i/>
          <w:sz w:val="24"/>
          <w:szCs w:val="24"/>
        </w:rPr>
        <w:t>Al Nashiri p.</w:t>
      </w:r>
      <w:r w:rsidR="00221AE5" w:rsidRPr="00987EB2">
        <w:rPr>
          <w:i/>
          <w:sz w:val="24"/>
          <w:szCs w:val="24"/>
        </w:rPr>
        <w:t xml:space="preserve"> Polsce</w:t>
      </w:r>
      <w:r w:rsidR="00221AE5" w:rsidRPr="00221AE5">
        <w:rPr>
          <w:sz w:val="24"/>
          <w:szCs w:val="24"/>
        </w:rPr>
        <w:t xml:space="preserve"> Trybunał uznał, że Polska dopuściła się naruszenia art. 2, 3, 5, 6 § 1, 8 i 13 Europejskiej Konwencji Praw Człowieka oraz art. 1 Protokołu nr 6 do Konwencji w związku z udziałem w wydaniu w trybie nadzwyczajnym i tajnym przetrzymywaniu pana Al Nashiriego w tajnym więzieniu CIA na terytorium Polski oraz w związku z brakiem przeprowadzenia szybkiego, gruntownego i skutecznego śledztwa w sprawie poważnych naruszeń praw człowieka.</w:t>
      </w:r>
    </w:p>
    <w:p w:rsidR="00221AE5" w:rsidRPr="00221AE5" w:rsidRDefault="00221AE5" w:rsidP="00987EB2">
      <w:pPr>
        <w:spacing w:before="120" w:after="0" w:line="240" w:lineRule="auto"/>
        <w:jc w:val="both"/>
        <w:rPr>
          <w:sz w:val="24"/>
          <w:szCs w:val="24"/>
        </w:rPr>
      </w:pPr>
      <w:r w:rsidRPr="00221AE5">
        <w:rPr>
          <w:sz w:val="24"/>
          <w:szCs w:val="24"/>
        </w:rPr>
        <w:t>Trybunał stwierdził ponadto, że odmawiając przeprowadzenia dowodów polskie władze nie wypełniły swoich zobowiązań wynikających z art. 38 Konwencji. Trybunał stwierdził, że przekazanie pana Al Nashiriego z Polski naraziło go na rażące naruszenie prawa do sądu i karę śmierci ze względu na możliwość postawienia go przed amerykańską komisją wojskową. Skarżący, który obecnie przebywa w bazie wojskowej w Guantanamo, został oskarżony przed komisją wojskową o popełnienie przestępstw zagrożonych karą śmierci. Wyrok zobowiązywał rząd polski do uzyskania od władz amerykańskich gwarancji dyplomatycznych, że pan Al Nashiri nie będzie narażony na rażące naruszenie prawa do sądu i karę śmierci oraz do zapłaty na rzecz skarżącego kwoty 100 000 EUR tytułem odszkodowania.</w:t>
      </w:r>
    </w:p>
    <w:p w:rsidR="00221AE5" w:rsidRPr="00221AE5" w:rsidRDefault="00221AE5" w:rsidP="00987EB2">
      <w:pPr>
        <w:spacing w:before="120" w:after="0" w:line="240" w:lineRule="auto"/>
        <w:jc w:val="both"/>
        <w:rPr>
          <w:sz w:val="24"/>
          <w:szCs w:val="24"/>
        </w:rPr>
      </w:pPr>
      <w:r w:rsidRPr="00221AE5">
        <w:rPr>
          <w:sz w:val="24"/>
          <w:szCs w:val="24"/>
        </w:rPr>
        <w:t>Polski rząd nie wykonał wyroku Trybunału w tej sprawie. Organizacja Justice Initiative popiera rezolucję tymczasową w omawianej sprawie</w:t>
      </w:r>
      <w:r w:rsidR="00B4606C">
        <w:rPr>
          <w:rStyle w:val="Odwoanieprzypisudolnego"/>
          <w:sz w:val="24"/>
          <w:szCs w:val="24"/>
        </w:rPr>
        <w:footnoteReference w:id="201"/>
      </w:r>
      <w:r w:rsidRPr="00221AE5">
        <w:rPr>
          <w:sz w:val="24"/>
          <w:szCs w:val="24"/>
        </w:rPr>
        <w:t>, bowiem:</w:t>
      </w:r>
    </w:p>
    <w:p w:rsidR="00221AE5" w:rsidRPr="00987EB2" w:rsidRDefault="00221AE5" w:rsidP="00987EB2">
      <w:pPr>
        <w:pStyle w:val="Akapitzlist"/>
        <w:numPr>
          <w:ilvl w:val="0"/>
          <w:numId w:val="68"/>
        </w:numPr>
        <w:spacing w:before="120" w:after="0" w:line="240" w:lineRule="auto"/>
        <w:contextualSpacing w:val="0"/>
        <w:jc w:val="both"/>
        <w:rPr>
          <w:sz w:val="24"/>
          <w:szCs w:val="24"/>
        </w:rPr>
      </w:pPr>
      <w:r w:rsidRPr="00987EB2">
        <w:rPr>
          <w:sz w:val="24"/>
          <w:szCs w:val="24"/>
        </w:rPr>
        <w:t>Tymczasem zaktualizowany plan działań rządu polskiego nie zawiera jasnych i konkretnych ram czasowych ani terminu zakończenia śledztwa, pomimo wielokrotnie podnoszonych przez Komitet Ministrów wątpliwości w tym zakresie</w:t>
      </w:r>
      <w:r w:rsidR="00B4606C">
        <w:rPr>
          <w:rStyle w:val="Odwoanieprzypisudolnego"/>
          <w:sz w:val="24"/>
          <w:szCs w:val="24"/>
        </w:rPr>
        <w:footnoteReference w:id="202"/>
      </w:r>
      <w:r w:rsidRPr="00987EB2">
        <w:rPr>
          <w:sz w:val="24"/>
          <w:szCs w:val="24"/>
        </w:rPr>
        <w:t>. Od wydania przez Trybunał wyroku w tej sprawie upłynęło prawie sześć lat, a od wszczęcia przez polski rząd śledztwa w sprawie tajnego więzienia CIA n</w:t>
      </w:r>
      <w:r w:rsidR="00B4606C">
        <w:rPr>
          <w:sz w:val="24"/>
          <w:szCs w:val="24"/>
        </w:rPr>
        <w:t>a jego terytorium prawie 12 lat.</w:t>
      </w:r>
      <w:r w:rsidR="00B4606C">
        <w:rPr>
          <w:rStyle w:val="Odwoanieprzypisudolnego"/>
          <w:sz w:val="24"/>
          <w:szCs w:val="24"/>
        </w:rPr>
        <w:footnoteReference w:id="203"/>
      </w:r>
      <w:r w:rsidRPr="00987EB2">
        <w:rPr>
          <w:sz w:val="24"/>
          <w:szCs w:val="24"/>
        </w:rPr>
        <w:t xml:space="preserve"> Tymczasem do dnia dzisiejszego rząd polski nie wykonał w pełni wyroku nakazującego przeprowadzenie skutecznego śledztwa w sprawie naruszenia praw pana Al Nashiriego w tajnym więzieniu CIA w Polsce.</w:t>
      </w:r>
    </w:p>
    <w:p w:rsidR="00221AE5" w:rsidRPr="00221AE5" w:rsidRDefault="00987EB2" w:rsidP="00987EB2">
      <w:pPr>
        <w:pStyle w:val="Akapitzlist"/>
        <w:numPr>
          <w:ilvl w:val="0"/>
          <w:numId w:val="68"/>
        </w:numPr>
        <w:spacing w:before="120" w:after="0" w:line="240" w:lineRule="auto"/>
        <w:contextualSpacing w:val="0"/>
        <w:jc w:val="both"/>
        <w:rPr>
          <w:sz w:val="24"/>
          <w:szCs w:val="24"/>
        </w:rPr>
      </w:pPr>
      <w:r>
        <w:rPr>
          <w:sz w:val="24"/>
          <w:szCs w:val="24"/>
        </w:rPr>
        <w:t>W p</w:t>
      </w:r>
      <w:r w:rsidR="00221AE5" w:rsidRPr="00221AE5">
        <w:rPr>
          <w:sz w:val="24"/>
          <w:szCs w:val="24"/>
        </w:rPr>
        <w:t>lanie nie wskazano, kiedy i w jaki sposób polski rząd zamierza wydać publiczne oświadczenie, w którym potwierdzi swój udział w programie nadzwyczajnego wydawania i tajnego przetrzymywania więźniów przez CIA oraz odpowiedzialność za naruszenie praw pana Al Nashiriego.</w:t>
      </w:r>
    </w:p>
    <w:p w:rsidR="00221AE5" w:rsidRPr="00221AE5" w:rsidRDefault="00221AE5" w:rsidP="00987EB2">
      <w:pPr>
        <w:pStyle w:val="Akapitzlist"/>
        <w:numPr>
          <w:ilvl w:val="0"/>
          <w:numId w:val="68"/>
        </w:numPr>
        <w:spacing w:before="120" w:after="0" w:line="240" w:lineRule="auto"/>
        <w:contextualSpacing w:val="0"/>
        <w:jc w:val="both"/>
        <w:rPr>
          <w:sz w:val="24"/>
          <w:szCs w:val="24"/>
        </w:rPr>
      </w:pPr>
      <w:r w:rsidRPr="00221AE5">
        <w:rPr>
          <w:sz w:val="24"/>
          <w:szCs w:val="24"/>
        </w:rPr>
        <w:t>W planie nie uwzględniono zobowiązania do ujawnienia przynajmniej wszystkim obrońcom pana Al Nashiriego całej korespondencji prowadzonej między rządem polskim i amerykańskim, w związku z gwarancjami dyplomatycznymi dotyczącymi ryzyka rażącego naruszenia prawa do sądu i nałożenia kary śmierci.</w:t>
      </w:r>
    </w:p>
    <w:p w:rsidR="00221AE5" w:rsidRPr="00221AE5" w:rsidRDefault="00221AE5" w:rsidP="00987EB2">
      <w:pPr>
        <w:spacing w:before="120" w:after="0" w:line="240" w:lineRule="auto"/>
        <w:jc w:val="both"/>
        <w:rPr>
          <w:sz w:val="24"/>
          <w:szCs w:val="24"/>
        </w:rPr>
      </w:pPr>
      <w:r w:rsidRPr="00221AE5">
        <w:rPr>
          <w:sz w:val="24"/>
          <w:szCs w:val="24"/>
        </w:rPr>
        <w:lastRenderedPageBreak/>
        <w:t>W świetle powyższych uchybień zwracamy się z uprzejmą prośbą, aby Komitet Ministrów zalecił polskim władzom:</w:t>
      </w:r>
    </w:p>
    <w:p w:rsidR="00221AE5" w:rsidRPr="00987EB2" w:rsidRDefault="00221AE5" w:rsidP="00987EB2">
      <w:pPr>
        <w:pStyle w:val="Akapitzlist"/>
        <w:numPr>
          <w:ilvl w:val="0"/>
          <w:numId w:val="69"/>
        </w:numPr>
        <w:spacing w:before="120" w:after="0" w:line="240" w:lineRule="auto"/>
        <w:contextualSpacing w:val="0"/>
        <w:jc w:val="both"/>
        <w:rPr>
          <w:sz w:val="24"/>
          <w:szCs w:val="24"/>
        </w:rPr>
      </w:pPr>
      <w:r w:rsidRPr="00987EB2">
        <w:rPr>
          <w:sz w:val="24"/>
          <w:szCs w:val="24"/>
        </w:rPr>
        <w:t>przeprowadzenie skutecznego śledztwa w sprawie udziału Polski w programie CIA dotyczącym wydania w trybie nadzwyczajnym i tajnego przetrzymywania oraz naruszenia praw pana Al Nashiriego, w szczególności poprzez:</w:t>
      </w:r>
    </w:p>
    <w:p w:rsidR="00221AE5" w:rsidRPr="00987EB2" w:rsidRDefault="00221AE5" w:rsidP="00987EB2">
      <w:pPr>
        <w:pStyle w:val="Akapitzlist"/>
        <w:numPr>
          <w:ilvl w:val="0"/>
          <w:numId w:val="70"/>
        </w:numPr>
        <w:spacing w:before="120" w:after="0" w:line="240" w:lineRule="auto"/>
        <w:contextualSpacing w:val="0"/>
        <w:jc w:val="both"/>
        <w:rPr>
          <w:sz w:val="24"/>
          <w:szCs w:val="24"/>
        </w:rPr>
      </w:pPr>
      <w:r w:rsidRPr="00987EB2">
        <w:rPr>
          <w:sz w:val="24"/>
          <w:szCs w:val="24"/>
        </w:rPr>
        <w:t>podanie do publicznej wiadomości w określonym terminie informacji na temat nieobjętych tajemnicą materiałów śledztwa;</w:t>
      </w:r>
    </w:p>
    <w:p w:rsidR="00221AE5" w:rsidRPr="00987EB2" w:rsidRDefault="00221AE5" w:rsidP="00987EB2">
      <w:pPr>
        <w:pStyle w:val="Akapitzlist"/>
        <w:numPr>
          <w:ilvl w:val="0"/>
          <w:numId w:val="70"/>
        </w:numPr>
        <w:spacing w:before="120" w:after="0" w:line="240" w:lineRule="auto"/>
        <w:contextualSpacing w:val="0"/>
        <w:jc w:val="both"/>
        <w:rPr>
          <w:sz w:val="24"/>
          <w:szCs w:val="24"/>
        </w:rPr>
      </w:pPr>
      <w:r w:rsidRPr="00987EB2">
        <w:rPr>
          <w:sz w:val="24"/>
          <w:szCs w:val="24"/>
        </w:rPr>
        <w:t>odtajnienie materiałów śledztwa w najszerszym możliwym zakresie, zwłaszcza w zakresie wszelkich wydanych przez prokuratora rozstrzygnięć proceduralnych;</w:t>
      </w:r>
    </w:p>
    <w:p w:rsidR="00221AE5" w:rsidRPr="00987EB2" w:rsidRDefault="00221AE5" w:rsidP="00987EB2">
      <w:pPr>
        <w:pStyle w:val="Akapitzlist"/>
        <w:numPr>
          <w:ilvl w:val="0"/>
          <w:numId w:val="70"/>
        </w:numPr>
        <w:spacing w:before="120" w:after="0" w:line="240" w:lineRule="auto"/>
        <w:contextualSpacing w:val="0"/>
        <w:jc w:val="both"/>
        <w:rPr>
          <w:sz w:val="24"/>
          <w:szCs w:val="24"/>
        </w:rPr>
      </w:pPr>
      <w:r w:rsidRPr="00987EB2">
        <w:rPr>
          <w:sz w:val="24"/>
          <w:szCs w:val="24"/>
        </w:rPr>
        <w:t>podwojenie wysiłków w ramach śledztwa prowadzonego przez organy krajowe polegające na przeznaczeniu dodatkowych zasobów prokuratorowi prowadzącemu te sprawy;</w:t>
      </w:r>
    </w:p>
    <w:p w:rsidR="00221AE5" w:rsidRPr="00987EB2" w:rsidRDefault="00221AE5" w:rsidP="00987EB2">
      <w:pPr>
        <w:pStyle w:val="Akapitzlist"/>
        <w:numPr>
          <w:ilvl w:val="0"/>
          <w:numId w:val="70"/>
        </w:numPr>
        <w:spacing w:before="120" w:after="0" w:line="240" w:lineRule="auto"/>
        <w:contextualSpacing w:val="0"/>
        <w:jc w:val="both"/>
        <w:rPr>
          <w:sz w:val="24"/>
          <w:szCs w:val="24"/>
        </w:rPr>
      </w:pPr>
      <w:r w:rsidRPr="00987EB2">
        <w:rPr>
          <w:sz w:val="24"/>
          <w:szCs w:val="24"/>
        </w:rPr>
        <w:t>regularne informowanie pełnomocnika pana Al Nashiriego o statusie śledztwa.</w:t>
      </w:r>
    </w:p>
    <w:p w:rsidR="00221AE5" w:rsidRPr="00221AE5" w:rsidRDefault="00221AE5" w:rsidP="00987EB2">
      <w:pPr>
        <w:pStyle w:val="Akapitzlist"/>
        <w:numPr>
          <w:ilvl w:val="0"/>
          <w:numId w:val="69"/>
        </w:numPr>
        <w:spacing w:before="120" w:after="0" w:line="240" w:lineRule="auto"/>
        <w:contextualSpacing w:val="0"/>
        <w:jc w:val="both"/>
        <w:rPr>
          <w:sz w:val="24"/>
          <w:szCs w:val="24"/>
        </w:rPr>
      </w:pPr>
      <w:r w:rsidRPr="00221AE5">
        <w:rPr>
          <w:sz w:val="24"/>
          <w:szCs w:val="24"/>
        </w:rPr>
        <w:t>wydanie przez władze najwyższego szczebla oficjalnego oświadczenia potwierdzającego, że w latach 2002 i 2003 na terytorium Polski znajdowało się tajne więzienie CIA;</w:t>
      </w:r>
    </w:p>
    <w:p w:rsidR="00221AE5" w:rsidRPr="00221AE5" w:rsidRDefault="00221AE5" w:rsidP="00987EB2">
      <w:pPr>
        <w:pStyle w:val="Akapitzlist"/>
        <w:numPr>
          <w:ilvl w:val="0"/>
          <w:numId w:val="69"/>
        </w:numPr>
        <w:spacing w:before="120" w:after="0" w:line="240" w:lineRule="auto"/>
        <w:contextualSpacing w:val="0"/>
        <w:jc w:val="both"/>
        <w:rPr>
          <w:sz w:val="24"/>
          <w:szCs w:val="24"/>
        </w:rPr>
      </w:pPr>
      <w:r w:rsidRPr="00221AE5">
        <w:rPr>
          <w:sz w:val="24"/>
          <w:szCs w:val="24"/>
        </w:rPr>
        <w:t>kontynuowanie i wznowienie wysiłków zmierzających do uzyskania dyplomatycznych gwarancji na najwyższych szczeblach w celu zapewnienia, że skarżący nie będzie już poddawany traktowaniu sprzecznemu z Konwencją, polegające w szczególności na:</w:t>
      </w:r>
    </w:p>
    <w:p w:rsidR="00221AE5" w:rsidRPr="00221AE5" w:rsidRDefault="00221AE5" w:rsidP="00987EB2">
      <w:pPr>
        <w:pStyle w:val="Akapitzlist"/>
        <w:numPr>
          <w:ilvl w:val="0"/>
          <w:numId w:val="70"/>
        </w:numPr>
        <w:spacing w:before="120" w:after="0" w:line="240" w:lineRule="auto"/>
        <w:contextualSpacing w:val="0"/>
        <w:jc w:val="both"/>
        <w:rPr>
          <w:sz w:val="24"/>
          <w:szCs w:val="24"/>
        </w:rPr>
      </w:pPr>
      <w:r w:rsidRPr="00221AE5">
        <w:rPr>
          <w:sz w:val="24"/>
          <w:szCs w:val="24"/>
        </w:rPr>
        <w:t>zwróceniu się o gwarancje dyplomatyczne, że pan Al Nashiri nie zostanie skazany na karę śmierci i że nie będzie w dalszym ciągu narażony na rażące naruszenie prawa do sądu;</w:t>
      </w:r>
    </w:p>
    <w:p w:rsidR="00221AE5" w:rsidRPr="00221AE5" w:rsidRDefault="00221AE5" w:rsidP="00987EB2">
      <w:pPr>
        <w:pStyle w:val="Akapitzlist"/>
        <w:numPr>
          <w:ilvl w:val="0"/>
          <w:numId w:val="70"/>
        </w:numPr>
        <w:spacing w:before="120" w:after="0" w:line="240" w:lineRule="auto"/>
        <w:contextualSpacing w:val="0"/>
        <w:jc w:val="both"/>
        <w:rPr>
          <w:sz w:val="24"/>
          <w:szCs w:val="24"/>
        </w:rPr>
      </w:pPr>
      <w:r w:rsidRPr="00221AE5">
        <w:rPr>
          <w:sz w:val="24"/>
          <w:szCs w:val="24"/>
        </w:rPr>
        <w:t>ujawnienie, przynajmniej pełnomocnikowi pana Al Nashiriego, korespondencji prowadzonej między władzami polskimi i amerykańskimi w przedmiocie gwarancji związanych z karą śmierci i rażącym naruszeniem prawa do sądu;</w:t>
      </w:r>
    </w:p>
    <w:p w:rsidR="00221AE5" w:rsidRPr="00221AE5" w:rsidRDefault="00221AE5" w:rsidP="00987EB2">
      <w:pPr>
        <w:pStyle w:val="Akapitzlist"/>
        <w:numPr>
          <w:ilvl w:val="0"/>
          <w:numId w:val="69"/>
        </w:numPr>
        <w:spacing w:before="120" w:after="0" w:line="240" w:lineRule="auto"/>
        <w:contextualSpacing w:val="0"/>
        <w:jc w:val="both"/>
        <w:rPr>
          <w:sz w:val="24"/>
          <w:szCs w:val="24"/>
        </w:rPr>
      </w:pPr>
      <w:r w:rsidRPr="00221AE5">
        <w:rPr>
          <w:sz w:val="24"/>
          <w:szCs w:val="24"/>
        </w:rPr>
        <w:t>wzmocnienie nadzoru nad służbami wywiadowczymi, w szczególności poprzez:</w:t>
      </w:r>
    </w:p>
    <w:p w:rsidR="00221AE5" w:rsidRPr="00221AE5" w:rsidRDefault="00221AE5" w:rsidP="00987EB2">
      <w:pPr>
        <w:pStyle w:val="Akapitzlist"/>
        <w:numPr>
          <w:ilvl w:val="0"/>
          <w:numId w:val="70"/>
        </w:numPr>
        <w:spacing w:before="120" w:after="0" w:line="240" w:lineRule="auto"/>
        <w:contextualSpacing w:val="0"/>
        <w:jc w:val="both"/>
        <w:rPr>
          <w:sz w:val="24"/>
          <w:szCs w:val="24"/>
        </w:rPr>
      </w:pPr>
      <w:r w:rsidRPr="00221AE5">
        <w:rPr>
          <w:sz w:val="24"/>
          <w:szCs w:val="24"/>
        </w:rPr>
        <w:t>bieżące informowanie Komitetu Ministrów o działaniach podejmowanych w tym zakresie, w tym przekazywanie informacji na temat przewidywanych projektów legislacyjnych;</w:t>
      </w:r>
    </w:p>
    <w:p w:rsidR="00221AE5" w:rsidRPr="00221AE5" w:rsidRDefault="00221AE5" w:rsidP="00987EB2">
      <w:pPr>
        <w:pStyle w:val="Akapitzlist"/>
        <w:numPr>
          <w:ilvl w:val="0"/>
          <w:numId w:val="70"/>
        </w:numPr>
        <w:spacing w:before="120" w:after="0" w:line="240" w:lineRule="auto"/>
        <w:contextualSpacing w:val="0"/>
        <w:jc w:val="both"/>
        <w:rPr>
          <w:sz w:val="24"/>
          <w:szCs w:val="24"/>
        </w:rPr>
      </w:pPr>
      <w:r w:rsidRPr="00221AE5">
        <w:rPr>
          <w:sz w:val="24"/>
          <w:szCs w:val="24"/>
        </w:rPr>
        <w:t xml:space="preserve">skierowanie przez władze najwyższego szczebla do służb wywiadowczych i bezpieczeństwa jasnego sygnału o absolutnym braku akceptacji i zerowej tolerancji dla arbitralnego pozbawienia wolności, tortur i tajnych operacji wydawania więźniów. </w:t>
      </w:r>
    </w:p>
    <w:p w:rsidR="00221AE5" w:rsidRPr="00987EB2" w:rsidRDefault="00221AE5" w:rsidP="00987EB2">
      <w:pPr>
        <w:spacing w:before="120" w:after="0" w:line="240" w:lineRule="auto"/>
        <w:jc w:val="both"/>
        <w:rPr>
          <w:b/>
          <w:sz w:val="24"/>
          <w:szCs w:val="24"/>
        </w:rPr>
      </w:pPr>
      <w:r w:rsidRPr="00987EB2">
        <w:rPr>
          <w:b/>
          <w:sz w:val="24"/>
          <w:szCs w:val="24"/>
        </w:rPr>
        <w:t>Status postępowania przed komisją wojskową w sprawie pana Al Nashiriego</w:t>
      </w:r>
    </w:p>
    <w:p w:rsidR="00221AE5" w:rsidRPr="00221AE5" w:rsidRDefault="00221AE5" w:rsidP="00987EB2">
      <w:pPr>
        <w:spacing w:before="120" w:after="0" w:line="240" w:lineRule="auto"/>
        <w:jc w:val="both"/>
        <w:rPr>
          <w:sz w:val="24"/>
          <w:szCs w:val="24"/>
        </w:rPr>
      </w:pPr>
      <w:r w:rsidRPr="00221AE5">
        <w:rPr>
          <w:sz w:val="24"/>
          <w:szCs w:val="24"/>
        </w:rPr>
        <w:t xml:space="preserve">Pan Al Nashiri został ujęty przez władze amerykańskie w 2002 r., a w 2008 r. przedstawiono mu zarzuty przed komisją wojskową. Mimo tego, niemal 18 lat od jego ujęcia, wciąż nie wiadomo, kiedy odbędzie się proces w jego sprawie, a jemu samemu nadal grozi kara śmierci. Ponadto, jak uznał Europejski Trybunał Praw Człowieka, komisja wojskowa nie „gwarantuje bezstronności i niezawisłości”, a w prowadzonym przez nią postępowaniu dopuszczalne są </w:t>
      </w:r>
      <w:r w:rsidRPr="00221AE5">
        <w:rPr>
          <w:sz w:val="24"/>
          <w:szCs w:val="24"/>
        </w:rPr>
        <w:lastRenderedPageBreak/>
        <w:t>dowody uzyskane wskutek tortur.</w:t>
      </w:r>
      <w:r w:rsidR="00B4606C">
        <w:rPr>
          <w:rStyle w:val="Odwoanieprzypisudolnego"/>
          <w:sz w:val="24"/>
          <w:szCs w:val="24"/>
        </w:rPr>
        <w:footnoteReference w:id="204"/>
      </w:r>
      <w:r w:rsidRPr="00221AE5">
        <w:rPr>
          <w:sz w:val="24"/>
          <w:szCs w:val="24"/>
        </w:rPr>
        <w:t xml:space="preserve"> Pan Al Nashiri nadal przebywa w bazie wojskowej w Guantanamo, z dala od rodziny, cierpi na poważny zespół stresu pourazowego spowodowany torturami i znęcaniem się nad nim, który dodatkowo potęguje niekończący się cykl skarg, wniosków, posiedzeń i rozstrzygnięć, które zdają się prowadzić donikąd.</w:t>
      </w:r>
    </w:p>
    <w:p w:rsidR="00221AE5" w:rsidRPr="00221AE5" w:rsidRDefault="00221AE5" w:rsidP="00987EB2">
      <w:pPr>
        <w:spacing w:before="120" w:after="0" w:line="240" w:lineRule="auto"/>
        <w:jc w:val="both"/>
        <w:rPr>
          <w:sz w:val="24"/>
          <w:szCs w:val="24"/>
        </w:rPr>
      </w:pPr>
      <w:r w:rsidRPr="00221AE5">
        <w:rPr>
          <w:sz w:val="24"/>
          <w:szCs w:val="24"/>
        </w:rPr>
        <w:t>Z okoliczności związanych z prowadzonego wobec pana Al Nashiriego postępowania przed komisją wojskową wynika, że nadal grozi mu rażące naruszenie prawa do sądu:</w:t>
      </w:r>
    </w:p>
    <w:p w:rsidR="00221AE5" w:rsidRPr="00987EB2" w:rsidRDefault="00221AE5" w:rsidP="0047460C">
      <w:pPr>
        <w:pStyle w:val="Akapitzlist"/>
        <w:numPr>
          <w:ilvl w:val="0"/>
          <w:numId w:val="70"/>
        </w:numPr>
        <w:spacing w:before="120" w:after="0" w:line="240" w:lineRule="auto"/>
        <w:contextualSpacing w:val="0"/>
        <w:jc w:val="both"/>
        <w:rPr>
          <w:sz w:val="24"/>
          <w:szCs w:val="24"/>
        </w:rPr>
      </w:pPr>
      <w:r w:rsidRPr="00987EB2">
        <w:rPr>
          <w:sz w:val="24"/>
          <w:szCs w:val="24"/>
        </w:rPr>
        <w:t>W dniu 6 października 2017 r. pełnomocnicy reprezentujący pana Al Nashiriego w postępowaniu przed komisją wojskową odmówili dalszego prowadzenia sprawy w wyniku powtarzających się ingerencji rządu w obronę, w tym polegającej na odmowie porozumienia się z klientem, wgląd do materiałów objętych tajemnicą adwokacką oraz ukrywaniu mikrofonów w pomieszczeniach przeznaczonych do rozmów obrońcy z oskarżonym. Odmowa dalszego prowadzenia sprawy przez pełnomocników skutkowała pozbawieniem pana Al Nashiriego profesjonalnego zastępstwa procesowego.</w:t>
      </w:r>
    </w:p>
    <w:p w:rsidR="00221AE5" w:rsidRPr="00987EB2" w:rsidRDefault="00221AE5" w:rsidP="0047460C">
      <w:pPr>
        <w:pStyle w:val="Akapitzlist"/>
        <w:numPr>
          <w:ilvl w:val="0"/>
          <w:numId w:val="70"/>
        </w:numPr>
        <w:spacing w:before="120" w:after="0" w:line="240" w:lineRule="auto"/>
        <w:contextualSpacing w:val="0"/>
        <w:jc w:val="both"/>
        <w:rPr>
          <w:sz w:val="24"/>
          <w:szCs w:val="24"/>
        </w:rPr>
      </w:pPr>
      <w:r w:rsidRPr="00987EB2">
        <w:rPr>
          <w:sz w:val="24"/>
          <w:szCs w:val="24"/>
        </w:rPr>
        <w:t>W dniu 16 lutego 2018 r. postępowanie zawieszono do czasu rozstrzygnięcia przez sąd wyższej instancji w przedmiocie dopuszczalności odstąpienia od prowadzenia sprawy przez pełnomocników. Od tego czasu w tej sprawie nie odbyły się żadne posiedzenia przygotowawcze.</w:t>
      </w:r>
    </w:p>
    <w:p w:rsidR="00221AE5" w:rsidRPr="00987EB2" w:rsidRDefault="00221AE5" w:rsidP="0047460C">
      <w:pPr>
        <w:pStyle w:val="Akapitzlist"/>
        <w:numPr>
          <w:ilvl w:val="0"/>
          <w:numId w:val="70"/>
        </w:numPr>
        <w:spacing w:before="120" w:after="0" w:line="240" w:lineRule="auto"/>
        <w:contextualSpacing w:val="0"/>
        <w:jc w:val="both"/>
        <w:rPr>
          <w:sz w:val="24"/>
          <w:szCs w:val="24"/>
        </w:rPr>
      </w:pPr>
      <w:r w:rsidRPr="00987EB2">
        <w:rPr>
          <w:sz w:val="24"/>
          <w:szCs w:val="24"/>
        </w:rPr>
        <w:t>W dniu 16 kwietnia 2019 r. federalny sąd apelacyjny dla okręgu Dystryktu Kolumbii uwzględnił pismo obrony i postanowił uchylić wszystkie (tj. ponad 460) orzeczeń, które sędzia komisji wojskowej, pułkownik Spath, wydał w okresie od 19 listopada 2015 r. do chwili obecnej, jak również wszystkie orzeczenia sądu apelacyjnego przy komisji wojskowej. Sąd uznał, że złożone przez płk. Spatha podanie o pracę w Departamencie Sprawiedliwości stworzyło konflikt interesów, ponieważ prawnicy Departamentu Sprawiedliwości brali aktywny udział w sprawie pana Al Nashiriego. Ponadto pomimo wiedzy Departamentu Sprawiedliwości o przydzieleniu sędziego do komisji wojskowej, która miała rozpoznawać sprawę pana Al Nashiriego, informacja ta nigdy nie została ujawniona obronie.</w:t>
      </w:r>
    </w:p>
    <w:p w:rsidR="00221AE5" w:rsidRPr="00221AE5" w:rsidRDefault="00221AE5" w:rsidP="0047460C">
      <w:pPr>
        <w:pStyle w:val="Akapitzlist"/>
        <w:numPr>
          <w:ilvl w:val="0"/>
          <w:numId w:val="70"/>
        </w:numPr>
        <w:spacing w:before="120" w:after="0" w:line="240" w:lineRule="auto"/>
        <w:contextualSpacing w:val="0"/>
        <w:jc w:val="both"/>
        <w:rPr>
          <w:sz w:val="24"/>
          <w:szCs w:val="24"/>
        </w:rPr>
      </w:pPr>
      <w:r w:rsidRPr="00221AE5">
        <w:rPr>
          <w:sz w:val="24"/>
          <w:szCs w:val="24"/>
        </w:rPr>
        <w:t xml:space="preserve">Orzeczenie sądu apelacyjnego dla okręgu Dystryktu Kolumbii umożliwiło ponowne podjęcie postępowania w sprawie pana Al Nashiriego. Na nowego sędziego wojskowego wyznaczono pułkownika Lanny’ego Acostę, a panu Al Nashiriemu ustanowiono nowego obrońcę. Kolejne terminy rozpraw w sprawie wyznaczono na 6-10 kwietnia 2020 r. Wiele wniosków i rozstrzygnięć, których Court of Appeals for D.C. </w:t>
      </w:r>
      <w:r w:rsidRPr="00221AE5">
        <w:rPr>
          <w:sz w:val="24"/>
          <w:szCs w:val="24"/>
        </w:rPr>
        <w:lastRenderedPageBreak/>
        <w:t>Circuit nie uwzględnił, będzie wymagało ponownego rozpatrzenia. Nie wyznaczono jeszcze terminu rozprawy i nie przewiduje się jej w najbliższej przyszłości.</w:t>
      </w:r>
    </w:p>
    <w:p w:rsidR="00221AE5" w:rsidRPr="00221AE5" w:rsidRDefault="00221AE5" w:rsidP="00987EB2">
      <w:pPr>
        <w:spacing w:before="120" w:after="0" w:line="240" w:lineRule="auto"/>
        <w:jc w:val="both"/>
        <w:rPr>
          <w:sz w:val="24"/>
          <w:szCs w:val="24"/>
        </w:rPr>
      </w:pPr>
      <w:r w:rsidRPr="00221AE5">
        <w:rPr>
          <w:sz w:val="24"/>
          <w:szCs w:val="24"/>
        </w:rPr>
        <w:t>Wydarzenia te stanowią kolejny dowód na to, że rząd Stanów Zjednoczonych jak dotąd nie zapewnił panu Al Nashiriemu rzetelnego procesu. Rząd polski musi w dalszym ciągu ubiegać się o gwarancję, że pan Al Nashiri nie będzie narażony na rażące naruszenie prawa do sądu i karę śmierci.</w:t>
      </w:r>
    </w:p>
    <w:p w:rsidR="00221AE5" w:rsidRPr="00987EB2" w:rsidRDefault="00221AE5" w:rsidP="00987EB2">
      <w:pPr>
        <w:spacing w:before="120" w:after="0" w:line="240" w:lineRule="auto"/>
        <w:jc w:val="both"/>
        <w:rPr>
          <w:b/>
          <w:sz w:val="24"/>
          <w:szCs w:val="24"/>
        </w:rPr>
      </w:pPr>
      <w:r w:rsidRPr="00987EB2">
        <w:rPr>
          <w:b/>
          <w:sz w:val="24"/>
          <w:szCs w:val="24"/>
        </w:rPr>
        <w:t>(I) Polska musi przeprowadzić skuteczne śledztwo</w:t>
      </w:r>
    </w:p>
    <w:p w:rsidR="00221AE5" w:rsidRPr="00221AE5" w:rsidRDefault="008E32CB" w:rsidP="00987EB2">
      <w:pPr>
        <w:spacing w:before="120" w:after="0" w:line="240" w:lineRule="auto"/>
        <w:jc w:val="both"/>
        <w:rPr>
          <w:sz w:val="24"/>
          <w:szCs w:val="24"/>
        </w:rPr>
      </w:pPr>
      <w:r>
        <w:rPr>
          <w:sz w:val="24"/>
          <w:szCs w:val="24"/>
        </w:rPr>
        <w:t xml:space="preserve">W sprawie </w:t>
      </w:r>
      <w:r w:rsidRPr="008E32CB">
        <w:rPr>
          <w:i/>
          <w:sz w:val="24"/>
          <w:szCs w:val="24"/>
        </w:rPr>
        <w:t xml:space="preserve">Al Nashiri p. </w:t>
      </w:r>
      <w:r w:rsidR="00221AE5" w:rsidRPr="008E32CB">
        <w:rPr>
          <w:i/>
          <w:sz w:val="24"/>
          <w:szCs w:val="24"/>
        </w:rPr>
        <w:t>Polsce</w:t>
      </w:r>
      <w:r w:rsidR="00221AE5" w:rsidRPr="00221AE5">
        <w:rPr>
          <w:sz w:val="24"/>
          <w:szCs w:val="24"/>
        </w:rPr>
        <w:t xml:space="preserve"> Trybunał zauważył, że „jeżeli jednostka posiada dające się uzasadnić roszczenie, że została źle potraktowana przez funkcjonariuszy Państwa, pojęcie »skutecznego środka odwoławczego« [...] pociąga za sobą przeprowadzenie gruntownego i skutecznego śledztwa pozwalającego na ustalenie oraz ukaranie osób odpowiedzialnych oraz umożliwiającego skarżącemu skuteczny dostęp do postępowania przygotowawczego”</w:t>
      </w:r>
      <w:r w:rsidR="00B4606C">
        <w:rPr>
          <w:rStyle w:val="Odwoanieprzypisudolnego"/>
          <w:sz w:val="24"/>
          <w:szCs w:val="24"/>
        </w:rPr>
        <w:footnoteReference w:id="205"/>
      </w:r>
      <w:r w:rsidR="00221AE5" w:rsidRPr="00221AE5">
        <w:rPr>
          <w:sz w:val="24"/>
          <w:szCs w:val="24"/>
        </w:rPr>
        <w:t>. Od czasu wszczęcia śledztwa w sprawie zarzutów skarżącego dotyczących poważnych naruszeń Konwencji upłynęło prawie dwanaście lat. Postępowanie, które zresztą kilkakrotnie przedłużano, nadal jest w toku, a nic nie wskazuje na to, by osobom odpowiedzialnym za zarzucane naruszenia miały zostać przedstawione zarzuty.</w:t>
      </w:r>
    </w:p>
    <w:p w:rsidR="00221AE5" w:rsidRPr="00221AE5" w:rsidRDefault="00221AE5" w:rsidP="00987EB2">
      <w:pPr>
        <w:spacing w:before="120" w:after="0" w:line="240" w:lineRule="auto"/>
        <w:jc w:val="both"/>
        <w:rPr>
          <w:sz w:val="24"/>
          <w:szCs w:val="24"/>
        </w:rPr>
      </w:pPr>
      <w:r w:rsidRPr="00221AE5">
        <w:rPr>
          <w:sz w:val="24"/>
          <w:szCs w:val="24"/>
        </w:rPr>
        <w:t>Trybunał zauważył w swoim wyroku, że „nie nastąpił w śledztwie żaden znaczący postęp”</w:t>
      </w:r>
      <w:r w:rsidR="00B4606C">
        <w:rPr>
          <w:rStyle w:val="Odwoanieprzypisudolnego"/>
          <w:sz w:val="24"/>
          <w:szCs w:val="24"/>
        </w:rPr>
        <w:footnoteReference w:id="206"/>
      </w:r>
      <w:r w:rsidRPr="00221AE5">
        <w:rPr>
          <w:sz w:val="24"/>
          <w:szCs w:val="24"/>
        </w:rPr>
        <w:t>. Trybunał zauważył ponadto, że „na zaawansowanych etapach śledztwa dwóch kolejnych prokuratorów je prowadzących zostało odsuniętych od sprawy, a potem sprawa została przeniesiona do prokuratorów w innym regionie [...] [decyzje te] bezsprzecznie przyczyniły się do przedłużenia postępowania”</w:t>
      </w:r>
      <w:r w:rsidR="00B4606C">
        <w:rPr>
          <w:rStyle w:val="Odwoanieprzypisudolnego"/>
          <w:sz w:val="24"/>
          <w:szCs w:val="24"/>
        </w:rPr>
        <w:footnoteReference w:id="207"/>
      </w:r>
      <w:r w:rsidRPr="00221AE5">
        <w:rPr>
          <w:sz w:val="24"/>
          <w:szCs w:val="24"/>
        </w:rPr>
        <w:t>. Mimo że śledztwo jest w toku, na dzień dzisiejszy ocena Trybunału w dużej mierze pozostaje aktualna: w śledztwie nie poczyniono żadnego znaczącego postępu.</w:t>
      </w:r>
    </w:p>
    <w:p w:rsidR="00221AE5" w:rsidRPr="00221AE5" w:rsidRDefault="00221AE5" w:rsidP="00987EB2">
      <w:pPr>
        <w:spacing w:before="120" w:after="0" w:line="240" w:lineRule="auto"/>
        <w:jc w:val="both"/>
        <w:rPr>
          <w:sz w:val="24"/>
          <w:szCs w:val="24"/>
        </w:rPr>
      </w:pPr>
      <w:r w:rsidRPr="00221AE5">
        <w:rPr>
          <w:sz w:val="24"/>
          <w:szCs w:val="24"/>
        </w:rPr>
        <w:t>Co więcej, po niemal sześciu latach od opublikowania wyroku Trybunału, do wiadomości publicznej podano niewiele informacji na temat postępów i wyników śledztwa w sprawie Al Nashiri. Ani rząd ani Prokurator Generalny nie podjęli żadnych kroków, aby poinformować Komitet Ministrów lub opinię publiczną o ramach czasowych, zakresie czy wynikach śledztwa.</w:t>
      </w:r>
    </w:p>
    <w:p w:rsidR="00221AE5" w:rsidRPr="00221AE5" w:rsidRDefault="00221AE5" w:rsidP="00987EB2">
      <w:pPr>
        <w:spacing w:before="120" w:after="0" w:line="240" w:lineRule="auto"/>
        <w:jc w:val="both"/>
        <w:rPr>
          <w:sz w:val="24"/>
          <w:szCs w:val="24"/>
        </w:rPr>
      </w:pPr>
      <w:r w:rsidRPr="00221AE5">
        <w:rPr>
          <w:sz w:val="24"/>
          <w:szCs w:val="24"/>
        </w:rPr>
        <w:t>Plan działań rządu polskiego z lutego 2020 r. wskazuje, że „pełnomocnicy skarżących posiadają pełną wiedzę na temat postępowań krajowych. Otrzymują kopie dokumentów z akt sprawy oraz są informowani o planowanych czynnościach, o które wcześniej wnioskowali”</w:t>
      </w:r>
      <w:r w:rsidR="00B4606C">
        <w:rPr>
          <w:rStyle w:val="Odwoanieprzypisudolnego"/>
          <w:sz w:val="24"/>
          <w:szCs w:val="24"/>
        </w:rPr>
        <w:footnoteReference w:id="208"/>
      </w:r>
      <w:r w:rsidRPr="00221AE5">
        <w:rPr>
          <w:sz w:val="24"/>
          <w:szCs w:val="24"/>
        </w:rPr>
        <w:t>. Podkreśla się przy tym, że polscy pełnomocnicy od ponad roku nie byli informowani o jakichkolwiek postępach w zakresie planu śledztwa. Zwracamy się z wnioskiem, by polskie władze przekazały pełnomocnikowi pana Al Nashiriego plan śledztwa wraz z uaktualnionymi informacjami i powiadomieniem o przedłużeniu terminów.</w:t>
      </w:r>
    </w:p>
    <w:p w:rsidR="00221AE5" w:rsidRPr="00221AE5" w:rsidRDefault="00221AE5" w:rsidP="00987EB2">
      <w:pPr>
        <w:spacing w:before="120" w:after="0" w:line="240" w:lineRule="auto"/>
        <w:jc w:val="both"/>
        <w:rPr>
          <w:sz w:val="24"/>
          <w:szCs w:val="24"/>
        </w:rPr>
      </w:pPr>
      <w:r w:rsidRPr="00221AE5">
        <w:rPr>
          <w:sz w:val="24"/>
          <w:szCs w:val="24"/>
        </w:rPr>
        <w:t>Chociaż władze polskie stwierdziły, że nie mogą informować o czynnościach o charakterze niejawnym, które p</w:t>
      </w:r>
      <w:r w:rsidR="00B4606C">
        <w:rPr>
          <w:sz w:val="24"/>
          <w:szCs w:val="24"/>
        </w:rPr>
        <w:t>rowadziły lub planują prowadzić</w:t>
      </w:r>
      <w:r w:rsidR="00B4606C">
        <w:rPr>
          <w:rStyle w:val="Odwoanieprzypisudolnego"/>
          <w:sz w:val="24"/>
          <w:szCs w:val="24"/>
        </w:rPr>
        <w:footnoteReference w:id="209"/>
      </w:r>
      <w:r w:rsidRPr="00221AE5">
        <w:rPr>
          <w:sz w:val="24"/>
          <w:szCs w:val="24"/>
        </w:rPr>
        <w:t xml:space="preserve">, to nie przedstawiły żadnych dowodów na to, że uwzględniły wezwania Komitetu Ministrów do podwojenia wysiłków w ramach </w:t>
      </w:r>
      <w:r w:rsidRPr="00221AE5">
        <w:rPr>
          <w:sz w:val="24"/>
          <w:szCs w:val="24"/>
        </w:rPr>
        <w:lastRenderedPageBreak/>
        <w:t>śledztwa prowadzonego przez organy krajowe lub w celu przeznaczenia dodatkowych zasobów proku</w:t>
      </w:r>
      <w:r w:rsidR="00B4606C">
        <w:rPr>
          <w:sz w:val="24"/>
          <w:szCs w:val="24"/>
        </w:rPr>
        <w:t>ratorowi prowadzącemu te sprawy</w:t>
      </w:r>
      <w:r w:rsidR="00B4606C">
        <w:rPr>
          <w:rStyle w:val="Odwoanieprzypisudolnego"/>
          <w:sz w:val="24"/>
          <w:szCs w:val="24"/>
        </w:rPr>
        <w:footnoteReference w:id="210"/>
      </w:r>
      <w:r w:rsidRPr="00221AE5">
        <w:rPr>
          <w:sz w:val="24"/>
          <w:szCs w:val="24"/>
        </w:rPr>
        <w:t>. Przekazanie informacji, czy władze polskie podjęły lub zamierzają podjąć takie kroki, byłoby wskazanym sygnałem świadczącym o ich determinacji w pełnym wykonaniu tego wyroku.</w:t>
      </w:r>
    </w:p>
    <w:p w:rsidR="00221AE5" w:rsidRPr="00987EB2" w:rsidRDefault="00987EB2" w:rsidP="00987EB2">
      <w:pPr>
        <w:spacing w:before="120" w:after="0" w:line="240" w:lineRule="auto"/>
        <w:jc w:val="both"/>
        <w:rPr>
          <w:b/>
          <w:sz w:val="24"/>
          <w:szCs w:val="24"/>
        </w:rPr>
      </w:pPr>
      <w:r w:rsidRPr="00987EB2">
        <w:rPr>
          <w:b/>
          <w:sz w:val="24"/>
          <w:szCs w:val="24"/>
        </w:rPr>
        <w:t xml:space="preserve">(II) </w:t>
      </w:r>
      <w:r w:rsidR="00221AE5" w:rsidRPr="00987EB2">
        <w:rPr>
          <w:b/>
          <w:sz w:val="24"/>
          <w:szCs w:val="24"/>
        </w:rPr>
        <w:t>Polska powinna w dalszym ciągu dążyć do uzyskania gwarancji dotyczących kary śmierci i rażącego naruszenia prawa do sądu</w:t>
      </w:r>
    </w:p>
    <w:p w:rsidR="00221AE5" w:rsidRPr="00221AE5" w:rsidRDefault="00221AE5" w:rsidP="00987EB2">
      <w:pPr>
        <w:spacing w:before="120" w:after="0" w:line="240" w:lineRule="auto"/>
        <w:jc w:val="both"/>
        <w:rPr>
          <w:sz w:val="24"/>
          <w:szCs w:val="24"/>
        </w:rPr>
      </w:pPr>
      <w:r w:rsidRPr="00221AE5">
        <w:rPr>
          <w:sz w:val="24"/>
          <w:szCs w:val="24"/>
        </w:rPr>
        <w:t>Niezwykle ważne jest, aby Polska w dalszym ciągu zabiegała i uzyskała dyplomatyczne gwarancje w związku z grożącym panu Al Nashiriemu naruszeniem prawa do sądu i karą śmierci</w:t>
      </w:r>
      <w:r w:rsidR="00B4606C">
        <w:rPr>
          <w:rStyle w:val="Odwoanieprzypisudolnego"/>
          <w:sz w:val="24"/>
          <w:szCs w:val="24"/>
        </w:rPr>
        <w:footnoteReference w:id="211"/>
      </w:r>
      <w:r w:rsidRPr="00221AE5">
        <w:rPr>
          <w:sz w:val="24"/>
          <w:szCs w:val="24"/>
        </w:rPr>
        <w:t>.</w:t>
      </w:r>
    </w:p>
    <w:p w:rsidR="00221AE5" w:rsidRPr="00221AE5" w:rsidRDefault="00221AE5" w:rsidP="00987EB2">
      <w:pPr>
        <w:spacing w:before="120" w:after="0" w:line="240" w:lineRule="auto"/>
        <w:jc w:val="both"/>
        <w:rPr>
          <w:sz w:val="24"/>
          <w:szCs w:val="24"/>
        </w:rPr>
      </w:pPr>
      <w:r w:rsidRPr="00221AE5">
        <w:rPr>
          <w:sz w:val="24"/>
          <w:szCs w:val="24"/>
        </w:rPr>
        <w:t>W wyroku Trybunału z 2014 r. wyraźnie stwierdzono, że bardzo aktywny i świadomy udział państwa członkowskiego w wydawaniu w trybie nadzwyczajnym i tajnym przetrzymywaniu jest niezgodny z ich zobowiązaniami wynikającymi z Europejskiej Konwencji Praw Człowieka, a państwa powinny ponosić odpowiedzialność za konsekwencje swoich niewłaściwych działań. Trybunał zauważył, że „spełnienie przez Państwo obowiązków określonych w art. 2 i 3 Konwencji w związku z art. 1 Protokołu nr 6 do Konwencji wymaga od rządu [polskiego] podjęcia starań w celu zniwelowania tego ryzyka tak szybko jak to możliwe poprzez uzyskanie od władz USA gwarancji, że skarżący nie zostanie poddany karze śmierci”</w:t>
      </w:r>
      <w:r w:rsidR="00800691">
        <w:rPr>
          <w:rStyle w:val="Odwoanieprzypisudolnego"/>
          <w:sz w:val="24"/>
          <w:szCs w:val="24"/>
        </w:rPr>
        <w:footnoteReference w:id="212"/>
      </w:r>
      <w:r w:rsidRPr="00221AE5">
        <w:rPr>
          <w:sz w:val="24"/>
          <w:szCs w:val="24"/>
        </w:rPr>
        <w:t xml:space="preserve">. </w:t>
      </w:r>
    </w:p>
    <w:p w:rsidR="00221AE5" w:rsidRPr="00221AE5" w:rsidRDefault="00221AE5" w:rsidP="00987EB2">
      <w:pPr>
        <w:spacing w:before="120" w:after="0" w:line="240" w:lineRule="auto"/>
        <w:jc w:val="both"/>
        <w:rPr>
          <w:sz w:val="24"/>
          <w:szCs w:val="24"/>
        </w:rPr>
      </w:pPr>
      <w:r w:rsidRPr="00221AE5">
        <w:rPr>
          <w:sz w:val="24"/>
          <w:szCs w:val="24"/>
        </w:rPr>
        <w:t>W zaktualizowanym planie działań z lutego 2020 r. stwierdzono, że władze polskie przygotowały notę dyplomatyczną, która ma zostać przekazana Ambasadzie USA w Warszawie. Organizacja Open Society Justice Initiative domaga się, aby cała korespondencja prowadzona pomiędzy polskimi i amerykańskimi władzami w związku z karą śmierci i rażącym naruszeniem prawa do sądu została ujawniona przynajmniej pełnomocnikowi pana Al Nashiriego.</w:t>
      </w:r>
    </w:p>
    <w:p w:rsidR="00221AE5" w:rsidRPr="00987EB2" w:rsidRDefault="00987EB2" w:rsidP="00987EB2">
      <w:pPr>
        <w:spacing w:before="120" w:after="0" w:line="240" w:lineRule="auto"/>
        <w:jc w:val="both"/>
        <w:rPr>
          <w:b/>
          <w:sz w:val="24"/>
          <w:szCs w:val="24"/>
        </w:rPr>
      </w:pPr>
      <w:r w:rsidRPr="00987EB2">
        <w:rPr>
          <w:b/>
          <w:sz w:val="24"/>
          <w:szCs w:val="24"/>
        </w:rPr>
        <w:t xml:space="preserve">(III) </w:t>
      </w:r>
      <w:r w:rsidR="00221AE5" w:rsidRPr="00987EB2">
        <w:rPr>
          <w:b/>
          <w:sz w:val="24"/>
          <w:szCs w:val="24"/>
        </w:rPr>
        <w:t>Polska powinna wzmocnić nadzór nad służbami wywiadowczymi</w:t>
      </w:r>
    </w:p>
    <w:p w:rsidR="00221AE5" w:rsidRPr="00221AE5" w:rsidRDefault="00221AE5" w:rsidP="00987EB2">
      <w:pPr>
        <w:spacing w:before="120" w:after="0" w:line="240" w:lineRule="auto"/>
        <w:jc w:val="both"/>
        <w:rPr>
          <w:sz w:val="24"/>
          <w:szCs w:val="24"/>
        </w:rPr>
      </w:pPr>
      <w:r w:rsidRPr="00221AE5">
        <w:rPr>
          <w:sz w:val="24"/>
          <w:szCs w:val="24"/>
        </w:rPr>
        <w:t>Jak już wcześniej stwierdził Komitet Ministrów, aby uniknąć podobnych nadużyć i poważnych naruszeń praw człowieka w przyszłości, konieczne jest podjęcie realnych wysiłków w celu ustalenia prawdy w zakresie tego, c</w:t>
      </w:r>
      <w:r w:rsidR="00800691">
        <w:rPr>
          <w:sz w:val="24"/>
          <w:szCs w:val="24"/>
        </w:rPr>
        <w:t>o się wydarzyło i w jaki sposób</w:t>
      </w:r>
      <w:r w:rsidR="00800691">
        <w:rPr>
          <w:rStyle w:val="Odwoanieprzypisudolnego"/>
          <w:sz w:val="24"/>
          <w:szCs w:val="24"/>
        </w:rPr>
        <w:footnoteReference w:id="213"/>
      </w:r>
      <w:r w:rsidRPr="00221AE5">
        <w:rPr>
          <w:sz w:val="24"/>
          <w:szCs w:val="24"/>
        </w:rPr>
        <w:t>.</w:t>
      </w:r>
    </w:p>
    <w:p w:rsidR="00221AE5" w:rsidRPr="00221AE5" w:rsidRDefault="00221AE5" w:rsidP="00987EB2">
      <w:pPr>
        <w:spacing w:before="120" w:after="0" w:line="240" w:lineRule="auto"/>
        <w:jc w:val="both"/>
        <w:rPr>
          <w:sz w:val="24"/>
          <w:szCs w:val="24"/>
        </w:rPr>
      </w:pPr>
      <w:r w:rsidRPr="00221AE5">
        <w:rPr>
          <w:sz w:val="24"/>
          <w:szCs w:val="24"/>
        </w:rPr>
        <w:t>Trybunał uznał, że Polska ponosi odpowiedzialność za naruszenia praw człowieka, któ</w:t>
      </w:r>
      <w:r w:rsidR="00800691">
        <w:rPr>
          <w:sz w:val="24"/>
          <w:szCs w:val="24"/>
        </w:rPr>
        <w:t>rych ofiarą padł pan Al Nashiri</w:t>
      </w:r>
      <w:r w:rsidR="00800691">
        <w:rPr>
          <w:rStyle w:val="Odwoanieprzypisudolnego"/>
          <w:sz w:val="24"/>
          <w:szCs w:val="24"/>
        </w:rPr>
        <w:footnoteReference w:id="214"/>
      </w:r>
      <w:r w:rsidRPr="00221AE5">
        <w:rPr>
          <w:sz w:val="24"/>
          <w:szCs w:val="24"/>
        </w:rPr>
        <w:t xml:space="preserve">. Polskie władze najwyższego szczebla powinny skierować do służb wywiadowczych i bezpieczeństwa oficjalne oświadczenie wyrażające brak tolerancji dla polskiego współudziału w tajnym przetrzymywaniu, torturach i wydawaniu w trybie nadzwyczajnym. Dotychczas polskie władze, wbrew zaleceniom Komitetu Ministrów, uchylały się od wydania takiego oświadczenia. Polskie władze odmówiły również podjęcia kroków zmierzających do uznania udziału i odpowiedzialności Polski za naruszenia praw człowieka będące przedmiotem omawianej sprawy. W swoim ostatnim planie działań z lutego 2020 r. polskie władze ponownie milczą na temat planów uznania takiej odpowiedzialności </w:t>
      </w:r>
      <w:r w:rsidR="00800691">
        <w:rPr>
          <w:rStyle w:val="Odwoanieprzypisudolnego"/>
          <w:sz w:val="24"/>
          <w:szCs w:val="24"/>
        </w:rPr>
        <w:footnoteReference w:id="215"/>
      </w:r>
      <w:r w:rsidRPr="00221AE5">
        <w:rPr>
          <w:sz w:val="24"/>
          <w:szCs w:val="24"/>
        </w:rPr>
        <w:t>.</w:t>
      </w:r>
    </w:p>
    <w:p w:rsidR="00221AE5" w:rsidRPr="00221AE5" w:rsidRDefault="00221AE5" w:rsidP="00987EB2">
      <w:pPr>
        <w:spacing w:before="120" w:after="0" w:line="240" w:lineRule="auto"/>
        <w:jc w:val="both"/>
        <w:rPr>
          <w:sz w:val="24"/>
          <w:szCs w:val="24"/>
        </w:rPr>
      </w:pPr>
      <w:r w:rsidRPr="00221AE5">
        <w:rPr>
          <w:sz w:val="24"/>
          <w:szCs w:val="24"/>
        </w:rPr>
        <w:lastRenderedPageBreak/>
        <w:t>Organizacja Open Society Justice Initiative podziela skierowane do polskich władz zalecenie Komitetu Ministrów, aby uznały udział i odpowiedzialność Polski w omawianej sprawie. Władze powinny również podjąć wzmożone działania w celu wzmocnienia nadzoru nad służbami wywiadowczymi i bezpieczeństwa. W swoim planie działań z czerwca 2018 r. polskie władze „dostrzegły pewne niedostatki w funkcjonowaniu systemu nadzoru nad służbami specjalnymi i pragną w niedalekiej przyszłości (prawdopodobnie w ciągu roku) wprowadzić poprawki do tego systemu”.</w:t>
      </w:r>
      <w:r w:rsidR="00800691">
        <w:rPr>
          <w:rStyle w:val="Odwoanieprzypisudolnego"/>
          <w:sz w:val="24"/>
          <w:szCs w:val="24"/>
        </w:rPr>
        <w:footnoteReference w:id="216"/>
      </w:r>
      <w:r w:rsidRPr="00221AE5">
        <w:rPr>
          <w:sz w:val="24"/>
          <w:szCs w:val="24"/>
        </w:rPr>
        <w:t xml:space="preserve"> Chociaż Komitet Ministrów zwrócił się m.in. o przekazanie konkretnych informacji na temat tych zmian do dnia 1 grudnia 2019 r., to informacje te nie zostały przekazane. Chociaż władze zobowiązały się w kwietniu 2019 r. do informowania Komitetu Ministrów o wdrażaniu środków o charakterze ogólnym</w:t>
      </w:r>
      <w:r w:rsidR="00800691">
        <w:rPr>
          <w:rStyle w:val="Odwoanieprzypisudolnego"/>
          <w:sz w:val="24"/>
          <w:szCs w:val="24"/>
        </w:rPr>
        <w:footnoteReference w:id="217"/>
      </w:r>
      <w:r w:rsidRPr="00221AE5">
        <w:rPr>
          <w:sz w:val="24"/>
          <w:szCs w:val="24"/>
        </w:rPr>
        <w:t>, do tej pory nie przekazały one Komitetowi wyników kontroli, które zostały zlecone przez koordynatora służb specjalnych w 2015 r.</w:t>
      </w:r>
    </w:p>
    <w:p w:rsidR="00221AE5" w:rsidRPr="00221AE5" w:rsidRDefault="00221AE5" w:rsidP="00987EB2">
      <w:pPr>
        <w:spacing w:before="120" w:after="0" w:line="240" w:lineRule="auto"/>
        <w:jc w:val="both"/>
        <w:rPr>
          <w:sz w:val="24"/>
          <w:szCs w:val="24"/>
        </w:rPr>
      </w:pPr>
      <w:r w:rsidRPr="00221AE5">
        <w:rPr>
          <w:sz w:val="24"/>
          <w:szCs w:val="24"/>
        </w:rPr>
        <w:t>Polskie służby wywiadowcze nadal uzyskują coraz szersze uprawnienia w zakresie inwigilacji bez jakiegokolwiek kompleksowego, niezależnego nadzoru nad ich wykorzystaniem. W raporcie „Osiodłać Pegaza” opublikowanym przez Biuro Rzecznika Praw Obywatelskich we wrześniu 2019 r. stwierdzono konieczność powołania specjalnego, niezależnego organu, który sprawowałby nadzór nad działalnością wszystkich służb specjalnych i miałby możliwość rozpatrywania indywidualnych skarg dotycz</w:t>
      </w:r>
      <w:r w:rsidR="00800691">
        <w:rPr>
          <w:sz w:val="24"/>
          <w:szCs w:val="24"/>
        </w:rPr>
        <w:t>ących funkcjonowania tych służb</w:t>
      </w:r>
      <w:r w:rsidR="00800691">
        <w:rPr>
          <w:rStyle w:val="Odwoanieprzypisudolnego"/>
          <w:sz w:val="24"/>
          <w:szCs w:val="24"/>
        </w:rPr>
        <w:footnoteReference w:id="218"/>
      </w:r>
      <w:r w:rsidRPr="00221AE5">
        <w:rPr>
          <w:sz w:val="24"/>
          <w:szCs w:val="24"/>
        </w:rPr>
        <w:t>. Brak informacji ze strony polskiego rządu na temat kroków podjętych w celu wzmocnienia nadzoru nad służbami wywiadowczymi świadczy o tym, że nie zostały one podjęte.</w:t>
      </w:r>
    </w:p>
    <w:p w:rsidR="00221AE5" w:rsidRPr="00221AE5" w:rsidRDefault="00221AE5" w:rsidP="00987EB2">
      <w:pPr>
        <w:spacing w:before="120" w:after="0" w:line="240" w:lineRule="auto"/>
        <w:jc w:val="both"/>
        <w:rPr>
          <w:sz w:val="24"/>
          <w:szCs w:val="24"/>
        </w:rPr>
      </w:pPr>
      <w:r w:rsidRPr="00221AE5">
        <w:rPr>
          <w:sz w:val="24"/>
          <w:szCs w:val="24"/>
        </w:rPr>
        <w:t>Organizacja Open Society Justice Initiative wyraża ubolewanie, że od czasu przedstawienia przez polskie władze planu działania z 2018 r. nie przedstawiono żadnych informacji co do reform legislacyjnych, które wzmocnią nadzór nad służbami wywiadowczymi i bezpieczeństwa, co świadczy o braku poważnego potraktowania zobowiązania do podjęcia szybkich i kompleksowych działań w tym zakresie.</w:t>
      </w:r>
    </w:p>
    <w:p w:rsidR="00221AE5" w:rsidRPr="00987EB2" w:rsidRDefault="00221AE5" w:rsidP="00987EB2">
      <w:pPr>
        <w:spacing w:before="120" w:after="0" w:line="240" w:lineRule="auto"/>
        <w:jc w:val="both"/>
        <w:rPr>
          <w:b/>
          <w:sz w:val="24"/>
          <w:szCs w:val="24"/>
        </w:rPr>
      </w:pPr>
      <w:r w:rsidRPr="00987EB2">
        <w:rPr>
          <w:b/>
          <w:sz w:val="24"/>
          <w:szCs w:val="24"/>
        </w:rPr>
        <w:t>Wnioski</w:t>
      </w:r>
    </w:p>
    <w:p w:rsidR="00221AE5" w:rsidRPr="00221AE5" w:rsidRDefault="00221AE5" w:rsidP="00987EB2">
      <w:pPr>
        <w:spacing w:before="120" w:after="0" w:line="240" w:lineRule="auto"/>
        <w:jc w:val="both"/>
        <w:rPr>
          <w:sz w:val="24"/>
          <w:szCs w:val="24"/>
        </w:rPr>
      </w:pPr>
      <w:r w:rsidRPr="00221AE5">
        <w:rPr>
          <w:sz w:val="24"/>
          <w:szCs w:val="24"/>
        </w:rPr>
        <w:t>Polska nie wykonała wyroku Trybunału w zakresie środków indywidualnych i generalnych. Ponadto polskie władze wielokrotnie nie przedstawiały zaktualizowanych informacji dotyczących znaczącego, realnego postępu w zakresie wykonania wyroku, pomimo wielokrotnych wezwań do udzielenia informacji, jakie Komitet wystosował w ciągu ostatnich 24 miesięcy.</w:t>
      </w:r>
    </w:p>
    <w:p w:rsidR="00221AE5" w:rsidRPr="00221AE5" w:rsidRDefault="00221AE5" w:rsidP="00987EB2">
      <w:pPr>
        <w:spacing w:before="120" w:after="0" w:line="240" w:lineRule="auto"/>
        <w:jc w:val="both"/>
        <w:rPr>
          <w:sz w:val="24"/>
          <w:szCs w:val="24"/>
        </w:rPr>
      </w:pPr>
      <w:r w:rsidRPr="00221AE5">
        <w:rPr>
          <w:sz w:val="24"/>
          <w:szCs w:val="24"/>
        </w:rPr>
        <w:t>W związku z tym uchybieniem konieczne jest sprawowanie przez Komitetu Ministrów bieżącego nadzoru nad wykonaniem tego wyroku.</w:t>
      </w:r>
    </w:p>
    <w:p w:rsidR="00145764" w:rsidRPr="00221AE5" w:rsidRDefault="00221AE5" w:rsidP="00987EB2">
      <w:pPr>
        <w:spacing w:before="120" w:after="0" w:line="240" w:lineRule="auto"/>
        <w:jc w:val="both"/>
        <w:rPr>
          <w:sz w:val="24"/>
          <w:szCs w:val="24"/>
        </w:rPr>
      </w:pPr>
      <w:r w:rsidRPr="00221AE5">
        <w:rPr>
          <w:sz w:val="24"/>
          <w:szCs w:val="24"/>
        </w:rPr>
        <w:t>W świetle powyższego Organizacja Open Society Justice Initiative zwraca się do Komitetu Ministrów z uprzejmą prośbą o dalsze objęcie tej sprawy wzmożonym nadzorem i podtrzymuje zalecenia, które zawarła na wstępie niniejszego wystąpienia.</w:t>
      </w:r>
    </w:p>
    <w:p w:rsidR="00987EB2" w:rsidRDefault="00987EB2">
      <w:pPr>
        <w:rPr>
          <w:sz w:val="24"/>
          <w:szCs w:val="24"/>
          <w:u w:val="single"/>
        </w:rPr>
      </w:pPr>
    </w:p>
    <w:p w:rsidR="00CE0417" w:rsidRDefault="00145764">
      <w:pPr>
        <w:rPr>
          <w:sz w:val="24"/>
          <w:szCs w:val="24"/>
          <w:u w:val="single"/>
        </w:rPr>
      </w:pPr>
      <w:r>
        <w:rPr>
          <w:sz w:val="24"/>
          <w:szCs w:val="24"/>
          <w:u w:val="single"/>
        </w:rPr>
        <w:t>Odpowiedź rządu z dnia 20 lutego 2020 r.</w:t>
      </w:r>
    </w:p>
    <w:p w:rsidR="00E24A32" w:rsidRPr="00E24A32" w:rsidRDefault="00E24A32" w:rsidP="00E24A32">
      <w:pPr>
        <w:spacing w:after="120" w:line="240" w:lineRule="auto"/>
        <w:jc w:val="both"/>
        <w:rPr>
          <w:rFonts w:ascii="Calibri" w:eastAsia="Times New Roman" w:hAnsi="Calibri" w:cs="Times New Roman"/>
          <w:sz w:val="24"/>
          <w:szCs w:val="24"/>
          <w:lang w:eastAsia="pl-PL"/>
        </w:rPr>
      </w:pPr>
      <w:r w:rsidRPr="00E24A32">
        <w:rPr>
          <w:rFonts w:ascii="Calibri" w:eastAsia="Times New Roman" w:hAnsi="Calibri" w:cs="Times New Roman"/>
          <w:sz w:val="24"/>
          <w:szCs w:val="24"/>
          <w:lang w:eastAsia="pl-PL"/>
        </w:rPr>
        <w:t xml:space="preserve">W odpowiedzi na komunikację z dnia 12 lutego 2020 r. Open Society Justice Initiative dotyczącą wykonania wyroku Europejskiego Trybunału Praw Człowieka w sprawie </w:t>
      </w:r>
      <w:r w:rsidRPr="00E24A32">
        <w:rPr>
          <w:rFonts w:ascii="Calibri" w:eastAsia="Times New Roman" w:hAnsi="Calibri" w:cs="Times New Roman"/>
          <w:i/>
          <w:sz w:val="24"/>
          <w:szCs w:val="24"/>
          <w:lang w:eastAsia="pl-PL"/>
        </w:rPr>
        <w:t>Al Nashiri p. Polsce</w:t>
      </w:r>
      <w:r w:rsidRPr="00E24A32">
        <w:rPr>
          <w:rFonts w:ascii="Calibri" w:eastAsia="Times New Roman" w:hAnsi="Calibri" w:cs="Times New Roman"/>
          <w:sz w:val="24"/>
          <w:szCs w:val="24"/>
          <w:lang w:eastAsia="pl-PL"/>
        </w:rPr>
        <w:t>, rząd pragnie przedstawić następujące komentarze.</w:t>
      </w:r>
    </w:p>
    <w:p w:rsidR="00E24A32" w:rsidRPr="00E24A32" w:rsidRDefault="00E24A32" w:rsidP="00E24A32">
      <w:pPr>
        <w:spacing w:after="120" w:line="240" w:lineRule="auto"/>
        <w:jc w:val="both"/>
        <w:rPr>
          <w:rFonts w:ascii="Calibri" w:eastAsia="Times New Roman" w:hAnsi="Calibri" w:cs="Times New Roman"/>
          <w:sz w:val="24"/>
          <w:szCs w:val="24"/>
          <w:lang w:eastAsia="pl-PL"/>
        </w:rPr>
      </w:pPr>
      <w:r w:rsidRPr="00E24A32">
        <w:rPr>
          <w:rFonts w:ascii="Calibri" w:eastAsia="Times New Roman" w:hAnsi="Calibri" w:cs="Times New Roman"/>
          <w:sz w:val="24"/>
          <w:szCs w:val="24"/>
          <w:lang w:eastAsia="pl-PL"/>
        </w:rPr>
        <w:t>Po pierwsze, w odniesieniu do sprawy śledztwa krajowego i wykonania środków generalnych (reforma demokratycznego nadzoru nad służbami specjalnymi) rząd chciałby odwołać się do informacji przedstawionych w najnowszym planie działania z dnia 3 lutego 2020 r. (por. dokument DH-DD(2020)100).</w:t>
      </w:r>
    </w:p>
    <w:p w:rsidR="00E24A32" w:rsidRPr="00E24A32" w:rsidRDefault="00E24A32" w:rsidP="00E24A32">
      <w:pPr>
        <w:spacing w:after="120" w:line="240" w:lineRule="auto"/>
        <w:jc w:val="both"/>
        <w:rPr>
          <w:rFonts w:ascii="Calibri" w:eastAsia="Times New Roman" w:hAnsi="Calibri" w:cs="Times New Roman"/>
          <w:sz w:val="24"/>
          <w:szCs w:val="24"/>
          <w:lang w:eastAsia="pl-PL"/>
        </w:rPr>
      </w:pPr>
      <w:r w:rsidRPr="00E24A32">
        <w:rPr>
          <w:rFonts w:ascii="Calibri" w:eastAsia="Times New Roman" w:hAnsi="Calibri" w:cs="Times New Roman"/>
          <w:sz w:val="24"/>
          <w:szCs w:val="24"/>
          <w:lang w:eastAsia="pl-PL"/>
        </w:rPr>
        <w:t xml:space="preserve">PO drugie, w odniesieniu do rekomendacji Open Society Justice Initiative ujawnienia przynajmniej pełnomocnikom pana Mr Al Nashiri, korespondencji rządu z rządem Stanów Zjednoczonych dotyczącej wniosków o udzielenie gwarancji dyplomatycznych, że skarżący nie zostanie poddany karze śmierci i że nie będzie nadal poddawany rażącej odmowie sprawiedliwości, rząd pragnie powtórzyć, że te dokumenty stanowią korespondencję dyplomatyczną, która ze względu na swoją formę i treść objęta jest tajemnicą dyplomatyczną, zgodnie z Konwencją wiedeńska o stosunkach dyplomatycznych z 1961 r. </w:t>
      </w:r>
    </w:p>
    <w:p w:rsidR="00E24A32" w:rsidRPr="00E24A32" w:rsidRDefault="00E24A32" w:rsidP="00E24A32">
      <w:pPr>
        <w:spacing w:after="120" w:line="240" w:lineRule="auto"/>
        <w:jc w:val="both"/>
        <w:rPr>
          <w:rFonts w:ascii="Calibri" w:eastAsia="Times New Roman" w:hAnsi="Calibri" w:cs="Times New Roman"/>
          <w:bCs/>
          <w:sz w:val="24"/>
          <w:szCs w:val="24"/>
          <w:lang w:eastAsia="pl-PL"/>
        </w:rPr>
      </w:pPr>
      <w:r w:rsidRPr="00E24A32">
        <w:rPr>
          <w:rFonts w:ascii="Calibri" w:eastAsia="Times New Roman" w:hAnsi="Calibri" w:cs="Times New Roman"/>
          <w:sz w:val="24"/>
          <w:szCs w:val="24"/>
          <w:lang w:eastAsia="pl-PL"/>
        </w:rPr>
        <w:t xml:space="preserve">Należy również zauważyć, że kwestia publicznego ujawnienia not dyplomatycznych przekazywanych przez rząd RP rządowi USA w ramach realizacji obowiązku uzyskania gwarancji dyplomatycznych dla, m.in. pana Al Nashiri, jest przedmiotem dwóch toczących się postępowań przed sądami administracyjnymi w Polsce. Postępowania wszczęte w wyniku odwołań wniesionych przez obywateli polskich od decyzji Ministerstwa Spraw Zagranicznych o odrzuceniu ich wniosków o udostępnienie informacji publicznej (ujawnienie korespondencji dyplomatycznej dotyczącej wniosków rządu o zapewnienie gwarancji dyplomatycznych dla skarżących) w związku z objęciem ich tajemnicą dyplomatyczną zgodnie z prawem międzynarodowym i praktyką, toczą się nadal przed sądem administracyjnym w Warszawie, chociaż w jednej z tych spraw sąd krajowy oddalił już odwołanie od decyzji MSZ (wyrok nie jest prawomocny). Sąd zapoznał się również z notami dyplomatycznymi, o których mowa w drugiej sprawie. </w:t>
      </w:r>
    </w:p>
    <w:p w:rsidR="00E24A32" w:rsidRPr="00E24A32" w:rsidRDefault="00E24A32" w:rsidP="00E24A32">
      <w:pPr>
        <w:spacing w:after="120" w:line="240" w:lineRule="auto"/>
        <w:jc w:val="both"/>
        <w:rPr>
          <w:rFonts w:ascii="Calibri" w:eastAsia="Times New Roman" w:hAnsi="Calibri" w:cs="Times New Roman"/>
          <w:bCs/>
          <w:sz w:val="24"/>
          <w:szCs w:val="24"/>
          <w:lang w:eastAsia="pl-PL"/>
        </w:rPr>
      </w:pPr>
      <w:r w:rsidRPr="00E24A32">
        <w:rPr>
          <w:rFonts w:ascii="Calibri" w:eastAsia="Times New Roman" w:hAnsi="Calibri" w:cs="Times New Roman"/>
          <w:bCs/>
          <w:sz w:val="24"/>
          <w:szCs w:val="24"/>
          <w:lang w:eastAsia="pl-PL"/>
        </w:rPr>
        <w:t xml:space="preserve">Równocześnie rząd pragnie podkreślić, że we wszelkiej korespondencji kierowanej do rządu USA z prośbą o udzielenie gwarancji dyplomatycznych dla, m.in., pana Al Nashiri, powołano się na zobowiązania rządu wynikające z art. 46 Konwencji o prawach człowieka i podstawowych wolności, przedstawiono kontekst wykonywania orzeczeń Europejskiego Trybunału Praw Człowieka, wyraźne odniesienie do decyzji Komitetu Ministrów przyjętych w grupie spraw </w:t>
      </w:r>
      <w:r w:rsidRPr="00E24A32">
        <w:rPr>
          <w:rFonts w:ascii="Calibri" w:eastAsia="Times New Roman" w:hAnsi="Calibri" w:cs="Times New Roman"/>
          <w:bCs/>
          <w:i/>
          <w:sz w:val="24"/>
          <w:szCs w:val="24"/>
          <w:lang w:eastAsia="pl-PL"/>
        </w:rPr>
        <w:t>Al Nashiri p. Polsce</w:t>
      </w:r>
      <w:r w:rsidRPr="00E24A32">
        <w:rPr>
          <w:rFonts w:ascii="Calibri" w:eastAsia="Times New Roman" w:hAnsi="Calibri" w:cs="Times New Roman"/>
          <w:bCs/>
          <w:sz w:val="24"/>
          <w:szCs w:val="24"/>
          <w:lang w:eastAsia="pl-PL"/>
        </w:rPr>
        <w:t xml:space="preserve"> a wszystkie poprzednie wnioski zostały przywołane. Bardziej szczegółowe informacje na temat treści każdego wniosku zostały przekazane przez rząd RP w poprzednich planach działania i innych komunika</w:t>
      </w:r>
      <w:r w:rsidR="008E6740">
        <w:rPr>
          <w:rFonts w:ascii="Calibri" w:eastAsia="Times New Roman" w:hAnsi="Calibri" w:cs="Times New Roman"/>
          <w:bCs/>
          <w:sz w:val="24"/>
          <w:szCs w:val="24"/>
          <w:lang w:eastAsia="pl-PL"/>
        </w:rPr>
        <w:t>cjach</w:t>
      </w:r>
      <w:r w:rsidRPr="00E24A32">
        <w:rPr>
          <w:rFonts w:ascii="Calibri" w:eastAsia="Times New Roman" w:hAnsi="Calibri" w:cs="Times New Roman"/>
          <w:bCs/>
          <w:sz w:val="24"/>
          <w:szCs w:val="24"/>
          <w:lang w:eastAsia="pl-PL"/>
        </w:rPr>
        <w:t xml:space="preserve"> dotyczących pilnych środków indywidualnych, przekazanych Komitetowi Ministrów i dostępnych na stronie internetowej Hudoc-Exec.</w:t>
      </w:r>
    </w:p>
    <w:p w:rsidR="00934105" w:rsidRPr="005703C3" w:rsidRDefault="00934105">
      <w:pPr>
        <w:rPr>
          <w:sz w:val="24"/>
          <w:szCs w:val="24"/>
          <w:u w:val="single"/>
        </w:rPr>
      </w:pPr>
    </w:p>
    <w:p w:rsidR="006B2CF8" w:rsidRPr="00145764" w:rsidRDefault="006B2CF8" w:rsidP="00367DB0">
      <w:pPr>
        <w:pStyle w:val="Nagwek1"/>
        <w:jc w:val="both"/>
        <w:rPr>
          <w:rFonts w:asciiTheme="minorHAnsi" w:hAnsiTheme="minorHAnsi"/>
          <w:sz w:val="28"/>
          <w:szCs w:val="28"/>
        </w:rPr>
      </w:pPr>
      <w:bookmarkStart w:id="18" w:name="_Toc69124153"/>
      <w:r w:rsidRPr="00145764">
        <w:rPr>
          <w:rFonts w:asciiTheme="minorHAnsi" w:hAnsiTheme="minorHAnsi"/>
          <w:sz w:val="28"/>
          <w:szCs w:val="28"/>
        </w:rPr>
        <w:lastRenderedPageBreak/>
        <w:t xml:space="preserve">Komunikacja Helsińskiej Fundacji Praw Człowieka w sprawie wykonania wyroku Europejskiego Trybunału Praw Człowieka </w:t>
      </w:r>
      <w:r w:rsidRPr="00145764">
        <w:rPr>
          <w:rFonts w:asciiTheme="minorHAnsi" w:hAnsiTheme="minorHAnsi"/>
          <w:i/>
          <w:sz w:val="28"/>
          <w:szCs w:val="28"/>
        </w:rPr>
        <w:t>Bednarz p. Polsce</w:t>
      </w:r>
      <w:r w:rsidRPr="00145764">
        <w:rPr>
          <w:rFonts w:asciiTheme="minorHAnsi" w:hAnsiTheme="minorHAnsi"/>
          <w:sz w:val="28"/>
          <w:szCs w:val="28"/>
        </w:rPr>
        <w:t xml:space="preserve"> z dnia 20 lutego 2020 r.</w:t>
      </w:r>
      <w:bookmarkEnd w:id="18"/>
      <w:r w:rsidRPr="00145764">
        <w:rPr>
          <w:rFonts w:asciiTheme="minorHAnsi" w:hAnsiTheme="minorHAnsi"/>
          <w:sz w:val="28"/>
          <w:szCs w:val="28"/>
        </w:rPr>
        <w:t xml:space="preserve">   </w:t>
      </w:r>
    </w:p>
    <w:p w:rsidR="006B2CF8" w:rsidRDefault="006B2CF8" w:rsidP="006B2CF8"/>
    <w:p w:rsidR="006B2CF8" w:rsidRPr="00A447FA" w:rsidRDefault="006B2CF8" w:rsidP="00953037">
      <w:pPr>
        <w:spacing w:before="120" w:after="0" w:line="240" w:lineRule="auto"/>
        <w:rPr>
          <w:sz w:val="24"/>
          <w:szCs w:val="24"/>
          <w:u w:val="single"/>
        </w:rPr>
      </w:pPr>
      <w:r w:rsidRPr="00A447FA">
        <w:rPr>
          <w:sz w:val="24"/>
          <w:szCs w:val="24"/>
          <w:u w:val="single"/>
        </w:rPr>
        <w:t>Treść komunikacji</w:t>
      </w:r>
    </w:p>
    <w:p w:rsidR="006B2CF8" w:rsidRPr="006B2CF8" w:rsidRDefault="006B2CF8" w:rsidP="00953037">
      <w:pPr>
        <w:spacing w:before="120" w:after="0" w:line="240" w:lineRule="auto"/>
        <w:rPr>
          <w:rFonts w:eastAsia="Times New Roman" w:cs="Times New Roman"/>
          <w:b/>
          <w:bCs/>
          <w:sz w:val="24"/>
          <w:szCs w:val="24"/>
        </w:rPr>
      </w:pPr>
      <w:bookmarkStart w:id="19" w:name="bookmark9"/>
      <w:bookmarkStart w:id="20" w:name="bookmark11"/>
      <w:bookmarkStart w:id="21" w:name="bookmark10"/>
      <w:r w:rsidRPr="006B2CF8">
        <w:rPr>
          <w:rFonts w:eastAsia="Times New Roman" w:cs="Times New Roman"/>
          <w:b/>
          <w:bCs/>
          <w:sz w:val="24"/>
          <w:szCs w:val="24"/>
        </w:rPr>
        <w:t>Streszczenie</w:t>
      </w:r>
      <w:bookmarkEnd w:id="19"/>
      <w:bookmarkEnd w:id="20"/>
      <w:bookmarkEnd w:id="21"/>
    </w:p>
    <w:p w:rsidR="006B2CF8" w:rsidRPr="006B2CF8" w:rsidRDefault="006B2CF8" w:rsidP="00953037">
      <w:pPr>
        <w:widowControl w:val="0"/>
        <w:numPr>
          <w:ilvl w:val="0"/>
          <w:numId w:val="1"/>
        </w:numPr>
        <w:tabs>
          <w:tab w:val="left" w:pos="675"/>
        </w:tabs>
        <w:spacing w:before="120" w:after="0" w:line="240" w:lineRule="auto"/>
        <w:ind w:left="640" w:right="118" w:hanging="320"/>
        <w:jc w:val="both"/>
        <w:rPr>
          <w:rFonts w:eastAsia="Times New Roman" w:cs="Times New Roman"/>
          <w:sz w:val="24"/>
          <w:szCs w:val="24"/>
        </w:rPr>
      </w:pPr>
      <w:bookmarkStart w:id="22" w:name="bookmark12"/>
      <w:bookmarkEnd w:id="22"/>
      <w:r w:rsidRPr="006B2CF8">
        <w:rPr>
          <w:rFonts w:eastAsia="Times New Roman" w:cs="Times New Roman"/>
          <w:sz w:val="24"/>
          <w:szCs w:val="24"/>
        </w:rPr>
        <w:t xml:space="preserve">W dniu 13 czerwca 2019 r. Europejski Trybunał Praw Człowieka wydał wyrok w sprawie </w:t>
      </w:r>
      <w:r w:rsidRPr="006B2CF8">
        <w:rPr>
          <w:rFonts w:eastAsia="Times New Roman" w:cs="Times New Roman"/>
          <w:i/>
          <w:iCs/>
          <w:sz w:val="24"/>
          <w:szCs w:val="24"/>
        </w:rPr>
        <w:t>Bednarz p</w:t>
      </w:r>
      <w:r w:rsidR="00BE52C6">
        <w:rPr>
          <w:rFonts w:eastAsia="Times New Roman" w:cs="Times New Roman"/>
          <w:i/>
          <w:iCs/>
          <w:sz w:val="24"/>
          <w:szCs w:val="24"/>
        </w:rPr>
        <w:t>.</w:t>
      </w:r>
      <w:r w:rsidRPr="006B2CF8">
        <w:rPr>
          <w:rFonts w:eastAsia="Times New Roman" w:cs="Times New Roman"/>
          <w:i/>
          <w:iCs/>
          <w:sz w:val="24"/>
          <w:szCs w:val="24"/>
        </w:rPr>
        <w:t xml:space="preserve"> Polsce</w:t>
      </w:r>
      <w:r w:rsidRPr="006B2CF8">
        <w:rPr>
          <w:rFonts w:eastAsia="Times New Roman" w:cs="Times New Roman"/>
          <w:sz w:val="24"/>
          <w:szCs w:val="24"/>
        </w:rPr>
        <w:t>, w którym stwierdził naruszenie art. 3 EKPC w jego aspekcie proceduralnym.</w:t>
      </w:r>
    </w:p>
    <w:p w:rsidR="006B2CF8" w:rsidRPr="006B2CF8" w:rsidRDefault="006B2CF8" w:rsidP="00953037">
      <w:pPr>
        <w:widowControl w:val="0"/>
        <w:numPr>
          <w:ilvl w:val="0"/>
          <w:numId w:val="1"/>
        </w:numPr>
        <w:tabs>
          <w:tab w:val="left" w:pos="675"/>
        </w:tabs>
        <w:spacing w:before="120" w:after="0" w:line="240" w:lineRule="auto"/>
        <w:ind w:left="640" w:right="118" w:hanging="320"/>
        <w:jc w:val="both"/>
        <w:rPr>
          <w:rFonts w:eastAsia="Times New Roman" w:cs="Times New Roman"/>
          <w:sz w:val="24"/>
          <w:szCs w:val="24"/>
        </w:rPr>
      </w:pPr>
      <w:bookmarkStart w:id="23" w:name="bookmark13"/>
      <w:bookmarkEnd w:id="23"/>
      <w:r w:rsidRPr="006B2CF8">
        <w:rPr>
          <w:rFonts w:eastAsia="Times New Roman" w:cs="Times New Roman"/>
          <w:sz w:val="24"/>
          <w:szCs w:val="24"/>
        </w:rPr>
        <w:t>W raporcie z działań z dnia 9 stycznia 2020 r. stwierdzono, że „rząd jest zdania (...), że środki o charakterze generalnym (...) są wystarczające, aby stwierdzić, że Polska wywiązała się ze swoich zobowiązań wynikających z art. 46 § 1 Konwencji”.</w:t>
      </w:r>
    </w:p>
    <w:p w:rsidR="006B2CF8" w:rsidRPr="006B2CF8" w:rsidRDefault="006B2CF8" w:rsidP="00953037">
      <w:pPr>
        <w:widowControl w:val="0"/>
        <w:numPr>
          <w:ilvl w:val="0"/>
          <w:numId w:val="1"/>
        </w:numPr>
        <w:tabs>
          <w:tab w:val="left" w:pos="675"/>
        </w:tabs>
        <w:spacing w:before="120" w:after="0" w:line="240" w:lineRule="auto"/>
        <w:ind w:left="640" w:hanging="320"/>
        <w:jc w:val="both"/>
        <w:rPr>
          <w:rFonts w:eastAsia="Times New Roman" w:cs="Times New Roman"/>
          <w:sz w:val="24"/>
          <w:szCs w:val="24"/>
        </w:rPr>
      </w:pPr>
      <w:bookmarkStart w:id="24" w:name="bookmark14"/>
      <w:bookmarkEnd w:id="24"/>
      <w:r w:rsidRPr="006B2CF8">
        <w:rPr>
          <w:rFonts w:eastAsia="Times New Roman" w:cs="Times New Roman"/>
          <w:sz w:val="24"/>
          <w:szCs w:val="24"/>
        </w:rPr>
        <w:t xml:space="preserve">W dniu 7 czerwca 2016 r. Komitet Ministrów Rady Europy przyjął rezolucję CM/ResDH(2016)148 dotyczącą zamknięcia kwestii wykonania wyroków z grupy </w:t>
      </w:r>
      <w:r w:rsidRPr="006B2CF8">
        <w:rPr>
          <w:rFonts w:eastAsia="Times New Roman" w:cs="Times New Roman"/>
          <w:i/>
          <w:iCs/>
          <w:sz w:val="24"/>
          <w:szCs w:val="24"/>
        </w:rPr>
        <w:t>Dzwonkowski</w:t>
      </w:r>
      <w:r w:rsidRPr="006B2CF8">
        <w:rPr>
          <w:rFonts w:eastAsia="Times New Roman" w:cs="Times New Roman"/>
          <w:sz w:val="24"/>
          <w:szCs w:val="24"/>
        </w:rPr>
        <w:t>. Jednakże od czasu wydania tej rezolucji przeprowadzono badania i wydano rekomendacje, które rzutują na ocenę wykonania wyroków ETPCz dotyczących nieludzkiego i poniżającego traktowania na poziomie generalnym.</w:t>
      </w:r>
    </w:p>
    <w:p w:rsidR="006B2CF8" w:rsidRPr="006B2CF8" w:rsidRDefault="006B2CF8" w:rsidP="00953037">
      <w:pPr>
        <w:widowControl w:val="0"/>
        <w:numPr>
          <w:ilvl w:val="0"/>
          <w:numId w:val="1"/>
        </w:numPr>
        <w:tabs>
          <w:tab w:val="left" w:pos="675"/>
        </w:tabs>
        <w:spacing w:before="120" w:after="0" w:line="240" w:lineRule="auto"/>
        <w:ind w:left="640" w:hanging="320"/>
        <w:jc w:val="both"/>
        <w:rPr>
          <w:rFonts w:eastAsia="Times New Roman" w:cs="Times New Roman"/>
          <w:sz w:val="24"/>
          <w:szCs w:val="24"/>
        </w:rPr>
      </w:pPr>
      <w:bookmarkStart w:id="25" w:name="bookmark15"/>
      <w:bookmarkEnd w:id="25"/>
      <w:r w:rsidRPr="006B2CF8">
        <w:rPr>
          <w:rFonts w:eastAsia="Times New Roman" w:cs="Times New Roman"/>
          <w:sz w:val="24"/>
          <w:szCs w:val="24"/>
        </w:rPr>
        <w:t>Wagę niniejszej sprawy, a także konieczność podjęcia dodatkowych działań na poziomie systemowym uzasadniają obserwacje i stanowiska organów międzynarodowych. W sierpniu 2019 r. Komitet Przeciwko Torturom ONZ przedstawił raport, w którym wskazał, że jest zaniepokojony sygnałami o przypadkach użycia nadmiernej siły przez funkcjonariuszy Policji, a także brakiem wyroków skazujących w wypadku takich czynów. Ustalenia te korespondują również z wnioskami z wizytacji Podkomitetu do spraw Zapobiegania Torturom oraz Innemu Okrutnemu, Nieludzkiemu lub Poniżającemu Traktowaniu albo Karaniu, która odbyła się w lipcu 2018 r., a z której raport opublikowano w styczniu 2020 r.</w:t>
      </w:r>
    </w:p>
    <w:p w:rsidR="006B2CF8" w:rsidRPr="006B2CF8" w:rsidRDefault="006B2CF8" w:rsidP="00953037">
      <w:pPr>
        <w:widowControl w:val="0"/>
        <w:numPr>
          <w:ilvl w:val="0"/>
          <w:numId w:val="1"/>
        </w:numPr>
        <w:tabs>
          <w:tab w:val="left" w:pos="675"/>
        </w:tabs>
        <w:spacing w:before="120" w:after="0" w:line="240" w:lineRule="auto"/>
        <w:ind w:left="640" w:hanging="320"/>
        <w:jc w:val="both"/>
        <w:rPr>
          <w:rFonts w:eastAsia="Times New Roman" w:cs="Times New Roman"/>
          <w:sz w:val="24"/>
          <w:szCs w:val="24"/>
        </w:rPr>
      </w:pPr>
      <w:bookmarkStart w:id="26" w:name="bookmark16"/>
      <w:bookmarkEnd w:id="26"/>
      <w:r w:rsidRPr="006B2CF8">
        <w:rPr>
          <w:rFonts w:eastAsia="Times New Roman" w:cs="Times New Roman"/>
          <w:sz w:val="24"/>
          <w:szCs w:val="24"/>
        </w:rPr>
        <w:t>Również wieloletnie doświadczenia Helsińskiej Fundacji Praw Człowieka potwierdzają zarzuty i obserwacje organów międzynarodowych, które wskazują na trudności związane z dochodzeniem odpowiedzialności wobec funkcjonariuszy Policji.</w:t>
      </w:r>
    </w:p>
    <w:p w:rsidR="006B2CF8" w:rsidRPr="006B2CF8" w:rsidRDefault="006B2CF8" w:rsidP="00953037">
      <w:pPr>
        <w:widowControl w:val="0"/>
        <w:numPr>
          <w:ilvl w:val="0"/>
          <w:numId w:val="1"/>
        </w:numPr>
        <w:tabs>
          <w:tab w:val="left" w:pos="675"/>
        </w:tabs>
        <w:spacing w:before="120" w:after="0" w:line="240" w:lineRule="auto"/>
        <w:ind w:left="640" w:hanging="320"/>
        <w:jc w:val="both"/>
        <w:rPr>
          <w:rFonts w:eastAsia="Times New Roman" w:cs="Times New Roman"/>
          <w:sz w:val="24"/>
          <w:szCs w:val="24"/>
        </w:rPr>
      </w:pPr>
      <w:bookmarkStart w:id="27" w:name="bookmark17"/>
      <w:bookmarkEnd w:id="27"/>
      <w:r w:rsidRPr="006B2CF8">
        <w:rPr>
          <w:rFonts w:eastAsia="Times New Roman" w:cs="Times New Roman"/>
          <w:sz w:val="24"/>
          <w:szCs w:val="24"/>
        </w:rPr>
        <w:t>Z badania o charakterze jakościowym przeprowadzonym przez HFPC w 2018 r. wynika, że najczęstszymi problemami, z którymi spotykają się adwokaci prowadzący sprawy związane z poniżającym lub nieludzkim traktowaniem albo karaniem są trudności dowodowe w postępowaniach przeciwko funkcjonariuszom Policji, ale także lekceważenie zarzutów dotyczących złego oraz upokarzającego traktowania.</w:t>
      </w:r>
    </w:p>
    <w:p w:rsidR="006B2CF8" w:rsidRPr="006B2CF8" w:rsidRDefault="006B2CF8" w:rsidP="00953037">
      <w:pPr>
        <w:widowControl w:val="0"/>
        <w:numPr>
          <w:ilvl w:val="0"/>
          <w:numId w:val="1"/>
        </w:numPr>
        <w:tabs>
          <w:tab w:val="left" w:pos="675"/>
        </w:tabs>
        <w:spacing w:before="120" w:after="0" w:line="240" w:lineRule="auto"/>
        <w:ind w:left="640" w:hanging="320"/>
        <w:jc w:val="both"/>
        <w:rPr>
          <w:rFonts w:eastAsia="Times New Roman" w:cs="Times New Roman"/>
          <w:sz w:val="24"/>
          <w:szCs w:val="24"/>
        </w:rPr>
      </w:pPr>
      <w:bookmarkStart w:id="28" w:name="bookmark18"/>
      <w:bookmarkEnd w:id="28"/>
      <w:r w:rsidRPr="006B2CF8">
        <w:rPr>
          <w:rFonts w:eastAsia="Times New Roman" w:cs="Times New Roman"/>
          <w:sz w:val="24"/>
          <w:szCs w:val="24"/>
        </w:rPr>
        <w:t xml:space="preserve">Wiarygodność powyższych obserwacji potwierdzają również wnioski przedstawione przez Naczelną Radę Adwokacką w opinii </w:t>
      </w:r>
      <w:r w:rsidRPr="006B2CF8">
        <w:rPr>
          <w:rFonts w:eastAsia="Times New Roman" w:cs="Times New Roman"/>
          <w:i/>
          <w:sz w:val="24"/>
          <w:szCs w:val="24"/>
        </w:rPr>
        <w:t>amicus curiae</w:t>
      </w:r>
      <w:r w:rsidRPr="006B2CF8">
        <w:rPr>
          <w:rFonts w:eastAsia="Times New Roman" w:cs="Times New Roman"/>
          <w:sz w:val="24"/>
          <w:szCs w:val="24"/>
        </w:rPr>
        <w:t xml:space="preserve"> w sprawie </w:t>
      </w:r>
      <w:r w:rsidR="00BE52C6">
        <w:rPr>
          <w:rFonts w:eastAsia="Times New Roman" w:cs="Times New Roman"/>
          <w:i/>
          <w:iCs/>
          <w:sz w:val="24"/>
          <w:szCs w:val="24"/>
        </w:rPr>
        <w:t xml:space="preserve">Kuchta i Mętel p. </w:t>
      </w:r>
      <w:r w:rsidRPr="006B2CF8">
        <w:rPr>
          <w:rFonts w:eastAsia="Times New Roman" w:cs="Times New Roman"/>
          <w:i/>
          <w:iCs/>
          <w:sz w:val="24"/>
          <w:szCs w:val="24"/>
        </w:rPr>
        <w:t>Polsce</w:t>
      </w:r>
      <w:r w:rsidRPr="006B2CF8">
        <w:rPr>
          <w:rFonts w:eastAsia="Times New Roman" w:cs="Times New Roman"/>
          <w:sz w:val="24"/>
          <w:szCs w:val="24"/>
        </w:rPr>
        <w:t>. Wynika z nich, że mierzą się oni z trudnościami dowodowymi, a także muszą się mierzyć z przewlekłością postępowania w tego typu sprawach.</w:t>
      </w:r>
    </w:p>
    <w:p w:rsidR="006B2CF8" w:rsidRPr="006B2CF8" w:rsidRDefault="006B2CF8" w:rsidP="00953037">
      <w:pPr>
        <w:widowControl w:val="0"/>
        <w:numPr>
          <w:ilvl w:val="0"/>
          <w:numId w:val="1"/>
        </w:numPr>
        <w:tabs>
          <w:tab w:val="left" w:pos="675"/>
        </w:tabs>
        <w:spacing w:before="120" w:after="0" w:line="240" w:lineRule="auto"/>
        <w:ind w:left="640" w:hanging="320"/>
        <w:jc w:val="both"/>
        <w:rPr>
          <w:rFonts w:eastAsia="Times New Roman" w:cs="Times New Roman"/>
          <w:sz w:val="24"/>
          <w:szCs w:val="24"/>
        </w:rPr>
      </w:pPr>
      <w:bookmarkStart w:id="29" w:name="bookmark19"/>
      <w:bookmarkEnd w:id="29"/>
      <w:r w:rsidRPr="006B2CF8">
        <w:rPr>
          <w:rFonts w:eastAsia="Times New Roman" w:cs="Times New Roman"/>
          <w:sz w:val="24"/>
          <w:szCs w:val="24"/>
        </w:rPr>
        <w:t xml:space="preserve">Wyżej przedstawione ustalenia przemawiają za koniecznością dalszego sprawowania nadzoru nad wykonaniem wyroku w sprawie </w:t>
      </w:r>
      <w:r w:rsidR="008E32CB">
        <w:rPr>
          <w:rFonts w:eastAsia="Times New Roman" w:cs="Times New Roman"/>
          <w:i/>
          <w:iCs/>
          <w:sz w:val="24"/>
          <w:szCs w:val="24"/>
        </w:rPr>
        <w:t>Bednarz p.</w:t>
      </w:r>
      <w:r w:rsidRPr="006B2CF8">
        <w:rPr>
          <w:rFonts w:eastAsia="Times New Roman" w:cs="Times New Roman"/>
          <w:i/>
          <w:iCs/>
          <w:sz w:val="24"/>
          <w:szCs w:val="24"/>
        </w:rPr>
        <w:t xml:space="preserve"> Polsce</w:t>
      </w:r>
      <w:r w:rsidRPr="006B2CF8">
        <w:rPr>
          <w:rFonts w:eastAsia="Times New Roman" w:cs="Times New Roman"/>
          <w:sz w:val="24"/>
          <w:szCs w:val="24"/>
        </w:rPr>
        <w:t xml:space="preserve"> i określenia przez Komitet Ministrów dalszych planów władz polskich, których celem byłoby zwiększenie </w:t>
      </w:r>
      <w:r w:rsidRPr="006B2CF8">
        <w:rPr>
          <w:rFonts w:eastAsia="Times New Roman" w:cs="Times New Roman"/>
          <w:sz w:val="24"/>
          <w:szCs w:val="24"/>
        </w:rPr>
        <w:lastRenderedPageBreak/>
        <w:t>efektywności postępowań w sprawach nieludzkiego lub poniżającego traktowania przez funkcjonariuszy Policji.</w:t>
      </w:r>
    </w:p>
    <w:p w:rsidR="006B2CF8" w:rsidRPr="005703C3" w:rsidRDefault="006B2CF8" w:rsidP="00953037">
      <w:pPr>
        <w:pStyle w:val="Akapitzlist"/>
        <w:numPr>
          <w:ilvl w:val="0"/>
          <w:numId w:val="7"/>
        </w:numPr>
        <w:spacing w:before="120" w:after="0" w:line="240" w:lineRule="auto"/>
        <w:contextualSpacing w:val="0"/>
        <w:rPr>
          <w:rFonts w:eastAsia="Times New Roman" w:cs="Times New Roman"/>
          <w:b/>
          <w:bCs/>
          <w:sz w:val="24"/>
          <w:szCs w:val="24"/>
        </w:rPr>
      </w:pPr>
      <w:bookmarkStart w:id="30" w:name="bookmark22"/>
      <w:bookmarkStart w:id="31" w:name="bookmark20"/>
      <w:bookmarkStart w:id="32" w:name="bookmark21"/>
      <w:bookmarkStart w:id="33" w:name="bookmark23"/>
      <w:bookmarkEnd w:id="30"/>
      <w:r w:rsidRPr="005703C3">
        <w:rPr>
          <w:rFonts w:eastAsia="Times New Roman" w:cs="Times New Roman"/>
          <w:b/>
          <w:bCs/>
          <w:sz w:val="24"/>
          <w:szCs w:val="24"/>
        </w:rPr>
        <w:t>Wstęp</w:t>
      </w:r>
      <w:bookmarkEnd w:id="31"/>
      <w:bookmarkEnd w:id="32"/>
      <w:bookmarkEnd w:id="33"/>
    </w:p>
    <w:p w:rsidR="006B2CF8" w:rsidRPr="006B2CF8" w:rsidRDefault="006B2CF8" w:rsidP="00953037">
      <w:pPr>
        <w:widowControl w:val="0"/>
        <w:numPr>
          <w:ilvl w:val="0"/>
          <w:numId w:val="2"/>
        </w:numPr>
        <w:tabs>
          <w:tab w:val="left" w:pos="294"/>
        </w:tabs>
        <w:spacing w:before="120" w:after="0" w:line="240" w:lineRule="auto"/>
        <w:jc w:val="both"/>
        <w:rPr>
          <w:rFonts w:eastAsia="Times New Roman" w:cs="Times New Roman"/>
          <w:sz w:val="24"/>
          <w:szCs w:val="24"/>
        </w:rPr>
      </w:pPr>
      <w:bookmarkStart w:id="34" w:name="bookmark24"/>
      <w:bookmarkEnd w:id="34"/>
      <w:r w:rsidRPr="006B2CF8">
        <w:rPr>
          <w:rFonts w:eastAsia="Times New Roman" w:cs="Times New Roman"/>
          <w:sz w:val="24"/>
          <w:szCs w:val="24"/>
        </w:rPr>
        <w:t>Helsińska Fundacja Praw Człowieka (dalej: „HFPC” lub „Fundacja”) jest organizacją pozarządową, której przedmiotem działalności statutowej jest obrona praw człowieka i kierowanie wystąpień. Problem przemocy stosowanej przez funkcjonariuszy Policji jest obszarem szczególnego zainteresowania HFPC od początku jej działalności. Pokrzywdzonym pomagamy podejmując różnego rodzaju interwencje i zapewniając profesjonalną pomoc prawną pro bono, przyglądamy się postępowaniom sądowym w sprawach dotyczących przemocy ze strony funkcjonariuszy Policji, monitorujemy miejsca pozbawienia wolności, a także prowadzimy obserwacje zgromadzeń publicznych. HFPC prowadzi również szkolenia dla funkcjonariuszy Policji w zakresie zakazu tortur i nieludzkiego lub poniżającego traktowania oraz orzecznictwa Europejskiego Trybunału Praw Człowieka (dalej: „ETPCz” lub „Trybunał”).</w:t>
      </w:r>
    </w:p>
    <w:p w:rsidR="006B2CF8" w:rsidRDefault="006B2CF8" w:rsidP="00953037">
      <w:pPr>
        <w:widowControl w:val="0"/>
        <w:numPr>
          <w:ilvl w:val="0"/>
          <w:numId w:val="2"/>
        </w:numPr>
        <w:tabs>
          <w:tab w:val="left" w:pos="294"/>
        </w:tabs>
        <w:spacing w:before="120" w:after="0" w:line="240" w:lineRule="auto"/>
        <w:jc w:val="both"/>
        <w:rPr>
          <w:rFonts w:eastAsia="Times New Roman" w:cs="Times New Roman"/>
          <w:sz w:val="24"/>
          <w:szCs w:val="24"/>
        </w:rPr>
      </w:pPr>
      <w:bookmarkStart w:id="35" w:name="bookmark25"/>
      <w:bookmarkEnd w:id="35"/>
      <w:r w:rsidRPr="006B2CF8">
        <w:rPr>
          <w:rFonts w:eastAsia="Times New Roman" w:cs="Times New Roman"/>
          <w:sz w:val="24"/>
          <w:szCs w:val="24"/>
        </w:rPr>
        <w:t xml:space="preserve">Działając w ramach swoich celów statutowych, Helsińska Fundacja Praw Człowieka uprzejmie przedstawia Komitetowi Ministrów Rady Europy komunikację w przedmiocie wykonania przez Polskę wyroku ETPCz wydanego w dniu 13 czerwca 2019 r. w sprawie </w:t>
      </w:r>
      <w:r w:rsidR="00BE52C6">
        <w:rPr>
          <w:rFonts w:eastAsia="Times New Roman" w:cs="Times New Roman"/>
          <w:i/>
          <w:iCs/>
          <w:sz w:val="24"/>
          <w:szCs w:val="24"/>
        </w:rPr>
        <w:t>Bednarz p.</w:t>
      </w:r>
      <w:r w:rsidRPr="006B2CF8">
        <w:rPr>
          <w:rFonts w:eastAsia="Times New Roman" w:cs="Times New Roman"/>
          <w:i/>
          <w:iCs/>
          <w:sz w:val="24"/>
          <w:szCs w:val="24"/>
        </w:rPr>
        <w:t xml:space="preserve"> Polsce</w:t>
      </w:r>
      <w:r w:rsidRPr="006B2CF8">
        <w:rPr>
          <w:rFonts w:eastAsia="Times New Roman" w:cs="Times New Roman"/>
          <w:i/>
          <w:iCs/>
          <w:sz w:val="24"/>
          <w:szCs w:val="24"/>
          <w:vertAlign w:val="superscript"/>
        </w:rPr>
        <w:footnoteReference w:id="219"/>
      </w:r>
      <w:r w:rsidRPr="006B2CF8">
        <w:rPr>
          <w:rFonts w:eastAsia="Times New Roman" w:cs="Times New Roman"/>
          <w:sz w:val="24"/>
          <w:szCs w:val="24"/>
        </w:rPr>
        <w:t xml:space="preserve">, nr 76505/14. Wyrażamy nadzieję, że Komitet uzna nasze wystąpienie za przydatne w procesie oceny działań podjętych przez Rząd RP w związku z wyrokiem w sprawie </w:t>
      </w:r>
      <w:r w:rsidRPr="006B2CF8">
        <w:rPr>
          <w:rFonts w:eastAsia="Times New Roman" w:cs="Times New Roman"/>
          <w:i/>
          <w:iCs/>
          <w:sz w:val="24"/>
          <w:szCs w:val="24"/>
        </w:rPr>
        <w:t>Bednarz</w:t>
      </w:r>
      <w:r w:rsidRPr="006B2CF8">
        <w:rPr>
          <w:rFonts w:eastAsia="Times New Roman" w:cs="Times New Roman"/>
          <w:sz w:val="24"/>
          <w:szCs w:val="24"/>
        </w:rPr>
        <w:t xml:space="preserve"> oraz że nasze uwagi będą stanowiły podstawę do dalszej dyskusji na poziomie krajowym i europejskim.</w:t>
      </w:r>
    </w:p>
    <w:p w:rsidR="006B2CF8" w:rsidRPr="006B2CF8" w:rsidRDefault="006B2CF8" w:rsidP="00953037">
      <w:pPr>
        <w:pStyle w:val="Akapitzlist"/>
        <w:numPr>
          <w:ilvl w:val="0"/>
          <w:numId w:val="7"/>
        </w:numPr>
        <w:spacing w:before="120" w:after="0" w:line="240" w:lineRule="auto"/>
        <w:contextualSpacing w:val="0"/>
        <w:rPr>
          <w:rFonts w:eastAsia="Times New Roman" w:cs="Times New Roman"/>
          <w:b/>
          <w:bCs/>
          <w:sz w:val="24"/>
          <w:szCs w:val="24"/>
        </w:rPr>
      </w:pPr>
      <w:bookmarkStart w:id="36" w:name="bookmark28"/>
      <w:bookmarkStart w:id="37" w:name="bookmark26"/>
      <w:bookmarkStart w:id="38" w:name="bookmark27"/>
      <w:bookmarkStart w:id="39" w:name="bookmark29"/>
      <w:bookmarkEnd w:id="36"/>
      <w:r w:rsidRPr="006B2CF8">
        <w:rPr>
          <w:rFonts w:eastAsia="Times New Roman" w:cs="Times New Roman"/>
          <w:b/>
          <w:bCs/>
          <w:sz w:val="24"/>
          <w:szCs w:val="24"/>
        </w:rPr>
        <w:t xml:space="preserve">Wyrok w sprawie </w:t>
      </w:r>
      <w:r w:rsidR="00BE52C6">
        <w:rPr>
          <w:rFonts w:eastAsia="Times New Roman" w:cs="Times New Roman"/>
          <w:b/>
          <w:bCs/>
          <w:i/>
          <w:iCs/>
          <w:sz w:val="24"/>
          <w:szCs w:val="24"/>
        </w:rPr>
        <w:t>Bednarz p.</w:t>
      </w:r>
      <w:r w:rsidRPr="006B2CF8">
        <w:rPr>
          <w:rFonts w:eastAsia="Times New Roman" w:cs="Times New Roman"/>
          <w:b/>
          <w:bCs/>
          <w:i/>
          <w:iCs/>
          <w:sz w:val="24"/>
          <w:szCs w:val="24"/>
        </w:rPr>
        <w:t xml:space="preserve"> Polsce</w:t>
      </w:r>
      <w:bookmarkEnd w:id="37"/>
      <w:bookmarkEnd w:id="38"/>
      <w:bookmarkEnd w:id="39"/>
    </w:p>
    <w:p w:rsidR="006B2CF8" w:rsidRDefault="006B2CF8" w:rsidP="00953037">
      <w:pPr>
        <w:widowControl w:val="0"/>
        <w:numPr>
          <w:ilvl w:val="0"/>
          <w:numId w:val="2"/>
        </w:numPr>
        <w:tabs>
          <w:tab w:val="left" w:pos="303"/>
        </w:tabs>
        <w:spacing w:before="120" w:after="0" w:line="240" w:lineRule="auto"/>
        <w:jc w:val="both"/>
        <w:rPr>
          <w:rFonts w:eastAsia="Times New Roman" w:cs="Times New Roman"/>
          <w:sz w:val="24"/>
          <w:szCs w:val="24"/>
        </w:rPr>
      </w:pPr>
      <w:bookmarkStart w:id="40" w:name="bookmark30"/>
      <w:bookmarkEnd w:id="40"/>
      <w:r w:rsidRPr="006B2CF8">
        <w:rPr>
          <w:rFonts w:eastAsia="Times New Roman" w:cs="Times New Roman"/>
          <w:sz w:val="24"/>
          <w:szCs w:val="24"/>
        </w:rPr>
        <w:t xml:space="preserve">W dniu 13 czerwca 2019 r. Europejski Trybunał Praw Człowieka wydał wyrok w sprawie </w:t>
      </w:r>
      <w:r w:rsidR="00BE52C6">
        <w:rPr>
          <w:rFonts w:eastAsia="Times New Roman" w:cs="Times New Roman"/>
          <w:i/>
          <w:iCs/>
          <w:sz w:val="24"/>
          <w:szCs w:val="24"/>
        </w:rPr>
        <w:t>Bednarz p.</w:t>
      </w:r>
      <w:r w:rsidRPr="006B2CF8">
        <w:rPr>
          <w:rFonts w:eastAsia="Times New Roman" w:cs="Times New Roman"/>
          <w:i/>
          <w:iCs/>
          <w:sz w:val="24"/>
          <w:szCs w:val="24"/>
        </w:rPr>
        <w:t xml:space="preserve"> Polsce</w:t>
      </w:r>
      <w:r w:rsidRPr="006B2CF8">
        <w:rPr>
          <w:rFonts w:eastAsia="Times New Roman" w:cs="Times New Roman"/>
          <w:sz w:val="24"/>
          <w:szCs w:val="24"/>
        </w:rPr>
        <w:t xml:space="preserve">, w którym stwierdził naruszenie art. 3 EKPC w jego aspekcie proceduralnym. Zgodnie z ustaleniami Trybunału, skarżący został zatrzymany w nocy 23 czerwca 2013 r. przez funkcjonariuszy Policji w związku ze spożywaniem alkoholu w miejscu publicznym. W trakcie zatrzymania oraz na komisariacie Policji skarżący miał zostać pobity przez policjantów. W dniu 30 lipca 2013 r. Prokuratura Rejonowa w Mielcu wszczęła postępowanie w sprawie użycia nadmiernej siły przez funkcjonariuszy Policji w nocy z 23 na 24 czerwca 2013 r. W dniu 23 grudnia 2013 r. Prokuratura Rejonowa w Mielcu umorzyła postępowanie, zaś skarżący złożył zażalenie na to postanowienie. W lipcu 2014 r. Sąd Rejonowy w Stalowej Woli, po dopatrzeniu się niespójności w zeznaniach znajomych skarżącego, którzy brali udział w zdarzeniu, utrzymał w mocy zaskarżone postanowienie. Sąd zauważył, że żaden ze świadków nie widział zdarzenia na komisariacie policji, słyszeli tylko odgłosy i zauważyli siniaki u skarżącego oraz to, że zaczął kuleć. Tymczasem sąd uznał, że dowody przedstawione przez funkcjonariuszy policji były spójne i logiczne. Zdaniem sądu nic nie świadczyło o tym, że funkcjonariusze Policji nadużyli uprawnień lub użyli nieproporcjonalnej siły wobec skarżącego. Stwierdzając naruszenie art. 3 w aspekcie proceduralnym, ETPCz wskazał, że nie był przekonany, że śledztwo zostało przeprowadzone na tyle dogłębnie i skutecznie, by uznać, że wszystkie wymogi wynikające z tego artykułu zostały spełnione. Za szczególnie mało satysfakcjonującą Trybunał uznał okoliczność, że prokurator bezwarunkowo dał wiarę zeznaniom funkcjonariusza Policji, pomijając fakt, że w oczywisty sposób byli oni zainteresowani wynikiem sprawy i zmniejszeniem zakresu swojej odpowiedzialności. ETPCz zauważył ponadto, że pomimo </w:t>
      </w:r>
      <w:r w:rsidRPr="006B2CF8">
        <w:rPr>
          <w:rFonts w:eastAsia="Times New Roman" w:cs="Times New Roman"/>
          <w:sz w:val="24"/>
          <w:szCs w:val="24"/>
        </w:rPr>
        <w:lastRenderedPageBreak/>
        <w:t>spójności i logiki, których sąd dopatrzył się w zeznaniach funkcjonariuszy, zeznania te zawierały identyczne sformułowania. W swoich zeznaniach funkcjonariusze Policji podawali również szczegółowe dane, takie jak adresy świadków uczestniczących w zdarzeniu, a także ich numery PESEL. Trybunał dodał, że władze bezkrytycznie zaakceptowały zeznania zawierające takie informacje, które zwykle nie występują w zeznaniach naocznych świadków. Ponadto, jak również wskazał ETPCz, nawet jeśli wszyscy znajomi skarżącego, którzy uczestniczyli w zdarzeniu, potwierdzili, że skarżący został pobity przez funkcjonariuszy Policji, to i tak prokuratura i sąd uznali ich zeznania za niespójne. Pomimo konfrontacji pomiędzy skarżącym a funkcjonariuszami Policji, jak zauważył Trybunał, nie podjęto żadnych dalszych kroków mających na celu wyjaśnienie rozbieżności między wersją wydarzeń przedstawioną przez funkcjonariuszy Policji a wersjami przedstawionymi przez skarżącego i jego znajomych. Z powyższych względów Trybunał uznał, że śledztwo było powierzchowne i pozbawione niezbędnego obiektywizmu, a tym samym stanowiło naruszenie art. 3 EKPC.</w:t>
      </w:r>
    </w:p>
    <w:p w:rsidR="006B2CF8" w:rsidRPr="00BE52C6" w:rsidRDefault="006B2CF8" w:rsidP="00953037">
      <w:pPr>
        <w:pStyle w:val="Akapitzlist"/>
        <w:numPr>
          <w:ilvl w:val="0"/>
          <w:numId w:val="7"/>
        </w:numPr>
        <w:spacing w:before="120" w:after="0" w:line="240" w:lineRule="auto"/>
        <w:contextualSpacing w:val="0"/>
        <w:rPr>
          <w:rFonts w:eastAsia="Times New Roman" w:cs="Times New Roman"/>
          <w:b/>
          <w:bCs/>
          <w:sz w:val="24"/>
          <w:szCs w:val="24"/>
        </w:rPr>
      </w:pPr>
      <w:bookmarkStart w:id="41" w:name="bookmark33"/>
      <w:bookmarkStart w:id="42" w:name="bookmark31"/>
      <w:bookmarkStart w:id="43" w:name="bookmark32"/>
      <w:bookmarkStart w:id="44" w:name="bookmark34"/>
      <w:bookmarkEnd w:id="41"/>
      <w:r w:rsidRPr="00BE52C6">
        <w:rPr>
          <w:rFonts w:eastAsia="Times New Roman" w:cs="Times New Roman"/>
          <w:b/>
          <w:bCs/>
          <w:iCs/>
          <w:sz w:val="24"/>
          <w:szCs w:val="24"/>
        </w:rPr>
        <w:t>Środki</w:t>
      </w:r>
      <w:r w:rsidRPr="00BE52C6">
        <w:rPr>
          <w:rFonts w:eastAsia="Times New Roman" w:cs="Times New Roman"/>
          <w:b/>
          <w:bCs/>
          <w:sz w:val="24"/>
          <w:szCs w:val="24"/>
        </w:rPr>
        <w:t xml:space="preserve"> generalne</w:t>
      </w:r>
      <w:bookmarkEnd w:id="42"/>
      <w:bookmarkEnd w:id="43"/>
      <w:bookmarkEnd w:id="44"/>
    </w:p>
    <w:p w:rsidR="006B2CF8" w:rsidRPr="006B2CF8" w:rsidRDefault="006B2CF8" w:rsidP="00953037">
      <w:pPr>
        <w:widowControl w:val="0"/>
        <w:numPr>
          <w:ilvl w:val="0"/>
          <w:numId w:val="2"/>
        </w:numPr>
        <w:tabs>
          <w:tab w:val="left" w:pos="298"/>
        </w:tabs>
        <w:spacing w:before="120" w:after="0" w:line="240" w:lineRule="auto"/>
        <w:jc w:val="both"/>
        <w:rPr>
          <w:rFonts w:eastAsia="Times New Roman" w:cs="Times New Roman"/>
          <w:sz w:val="24"/>
          <w:szCs w:val="24"/>
        </w:rPr>
      </w:pPr>
      <w:bookmarkStart w:id="45" w:name="bookmark35"/>
      <w:bookmarkEnd w:id="45"/>
      <w:r w:rsidRPr="006B2CF8">
        <w:rPr>
          <w:rFonts w:eastAsia="Times New Roman" w:cs="Times New Roman"/>
          <w:sz w:val="24"/>
          <w:szCs w:val="24"/>
        </w:rPr>
        <w:t xml:space="preserve">W raporcie z działań z dnia 9 stycznia 2020 r. (zob. s. 2) rząd polski podkreślił, że: „Niniejsza sprawa wykazuje pewne podobieństwa do niektórych aspektów poruszanych w ramach grupy spraw </w:t>
      </w:r>
      <w:r w:rsidRPr="006B2CF8">
        <w:rPr>
          <w:rFonts w:eastAsia="Times New Roman" w:cs="Times New Roman"/>
          <w:i/>
          <w:iCs/>
          <w:sz w:val="24"/>
          <w:szCs w:val="24"/>
        </w:rPr>
        <w:t>Dzwonkowski</w:t>
      </w:r>
      <w:r w:rsidRPr="006B2CF8">
        <w:rPr>
          <w:rFonts w:eastAsia="Times New Roman" w:cs="Times New Roman"/>
          <w:sz w:val="24"/>
          <w:szCs w:val="24"/>
        </w:rPr>
        <w:t>, które zostały przeanalizowane przez Komitet Ministrów, i w których w dniu 7 czerwca 2016 r. została przyjęta rezolucja końcowa CM/ResDH(2016)148”</w:t>
      </w:r>
      <w:r w:rsidRPr="006B2CF8">
        <w:rPr>
          <w:rFonts w:eastAsia="Times New Roman" w:cs="Times New Roman"/>
          <w:i/>
          <w:iCs/>
          <w:sz w:val="24"/>
          <w:szCs w:val="24"/>
          <w:vertAlign w:val="superscript"/>
        </w:rPr>
        <w:footnoteReference w:id="220"/>
      </w:r>
      <w:r w:rsidRPr="006B2CF8">
        <w:rPr>
          <w:rFonts w:eastAsia="Times New Roman" w:cs="Times New Roman"/>
          <w:sz w:val="24"/>
          <w:szCs w:val="24"/>
        </w:rPr>
        <w:t>.</w:t>
      </w:r>
    </w:p>
    <w:p w:rsidR="006B2CF8" w:rsidRPr="00953037" w:rsidRDefault="006B2CF8" w:rsidP="00953037">
      <w:pPr>
        <w:widowControl w:val="0"/>
        <w:numPr>
          <w:ilvl w:val="0"/>
          <w:numId w:val="2"/>
        </w:numPr>
        <w:tabs>
          <w:tab w:val="left" w:pos="318"/>
        </w:tabs>
        <w:spacing w:before="120" w:after="0" w:line="240" w:lineRule="auto"/>
        <w:jc w:val="both"/>
        <w:rPr>
          <w:rFonts w:eastAsia="Times New Roman" w:cs="Times New Roman"/>
          <w:sz w:val="24"/>
          <w:szCs w:val="24"/>
        </w:rPr>
      </w:pPr>
      <w:bookmarkStart w:id="46" w:name="bookmark36"/>
      <w:bookmarkEnd w:id="46"/>
      <w:r w:rsidRPr="006B2CF8">
        <w:rPr>
          <w:rFonts w:eastAsia="Times New Roman" w:cs="Times New Roman"/>
          <w:sz w:val="24"/>
          <w:szCs w:val="24"/>
        </w:rPr>
        <w:t>Ponadto rząd wskazał</w:t>
      </w:r>
      <w:r w:rsidRPr="00953037">
        <w:rPr>
          <w:rFonts w:eastAsia="Times New Roman" w:cs="Times New Roman"/>
          <w:sz w:val="24"/>
          <w:szCs w:val="24"/>
        </w:rPr>
        <w:t xml:space="preserve">, że: „(...) </w:t>
      </w:r>
      <w:r w:rsidRPr="00953037">
        <w:rPr>
          <w:rFonts w:eastAsia="Times New Roman" w:cs="Times New Roman"/>
          <w:iCs/>
          <w:sz w:val="24"/>
          <w:szCs w:val="24"/>
        </w:rPr>
        <w:t>okoliczności w sprawie Bednarz [zaistniały] przed podjęciem przez władze środków mających na celu usunięcie wskazanych przez Trybunał braków</w:t>
      </w:r>
      <w:r w:rsidRPr="00953037">
        <w:rPr>
          <w:rFonts w:eastAsia="Times New Roman" w:cs="Times New Roman"/>
          <w:sz w:val="24"/>
          <w:szCs w:val="24"/>
        </w:rPr>
        <w:t>.</w:t>
      </w:r>
      <w:r w:rsidRPr="00953037">
        <w:rPr>
          <w:rFonts w:eastAsia="Times New Roman" w:cs="Times New Roman"/>
          <w:iCs/>
          <w:sz w:val="24"/>
          <w:szCs w:val="24"/>
        </w:rPr>
        <w:t xml:space="preserve"> W związku z powyższym informacje zawarte w raporcie z działań z dnia 29 kwietnia 2016 r. w grupie spraw Dzwonkowski (DHDD(2016)555) w zakresie działań podjętych w celu usunięcia naruszeń proceduralnych m.in. art. 3 Konwencji zachowują aktualność (zob. strony 18–24 przedmiotowego raportu z działań).”</w:t>
      </w:r>
      <w:r w:rsidRPr="00953037">
        <w:rPr>
          <w:rFonts w:eastAsia="Times New Roman" w:cs="Times New Roman"/>
          <w:iCs/>
          <w:sz w:val="24"/>
          <w:szCs w:val="24"/>
          <w:vertAlign w:val="superscript"/>
        </w:rPr>
        <w:footnoteReference w:id="221"/>
      </w:r>
    </w:p>
    <w:p w:rsidR="006B2CF8" w:rsidRPr="00953037" w:rsidRDefault="006B2CF8" w:rsidP="00953037">
      <w:pPr>
        <w:widowControl w:val="0"/>
        <w:numPr>
          <w:ilvl w:val="0"/>
          <w:numId w:val="2"/>
        </w:numPr>
        <w:tabs>
          <w:tab w:val="left" w:pos="297"/>
        </w:tabs>
        <w:spacing w:before="120" w:after="0" w:line="240" w:lineRule="auto"/>
        <w:jc w:val="both"/>
        <w:rPr>
          <w:rFonts w:eastAsia="Times New Roman" w:cs="Times New Roman"/>
          <w:sz w:val="24"/>
          <w:szCs w:val="24"/>
        </w:rPr>
      </w:pPr>
      <w:bookmarkStart w:id="47" w:name="bookmark37"/>
      <w:bookmarkEnd w:id="47"/>
      <w:r w:rsidRPr="006B2CF8">
        <w:rPr>
          <w:rFonts w:eastAsia="Times New Roman" w:cs="Times New Roman"/>
          <w:sz w:val="24"/>
          <w:szCs w:val="24"/>
        </w:rPr>
        <w:t xml:space="preserve">Ponadto w raporcie z działań </w:t>
      </w:r>
      <w:r w:rsidRPr="00953037">
        <w:rPr>
          <w:rFonts w:eastAsia="Times New Roman" w:cs="Times New Roman"/>
          <w:sz w:val="24"/>
          <w:szCs w:val="24"/>
        </w:rPr>
        <w:t>stwierdzono, że „</w:t>
      </w:r>
      <w:r w:rsidRPr="00953037">
        <w:rPr>
          <w:rFonts w:eastAsia="Times New Roman" w:cs="Times New Roman"/>
          <w:iCs/>
          <w:sz w:val="24"/>
          <w:szCs w:val="24"/>
        </w:rPr>
        <w:t>rząd jest zdania (...), że środki o charakterze generalnym (...) są wystarczające, aby stwierdzić, że Polska wywiązała się ze swoich zobowiązań wynikających z art. 46 § 1 Konwencji</w:t>
      </w:r>
      <w:r w:rsidRPr="00953037">
        <w:rPr>
          <w:rFonts w:eastAsia="Times New Roman" w:cs="Times New Roman"/>
          <w:sz w:val="24"/>
          <w:szCs w:val="24"/>
        </w:rPr>
        <w:t>.”</w:t>
      </w:r>
      <w:r w:rsidRPr="00953037">
        <w:rPr>
          <w:rFonts w:eastAsia="Times New Roman" w:cs="Times New Roman"/>
          <w:iCs/>
          <w:sz w:val="24"/>
          <w:szCs w:val="24"/>
          <w:vertAlign w:val="superscript"/>
        </w:rPr>
        <w:footnoteReference w:id="222"/>
      </w:r>
    </w:p>
    <w:p w:rsidR="006B2CF8" w:rsidRPr="006B2CF8" w:rsidRDefault="006B2CF8" w:rsidP="00953037">
      <w:pPr>
        <w:widowControl w:val="0"/>
        <w:numPr>
          <w:ilvl w:val="0"/>
          <w:numId w:val="2"/>
        </w:numPr>
        <w:tabs>
          <w:tab w:val="left" w:pos="297"/>
        </w:tabs>
        <w:spacing w:before="120" w:after="0" w:line="240" w:lineRule="auto"/>
        <w:jc w:val="both"/>
        <w:rPr>
          <w:rFonts w:eastAsia="Times New Roman" w:cs="Times New Roman"/>
          <w:sz w:val="24"/>
          <w:szCs w:val="24"/>
        </w:rPr>
      </w:pPr>
      <w:bookmarkStart w:id="48" w:name="bookmark38"/>
      <w:bookmarkEnd w:id="48"/>
      <w:r w:rsidRPr="006B2CF8">
        <w:rPr>
          <w:rFonts w:eastAsia="Times New Roman" w:cs="Times New Roman"/>
          <w:sz w:val="24"/>
          <w:szCs w:val="24"/>
        </w:rPr>
        <w:t>W świetle powyższego Fundacja odniesie się przede wszystkim do informacji przedstawionych w raporcie z działań z dnia 29 kwietnia 2016 r.</w:t>
      </w:r>
      <w:r w:rsidRPr="006B2CF8">
        <w:rPr>
          <w:rFonts w:eastAsia="Times New Roman" w:cs="Times New Roman"/>
          <w:sz w:val="24"/>
          <w:szCs w:val="24"/>
          <w:vertAlign w:val="superscript"/>
        </w:rPr>
        <w:footnoteReference w:id="223"/>
      </w:r>
      <w:r w:rsidRPr="006B2CF8">
        <w:rPr>
          <w:rFonts w:eastAsia="Times New Roman" w:cs="Times New Roman"/>
          <w:sz w:val="24"/>
          <w:szCs w:val="24"/>
        </w:rPr>
        <w:t xml:space="preserve"> na stronach 18–24, dotyczących wykonania wyroków z grupy spraw </w:t>
      </w:r>
      <w:r w:rsidRPr="006B2CF8">
        <w:rPr>
          <w:rFonts w:eastAsia="Times New Roman" w:cs="Times New Roman"/>
          <w:i/>
          <w:iCs/>
          <w:sz w:val="24"/>
          <w:szCs w:val="24"/>
        </w:rPr>
        <w:t>Dzwonkowski</w:t>
      </w:r>
      <w:r w:rsidRPr="006B2CF8">
        <w:rPr>
          <w:rFonts w:eastAsia="Times New Roman" w:cs="Times New Roman"/>
          <w:sz w:val="24"/>
          <w:szCs w:val="24"/>
        </w:rPr>
        <w:t xml:space="preserve">, a także zaktualizowanych informacji przedstawionych w raporcie z działań z dnia 9 stycznia 2020 r. w sprawie </w:t>
      </w:r>
      <w:r w:rsidRPr="006B2CF8">
        <w:rPr>
          <w:rFonts w:eastAsia="Times New Roman" w:cs="Times New Roman"/>
          <w:i/>
          <w:iCs/>
          <w:sz w:val="24"/>
          <w:szCs w:val="24"/>
        </w:rPr>
        <w:t>Bednarz</w:t>
      </w:r>
      <w:r w:rsidRPr="006B2CF8">
        <w:rPr>
          <w:rFonts w:eastAsia="Times New Roman" w:cs="Times New Roman"/>
          <w:sz w:val="24"/>
          <w:szCs w:val="24"/>
        </w:rPr>
        <w:t xml:space="preserve">. HFPC odniesie się również do okoliczności, które mogą okazać się pomocne w ocenie zmian, które zaszły na poziomie instytucjonalnym, legislacyjnym i praktycznym po wydaniu uchwały CM/ResDH(2016)148 z dnia 7 czerwca 2016 r. w sprawie zamknięcia wykonania wyroków z grupy spraw </w:t>
      </w:r>
      <w:r w:rsidRPr="006B2CF8">
        <w:rPr>
          <w:rFonts w:eastAsia="Times New Roman" w:cs="Times New Roman"/>
          <w:i/>
          <w:iCs/>
          <w:sz w:val="24"/>
          <w:szCs w:val="24"/>
        </w:rPr>
        <w:t>Dzwonkowski</w:t>
      </w:r>
      <w:r w:rsidRPr="006B2CF8">
        <w:rPr>
          <w:rFonts w:eastAsia="Times New Roman" w:cs="Times New Roman"/>
          <w:sz w:val="24"/>
          <w:szCs w:val="24"/>
        </w:rPr>
        <w:t>.</w:t>
      </w:r>
    </w:p>
    <w:p w:rsidR="006B2CF8" w:rsidRPr="006B2CF8" w:rsidRDefault="006B2CF8" w:rsidP="00953037">
      <w:pPr>
        <w:spacing w:before="120" w:after="0" w:line="240" w:lineRule="auto"/>
        <w:jc w:val="both"/>
        <w:rPr>
          <w:rFonts w:eastAsia="Times New Roman" w:cs="Times New Roman"/>
          <w:b/>
          <w:bCs/>
          <w:sz w:val="24"/>
          <w:szCs w:val="24"/>
        </w:rPr>
      </w:pPr>
      <w:bookmarkStart w:id="49" w:name="bookmark41"/>
      <w:bookmarkStart w:id="50" w:name="bookmark40"/>
      <w:bookmarkStart w:id="51" w:name="bookmark39"/>
      <w:r w:rsidRPr="006B2CF8">
        <w:rPr>
          <w:rFonts w:eastAsia="Times New Roman" w:cs="Times New Roman"/>
          <w:b/>
          <w:bCs/>
          <w:sz w:val="24"/>
          <w:szCs w:val="24"/>
        </w:rPr>
        <w:t>III. 1. Zakaz tortur i nieludzkiego lub poniżającego traktowania – stanowisko organów międzynarodowych</w:t>
      </w:r>
      <w:bookmarkEnd w:id="49"/>
      <w:bookmarkEnd w:id="50"/>
      <w:bookmarkEnd w:id="51"/>
    </w:p>
    <w:p w:rsidR="006B2CF8" w:rsidRPr="00953037" w:rsidRDefault="006B2CF8" w:rsidP="00953037">
      <w:pPr>
        <w:widowControl w:val="0"/>
        <w:numPr>
          <w:ilvl w:val="0"/>
          <w:numId w:val="2"/>
        </w:numPr>
        <w:tabs>
          <w:tab w:val="left" w:pos="297"/>
        </w:tabs>
        <w:spacing w:before="120" w:after="0" w:line="240" w:lineRule="auto"/>
        <w:jc w:val="both"/>
        <w:rPr>
          <w:rFonts w:eastAsia="Times New Roman" w:cs="Times New Roman"/>
          <w:sz w:val="24"/>
          <w:szCs w:val="24"/>
        </w:rPr>
      </w:pPr>
      <w:bookmarkStart w:id="52" w:name="bookmark42"/>
      <w:bookmarkEnd w:id="52"/>
      <w:r w:rsidRPr="006B2CF8">
        <w:rPr>
          <w:rFonts w:eastAsia="Times New Roman" w:cs="Times New Roman"/>
          <w:sz w:val="24"/>
          <w:szCs w:val="24"/>
        </w:rPr>
        <w:t xml:space="preserve">Wagę niniejszej sprawy, a także konieczność podjęcia dodatkowych działań na poziomie </w:t>
      </w:r>
      <w:r w:rsidRPr="006B2CF8">
        <w:rPr>
          <w:rFonts w:eastAsia="Times New Roman" w:cs="Times New Roman"/>
          <w:sz w:val="24"/>
          <w:szCs w:val="24"/>
        </w:rPr>
        <w:lastRenderedPageBreak/>
        <w:t>ogólnym, uzasadniają obserwacje i stanowiska organów międzynarodowych. Organy działające w ramach Organizacji Narodów Zjednoczonych czy Rady Europy konsekwentnie sygnalizują problem nadmiernego użycia siły przez funkcjonariuszy Policji i dalszego braku odpowiednich środków zapobiegawczych, a także niedostatecznej skuteczności postępowania karnego. W sierpniu 2019 r. Komitet Przeciwko Torturom („CAT”) przedstawił raport</w:t>
      </w:r>
      <w:r w:rsidRPr="006B2CF8">
        <w:rPr>
          <w:rFonts w:eastAsia="Times New Roman" w:cs="Times New Roman"/>
          <w:sz w:val="24"/>
          <w:szCs w:val="24"/>
          <w:vertAlign w:val="superscript"/>
        </w:rPr>
        <w:footnoteReference w:id="224"/>
      </w:r>
      <w:r w:rsidRPr="006B2CF8">
        <w:rPr>
          <w:rFonts w:eastAsia="Times New Roman" w:cs="Times New Roman"/>
          <w:sz w:val="24"/>
          <w:szCs w:val="24"/>
        </w:rPr>
        <w:t>, w którym wyraził zaniepokojenie „doniesieniami o nadmiernym użyciu siły przez policję, w tym przy użyciu broni wyładowania elektrycznego (paralizatorów), wobec osób zatrzymanych, które były skute kajdankami lub w inny sposób obezwładnione, pomimo faktu, że prawo przewiduje, że użycie siły możliwe jest tylko w celu wyegzekwowania wymaganego prawem zachowania zgodnie z wydanym przez uprawnionego poleceniem”</w:t>
      </w:r>
      <w:r w:rsidRPr="006B2CF8">
        <w:rPr>
          <w:rFonts w:eastAsia="Times New Roman" w:cs="Times New Roman"/>
          <w:sz w:val="24"/>
          <w:szCs w:val="24"/>
          <w:vertAlign w:val="superscript"/>
        </w:rPr>
        <w:footnoteReference w:id="225"/>
      </w:r>
      <w:r w:rsidRPr="006B2CF8">
        <w:rPr>
          <w:rFonts w:eastAsia="Times New Roman" w:cs="Times New Roman"/>
          <w:sz w:val="24"/>
          <w:szCs w:val="24"/>
        </w:rPr>
        <w:t xml:space="preserve">. Jednocześnie CAT wyraził zaniepokojenie faktem, </w:t>
      </w:r>
      <w:r w:rsidRPr="00953037">
        <w:rPr>
          <w:rFonts w:eastAsia="Times New Roman" w:cs="Times New Roman"/>
          <w:sz w:val="24"/>
          <w:szCs w:val="24"/>
        </w:rPr>
        <w:t>że „</w:t>
      </w:r>
      <w:r w:rsidRPr="00953037">
        <w:rPr>
          <w:rFonts w:eastAsia="Times New Roman" w:cs="Times New Roman"/>
          <w:iCs/>
          <w:sz w:val="24"/>
          <w:szCs w:val="24"/>
        </w:rPr>
        <w:t>funkcjonariusze, którzy zostali oskarżeni o popełnienie przestępstw, nie zostali skazani; że w jednym przypadku niemożliwe było ustalenie tożsamości policjantów, którzy byli odpowiedzialni za użycie przemocy; oraz że osoby, które doznały obrażeń ze strony policji, w większości przypadków mogą dochodzić ochrony prawnej dopiero po złożeniu skargi i uzyskaniu wyroku Europejskiego Trybunału Praw Człowieka</w:t>
      </w:r>
      <w:r w:rsidRPr="00953037">
        <w:rPr>
          <w:rFonts w:eastAsia="Times New Roman" w:cs="Times New Roman"/>
          <w:sz w:val="24"/>
          <w:szCs w:val="24"/>
        </w:rPr>
        <w:t xml:space="preserve">”. </w:t>
      </w:r>
      <w:r w:rsidRPr="00953037">
        <w:rPr>
          <w:rFonts w:eastAsia="Times New Roman" w:cs="Times New Roman"/>
          <w:sz w:val="24"/>
          <w:szCs w:val="24"/>
          <w:vertAlign w:val="superscript"/>
        </w:rPr>
        <w:footnoteReference w:id="226"/>
      </w:r>
      <w:r w:rsidRPr="00953037">
        <w:rPr>
          <w:rFonts w:eastAsia="Times New Roman" w:cs="Times New Roman"/>
          <w:sz w:val="24"/>
          <w:szCs w:val="24"/>
        </w:rPr>
        <w:t>CAT odnotował również sytuację, w której „</w:t>
      </w:r>
      <w:r w:rsidRPr="00953037">
        <w:rPr>
          <w:rFonts w:eastAsia="Times New Roman" w:cs="Times New Roman"/>
          <w:iCs/>
          <w:sz w:val="24"/>
          <w:szCs w:val="24"/>
        </w:rPr>
        <w:t>osobie, która została pobita, z widocznymi siniakami i opuchlizną, która sygnalizowała Policji problemy zdrowotne, odmówiono dostępu do lekarza, a jej obrażenia nie zostały odnotowane w protokole zatrzymania</w:t>
      </w:r>
      <w:r w:rsidRPr="00953037">
        <w:rPr>
          <w:rFonts w:eastAsia="Times New Roman" w:cs="Times New Roman"/>
          <w:sz w:val="24"/>
          <w:szCs w:val="24"/>
        </w:rPr>
        <w:t>”</w:t>
      </w:r>
      <w:r w:rsidRPr="00953037">
        <w:rPr>
          <w:rFonts w:eastAsia="Times New Roman" w:cs="Times New Roman"/>
          <w:iCs/>
          <w:sz w:val="24"/>
          <w:szCs w:val="24"/>
          <w:vertAlign w:val="superscript"/>
        </w:rPr>
        <w:footnoteReference w:id="227"/>
      </w:r>
      <w:r w:rsidRPr="00953037">
        <w:rPr>
          <w:rFonts w:eastAsia="Times New Roman" w:cs="Times New Roman"/>
          <w:iCs/>
          <w:sz w:val="24"/>
          <w:szCs w:val="24"/>
        </w:rPr>
        <w:t>.</w:t>
      </w:r>
    </w:p>
    <w:p w:rsidR="006B2CF8" w:rsidRPr="00953037" w:rsidRDefault="006B2CF8" w:rsidP="00953037">
      <w:pPr>
        <w:widowControl w:val="0"/>
        <w:numPr>
          <w:ilvl w:val="0"/>
          <w:numId w:val="2"/>
        </w:numPr>
        <w:tabs>
          <w:tab w:val="left" w:pos="294"/>
        </w:tabs>
        <w:spacing w:before="120" w:after="0" w:line="240" w:lineRule="auto"/>
        <w:jc w:val="both"/>
        <w:rPr>
          <w:rFonts w:eastAsia="Times New Roman" w:cs="Times New Roman"/>
          <w:sz w:val="24"/>
          <w:szCs w:val="24"/>
        </w:rPr>
      </w:pPr>
      <w:bookmarkStart w:id="53" w:name="bookmark43"/>
      <w:bookmarkEnd w:id="53"/>
      <w:r w:rsidRPr="00953037">
        <w:rPr>
          <w:rFonts w:eastAsia="Times New Roman" w:cs="Times New Roman"/>
          <w:sz w:val="24"/>
          <w:szCs w:val="24"/>
        </w:rPr>
        <w:t>Ustalenia te potwierdzają również wnioski z wizytacji Podkomitetu do spraw Zapobiegania Torturom oraz Innemu Okrutnemu, Nieludzkiemu lub Poniżającemu Traktowaniu albo Karaniu („SPT”), która odbyła się w lipcu 2018 r. W dniu 21 stycznia 2020 r. SPT opublikował raport</w:t>
      </w:r>
      <w:r w:rsidRPr="00953037">
        <w:rPr>
          <w:rFonts w:eastAsia="Times New Roman" w:cs="Times New Roman"/>
          <w:sz w:val="24"/>
          <w:szCs w:val="24"/>
          <w:vertAlign w:val="superscript"/>
        </w:rPr>
        <w:footnoteReference w:id="228"/>
      </w:r>
      <w:r w:rsidRPr="00953037">
        <w:rPr>
          <w:rFonts w:eastAsia="Times New Roman" w:cs="Times New Roman"/>
          <w:sz w:val="24"/>
          <w:szCs w:val="24"/>
        </w:rPr>
        <w:t>, w którym wskazał, że „</w:t>
      </w:r>
      <w:r w:rsidRPr="00953037">
        <w:rPr>
          <w:rFonts w:eastAsia="Times New Roman" w:cs="Times New Roman"/>
          <w:iCs/>
          <w:sz w:val="24"/>
          <w:szCs w:val="24"/>
        </w:rPr>
        <w:t>delegacja usłyszała kilka zarzutów dotyczących złego traktowania, jakie miało miejsce na początkowym etapie zatrzymania i prowadzenia dochodzenia/śledztwa przez policję na niektórych komisariatach policji. Wiarygodność tych zarzutów była zgodna z własnymi obserwacjami delegacji</w:t>
      </w:r>
      <w:r w:rsidRPr="00953037">
        <w:rPr>
          <w:rFonts w:eastAsia="Times New Roman" w:cs="Times New Roman"/>
          <w:sz w:val="24"/>
          <w:szCs w:val="24"/>
        </w:rPr>
        <w:t>.”</w:t>
      </w:r>
      <w:r w:rsidRPr="00953037">
        <w:rPr>
          <w:rFonts w:eastAsia="Times New Roman" w:cs="Times New Roman"/>
          <w:iCs/>
          <w:sz w:val="24"/>
          <w:szCs w:val="24"/>
          <w:vertAlign w:val="superscript"/>
        </w:rPr>
        <w:footnoteReference w:id="229"/>
      </w:r>
      <w:r w:rsidRPr="00953037">
        <w:rPr>
          <w:rFonts w:eastAsia="Times New Roman" w:cs="Times New Roman"/>
          <w:sz w:val="24"/>
          <w:szCs w:val="24"/>
        </w:rPr>
        <w:t xml:space="preserve"> SPT odnotował również, że „</w:t>
      </w:r>
      <w:r w:rsidRPr="00953037">
        <w:rPr>
          <w:rFonts w:eastAsia="Times New Roman" w:cs="Times New Roman"/>
          <w:iCs/>
          <w:sz w:val="24"/>
          <w:szCs w:val="24"/>
        </w:rPr>
        <w:t>złe traktowanie polegało na nadmiernym użyciu siły nie tylko podczas zatrzymania, ale i po przejęciu kontroli nad osobą, a także na biciu podczas przesłuchiwania w areszcie</w:t>
      </w:r>
      <w:r w:rsidRPr="00953037">
        <w:rPr>
          <w:rFonts w:eastAsia="Times New Roman" w:cs="Times New Roman"/>
          <w:sz w:val="24"/>
          <w:szCs w:val="24"/>
        </w:rPr>
        <w:t>”</w:t>
      </w:r>
      <w:r w:rsidRPr="00953037">
        <w:rPr>
          <w:rFonts w:eastAsia="Times New Roman" w:cs="Times New Roman"/>
          <w:iCs/>
          <w:sz w:val="24"/>
          <w:szCs w:val="24"/>
          <w:vertAlign w:val="superscript"/>
        </w:rPr>
        <w:footnoteReference w:id="230"/>
      </w:r>
      <w:r w:rsidRPr="00953037">
        <w:rPr>
          <w:rFonts w:eastAsia="Times New Roman" w:cs="Times New Roman"/>
          <w:sz w:val="24"/>
          <w:szCs w:val="24"/>
        </w:rPr>
        <w:t>. SPT ponadto wyraziło zaniepokojenie faktem, że „</w:t>
      </w:r>
      <w:r w:rsidRPr="00953037">
        <w:rPr>
          <w:rFonts w:eastAsia="Times New Roman" w:cs="Times New Roman"/>
          <w:iCs/>
          <w:sz w:val="24"/>
          <w:szCs w:val="24"/>
        </w:rPr>
        <w:t>przesłuchanie na początkowym etapie postępowania, podczas którego zachodzi największe prawdopodobieństwo złego traktowania, zwykle odbywa się w pomieszczeniach administracyjnych pracowników śledczych policji, które nie są wyposażone w urządzenia rejestrujące</w:t>
      </w:r>
      <w:r w:rsidRPr="00953037">
        <w:rPr>
          <w:rFonts w:eastAsia="Times New Roman" w:cs="Times New Roman"/>
          <w:sz w:val="24"/>
          <w:szCs w:val="24"/>
        </w:rPr>
        <w:t>”</w:t>
      </w:r>
      <w:r w:rsidRPr="00953037">
        <w:rPr>
          <w:rFonts w:eastAsia="Times New Roman" w:cs="Times New Roman"/>
          <w:iCs/>
          <w:sz w:val="24"/>
          <w:szCs w:val="24"/>
          <w:vertAlign w:val="superscript"/>
        </w:rPr>
        <w:footnoteReference w:id="231"/>
      </w:r>
      <w:r w:rsidRPr="00953037">
        <w:rPr>
          <w:rFonts w:eastAsia="Times New Roman" w:cs="Times New Roman"/>
          <w:sz w:val="24"/>
          <w:szCs w:val="24"/>
        </w:rPr>
        <w:t xml:space="preserve">. </w:t>
      </w:r>
    </w:p>
    <w:p w:rsidR="006B2CF8" w:rsidRPr="00953037" w:rsidRDefault="006B2CF8" w:rsidP="00953037">
      <w:pPr>
        <w:widowControl w:val="0"/>
        <w:numPr>
          <w:ilvl w:val="0"/>
          <w:numId w:val="2"/>
        </w:numPr>
        <w:tabs>
          <w:tab w:val="left" w:pos="442"/>
        </w:tabs>
        <w:spacing w:before="120" w:after="0" w:line="240" w:lineRule="auto"/>
        <w:jc w:val="both"/>
        <w:rPr>
          <w:rFonts w:eastAsia="Times New Roman" w:cs="Times New Roman"/>
          <w:sz w:val="24"/>
          <w:szCs w:val="24"/>
        </w:rPr>
      </w:pPr>
      <w:bookmarkStart w:id="54" w:name="bookmark44"/>
      <w:bookmarkEnd w:id="54"/>
      <w:r w:rsidRPr="00953037">
        <w:rPr>
          <w:rFonts w:eastAsia="Times New Roman" w:cs="Times New Roman"/>
          <w:sz w:val="24"/>
          <w:szCs w:val="24"/>
        </w:rPr>
        <w:t xml:space="preserve">Europejski Komitet do Spraw Zapobiegania Torturom oraz Nieludzkiemu lub Poniżającemu Traktowaniu (CPT) również konsekwentnie podnosi kwestię przemocy stosowanej przez funkcjonariuszy Policji w Polsce. W ostatnim raporcie przedstawionym po </w:t>
      </w:r>
      <w:r w:rsidRPr="00953037">
        <w:rPr>
          <w:rFonts w:eastAsia="Times New Roman" w:cs="Times New Roman"/>
          <w:sz w:val="24"/>
          <w:szCs w:val="24"/>
        </w:rPr>
        <w:lastRenderedPageBreak/>
        <w:t>wizycie CPT w 2017 r., CPT poinformował, że miał do czynienia z kilkoma przypadkami zarzutów dotyczących niewłaściwego zachowania fizycznego</w:t>
      </w:r>
      <w:r w:rsidRPr="00953037">
        <w:rPr>
          <w:rFonts w:eastAsia="Times New Roman" w:cs="Times New Roman"/>
          <w:sz w:val="24"/>
          <w:szCs w:val="24"/>
          <w:vertAlign w:val="superscript"/>
        </w:rPr>
        <w:footnoteReference w:id="232"/>
      </w:r>
      <w:r w:rsidRPr="00953037">
        <w:rPr>
          <w:rFonts w:eastAsia="Times New Roman" w:cs="Times New Roman"/>
          <w:sz w:val="24"/>
          <w:szCs w:val="24"/>
        </w:rPr>
        <w:t>. CPT wskazał, że sprawy te w większości dotyczyły „</w:t>
      </w:r>
      <w:r w:rsidRPr="00953037">
        <w:rPr>
          <w:rFonts w:eastAsia="Times New Roman" w:cs="Times New Roman"/>
          <w:iCs/>
          <w:sz w:val="24"/>
          <w:szCs w:val="24"/>
        </w:rPr>
        <w:t>zarzutów odnoszących się do nadmiernego użycia siły w momencie zatrzymania (polegającego na policzkowaniu, uderzaniu pięścią, kopaniu, uderzaniu pałką policyjną, użyciu paralizatora i bardzo ciasnym zakładaniu kajdanek) w stosunku do osób, które według doniesień były już pod kontrolą i które nie stawiały oporu (lub już nie stawiały oporu) przy zatrzymywaniu. Usłyszano również kilka zarzutów dotyczących złego traktowania fizycznego (polegającego głównie na uderzaniu pięścią i kopaniu) w trakcie przesłuchań, w tym dwa zarzuty dotyczące złego traktowania na tyle dotkliwego, że można je zakwalifikować jako stosowanie tortur, tj. duszenie przy użyciu plastikowego worka nałożonego na głowę oraz uderzanie pałką policyjną w podeszwy stóp.”</w:t>
      </w:r>
      <w:r w:rsidRPr="00953037">
        <w:rPr>
          <w:rFonts w:eastAsia="Times New Roman" w:cs="Times New Roman"/>
          <w:iCs/>
          <w:sz w:val="24"/>
          <w:szCs w:val="24"/>
          <w:vertAlign w:val="superscript"/>
        </w:rPr>
        <w:footnoteReference w:id="233"/>
      </w:r>
    </w:p>
    <w:p w:rsidR="006B2CF8" w:rsidRPr="00953037" w:rsidRDefault="006B2CF8" w:rsidP="00953037">
      <w:pPr>
        <w:spacing w:before="120" w:after="0" w:line="240" w:lineRule="auto"/>
        <w:rPr>
          <w:rFonts w:eastAsia="Times New Roman" w:cs="Times New Roman"/>
          <w:b/>
          <w:bCs/>
          <w:sz w:val="24"/>
          <w:szCs w:val="24"/>
        </w:rPr>
      </w:pPr>
      <w:bookmarkStart w:id="55" w:name="bookmark47"/>
      <w:bookmarkStart w:id="56" w:name="bookmark46"/>
      <w:bookmarkStart w:id="57" w:name="bookmark45"/>
      <w:r w:rsidRPr="00953037">
        <w:rPr>
          <w:rFonts w:eastAsia="Times New Roman" w:cs="Times New Roman"/>
          <w:b/>
          <w:bCs/>
          <w:sz w:val="24"/>
          <w:szCs w:val="24"/>
        </w:rPr>
        <w:t>III. 2. Trudności w prowadzeniu postępowań w sprawie nieludzkiego lub poniżającego traktowania albo karania przez funkcjonariuszy policji</w:t>
      </w:r>
      <w:bookmarkEnd w:id="55"/>
      <w:bookmarkEnd w:id="56"/>
      <w:bookmarkEnd w:id="57"/>
    </w:p>
    <w:p w:rsidR="006B2CF8" w:rsidRPr="00953037" w:rsidRDefault="006B2CF8" w:rsidP="00953037">
      <w:pPr>
        <w:widowControl w:val="0"/>
        <w:numPr>
          <w:ilvl w:val="0"/>
          <w:numId w:val="2"/>
        </w:numPr>
        <w:tabs>
          <w:tab w:val="left" w:pos="404"/>
        </w:tabs>
        <w:spacing w:before="120" w:after="0" w:line="240" w:lineRule="auto"/>
        <w:jc w:val="both"/>
        <w:rPr>
          <w:rFonts w:eastAsia="Times New Roman" w:cs="Times New Roman"/>
          <w:sz w:val="24"/>
          <w:szCs w:val="24"/>
        </w:rPr>
      </w:pPr>
      <w:bookmarkStart w:id="58" w:name="bookmark48"/>
      <w:bookmarkEnd w:id="58"/>
      <w:r w:rsidRPr="00953037">
        <w:rPr>
          <w:rFonts w:eastAsia="Times New Roman" w:cs="Times New Roman"/>
          <w:sz w:val="24"/>
          <w:szCs w:val="24"/>
        </w:rPr>
        <w:t>U podstaw przedmiotowej sprawy i wyroku Europejskiego Trybunału Praw Człowieka leży zarzut naruszenia art. 3 Europejskiej Konwencji Praw Człowieka w jego aspekcie proceduralnym. Również wieloletnie doświadczenia HFPC potwierdzają zarzuty i obserwacje organów międzynarodowych, które wskazują na trudności związane z dochodzeniem odpowiedzialności wobec funkcjonariuszy Policji.</w:t>
      </w:r>
    </w:p>
    <w:p w:rsidR="006B2CF8" w:rsidRPr="00953037" w:rsidRDefault="006B2CF8" w:rsidP="00953037">
      <w:pPr>
        <w:widowControl w:val="0"/>
        <w:numPr>
          <w:ilvl w:val="0"/>
          <w:numId w:val="2"/>
        </w:numPr>
        <w:tabs>
          <w:tab w:val="left" w:pos="418"/>
        </w:tabs>
        <w:spacing w:before="120" w:after="0" w:line="240" w:lineRule="auto"/>
        <w:jc w:val="both"/>
        <w:rPr>
          <w:rFonts w:eastAsia="Times New Roman" w:cs="Times New Roman"/>
          <w:sz w:val="24"/>
          <w:szCs w:val="24"/>
        </w:rPr>
      </w:pPr>
      <w:bookmarkStart w:id="59" w:name="bookmark49"/>
      <w:bookmarkEnd w:id="59"/>
      <w:r w:rsidRPr="00953037">
        <w:rPr>
          <w:rFonts w:eastAsia="Times New Roman" w:cs="Times New Roman"/>
          <w:sz w:val="24"/>
          <w:szCs w:val="24"/>
        </w:rPr>
        <w:t>Dane uzyskane przez HFPC w badaniach ankietowych przeprowadzonych wśród prawników potwierdzają nasze obserwacje i stanowią przykład niektórych kwestii. Badanie to przeprowadziliśmy w marcu i kwietniu 2018 roku wśród 47 prawników z różnych części Polski (Warszawa, Poznań, Gdańsk, Łódź, Toruń, Kraków, Katowice).</w:t>
      </w:r>
      <w:r w:rsidRPr="00953037">
        <w:rPr>
          <w:rFonts w:eastAsia="Times New Roman" w:cs="Times New Roman"/>
          <w:sz w:val="24"/>
          <w:szCs w:val="24"/>
          <w:vertAlign w:val="superscript"/>
        </w:rPr>
        <w:footnoteReference w:id="234"/>
      </w:r>
    </w:p>
    <w:p w:rsidR="00953037" w:rsidRDefault="00953037" w:rsidP="00953037">
      <w:pPr>
        <w:widowControl w:val="0"/>
        <w:spacing w:before="120" w:after="0" w:line="240" w:lineRule="auto"/>
        <w:jc w:val="both"/>
        <w:rPr>
          <w:rFonts w:eastAsia="Times New Roman" w:cs="Times New Roman"/>
          <w:sz w:val="24"/>
          <w:szCs w:val="24"/>
        </w:rPr>
      </w:pPr>
    </w:p>
    <w:p w:rsidR="00953037" w:rsidRDefault="00953037" w:rsidP="00953037">
      <w:pPr>
        <w:widowControl w:val="0"/>
        <w:spacing w:before="120" w:after="0" w:line="240" w:lineRule="auto"/>
        <w:jc w:val="both"/>
        <w:rPr>
          <w:rFonts w:eastAsia="Times New Roman" w:cs="Times New Roman"/>
          <w:sz w:val="24"/>
          <w:szCs w:val="24"/>
        </w:rPr>
      </w:pPr>
    </w:p>
    <w:p w:rsidR="00953037" w:rsidRDefault="00953037" w:rsidP="00953037">
      <w:pPr>
        <w:widowControl w:val="0"/>
        <w:spacing w:before="120" w:after="0" w:line="240" w:lineRule="auto"/>
        <w:jc w:val="both"/>
        <w:rPr>
          <w:rFonts w:eastAsia="Times New Roman" w:cs="Times New Roman"/>
          <w:sz w:val="24"/>
          <w:szCs w:val="24"/>
        </w:rPr>
      </w:pPr>
    </w:p>
    <w:p w:rsidR="00953037" w:rsidRDefault="00953037" w:rsidP="00953037">
      <w:pPr>
        <w:widowControl w:val="0"/>
        <w:spacing w:before="120" w:after="0" w:line="240" w:lineRule="auto"/>
        <w:jc w:val="both"/>
        <w:rPr>
          <w:rFonts w:eastAsia="Times New Roman" w:cs="Times New Roman"/>
          <w:sz w:val="24"/>
          <w:szCs w:val="24"/>
        </w:rPr>
      </w:pPr>
    </w:p>
    <w:p w:rsidR="00953037" w:rsidRDefault="00953037" w:rsidP="00953037">
      <w:pPr>
        <w:widowControl w:val="0"/>
        <w:spacing w:before="120" w:after="0" w:line="240" w:lineRule="auto"/>
        <w:jc w:val="both"/>
        <w:rPr>
          <w:rFonts w:eastAsia="Times New Roman" w:cs="Times New Roman"/>
          <w:sz w:val="24"/>
          <w:szCs w:val="24"/>
        </w:rPr>
      </w:pPr>
    </w:p>
    <w:p w:rsidR="00953037" w:rsidRDefault="00953037" w:rsidP="00953037">
      <w:pPr>
        <w:widowControl w:val="0"/>
        <w:spacing w:before="120" w:after="0" w:line="240" w:lineRule="auto"/>
        <w:jc w:val="both"/>
        <w:rPr>
          <w:rFonts w:eastAsia="Times New Roman" w:cs="Times New Roman"/>
          <w:sz w:val="24"/>
          <w:szCs w:val="24"/>
        </w:rPr>
      </w:pPr>
    </w:p>
    <w:p w:rsidR="00953037" w:rsidRDefault="00953037" w:rsidP="00953037">
      <w:pPr>
        <w:widowControl w:val="0"/>
        <w:spacing w:before="120" w:after="0" w:line="240" w:lineRule="auto"/>
        <w:jc w:val="both"/>
        <w:rPr>
          <w:rFonts w:eastAsia="Times New Roman" w:cs="Times New Roman"/>
          <w:sz w:val="24"/>
          <w:szCs w:val="24"/>
        </w:rPr>
      </w:pPr>
    </w:p>
    <w:p w:rsidR="00953037" w:rsidRDefault="00953037" w:rsidP="00953037">
      <w:pPr>
        <w:widowControl w:val="0"/>
        <w:spacing w:before="120" w:after="0" w:line="240" w:lineRule="auto"/>
        <w:jc w:val="both"/>
        <w:rPr>
          <w:rFonts w:eastAsia="Times New Roman" w:cs="Times New Roman"/>
          <w:sz w:val="24"/>
          <w:szCs w:val="24"/>
        </w:rPr>
      </w:pPr>
    </w:p>
    <w:p w:rsidR="00953037" w:rsidRDefault="00953037" w:rsidP="00953037">
      <w:pPr>
        <w:widowControl w:val="0"/>
        <w:spacing w:before="120" w:after="0" w:line="240" w:lineRule="auto"/>
        <w:jc w:val="both"/>
        <w:rPr>
          <w:rFonts w:eastAsia="Times New Roman" w:cs="Times New Roman"/>
          <w:sz w:val="24"/>
          <w:szCs w:val="24"/>
        </w:rPr>
      </w:pPr>
    </w:p>
    <w:p w:rsidR="00953037" w:rsidRDefault="00953037" w:rsidP="00953037">
      <w:pPr>
        <w:widowControl w:val="0"/>
        <w:spacing w:before="120" w:after="0" w:line="240" w:lineRule="auto"/>
        <w:jc w:val="both"/>
        <w:rPr>
          <w:rFonts w:eastAsia="Times New Roman" w:cs="Times New Roman"/>
          <w:sz w:val="24"/>
          <w:szCs w:val="24"/>
        </w:rPr>
      </w:pPr>
    </w:p>
    <w:p w:rsidR="00953037" w:rsidRDefault="00953037" w:rsidP="00953037">
      <w:pPr>
        <w:widowControl w:val="0"/>
        <w:spacing w:before="120" w:after="0" w:line="240" w:lineRule="auto"/>
        <w:jc w:val="both"/>
        <w:rPr>
          <w:rFonts w:eastAsia="Times New Roman" w:cs="Times New Roman"/>
          <w:sz w:val="24"/>
          <w:szCs w:val="24"/>
        </w:rPr>
      </w:pPr>
    </w:p>
    <w:p w:rsidR="006B2CF8" w:rsidRPr="00953037" w:rsidRDefault="006B2CF8" w:rsidP="00953037">
      <w:pPr>
        <w:widowControl w:val="0"/>
        <w:spacing w:before="120" w:after="0" w:line="240" w:lineRule="auto"/>
        <w:jc w:val="both"/>
        <w:rPr>
          <w:rFonts w:eastAsia="Times New Roman" w:cs="Times New Roman"/>
          <w:sz w:val="24"/>
          <w:szCs w:val="24"/>
        </w:rPr>
      </w:pPr>
      <w:r w:rsidRPr="00953037">
        <w:rPr>
          <w:rFonts w:eastAsia="Times New Roman" w:cs="Times New Roman"/>
          <w:sz w:val="24"/>
          <w:szCs w:val="24"/>
        </w:rPr>
        <w:t xml:space="preserve">Wykres. 1. Trudności, z jakimi spotykają się adwokaci, prowadząc sprawy dot. przemocy </w:t>
      </w:r>
      <w:r w:rsidRPr="00953037">
        <w:rPr>
          <w:rFonts w:eastAsia="Times New Roman" w:cs="Times New Roman"/>
          <w:sz w:val="24"/>
          <w:szCs w:val="24"/>
        </w:rPr>
        <w:lastRenderedPageBreak/>
        <w:t>policji</w:t>
      </w:r>
      <w:r w:rsidRPr="00953037">
        <w:rPr>
          <w:rFonts w:eastAsia="Times New Roman" w:cs="Times New Roman"/>
          <w:sz w:val="24"/>
          <w:szCs w:val="24"/>
          <w:vertAlign w:val="superscript"/>
        </w:rPr>
        <w:footnoteReference w:id="235"/>
      </w:r>
    </w:p>
    <w:p w:rsidR="006B2CF8" w:rsidRPr="006B2CF8" w:rsidRDefault="006B2CF8" w:rsidP="006B2CF8">
      <w:pPr>
        <w:widowControl w:val="0"/>
        <w:spacing w:after="0" w:line="240" w:lineRule="auto"/>
        <w:jc w:val="both"/>
        <w:rPr>
          <w:rFonts w:eastAsia="Times New Roman" w:cs="Times New Roman"/>
        </w:rPr>
      </w:pPr>
    </w:p>
    <w:p w:rsidR="006B2CF8" w:rsidRPr="006B2CF8" w:rsidRDefault="006B2CF8" w:rsidP="006B2CF8">
      <w:pPr>
        <w:widowControl w:val="0"/>
        <w:spacing w:after="0" w:line="240" w:lineRule="auto"/>
        <w:jc w:val="both"/>
        <w:rPr>
          <w:rFonts w:eastAsia="Arial Unicode MS" w:cs="Arial Unicode MS"/>
          <w:sz w:val="2"/>
          <w:szCs w:val="2"/>
          <w:lang w:bidi="en-US"/>
        </w:rPr>
      </w:pPr>
      <w:r w:rsidRPr="006B2CF8">
        <w:rPr>
          <w:rFonts w:eastAsia="Arial Unicode MS" w:cs="Arial Unicode MS"/>
          <w:noProof/>
          <w:sz w:val="24"/>
          <w:szCs w:val="24"/>
          <w:lang w:eastAsia="pl-PL"/>
        </w:rPr>
        <mc:AlternateContent>
          <mc:Choice Requires="wps">
            <w:drawing>
              <wp:anchor distT="0" distB="0" distL="114300" distR="114300" simplePos="0" relativeHeight="251661312" behindDoc="0" locked="0" layoutInCell="1" allowOverlap="1" wp14:anchorId="1D126422" wp14:editId="5BD1E0AC">
                <wp:simplePos x="0" y="0"/>
                <wp:positionH relativeFrom="column">
                  <wp:posOffset>2573655</wp:posOffset>
                </wp:positionH>
                <wp:positionV relativeFrom="paragraph">
                  <wp:posOffset>1926590</wp:posOffset>
                </wp:positionV>
                <wp:extent cx="1111885" cy="856615"/>
                <wp:effectExtent l="0" t="0" r="0" b="0"/>
                <wp:wrapNone/>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856615"/>
                        </a:xfrm>
                        <a:prstGeom prst="rect">
                          <a:avLst/>
                        </a:prstGeom>
                        <a:noFill/>
                        <a:ln w="9525">
                          <a:noFill/>
                          <a:miter lim="800000"/>
                          <a:headEnd/>
                          <a:tailEnd/>
                        </a:ln>
                      </wps:spPr>
                      <wps:txbx>
                        <w:txbxContent>
                          <w:p w:rsidR="00B4606C" w:rsidRDefault="00B4606C" w:rsidP="006B2CF8">
                            <w:pPr>
                              <w:jc w:val="center"/>
                              <w:rPr>
                                <w:rFonts w:ascii="Times New Roman" w:hAnsi="Times New Roman" w:cs="Times New Roman"/>
                                <w:sz w:val="20"/>
                                <w:szCs w:val="20"/>
                              </w:rPr>
                            </w:pPr>
                            <w:r>
                              <w:rPr>
                                <w:rFonts w:ascii="Times New Roman" w:hAnsi="Times New Roman"/>
                                <w:sz w:val="20"/>
                                <w:szCs w:val="20"/>
                              </w:rPr>
                              <w:t>Brak reakcji policji na zarzuty dotyczące złego traktowania przez policję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126422" id="_x0000_t202" coordsize="21600,21600" o:spt="202" path="m,l,21600r21600,l21600,xe">
                <v:stroke joinstyle="miter"/>
                <v:path gradientshapeok="t" o:connecttype="rect"/>
              </v:shapetype>
              <v:shape id="Pole tekstowe 2" o:spid="_x0000_s1026" type="#_x0000_t202" style="position:absolute;left:0;text-align:left;margin-left:202.65pt;margin-top:151.7pt;width:87.55pt;height:67.4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yMDgIAAPgDAAAOAAAAZHJzL2Uyb0RvYy54bWysU8Fu2zAMvQ/YPwi6L46DJEuNOEXXLsOA&#10;bivQ7QMYWY6FSqImKbG7rx8lp2mw3Yb5IIgm+cj3SK2vB6PZUfqg0Na8nEw5k1Zgo+y+5j++b9+t&#10;OAsRbAMaraz5swz8evP2zbp3lZxhh7qRnhGIDVXvat7F6KqiCKKTBsIEnbTkbNEbiGT6fdF46And&#10;6GI2nS6LHn3jPAoZAv29G518k/HbVor4rW2DjEzXnHqL+fT53KWz2Kyh2ntwnRKnNuAfujCgLBU9&#10;Q91BBHbw6i8oo4THgG2cCDQFtq0SMnMgNuX0DzaPHTiZuZA4wZ1lCv8PVnw9PnimGppdyZkFQzN6&#10;QC1ZlE8hYi/ZLGnUu1BR6KOj4Dh8wIHiM9/g7lE8BWbxtgO7lzfeY99JaKjHMmUWF6kjTkggu/4L&#10;NlQLDhEz0NB6kwQkSRih06yez/ORQ2QilaRvtVpwJsi3WiyX5SKXgOol2/kQP0k0LF1q7mn+GR2O&#10;9yGmbqB6CUnFLG6V1nkHtGV9za8Ws0VOuPAYFWlFtTJUc5q+cWkSyY+2yckRlB7vVEDbE+tEdKQc&#10;h91AgUmKHTbPxN/juIr0dOjSof/FWU9rWPPw8wBecqY/W9LwqpzP095mY754PyPDX3p2lx6wgqBq&#10;Hjkbr7cx73riGtwNab1VWYbXTk690npldU5PIe3vpZ2jXh/s5jcAAAD//wMAUEsDBBQABgAIAAAA&#10;IQBsaVXB3wAAAAsBAAAPAAAAZHJzL2Rvd25yZXYueG1sTI/LTsMwEEX3SPyDNUjsqE3dQpTGqSrU&#10;liWlRF278ZBExA/Fbhr+nmEFuxndoztnivVkezbiEDvvFDzOBDB0tTedaxRUH7uHDFhM2hnde4cK&#10;vjHCury9KXRu/NW943hMDaMSF3OtoE0p5JzHukWr48wHdJR9+sHqROvQcDPoK5Xbns+FeOJWd44u&#10;tDrgS4v11/FiFYQU9s+vw9ths92Nojrtq3nXbJW6v5s2K2AJp/QHw68+qUNJTmd/cSayXsFCLCWh&#10;CqSQC2BELDNBw5kimUngZcH//1D+AAAA//8DAFBLAQItABQABgAIAAAAIQC2gziS/gAAAOEBAAAT&#10;AAAAAAAAAAAAAAAAAAAAAABbQ29udGVudF9UeXBlc10ueG1sUEsBAi0AFAAGAAgAAAAhADj9If/W&#10;AAAAlAEAAAsAAAAAAAAAAAAAAAAALwEAAF9yZWxzLy5yZWxzUEsBAi0AFAAGAAgAAAAhALmaXIwO&#10;AgAA+AMAAA4AAAAAAAAAAAAAAAAALgIAAGRycy9lMm9Eb2MueG1sUEsBAi0AFAAGAAgAAAAhAGxp&#10;VcHfAAAACwEAAA8AAAAAAAAAAAAAAAAAaAQAAGRycy9kb3ducmV2LnhtbFBLBQYAAAAABAAEAPMA&#10;AAB0BQAAAAA=&#10;" filled="f" stroked="f">
                <v:textbox style="mso-fit-shape-to-text:t">
                  <w:txbxContent>
                    <w:p w:rsidR="00B4606C" w:rsidRDefault="00B4606C" w:rsidP="006B2CF8">
                      <w:pPr>
                        <w:jc w:val="center"/>
                        <w:rPr>
                          <w:rFonts w:ascii="Times New Roman" w:hAnsi="Times New Roman" w:cs="Times New Roman"/>
                          <w:sz w:val="20"/>
                          <w:szCs w:val="20"/>
                        </w:rPr>
                      </w:pPr>
                      <w:r>
                        <w:rPr>
                          <w:rFonts w:ascii="Times New Roman" w:hAnsi="Times New Roman"/>
                          <w:sz w:val="20"/>
                          <w:szCs w:val="20"/>
                        </w:rPr>
                        <w:t>Brak reakcji policji na zarzuty dotyczące złego traktowania przez policję</w:t>
                      </w:r>
                    </w:p>
                  </w:txbxContent>
                </v:textbox>
              </v:shape>
            </w:pict>
          </mc:Fallback>
        </mc:AlternateContent>
      </w:r>
      <w:r w:rsidRPr="006B2CF8">
        <w:rPr>
          <w:rFonts w:eastAsia="Arial Unicode MS" w:cs="Arial Unicode MS"/>
          <w:noProof/>
          <w:sz w:val="24"/>
          <w:szCs w:val="24"/>
          <w:lang w:eastAsia="pl-PL"/>
        </w:rPr>
        <mc:AlternateContent>
          <mc:Choice Requires="wps">
            <w:drawing>
              <wp:anchor distT="0" distB="0" distL="114300" distR="114300" simplePos="0" relativeHeight="251660288" behindDoc="0" locked="0" layoutInCell="1" allowOverlap="1" wp14:anchorId="65982B11" wp14:editId="5F1B62FB">
                <wp:simplePos x="0" y="0"/>
                <wp:positionH relativeFrom="column">
                  <wp:posOffset>1460500</wp:posOffset>
                </wp:positionH>
                <wp:positionV relativeFrom="paragraph">
                  <wp:posOffset>1928495</wp:posOffset>
                </wp:positionV>
                <wp:extent cx="1111885" cy="856615"/>
                <wp:effectExtent l="0" t="0" r="0" b="0"/>
                <wp:wrapNone/>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856615"/>
                        </a:xfrm>
                        <a:prstGeom prst="rect">
                          <a:avLst/>
                        </a:prstGeom>
                        <a:noFill/>
                        <a:ln w="9525">
                          <a:noFill/>
                          <a:miter lim="800000"/>
                          <a:headEnd/>
                          <a:tailEnd/>
                        </a:ln>
                      </wps:spPr>
                      <wps:txbx>
                        <w:txbxContent>
                          <w:p w:rsidR="00B4606C" w:rsidRDefault="00B4606C" w:rsidP="006B2CF8">
                            <w:pPr>
                              <w:jc w:val="center"/>
                              <w:rPr>
                                <w:rFonts w:ascii="Times New Roman" w:hAnsi="Times New Roman" w:cs="Times New Roman"/>
                                <w:sz w:val="20"/>
                                <w:szCs w:val="20"/>
                              </w:rPr>
                            </w:pPr>
                            <w:r>
                              <w:rPr>
                                <w:rFonts w:ascii="Times New Roman" w:hAnsi="Times New Roman"/>
                                <w:sz w:val="20"/>
                                <w:szCs w:val="20"/>
                              </w:rPr>
                              <w:t>Lekceważenie zarzutów dot. złego traktowania przez funkcjonariuszy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982B11" id="_x0000_s1027" type="#_x0000_t202" style="position:absolute;left:0;text-align:left;margin-left:115pt;margin-top:151.85pt;width:87.55pt;height:67.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yFBEAIAAP8DAAAOAAAAZHJzL2Uyb0RvYy54bWysU8Fu2zAMvQ/YPwi6L06CJEuNOEXXLsOA&#10;rivQ7QMYWY6FSqImKbGzrx8lJ1mw3Yb5IIgm+cj3SK1ue6PZQfqg0FZ8MhpzJq3AWtldxb9/27xb&#10;chYi2Bo0Wlnxowz8dv32zapzpZxii7qWnhGIDWXnKt7G6MqiCKKVBsIInbTkbNAbiGT6XVF76Ajd&#10;6GI6Hi+KDn3tPAoZAv19GJx8nfGbRor4tWmCjExXnHqL+fT53KazWK+g3HlwrRKnNuAfujCgLBW9&#10;QD1ABLb36i8oo4THgE0cCTQFNo0SMnMgNpPxH2xeWnAycyFxgrvIFP4frHg6PHumapodyWPB0Iye&#10;UUsW5WuI2Ek2TRp1LpQU+uIoOPYfsKf4zDe4RxSvgVm8b8Hu5J332LUSaupxkjKLq9QBJySQbfcF&#10;a6oF+4gZqG+8SQKSJIzQqZnjZT6yj0ykkvQtl3POBPmW88ViMs8loDxnOx/iJ4mGpUvFPc0/o8Ph&#10;McTUDZTnkFTM4kZpnXdAW9ZV/GY+neeEK49RkVZUK0M1x+kbliaR/GjrnBxB6eFOBbQ9sU5EB8qx&#10;3/aDyGcxt1gfSQaPw0bSC6JLi/4nZx1tY8XDjz14yZn+bEnKm8lsltY3G7P5+ykZ/tqzvfaAFQRV&#10;8cjZcL2PeeUT5eDuSPKNymqk2QydnFqmLcsinV5EWuNrO0f9frfrXwAAAP//AwBQSwMEFAAGAAgA&#10;AAAhAHPIcuTgAAAACwEAAA8AAABkcnMvZG93bnJldi54bWxMj81OwzAQhO9IvIO1SNyo3QTaKo1T&#10;VagtR6BEnN14m0TEP7LdNLw9ywlus5rR7DflZjIDGzHE3lkJ85kAhrZxurethPpj/7ACFpOyWg3O&#10;ooRvjLCpbm9KVWh3te84HlPLqMTGQknoUvIF57Hp0Kg4cx4teWcXjEp0hpbroK5UbgaeCbHgRvWW&#10;PnTK43OHzdfxYiT45A/Ll/D6tt3tR1F/Huqsb3dS3t9N2zWwhFP6C8MvPqFDRUwnd7E6skFClgva&#10;kiTkIl8Co8SjeJoDO5HIVwvgVcn/b6h+AAAA//8DAFBLAQItABQABgAIAAAAIQC2gziS/gAAAOEB&#10;AAATAAAAAAAAAAAAAAAAAAAAAABbQ29udGVudF9UeXBlc10ueG1sUEsBAi0AFAAGAAgAAAAhADj9&#10;If/WAAAAlAEAAAsAAAAAAAAAAAAAAAAALwEAAF9yZWxzLy5yZWxzUEsBAi0AFAAGAAgAAAAhAA/b&#10;IUEQAgAA/wMAAA4AAAAAAAAAAAAAAAAALgIAAGRycy9lMm9Eb2MueG1sUEsBAi0AFAAGAAgAAAAh&#10;AHPIcuTgAAAACwEAAA8AAAAAAAAAAAAAAAAAagQAAGRycy9kb3ducmV2LnhtbFBLBQYAAAAABAAE&#10;APMAAAB3BQAAAAA=&#10;" filled="f" stroked="f">
                <v:textbox style="mso-fit-shape-to-text:t">
                  <w:txbxContent>
                    <w:p w:rsidR="00B4606C" w:rsidRDefault="00B4606C" w:rsidP="006B2CF8">
                      <w:pPr>
                        <w:jc w:val="center"/>
                        <w:rPr>
                          <w:rFonts w:ascii="Times New Roman" w:hAnsi="Times New Roman" w:cs="Times New Roman"/>
                          <w:sz w:val="20"/>
                          <w:szCs w:val="20"/>
                        </w:rPr>
                      </w:pPr>
                      <w:r>
                        <w:rPr>
                          <w:rFonts w:ascii="Times New Roman" w:hAnsi="Times New Roman"/>
                          <w:sz w:val="20"/>
                          <w:szCs w:val="20"/>
                        </w:rPr>
                        <w:t>Lekceważenie zarzutów dot. złego traktowania przez funkcjonariuszy</w:t>
                      </w:r>
                    </w:p>
                  </w:txbxContent>
                </v:textbox>
              </v:shape>
            </w:pict>
          </mc:Fallback>
        </mc:AlternateContent>
      </w:r>
      <w:r w:rsidRPr="006B2CF8">
        <w:rPr>
          <w:rFonts w:eastAsia="Arial Unicode MS" w:cs="Arial Unicode MS"/>
          <w:noProof/>
          <w:sz w:val="24"/>
          <w:szCs w:val="24"/>
          <w:lang w:eastAsia="pl-PL"/>
        </w:rPr>
        <w:drawing>
          <wp:inline distT="0" distB="0" distL="0" distR="0" wp14:anchorId="6D12C81F" wp14:editId="05FF8C4A">
            <wp:extent cx="5901055" cy="1938655"/>
            <wp:effectExtent l="0" t="0" r="4445" b="4445"/>
            <wp:docPr id="2" name="Picut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1055" cy="1938655"/>
                    </a:xfrm>
                    <a:prstGeom prst="rect">
                      <a:avLst/>
                    </a:prstGeom>
                    <a:noFill/>
                    <a:ln>
                      <a:noFill/>
                    </a:ln>
                  </pic:spPr>
                </pic:pic>
              </a:graphicData>
            </a:graphic>
          </wp:inline>
        </w:drawing>
      </w:r>
    </w:p>
    <w:p w:rsidR="006B2CF8" w:rsidRPr="006B2CF8" w:rsidRDefault="006B2CF8" w:rsidP="006B2CF8">
      <w:pPr>
        <w:widowControl w:val="0"/>
        <w:tabs>
          <w:tab w:val="left" w:pos="418"/>
        </w:tabs>
        <w:spacing w:after="280" w:line="264" w:lineRule="auto"/>
        <w:jc w:val="both"/>
        <w:rPr>
          <w:rFonts w:eastAsia="Arial Unicode MS" w:cs="Arial Unicode MS"/>
          <w:sz w:val="24"/>
          <w:szCs w:val="24"/>
        </w:rPr>
      </w:pPr>
      <w:r w:rsidRPr="006B2CF8">
        <w:rPr>
          <w:rFonts w:eastAsia="Times New Roman" w:cs="Times New Roman"/>
          <w:noProof/>
          <w:lang w:eastAsia="pl-PL"/>
        </w:rPr>
        <mc:AlternateContent>
          <mc:Choice Requires="wps">
            <w:drawing>
              <wp:anchor distT="0" distB="0" distL="114300" distR="114300" simplePos="0" relativeHeight="251659264" behindDoc="0" locked="0" layoutInCell="1" allowOverlap="1" wp14:anchorId="19B9064B" wp14:editId="476CA8C6">
                <wp:simplePos x="0" y="0"/>
                <wp:positionH relativeFrom="column">
                  <wp:posOffset>217805</wp:posOffset>
                </wp:positionH>
                <wp:positionV relativeFrom="paragraph">
                  <wp:posOffset>11430</wp:posOffset>
                </wp:positionV>
                <wp:extent cx="1316990" cy="244475"/>
                <wp:effectExtent l="0" t="0" r="0" b="1270"/>
                <wp:wrapNone/>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244475"/>
                        </a:xfrm>
                        <a:prstGeom prst="rect">
                          <a:avLst/>
                        </a:prstGeom>
                        <a:noFill/>
                        <a:ln w="9525">
                          <a:noFill/>
                          <a:miter lim="800000"/>
                          <a:headEnd/>
                          <a:tailEnd/>
                        </a:ln>
                      </wps:spPr>
                      <wps:txbx>
                        <w:txbxContent>
                          <w:p w:rsidR="00B4606C" w:rsidRDefault="00B4606C" w:rsidP="006B2CF8">
                            <w:pPr>
                              <w:jc w:val="center"/>
                              <w:rPr>
                                <w:rFonts w:ascii="Times New Roman" w:hAnsi="Times New Roman" w:cs="Times New Roman"/>
                                <w:sz w:val="20"/>
                                <w:szCs w:val="20"/>
                              </w:rPr>
                            </w:pPr>
                            <w:r>
                              <w:rPr>
                                <w:rFonts w:ascii="Times New Roman" w:hAnsi="Times New Roman"/>
                                <w:sz w:val="20"/>
                                <w:szCs w:val="20"/>
                              </w:rPr>
                              <w:t>Trudności dowodowe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B9064B" id="_x0000_s1028" type="#_x0000_t202" style="position:absolute;left:0;text-align:left;margin-left:17.15pt;margin-top:.9pt;width:103.7pt;height:19.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QUzEQIAAP4DAAAOAAAAZHJzL2Uyb0RvYy54bWysU1Fv0zAQfkfiP1h+p2lDu61R02lsFCEN&#10;mDT4AVfHaazZPmO7Tcav39npSgVviDxYds733X3ffV5dD0azg/RBoa35bDLlTFqBjbK7mv/4vnl3&#10;xVmIYBvQaGXNn2Xg1+u3b1a9q2SJHepGekYgNlS9q3kXo6uKIohOGggTdNJSsEVvINLR74rGQ0/o&#10;RhfldHpR9Ogb51HIEOjv3Rjk64zftlLEb20bZGS65tRbzKvP6zatxXoF1c6D65Q4tgH/0IUBZano&#10;CeoOIrC9V39BGSU8BmzjRKApsG2VkJkDsZlN/2Dz2IGTmQuJE9xJpvD/YMXXw4Nnqqn5kjMLhkb0&#10;gFqyKJ9CxF6yMknUu1DRzUdHd+PwAQcadaYb3D2Kp8As3nZgd/LGe+w7CQ21OEuZxVnqiBMSyLb/&#10;gg3Vgn3EDDS03iT9SBFG6DSq59N45BCZSCXfzy6WSwoJipXz+fxykUtA9ZrtfIifJBqWNjX3NP6M&#10;Dof7EFM3UL1eScUsbpTW2QLasp40WJSLnHAWMSqSQ7UyNb+apm/0TCL50TY5OYLS454KaHtknYiO&#10;lOOwHbLGJzG32DyTDB5HQ9IDok2H/hdnPZmx5uHnHrzkTH+2JOVyNp8n9+bDfHFZ0sGfR7bnEbCC&#10;oGoeORu3tzE7PlEO7oYk36isRprN2MmxZTJZFun4IJKLz8/51u9nu34BAAD//wMAUEsDBBQABgAI&#10;AAAAIQD1kyow3AAAAAcBAAAPAAAAZHJzL2Rvd25yZXYueG1sTI/NTsMwEITvSLyDtUjcqN0koiiN&#10;U1WoLUegRD278ZJExD+y3TS8PcsJjrMzmvm22sxmZBOGODgrYbkQwNC2Tg+2k9B87B+egMWkrFaj&#10;syjhGyNs6tubSpXaXe07TsfUMSqxsVQS+pR8yXlsezQqLpxHS96nC0YlkqHjOqgrlZuRZ0I8cqMG&#10;Swu98vjcY/t1vBgJPvnD6iW8vm13+0k0p0OTDd1Oyvu7ebsGlnBOf2H4xSd0qInp7C5WRzZKyIuc&#10;knSnB8jOiuUK2FlCIXLgdcX/89c/AAAA//8DAFBLAQItABQABgAIAAAAIQC2gziS/gAAAOEBAAAT&#10;AAAAAAAAAAAAAAAAAAAAAABbQ29udGVudF9UeXBlc10ueG1sUEsBAi0AFAAGAAgAAAAhADj9If/W&#10;AAAAlAEAAAsAAAAAAAAAAAAAAAAALwEAAF9yZWxzLy5yZWxzUEsBAi0AFAAGAAgAAAAhANrRBTMR&#10;AgAA/gMAAA4AAAAAAAAAAAAAAAAALgIAAGRycy9lMm9Eb2MueG1sUEsBAi0AFAAGAAgAAAAhAPWT&#10;KjDcAAAABwEAAA8AAAAAAAAAAAAAAAAAawQAAGRycy9kb3ducmV2LnhtbFBLBQYAAAAABAAEAPMA&#10;AAB0BQAAAAA=&#10;" filled="f" stroked="f">
                <v:textbox style="mso-fit-shape-to-text:t">
                  <w:txbxContent>
                    <w:p w:rsidR="00B4606C" w:rsidRDefault="00B4606C" w:rsidP="006B2CF8">
                      <w:pPr>
                        <w:jc w:val="center"/>
                        <w:rPr>
                          <w:rFonts w:ascii="Times New Roman" w:hAnsi="Times New Roman" w:cs="Times New Roman"/>
                          <w:sz w:val="20"/>
                          <w:szCs w:val="20"/>
                        </w:rPr>
                      </w:pPr>
                      <w:r>
                        <w:rPr>
                          <w:rFonts w:ascii="Times New Roman" w:hAnsi="Times New Roman"/>
                          <w:sz w:val="20"/>
                          <w:szCs w:val="20"/>
                        </w:rPr>
                        <w:t>Trudności dowodowe</w:t>
                      </w:r>
                    </w:p>
                  </w:txbxContent>
                </v:textbox>
              </v:shape>
            </w:pict>
          </mc:Fallback>
        </mc:AlternateContent>
      </w:r>
      <w:r w:rsidRPr="006B2CF8">
        <w:rPr>
          <w:rFonts w:eastAsia="Times New Roman" w:cs="Times New Roman"/>
          <w:noProof/>
          <w:lang w:eastAsia="pl-PL"/>
        </w:rPr>
        <mc:AlternateContent>
          <mc:Choice Requires="wps">
            <w:drawing>
              <wp:anchor distT="0" distB="0" distL="114300" distR="114300" simplePos="0" relativeHeight="251662336" behindDoc="0" locked="0" layoutInCell="1" allowOverlap="1" wp14:anchorId="6A3319ED" wp14:editId="4357832C">
                <wp:simplePos x="0" y="0"/>
                <wp:positionH relativeFrom="column">
                  <wp:posOffset>3684905</wp:posOffset>
                </wp:positionH>
                <wp:positionV relativeFrom="paragraph">
                  <wp:posOffset>5715</wp:posOffset>
                </wp:positionV>
                <wp:extent cx="1241425" cy="397510"/>
                <wp:effectExtent l="0" t="0" r="0" b="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397510"/>
                        </a:xfrm>
                        <a:prstGeom prst="rect">
                          <a:avLst/>
                        </a:prstGeom>
                        <a:noFill/>
                        <a:ln w="9525">
                          <a:noFill/>
                          <a:miter lim="800000"/>
                          <a:headEnd/>
                          <a:tailEnd/>
                        </a:ln>
                      </wps:spPr>
                      <wps:txbx>
                        <w:txbxContent>
                          <w:p w:rsidR="00B4606C" w:rsidRDefault="00B4606C" w:rsidP="006B2CF8">
                            <w:pPr>
                              <w:jc w:val="center"/>
                              <w:rPr>
                                <w:rFonts w:ascii="Times New Roman" w:hAnsi="Times New Roman" w:cs="Times New Roman"/>
                                <w:sz w:val="20"/>
                                <w:szCs w:val="20"/>
                              </w:rPr>
                            </w:pPr>
                            <w:r>
                              <w:rPr>
                                <w:rFonts w:ascii="Times New Roman" w:hAnsi="Times New Roman"/>
                                <w:sz w:val="20"/>
                                <w:szCs w:val="20"/>
                              </w:rPr>
                              <w:t>Przewlekłość</w:t>
                            </w:r>
                          </w:p>
                          <w:p w:rsidR="00B4606C" w:rsidRDefault="00B4606C" w:rsidP="006B2CF8">
                            <w:pPr>
                              <w:jc w:val="center"/>
                              <w:rPr>
                                <w:rFonts w:ascii="Times New Roman" w:hAnsi="Times New Roman" w:cs="Times New Roman"/>
                                <w:sz w:val="20"/>
                                <w:szCs w:val="20"/>
                              </w:rPr>
                            </w:pPr>
                            <w:r>
                              <w:rPr>
                                <w:rFonts w:ascii="Times New Roman" w:hAnsi="Times New Roman"/>
                                <w:sz w:val="20"/>
                                <w:szCs w:val="20"/>
                              </w:rPr>
                              <w:t>postępowań</w:t>
                            </w:r>
                          </w:p>
                          <w:p w:rsidR="00B4606C" w:rsidRDefault="00B4606C" w:rsidP="006B2CF8">
                            <w:pPr>
                              <w:rPr>
                                <w:rFonts w:ascii="Times New Roman" w:hAnsi="Times New Roman" w:cs="Times New Roman"/>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3319ED" id="_x0000_s1029" type="#_x0000_t202" style="position:absolute;left:0;text-align:left;margin-left:290.15pt;margin-top:.45pt;width:97.75pt;height:31.3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1oEQIAAP4DAAAOAAAAZHJzL2Uyb0RvYy54bWysU11v2yAUfZ+0/4B4X/zRZF2sOFXXLtOk&#10;bqvU7QdgjGNU4DIgsbNf3wtOsqh7m+YHxPWFc+8597C6GbUie+G8BFPTYpZTIgyHVpptTX/+2Lz7&#10;QIkPzLRMgRE1PQhPb9Zv36wGW4kSelCtcARBjK8GW9M+BFtlmee90MzPwAqDyQ6cZgFDt81axwZE&#10;1yor8/x9NoBrrQMuvMe/91OSrhN+1wkevnedF4GommJvIa0urU1cs/WKVVvHbC/5sQ32D11oJg0W&#10;PUPds8DIzsm/oLTkDjx0YcZBZ9B1kovEAdkU+Ss2Tz2zInFBcbw9y+T/Hyz/tn90RLY1xUEZpnFE&#10;j6AECeLZBxgEKaNEg/UVnnyyeDaMH2HEUSe63j4Af/bEwF3PzFbcOgdDL1iLLRbxZnZxdcLxEaQZ&#10;vkKLtdguQAIaO6ejfqgIQXQc1eE8HjEGwmPJcl7MywUlHHNXy+tFkeaXsep02zofPgvQJG5q6nD8&#10;CZ3tH3yI3bDqdCQWM7CRSiULKEOGmi4XCP8qo2VAhyqpUaI8fpNnIslPpk2XA5Nq2mMBZY6sI9GJ&#10;chibMWl8dRKzgfaAMjiYDIkPCDc9uN+UDGjGmvpfO+YEJeqLQSmXxXwe3ZuC+eK6xMBdZprLDDMc&#10;oWoaKJm2dyE5PhLz9hYl38ikRpzN1MmxZTRZEun4IKKLL+N06s+zXb8AAAD//wMAUEsDBBQABgAI&#10;AAAAIQCuXKXU3QAAAAcBAAAPAAAAZHJzL2Rvd25yZXYueG1sTI/BTsMwEETvSPyDtUjcqE2rNG2a&#10;TVWhthyBEnF2Y5NExGvLdtPw95gTHEczmnlTbiczsFH70FtCeJwJYJoaq3pqEer3w8MKWIiSlBws&#10;aYRvHWBb3d6UslD2Sm96PMWWpRIKhUToYnQF56HptJFhZp2m5H1ab2RM0rdceXlN5WbgcyGW3Mie&#10;0kInnX7qdPN1uhgEF90xf/Yvr7v9YRT1x7Ge9+0e8f5u2m2ART3FvzD84id0qBLT2V5IBTYgZCux&#10;SFGENbBk53mWnpwRlosMeFXy//zVDwAAAP//AwBQSwECLQAUAAYACAAAACEAtoM4kv4AAADhAQAA&#10;EwAAAAAAAAAAAAAAAAAAAAAAW0NvbnRlbnRfVHlwZXNdLnhtbFBLAQItABQABgAIAAAAIQA4/SH/&#10;1gAAAJQBAAALAAAAAAAAAAAAAAAAAC8BAABfcmVscy8ucmVsc1BLAQItABQABgAIAAAAIQBBfm1o&#10;EQIAAP4DAAAOAAAAAAAAAAAAAAAAAC4CAABkcnMvZTJvRG9jLnhtbFBLAQItABQABgAIAAAAIQCu&#10;XKXU3QAAAAcBAAAPAAAAAAAAAAAAAAAAAGsEAABkcnMvZG93bnJldi54bWxQSwUGAAAAAAQABADz&#10;AAAAdQUAAAAA&#10;" filled="f" stroked="f">
                <v:textbox style="mso-fit-shape-to-text:t">
                  <w:txbxContent>
                    <w:p w:rsidR="00B4606C" w:rsidRDefault="00B4606C" w:rsidP="006B2CF8">
                      <w:pPr>
                        <w:jc w:val="center"/>
                        <w:rPr>
                          <w:rFonts w:ascii="Times New Roman" w:hAnsi="Times New Roman" w:cs="Times New Roman"/>
                          <w:sz w:val="20"/>
                          <w:szCs w:val="20"/>
                        </w:rPr>
                      </w:pPr>
                      <w:r>
                        <w:rPr>
                          <w:rFonts w:ascii="Times New Roman" w:hAnsi="Times New Roman"/>
                          <w:sz w:val="20"/>
                          <w:szCs w:val="20"/>
                        </w:rPr>
                        <w:t>Przewlekłość</w:t>
                      </w:r>
                    </w:p>
                    <w:p w:rsidR="00B4606C" w:rsidRDefault="00B4606C" w:rsidP="006B2CF8">
                      <w:pPr>
                        <w:jc w:val="center"/>
                        <w:rPr>
                          <w:rFonts w:ascii="Times New Roman" w:hAnsi="Times New Roman" w:cs="Times New Roman"/>
                          <w:sz w:val="20"/>
                          <w:szCs w:val="20"/>
                        </w:rPr>
                      </w:pPr>
                      <w:r>
                        <w:rPr>
                          <w:rFonts w:ascii="Times New Roman" w:hAnsi="Times New Roman"/>
                          <w:sz w:val="20"/>
                          <w:szCs w:val="20"/>
                        </w:rPr>
                        <w:t>postępowań</w:t>
                      </w:r>
                    </w:p>
                    <w:p w:rsidR="00B4606C" w:rsidRDefault="00B4606C" w:rsidP="006B2CF8">
                      <w:pPr>
                        <w:rPr>
                          <w:rFonts w:ascii="Times New Roman" w:hAnsi="Times New Roman" w:cs="Times New Roman"/>
                          <w:sz w:val="20"/>
                          <w:szCs w:val="20"/>
                        </w:rPr>
                      </w:pPr>
                    </w:p>
                  </w:txbxContent>
                </v:textbox>
              </v:shape>
            </w:pict>
          </mc:Fallback>
        </mc:AlternateContent>
      </w:r>
      <w:r w:rsidRPr="006B2CF8">
        <w:rPr>
          <w:rFonts w:eastAsia="Times New Roman" w:cs="Times New Roman"/>
          <w:noProof/>
          <w:lang w:eastAsia="pl-PL"/>
        </w:rPr>
        <mc:AlternateContent>
          <mc:Choice Requires="wps">
            <w:drawing>
              <wp:anchor distT="0" distB="0" distL="114300" distR="114300" simplePos="0" relativeHeight="251663360" behindDoc="0" locked="0" layoutInCell="1" allowOverlap="1" wp14:anchorId="45767928" wp14:editId="4B80EF35">
                <wp:simplePos x="0" y="0"/>
                <wp:positionH relativeFrom="column">
                  <wp:posOffset>4763770</wp:posOffset>
                </wp:positionH>
                <wp:positionV relativeFrom="paragraph">
                  <wp:posOffset>6350</wp:posOffset>
                </wp:positionV>
                <wp:extent cx="1316990" cy="856615"/>
                <wp:effectExtent l="0" t="0" r="0" b="0"/>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856615"/>
                        </a:xfrm>
                        <a:prstGeom prst="rect">
                          <a:avLst/>
                        </a:prstGeom>
                        <a:noFill/>
                        <a:ln w="9525">
                          <a:noFill/>
                          <a:miter lim="800000"/>
                          <a:headEnd/>
                          <a:tailEnd/>
                        </a:ln>
                      </wps:spPr>
                      <wps:txbx>
                        <w:txbxContent>
                          <w:p w:rsidR="00B4606C" w:rsidRDefault="00B4606C" w:rsidP="006B2CF8">
                            <w:pPr>
                              <w:jc w:val="center"/>
                              <w:rPr>
                                <w:rFonts w:ascii="Times New Roman" w:hAnsi="Times New Roman" w:cs="Times New Roman"/>
                                <w:sz w:val="20"/>
                                <w:szCs w:val="20"/>
                              </w:rPr>
                            </w:pPr>
                            <w:r>
                              <w:rPr>
                                <w:rFonts w:ascii="Times New Roman" w:hAnsi="Times New Roman"/>
                                <w:sz w:val="20"/>
                                <w:szCs w:val="20"/>
                              </w:rPr>
                              <w:t>Podejście sędziów w sprawach dot. złego traktowania przez funkcjonariuszy policji</w:t>
                            </w:r>
                          </w:p>
                          <w:p w:rsidR="00B4606C" w:rsidRDefault="00B4606C" w:rsidP="006B2CF8">
                            <w:pPr>
                              <w:rPr>
                                <w:rFonts w:ascii="Times New Roman" w:hAnsi="Times New Roman" w:cs="Times New Roman"/>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767928" id="_x0000_s1030" type="#_x0000_t202" style="position:absolute;left:0;text-align:left;margin-left:375.1pt;margin-top:.5pt;width:103.7pt;height:67.4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mAEgIAAP4DAAAOAAAAZHJzL2Uyb0RvYy54bWysU8FuEzEQvSPxD5bvZJOQpM0qm6q0BCEV&#10;qFT4gInXm7Vqe4ztZLd8fcfeJERwQ+zBsnc8b+a9eV7d9Eazg/RBoa34ZDTmTFqBtbK7iv/4vnl3&#10;zVmIYGvQaGXFX2TgN+u3b1adK+UUW9S19IxAbCg7V/E2RlcWRRCtNBBG6KSlYIPeQKSj3xW1h47Q&#10;jS6m4/Gi6NDXzqOQIdDf+yHI1xm/aaSI35omyMh0xam3mFef121ai/UKyp0H1ypxbAP+oQsDylLR&#10;M9Q9RGB7r/6CMkp4DNjEkUBTYNMoITMHYjMZ/8HmqQUnMxcSJ7izTOH/wYqvh0fPVF3xK84sGBrR&#10;I2rJonwOETvJpkmizoWSbj45uhv7D9jTqDPd4B5QPAdm8a4Fu5O33mPXSqipxUnKLC5SB5yQQLbd&#10;F6ypFuwjZqC+8SbpR4owQqdRvZzHI/vIRCr5frJYLikkKHY9Xywm81wCylO28yF+kmhY2lTc0/gz&#10;OhweQkzdQHm6kopZ3CitswW0ZV3Fl/PpPCdcRIyK5FCtDNUcp2/wTCL50dY5OYLSw54KaHtknYgO&#10;lGO/7bPGs5OYW6xfSAaPgyHpAdGmRf+Ls47MWPHwcw9ecqY/W5JyOZnNknvzYTa/mtLBX0a2lxGw&#10;gqAqHjkbtncxOz5RDu6WJN+orEaazdDJsWUyWRbp+CCSiy/P+dbvZ7t+BQAA//8DAFBLAwQUAAYA&#10;CAAAACEAndi/INwAAAAJAQAADwAAAGRycy9kb3ducmV2LnhtbEyPy07DMBBF90j8gzVI7KhNUBoa&#10;4lQVasuSUiLWbjwkEfFDtpuGv2dYwfLqXN1HtZ7NyCYMcXBWwv1CAEPbOj3YTkLzvrt7BBaTslqN&#10;zqKEb4ywrq+vKlVqd7FvOB1TxyjExlJJ6FPyJeex7dGouHAeLbFPF4xKJEPHdVAXCjcjz4RYcqMG&#10;Sw298vjcY/t1PBsJPvl98RJeD5vtbhLNx77Jhm4r5e3NvHkClnBOf2b4nU/ToaZNJ3e2OrJRQpGL&#10;jKwE6BLxVV4sgZ1IP+Qr4HXF/z+ofwAAAP//AwBQSwECLQAUAAYACAAAACEAtoM4kv4AAADhAQAA&#10;EwAAAAAAAAAAAAAAAAAAAAAAW0NvbnRlbnRfVHlwZXNdLnhtbFBLAQItABQABgAIAAAAIQA4/SH/&#10;1gAAAJQBAAALAAAAAAAAAAAAAAAAAC8BAABfcmVscy8ucmVsc1BLAQItABQABgAIAAAAIQAoBymA&#10;EgIAAP4DAAAOAAAAAAAAAAAAAAAAAC4CAABkcnMvZTJvRG9jLnhtbFBLAQItABQABgAIAAAAIQCd&#10;2L8g3AAAAAkBAAAPAAAAAAAAAAAAAAAAAGwEAABkcnMvZG93bnJldi54bWxQSwUGAAAAAAQABADz&#10;AAAAdQUAAAAA&#10;" filled="f" stroked="f">
                <v:textbox style="mso-fit-shape-to-text:t">
                  <w:txbxContent>
                    <w:p w:rsidR="00B4606C" w:rsidRDefault="00B4606C" w:rsidP="006B2CF8">
                      <w:pPr>
                        <w:jc w:val="center"/>
                        <w:rPr>
                          <w:rFonts w:ascii="Times New Roman" w:hAnsi="Times New Roman" w:cs="Times New Roman"/>
                          <w:sz w:val="20"/>
                          <w:szCs w:val="20"/>
                        </w:rPr>
                      </w:pPr>
                      <w:r>
                        <w:rPr>
                          <w:rFonts w:ascii="Times New Roman" w:hAnsi="Times New Roman"/>
                          <w:sz w:val="20"/>
                          <w:szCs w:val="20"/>
                        </w:rPr>
                        <w:t>Podejście sędziów w sprawach dot. złego traktowania przez funkcjonariuszy policji</w:t>
                      </w:r>
                    </w:p>
                    <w:p w:rsidR="00B4606C" w:rsidRDefault="00B4606C" w:rsidP="006B2CF8">
                      <w:pPr>
                        <w:rPr>
                          <w:rFonts w:ascii="Times New Roman" w:hAnsi="Times New Roman" w:cs="Times New Roman"/>
                          <w:sz w:val="20"/>
                          <w:szCs w:val="20"/>
                        </w:rPr>
                      </w:pPr>
                    </w:p>
                  </w:txbxContent>
                </v:textbox>
              </v:shape>
            </w:pict>
          </mc:Fallback>
        </mc:AlternateContent>
      </w:r>
      <w:bookmarkStart w:id="60" w:name="bookmark50"/>
      <w:bookmarkEnd w:id="60"/>
    </w:p>
    <w:p w:rsidR="006B2CF8" w:rsidRPr="006B2CF8" w:rsidRDefault="006B2CF8" w:rsidP="006B2CF8">
      <w:pPr>
        <w:widowControl w:val="0"/>
        <w:tabs>
          <w:tab w:val="left" w:pos="418"/>
        </w:tabs>
        <w:spacing w:after="280" w:line="264" w:lineRule="auto"/>
        <w:jc w:val="both"/>
        <w:rPr>
          <w:rFonts w:eastAsia="Arial Unicode MS" w:cs="Arial Unicode MS"/>
          <w:sz w:val="24"/>
          <w:szCs w:val="24"/>
        </w:rPr>
      </w:pPr>
    </w:p>
    <w:p w:rsidR="006B2CF8" w:rsidRPr="006B2CF8" w:rsidRDefault="006B2CF8" w:rsidP="006B2CF8">
      <w:pPr>
        <w:widowControl w:val="0"/>
        <w:tabs>
          <w:tab w:val="left" w:pos="418"/>
        </w:tabs>
        <w:spacing w:after="280" w:line="264" w:lineRule="auto"/>
        <w:jc w:val="both"/>
        <w:rPr>
          <w:rFonts w:eastAsia="Times New Roman" w:cs="Times New Roman"/>
        </w:rPr>
      </w:pPr>
    </w:p>
    <w:p w:rsidR="006B2CF8" w:rsidRPr="006B2CF8" w:rsidRDefault="006B2CF8" w:rsidP="00953037">
      <w:pPr>
        <w:widowControl w:val="0"/>
        <w:numPr>
          <w:ilvl w:val="0"/>
          <w:numId w:val="2"/>
        </w:numPr>
        <w:tabs>
          <w:tab w:val="left" w:pos="418"/>
        </w:tabs>
        <w:spacing w:before="120" w:after="0" w:line="240" w:lineRule="auto"/>
        <w:jc w:val="both"/>
        <w:rPr>
          <w:rFonts w:eastAsia="Times New Roman" w:cs="Times New Roman"/>
          <w:sz w:val="24"/>
          <w:szCs w:val="24"/>
        </w:rPr>
      </w:pPr>
      <w:r w:rsidRPr="006B2CF8">
        <w:rPr>
          <w:rFonts w:eastAsia="Times New Roman" w:cs="Times New Roman"/>
          <w:sz w:val="24"/>
          <w:szCs w:val="24"/>
        </w:rPr>
        <w:t>Analiza danych zawartych w opracowaniu HFPC wyraźnie wskazuje, że najczęstszymi problemami są trudności dowodowe w postępowaniach przeciwko funkcjonariuszom Policji, ale także lekceważenie zarzutów dotyczących złego oraz upokarzającego traktowania. Na podobnym poziomie znalazły się: brak reakcji policji na podnoszone zarzuty dotyczące złego oraz upokarzającego traktowania przez policjantów oraz niewłaściwe podejście sędziów w sprawach tego typu. Rzadziej adwokaci wskazywali, że problem stanowi przewlekłość postępowań, zaś dwóch adwokatów podniosło – jako inny przykład trudności – przyznawanie przez sędziów zeznaniom funkcjonariuszy Policji większego znaczenia. Jeden z adwokatów dodał także, że podejrzani obawiają się wnieść skargę na policjantów, ponieważ uważają, że może to pogorszyć ich sytuację (dotyczy to zwłaszcza podejrzanych, którzy są tymczasowo aresztowani)</w:t>
      </w:r>
      <w:r w:rsidRPr="006B2CF8">
        <w:rPr>
          <w:rFonts w:eastAsia="Times New Roman" w:cs="Times New Roman"/>
          <w:sz w:val="24"/>
          <w:szCs w:val="24"/>
          <w:vertAlign w:val="superscript"/>
        </w:rPr>
        <w:footnoteReference w:id="236"/>
      </w:r>
      <w:r w:rsidRPr="006B2CF8">
        <w:rPr>
          <w:rFonts w:eastAsia="Times New Roman" w:cs="Times New Roman"/>
          <w:sz w:val="24"/>
          <w:szCs w:val="24"/>
        </w:rPr>
        <w:t>.</w:t>
      </w:r>
    </w:p>
    <w:p w:rsidR="006B2CF8" w:rsidRPr="006B2CF8" w:rsidRDefault="006B2CF8" w:rsidP="00953037">
      <w:pPr>
        <w:widowControl w:val="0"/>
        <w:numPr>
          <w:ilvl w:val="0"/>
          <w:numId w:val="2"/>
        </w:numPr>
        <w:tabs>
          <w:tab w:val="left" w:pos="406"/>
        </w:tabs>
        <w:spacing w:before="120" w:after="0" w:line="240" w:lineRule="auto"/>
        <w:jc w:val="both"/>
        <w:rPr>
          <w:rFonts w:eastAsia="Times New Roman" w:cs="Times New Roman"/>
          <w:sz w:val="24"/>
          <w:szCs w:val="24"/>
        </w:rPr>
      </w:pPr>
      <w:bookmarkStart w:id="61" w:name="bookmark51"/>
      <w:bookmarkEnd w:id="61"/>
      <w:r w:rsidRPr="006B2CF8">
        <w:rPr>
          <w:rFonts w:eastAsia="Times New Roman" w:cs="Times New Roman"/>
          <w:sz w:val="24"/>
          <w:szCs w:val="24"/>
        </w:rPr>
        <w:t xml:space="preserve">Oczywiście, ze względu na wielkość próby, było to badanie jakościowe, a nie ilościowe. Wyniki badania potwierdza jednak również Naczelna Rada Adwokacka (dalej: NRA) w swojej opinii </w:t>
      </w:r>
      <w:r w:rsidRPr="006B2CF8">
        <w:rPr>
          <w:rFonts w:eastAsia="Times New Roman" w:cs="Times New Roman"/>
          <w:i/>
          <w:iCs/>
          <w:sz w:val="24"/>
          <w:szCs w:val="24"/>
        </w:rPr>
        <w:t>amicus curiae</w:t>
      </w:r>
      <w:r w:rsidRPr="006B2CF8">
        <w:rPr>
          <w:rFonts w:eastAsia="Times New Roman" w:cs="Times New Roman"/>
          <w:sz w:val="24"/>
          <w:szCs w:val="24"/>
        </w:rPr>
        <w:t xml:space="preserve"> przedstawionej w sprawie </w:t>
      </w:r>
      <w:r w:rsidR="00953037">
        <w:rPr>
          <w:rFonts w:eastAsia="Times New Roman" w:cs="Times New Roman"/>
          <w:i/>
          <w:iCs/>
          <w:sz w:val="24"/>
          <w:szCs w:val="24"/>
        </w:rPr>
        <w:t>Kuchta i Mętel p.</w:t>
      </w:r>
      <w:r w:rsidRPr="006B2CF8">
        <w:rPr>
          <w:rFonts w:eastAsia="Times New Roman" w:cs="Times New Roman"/>
          <w:i/>
          <w:iCs/>
          <w:sz w:val="24"/>
          <w:szCs w:val="24"/>
        </w:rPr>
        <w:t xml:space="preserve"> Polsce</w:t>
      </w:r>
      <w:r w:rsidRPr="006B2CF8">
        <w:rPr>
          <w:rFonts w:eastAsia="Times New Roman" w:cs="Times New Roman"/>
          <w:sz w:val="24"/>
          <w:szCs w:val="24"/>
          <w:vertAlign w:val="superscript"/>
        </w:rPr>
        <w:footnoteReference w:id="237"/>
      </w:r>
      <w:r w:rsidRPr="006B2CF8">
        <w:rPr>
          <w:rFonts w:eastAsia="Times New Roman" w:cs="Times New Roman"/>
          <w:sz w:val="24"/>
          <w:szCs w:val="24"/>
        </w:rPr>
        <w:t>, w którym zgłoszone uwagi oparte są na doświadczeniach znacznie szerszej grupy praktyków prawa.</w:t>
      </w:r>
    </w:p>
    <w:p w:rsidR="006B2CF8" w:rsidRPr="00953037" w:rsidRDefault="006B2CF8" w:rsidP="00953037">
      <w:pPr>
        <w:widowControl w:val="0"/>
        <w:numPr>
          <w:ilvl w:val="0"/>
          <w:numId w:val="2"/>
        </w:numPr>
        <w:tabs>
          <w:tab w:val="left" w:pos="433"/>
        </w:tabs>
        <w:spacing w:before="120" w:after="0" w:line="240" w:lineRule="auto"/>
        <w:jc w:val="both"/>
        <w:rPr>
          <w:rFonts w:eastAsia="Times New Roman" w:cs="Times New Roman"/>
          <w:sz w:val="24"/>
          <w:szCs w:val="24"/>
        </w:rPr>
      </w:pPr>
      <w:bookmarkStart w:id="62" w:name="bookmark52"/>
      <w:bookmarkEnd w:id="62"/>
      <w:r w:rsidRPr="006B2CF8">
        <w:rPr>
          <w:rFonts w:eastAsia="Times New Roman" w:cs="Times New Roman"/>
          <w:sz w:val="24"/>
          <w:szCs w:val="24"/>
        </w:rPr>
        <w:t>Z opinii NRA wynika, że najczęstszym rodzajem dowodów w takich sprawach są zeznania pokrzywdzonego i wytypowanego sprawcy.</w:t>
      </w:r>
      <w:r w:rsidRPr="006B2CF8">
        <w:rPr>
          <w:rFonts w:eastAsia="Times New Roman" w:cs="Times New Roman"/>
          <w:sz w:val="24"/>
          <w:szCs w:val="24"/>
          <w:vertAlign w:val="superscript"/>
        </w:rPr>
        <w:footnoteReference w:id="238"/>
      </w:r>
      <w:r w:rsidRPr="006B2CF8">
        <w:rPr>
          <w:rFonts w:eastAsia="Times New Roman" w:cs="Times New Roman"/>
          <w:sz w:val="24"/>
          <w:szCs w:val="24"/>
        </w:rPr>
        <w:t xml:space="preserve"> We wspomnianej opinii zauważono, że postępowanie </w:t>
      </w:r>
      <w:r w:rsidRPr="00953037">
        <w:rPr>
          <w:rFonts w:eastAsia="Times New Roman" w:cs="Times New Roman"/>
          <w:sz w:val="24"/>
          <w:szCs w:val="24"/>
        </w:rPr>
        <w:t>„</w:t>
      </w:r>
      <w:r w:rsidRPr="00953037">
        <w:rPr>
          <w:rFonts w:eastAsia="Times New Roman" w:cs="Times New Roman"/>
          <w:iCs/>
          <w:sz w:val="24"/>
          <w:szCs w:val="24"/>
        </w:rPr>
        <w:t xml:space="preserve">często koncentruje się na ocenie funkcjonariuszy policji w świetle przepisów dotyczących stosowania środków przymusu bezpośredniego przez policję. Prokuratorzy i sądy często mają tendencję do przyznawania policjantom waloru wiarygodności już z samego faktu, że są oni funkcjonariuszami publicznymi. Niektórzy adwokaci zauważyli, że nawet jeśli w trakcie postępowania dotyczącego zarzucanych aktów nadużycia siły przez funkcjonariuszy </w:t>
      </w:r>
      <w:r w:rsidRPr="00953037">
        <w:rPr>
          <w:rFonts w:eastAsia="Times New Roman" w:cs="Times New Roman"/>
          <w:iCs/>
          <w:sz w:val="24"/>
          <w:szCs w:val="24"/>
        </w:rPr>
        <w:lastRenderedPageBreak/>
        <w:t>policji/innych funkcjonariuszy publicznych ujawnione zostaną czyny polegające na składaniu fałszywych zeznań, w sprawie tych czynów nie składa się żadnego zawiadomienia ani nie wszczyna się postępowania przygotowawczego”</w:t>
      </w:r>
      <w:r w:rsidRPr="00953037">
        <w:rPr>
          <w:rFonts w:eastAsia="Times New Roman" w:cs="Times New Roman"/>
          <w:iCs/>
          <w:sz w:val="24"/>
          <w:szCs w:val="24"/>
          <w:vertAlign w:val="superscript"/>
        </w:rPr>
        <w:footnoteReference w:id="239"/>
      </w:r>
      <w:r w:rsidRPr="00953037">
        <w:rPr>
          <w:rFonts w:eastAsia="Times New Roman" w:cs="Times New Roman"/>
          <w:iCs/>
          <w:sz w:val="24"/>
          <w:szCs w:val="24"/>
        </w:rPr>
        <w:t>.</w:t>
      </w:r>
      <w:r w:rsidRPr="00953037">
        <w:rPr>
          <w:rFonts w:eastAsia="Times New Roman" w:cs="Times New Roman"/>
          <w:sz w:val="24"/>
          <w:szCs w:val="24"/>
        </w:rPr>
        <w:t xml:space="preserve"> Tymczasem z opinii NRA wynika, że „</w:t>
      </w:r>
      <w:r w:rsidRPr="00953037">
        <w:rPr>
          <w:rFonts w:eastAsia="Times New Roman" w:cs="Times New Roman"/>
          <w:iCs/>
          <w:sz w:val="24"/>
          <w:szCs w:val="24"/>
        </w:rPr>
        <w:t>postępowanie przygotowawcze w sprawie zarzutów tortur, nieludzkiego lub poniżającego traktowania kierowanych wszczynane wobec funkcjonariuszy policji są często umarzane i kończą się np. stwierdzeniem, że</w:t>
      </w:r>
      <w:r w:rsidRPr="00953037">
        <w:rPr>
          <w:rFonts w:eastAsia="Times New Roman" w:cs="Times New Roman"/>
          <w:sz w:val="24"/>
          <w:szCs w:val="24"/>
        </w:rPr>
        <w:t>:</w:t>
      </w:r>
      <w:r w:rsidRPr="00953037">
        <w:rPr>
          <w:rFonts w:eastAsia="Times New Roman" w:cs="Times New Roman"/>
          <w:iCs/>
          <w:sz w:val="24"/>
          <w:szCs w:val="24"/>
        </w:rPr>
        <w:t xml:space="preserve"> (i) brak jest wystarczających dowodów uzasadniających zarzucane czyny; (ii) użycie siły było uzasadnione ze względu na agresywne zachowanie pokrzywdzonego, a tym samym było zgodne z prawem; (ii) niemożliwe jest ustalenie związku przyczynowo-skutkowego pomiędzy obrażeniami doznanymi przez pokrzywdzonego a przedmiotowymi działaniami policji”</w:t>
      </w:r>
      <w:r w:rsidRPr="00953037">
        <w:rPr>
          <w:rFonts w:eastAsia="Times New Roman" w:cs="Times New Roman"/>
          <w:iCs/>
          <w:sz w:val="24"/>
          <w:szCs w:val="24"/>
          <w:vertAlign w:val="superscript"/>
        </w:rPr>
        <w:footnoteReference w:id="240"/>
      </w:r>
      <w:r w:rsidRPr="00953037">
        <w:rPr>
          <w:rFonts w:eastAsia="Times New Roman" w:cs="Times New Roman"/>
          <w:iCs/>
          <w:sz w:val="24"/>
          <w:szCs w:val="24"/>
        </w:rPr>
        <w:t>.</w:t>
      </w:r>
    </w:p>
    <w:p w:rsidR="006B2CF8" w:rsidRPr="00953037" w:rsidRDefault="006B2CF8" w:rsidP="00953037">
      <w:pPr>
        <w:widowControl w:val="0"/>
        <w:numPr>
          <w:ilvl w:val="0"/>
          <w:numId w:val="2"/>
        </w:numPr>
        <w:tabs>
          <w:tab w:val="left" w:pos="414"/>
        </w:tabs>
        <w:spacing w:before="120" w:after="0" w:line="240" w:lineRule="auto"/>
        <w:jc w:val="both"/>
        <w:rPr>
          <w:rFonts w:eastAsia="Times New Roman" w:cs="Times New Roman"/>
          <w:sz w:val="24"/>
          <w:szCs w:val="24"/>
        </w:rPr>
      </w:pPr>
      <w:bookmarkStart w:id="63" w:name="bookmark53"/>
      <w:bookmarkEnd w:id="63"/>
      <w:r w:rsidRPr="00953037">
        <w:rPr>
          <w:rFonts w:eastAsia="Times New Roman" w:cs="Times New Roman"/>
          <w:sz w:val="24"/>
          <w:szCs w:val="24"/>
        </w:rPr>
        <w:t>Cytując Biuro Spraw Wewnętrznych Policji, które zajmuje się postępowaniami w sprawie przestępstw popełnianych przez funkcjonariuszy i pracowników policji, NRA stwierdziła, że „</w:t>
      </w:r>
      <w:r w:rsidRPr="00953037">
        <w:rPr>
          <w:rFonts w:eastAsia="Times New Roman" w:cs="Times New Roman"/>
          <w:iCs/>
          <w:sz w:val="24"/>
          <w:szCs w:val="24"/>
        </w:rPr>
        <w:t>Biuro to i jego funkcjonariusze są często znacznie lepiej przygotowani do prowadzenia takich postępowań w sposób bezstronny. Zarzuty popełnienia czynów zabronionych przez funkcjonariuszy policji są niekiedy badane przez prokuratorów we współpracy z funkcjonariuszami Biura”</w:t>
      </w:r>
      <w:r w:rsidRPr="00953037">
        <w:rPr>
          <w:rFonts w:eastAsia="Times New Roman" w:cs="Times New Roman"/>
          <w:iCs/>
          <w:sz w:val="24"/>
          <w:szCs w:val="24"/>
          <w:vertAlign w:val="superscript"/>
        </w:rPr>
        <w:footnoteReference w:id="241"/>
      </w:r>
      <w:r w:rsidRPr="00953037">
        <w:rPr>
          <w:rFonts w:eastAsia="Times New Roman" w:cs="Times New Roman"/>
          <w:iCs/>
          <w:sz w:val="24"/>
          <w:szCs w:val="24"/>
        </w:rPr>
        <w:t>.</w:t>
      </w:r>
      <w:r w:rsidRPr="00953037">
        <w:rPr>
          <w:rFonts w:eastAsia="Times New Roman" w:cs="Times New Roman"/>
          <w:sz w:val="24"/>
          <w:szCs w:val="24"/>
        </w:rPr>
        <w:t xml:space="preserve"> Ponadto NRA zauważa, że „</w:t>
      </w:r>
      <w:r w:rsidRPr="00953037">
        <w:rPr>
          <w:rFonts w:eastAsia="Times New Roman" w:cs="Times New Roman"/>
          <w:iCs/>
          <w:sz w:val="24"/>
          <w:szCs w:val="24"/>
        </w:rPr>
        <w:t>ma to miejsce tylko wtedy, gdy Biuro jest zaangażowane w postępowanie przygotowawcze prowadzone przez prokuratora lub podejmuje działania z urzędu”</w:t>
      </w:r>
      <w:r w:rsidRPr="00953037">
        <w:rPr>
          <w:rFonts w:eastAsia="Times New Roman" w:cs="Times New Roman"/>
          <w:iCs/>
          <w:sz w:val="24"/>
          <w:szCs w:val="24"/>
          <w:vertAlign w:val="superscript"/>
        </w:rPr>
        <w:footnoteReference w:id="242"/>
      </w:r>
      <w:r w:rsidRPr="00953037">
        <w:rPr>
          <w:rFonts w:eastAsia="Times New Roman" w:cs="Times New Roman"/>
          <w:iCs/>
          <w:sz w:val="24"/>
          <w:szCs w:val="24"/>
        </w:rPr>
        <w:t>.</w:t>
      </w:r>
      <w:r w:rsidRPr="00953037">
        <w:rPr>
          <w:rFonts w:eastAsia="Times New Roman" w:cs="Times New Roman"/>
          <w:sz w:val="24"/>
          <w:szCs w:val="24"/>
        </w:rPr>
        <w:t xml:space="preserve"> Adwokaci zauważyli również, że „</w:t>
      </w:r>
      <w:r w:rsidRPr="00953037">
        <w:rPr>
          <w:rFonts w:eastAsia="Times New Roman" w:cs="Times New Roman"/>
          <w:iCs/>
          <w:sz w:val="24"/>
          <w:szCs w:val="24"/>
        </w:rPr>
        <w:t>Biuro nie zawsze angażowane jest w sprawy dotyczące złego traktowania zarzucanego policjantom. W przypadkach, gdy tak się dzieje, często wydaje się, że współpraca między prokuraturą a Biurem Spraw Wewnętrznych Policji jest na niskim poziomie, a przepływ informacji jest powolny”</w:t>
      </w:r>
      <w:r w:rsidRPr="00953037">
        <w:rPr>
          <w:rFonts w:eastAsia="Times New Roman" w:cs="Times New Roman"/>
          <w:iCs/>
          <w:sz w:val="24"/>
          <w:szCs w:val="24"/>
          <w:vertAlign w:val="superscript"/>
        </w:rPr>
        <w:footnoteReference w:id="243"/>
      </w:r>
      <w:r w:rsidRPr="00953037">
        <w:rPr>
          <w:rFonts w:eastAsia="Times New Roman" w:cs="Times New Roman"/>
          <w:iCs/>
          <w:sz w:val="24"/>
          <w:szCs w:val="24"/>
        </w:rPr>
        <w:t>.</w:t>
      </w:r>
    </w:p>
    <w:p w:rsidR="0096211C" w:rsidRPr="00953037" w:rsidRDefault="006B2CF8" w:rsidP="00953037">
      <w:pPr>
        <w:widowControl w:val="0"/>
        <w:numPr>
          <w:ilvl w:val="0"/>
          <w:numId w:val="2"/>
        </w:numPr>
        <w:tabs>
          <w:tab w:val="left" w:pos="433"/>
        </w:tabs>
        <w:spacing w:before="120" w:after="0" w:line="240" w:lineRule="auto"/>
        <w:jc w:val="both"/>
        <w:rPr>
          <w:rFonts w:eastAsia="Times New Roman" w:cs="Times New Roman"/>
          <w:sz w:val="24"/>
          <w:szCs w:val="24"/>
        </w:rPr>
      </w:pPr>
      <w:bookmarkStart w:id="64" w:name="bookmark54"/>
      <w:bookmarkEnd w:id="64"/>
      <w:r w:rsidRPr="00953037">
        <w:rPr>
          <w:rFonts w:eastAsia="Times New Roman" w:cs="Times New Roman"/>
          <w:sz w:val="24"/>
          <w:szCs w:val="24"/>
        </w:rPr>
        <w:t>Ponadto NRA wskazała, że „</w:t>
      </w:r>
      <w:r w:rsidRPr="00953037">
        <w:rPr>
          <w:rFonts w:eastAsia="Times New Roman" w:cs="Times New Roman"/>
          <w:iCs/>
          <w:sz w:val="24"/>
          <w:szCs w:val="24"/>
        </w:rPr>
        <w:t>wielu adwokatów zauważa, że wspólną cechą spraw dotyczących zarzucanych funkcjonariuszom policji czynów jest przewlekłość postępowania. Uwaga ta dotyczy zarówno etapu postępowania przygotowawczego, jak i sądowego. Może to również prowadzić do sytuacji, w których sprawy są umarzane z powodu upływu terminu przedawnienia”</w:t>
      </w:r>
      <w:r w:rsidRPr="00953037">
        <w:rPr>
          <w:rFonts w:eastAsia="Times New Roman" w:cs="Times New Roman"/>
          <w:iCs/>
          <w:sz w:val="24"/>
          <w:szCs w:val="24"/>
          <w:vertAlign w:val="superscript"/>
        </w:rPr>
        <w:footnoteReference w:id="244"/>
      </w:r>
      <w:r w:rsidRPr="00953037">
        <w:rPr>
          <w:rFonts w:eastAsia="Times New Roman" w:cs="Times New Roman"/>
          <w:iCs/>
          <w:sz w:val="24"/>
          <w:szCs w:val="24"/>
        </w:rPr>
        <w:t>.</w:t>
      </w:r>
      <w:r w:rsidR="0096211C" w:rsidRPr="00953037">
        <w:rPr>
          <w:rFonts w:eastAsia="Times New Roman" w:cs="Times New Roman"/>
          <w:iCs/>
          <w:sz w:val="24"/>
          <w:szCs w:val="24"/>
        </w:rPr>
        <w:t xml:space="preserve"> </w:t>
      </w:r>
    </w:p>
    <w:p w:rsidR="006B2CF8" w:rsidRPr="006B2CF8" w:rsidRDefault="005703C3" w:rsidP="00953037">
      <w:pPr>
        <w:spacing w:before="120" w:after="0" w:line="240" w:lineRule="auto"/>
        <w:rPr>
          <w:rFonts w:eastAsia="Times New Roman" w:cs="Times New Roman"/>
          <w:b/>
          <w:bCs/>
          <w:sz w:val="24"/>
          <w:szCs w:val="24"/>
        </w:rPr>
      </w:pPr>
      <w:bookmarkStart w:id="65" w:name="bookmark57"/>
      <w:bookmarkStart w:id="66" w:name="bookmark55"/>
      <w:bookmarkStart w:id="67" w:name="bookmark56"/>
      <w:bookmarkStart w:id="68" w:name="bookmark58"/>
      <w:bookmarkEnd w:id="65"/>
      <w:r>
        <w:rPr>
          <w:rFonts w:eastAsia="Times New Roman" w:cs="Times New Roman"/>
          <w:b/>
          <w:bCs/>
          <w:sz w:val="24"/>
          <w:szCs w:val="24"/>
        </w:rPr>
        <w:t>III.</w:t>
      </w:r>
      <w:r w:rsidR="006B2CF8" w:rsidRPr="006B2CF8">
        <w:rPr>
          <w:rFonts w:eastAsia="Times New Roman" w:cs="Times New Roman"/>
          <w:b/>
          <w:bCs/>
          <w:sz w:val="24"/>
          <w:szCs w:val="24"/>
        </w:rPr>
        <w:t>3. Skala przemocy stosowanej przez funkcjonariuszy policji – dane statystyczne</w:t>
      </w:r>
      <w:bookmarkEnd w:id="66"/>
      <w:bookmarkEnd w:id="67"/>
      <w:bookmarkEnd w:id="68"/>
    </w:p>
    <w:p w:rsidR="006B2CF8" w:rsidRDefault="006B2CF8" w:rsidP="00953037">
      <w:pPr>
        <w:widowControl w:val="0"/>
        <w:numPr>
          <w:ilvl w:val="0"/>
          <w:numId w:val="2"/>
        </w:numPr>
        <w:tabs>
          <w:tab w:val="left" w:pos="414"/>
        </w:tabs>
        <w:spacing w:before="120" w:after="0" w:line="240" w:lineRule="auto"/>
        <w:jc w:val="both"/>
        <w:rPr>
          <w:rFonts w:eastAsia="Times New Roman" w:cs="Times New Roman"/>
          <w:sz w:val="24"/>
          <w:szCs w:val="24"/>
        </w:rPr>
      </w:pPr>
      <w:bookmarkStart w:id="69" w:name="bookmark59"/>
      <w:bookmarkEnd w:id="69"/>
      <w:r w:rsidRPr="006B2CF8">
        <w:rPr>
          <w:rFonts w:eastAsia="Times New Roman" w:cs="Times New Roman"/>
          <w:sz w:val="24"/>
          <w:szCs w:val="24"/>
        </w:rPr>
        <w:t>Dane dotyczące skarg związanych z naruszeniem przez policję prawa do wolności lub nieludzkiego albo poniżającego traktowania dostarczają pewnych informacji na temat skali tortur lub niewłaściwego traktowania.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4"/>
        <w:gridCol w:w="1810"/>
        <w:gridCol w:w="1795"/>
        <w:gridCol w:w="1805"/>
        <w:gridCol w:w="1814"/>
      </w:tblGrid>
      <w:tr w:rsidR="006B2CF8" w:rsidRPr="0096211C" w:rsidTr="006B2CF8">
        <w:trPr>
          <w:trHeight w:val="298"/>
          <w:jc w:val="center"/>
        </w:trPr>
        <w:tc>
          <w:tcPr>
            <w:tcW w:w="9038" w:type="dxa"/>
            <w:gridSpan w:val="5"/>
            <w:shd w:val="clear" w:color="auto" w:fill="FFFFFF"/>
            <w:vAlign w:val="bottom"/>
            <w:hideMark/>
          </w:tcPr>
          <w:p w:rsidR="00953037" w:rsidRDefault="00953037" w:rsidP="0096211C">
            <w:pPr>
              <w:widowControl w:val="0"/>
              <w:spacing w:after="120" w:line="240" w:lineRule="auto"/>
              <w:jc w:val="both"/>
              <w:rPr>
                <w:rFonts w:eastAsia="Times New Roman" w:cs="Times New Roman"/>
                <w:sz w:val="24"/>
                <w:szCs w:val="24"/>
              </w:rPr>
            </w:pPr>
          </w:p>
          <w:p w:rsidR="00953037" w:rsidRDefault="00953037" w:rsidP="0096211C">
            <w:pPr>
              <w:widowControl w:val="0"/>
              <w:spacing w:after="120" w:line="240" w:lineRule="auto"/>
              <w:jc w:val="both"/>
              <w:rPr>
                <w:rFonts w:eastAsia="Times New Roman" w:cs="Times New Roman"/>
                <w:sz w:val="24"/>
                <w:szCs w:val="24"/>
              </w:rPr>
            </w:pPr>
          </w:p>
          <w:p w:rsidR="00953037" w:rsidRDefault="00953037" w:rsidP="0096211C">
            <w:pPr>
              <w:widowControl w:val="0"/>
              <w:spacing w:after="120" w:line="240" w:lineRule="auto"/>
              <w:jc w:val="both"/>
              <w:rPr>
                <w:rFonts w:eastAsia="Times New Roman" w:cs="Times New Roman"/>
                <w:sz w:val="24"/>
                <w:szCs w:val="24"/>
              </w:rPr>
            </w:pPr>
          </w:p>
          <w:p w:rsidR="00953037" w:rsidRDefault="00953037" w:rsidP="0096211C">
            <w:pPr>
              <w:widowControl w:val="0"/>
              <w:spacing w:after="120" w:line="240" w:lineRule="auto"/>
              <w:jc w:val="both"/>
              <w:rPr>
                <w:rFonts w:eastAsia="Times New Roman" w:cs="Times New Roman"/>
                <w:sz w:val="24"/>
                <w:szCs w:val="24"/>
              </w:rPr>
            </w:pPr>
          </w:p>
          <w:p w:rsidR="00953037" w:rsidRDefault="00953037" w:rsidP="0096211C">
            <w:pPr>
              <w:widowControl w:val="0"/>
              <w:spacing w:after="120" w:line="240" w:lineRule="auto"/>
              <w:jc w:val="both"/>
              <w:rPr>
                <w:rFonts w:eastAsia="Times New Roman" w:cs="Times New Roman"/>
                <w:sz w:val="24"/>
                <w:szCs w:val="24"/>
              </w:rPr>
            </w:pPr>
          </w:p>
          <w:p w:rsidR="006B2CF8" w:rsidRPr="006B2CF8" w:rsidRDefault="006B2CF8" w:rsidP="0096211C">
            <w:pPr>
              <w:widowControl w:val="0"/>
              <w:spacing w:after="120" w:line="240" w:lineRule="auto"/>
              <w:jc w:val="both"/>
              <w:rPr>
                <w:rFonts w:eastAsia="Times New Roman" w:cs="Times New Roman"/>
                <w:sz w:val="24"/>
                <w:szCs w:val="24"/>
              </w:rPr>
            </w:pPr>
            <w:r w:rsidRPr="006B2CF8">
              <w:rPr>
                <w:rFonts w:eastAsia="Times New Roman" w:cs="Times New Roman"/>
                <w:sz w:val="24"/>
                <w:szCs w:val="24"/>
              </w:rPr>
              <w:t>Tabela 1. Naruszenie prawa do wolności</w:t>
            </w:r>
            <w:r w:rsidRPr="0096211C">
              <w:rPr>
                <w:rFonts w:eastAsia="Times New Roman" w:cs="Times New Roman"/>
                <w:sz w:val="24"/>
                <w:szCs w:val="24"/>
                <w:vertAlign w:val="superscript"/>
              </w:rPr>
              <w:footnoteReference w:id="245"/>
            </w:r>
          </w:p>
        </w:tc>
      </w:tr>
      <w:tr w:rsidR="006B2CF8" w:rsidRPr="006B2CF8" w:rsidTr="006B2CF8">
        <w:trPr>
          <w:trHeight w:hRule="exact" w:val="427"/>
          <w:jc w:val="center"/>
        </w:trPr>
        <w:tc>
          <w:tcPr>
            <w:tcW w:w="1814" w:type="dxa"/>
            <w:vMerge w:val="restart"/>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lastRenderedPageBreak/>
              <w:t>Rok</w:t>
            </w:r>
          </w:p>
        </w:tc>
        <w:tc>
          <w:tcPr>
            <w:tcW w:w="1810" w:type="dxa"/>
            <w:vMerge w:val="restart"/>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64" w:lineRule="auto"/>
              <w:jc w:val="both"/>
              <w:rPr>
                <w:rFonts w:eastAsia="Times New Roman" w:cs="Times New Roman"/>
              </w:rPr>
            </w:pPr>
            <w:r w:rsidRPr="006B2CF8">
              <w:rPr>
                <w:rFonts w:eastAsia="Times New Roman" w:cs="Times New Roman"/>
              </w:rPr>
              <w:t>Sprawy rozpatrzone wewnętrznie</w:t>
            </w:r>
          </w:p>
        </w:tc>
        <w:tc>
          <w:tcPr>
            <w:tcW w:w="5414" w:type="dxa"/>
            <w:gridSpan w:val="3"/>
            <w:tcBorders>
              <w:top w:val="single" w:sz="4" w:space="0" w:color="auto"/>
              <w:left w:val="single" w:sz="4" w:space="0" w:color="auto"/>
              <w:bottom w:val="nil"/>
              <w:right w:val="single" w:sz="4" w:space="0" w:color="auto"/>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Forma rozpatrzenia:</w:t>
            </w:r>
          </w:p>
        </w:tc>
      </w:tr>
      <w:tr w:rsidR="006B2CF8" w:rsidRPr="006B2CF8" w:rsidTr="00953037">
        <w:trPr>
          <w:trHeight w:hRule="exact" w:val="422"/>
          <w:jc w:val="center"/>
        </w:trPr>
        <w:tc>
          <w:tcPr>
            <w:tcW w:w="1814" w:type="dxa"/>
            <w:vMerge/>
            <w:tcBorders>
              <w:top w:val="single" w:sz="4" w:space="0" w:color="auto"/>
              <w:left w:val="single" w:sz="4" w:space="0" w:color="auto"/>
              <w:bottom w:val="nil"/>
              <w:right w:val="nil"/>
            </w:tcBorders>
            <w:vAlign w:val="center"/>
            <w:hideMark/>
          </w:tcPr>
          <w:p w:rsidR="006B2CF8" w:rsidRPr="006B2CF8" w:rsidRDefault="006B2CF8" w:rsidP="006B2CF8">
            <w:pPr>
              <w:widowControl w:val="0"/>
              <w:spacing w:after="0" w:line="240" w:lineRule="auto"/>
              <w:jc w:val="both"/>
              <w:rPr>
                <w:rFonts w:eastAsia="Times New Roman" w:cs="Times New Roman"/>
                <w:lang w:bidi="en-US"/>
              </w:rPr>
            </w:pPr>
          </w:p>
        </w:tc>
        <w:tc>
          <w:tcPr>
            <w:tcW w:w="1810" w:type="dxa"/>
            <w:vMerge/>
            <w:tcBorders>
              <w:top w:val="single" w:sz="4" w:space="0" w:color="auto"/>
              <w:left w:val="single" w:sz="4" w:space="0" w:color="auto"/>
              <w:bottom w:val="nil"/>
              <w:right w:val="nil"/>
            </w:tcBorders>
            <w:vAlign w:val="center"/>
            <w:hideMark/>
          </w:tcPr>
          <w:p w:rsidR="006B2CF8" w:rsidRPr="006B2CF8" w:rsidRDefault="006B2CF8" w:rsidP="006B2CF8">
            <w:pPr>
              <w:widowControl w:val="0"/>
              <w:spacing w:after="0" w:line="240" w:lineRule="auto"/>
              <w:jc w:val="both"/>
              <w:rPr>
                <w:rFonts w:eastAsia="Times New Roman" w:cs="Times New Roman"/>
                <w:lang w:bidi="en-US"/>
              </w:rPr>
            </w:pPr>
          </w:p>
        </w:tc>
        <w:tc>
          <w:tcPr>
            <w:tcW w:w="1795"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Potwierdzone</w:t>
            </w:r>
          </w:p>
        </w:tc>
        <w:tc>
          <w:tcPr>
            <w:tcW w:w="1805"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Niepotwierdzone</w:t>
            </w:r>
          </w:p>
        </w:tc>
        <w:tc>
          <w:tcPr>
            <w:tcW w:w="1814" w:type="dxa"/>
            <w:tcBorders>
              <w:top w:val="single" w:sz="4" w:space="0" w:color="auto"/>
              <w:left w:val="single" w:sz="4" w:space="0" w:color="auto"/>
              <w:bottom w:val="nil"/>
              <w:right w:val="single" w:sz="4" w:space="0" w:color="auto"/>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Inne</w:t>
            </w:r>
            <w:r w:rsidRPr="006B2CF8">
              <w:rPr>
                <w:rFonts w:eastAsia="Times New Roman" w:cs="Times New Roman"/>
                <w:vertAlign w:val="superscript"/>
              </w:rPr>
              <w:footnoteReference w:id="246"/>
            </w:r>
          </w:p>
        </w:tc>
      </w:tr>
      <w:tr w:rsidR="006B2CF8" w:rsidRPr="006B2CF8" w:rsidTr="006B2CF8">
        <w:trPr>
          <w:trHeight w:hRule="exact" w:val="283"/>
          <w:jc w:val="center"/>
        </w:trPr>
        <w:tc>
          <w:tcPr>
            <w:tcW w:w="1814"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2013</w:t>
            </w:r>
          </w:p>
        </w:tc>
        <w:tc>
          <w:tcPr>
            <w:tcW w:w="1810"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208</w:t>
            </w:r>
          </w:p>
        </w:tc>
        <w:tc>
          <w:tcPr>
            <w:tcW w:w="1795"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7</w:t>
            </w:r>
          </w:p>
        </w:tc>
        <w:tc>
          <w:tcPr>
            <w:tcW w:w="1805"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183</w:t>
            </w:r>
          </w:p>
        </w:tc>
        <w:tc>
          <w:tcPr>
            <w:tcW w:w="1814" w:type="dxa"/>
            <w:tcBorders>
              <w:top w:val="single" w:sz="4" w:space="0" w:color="auto"/>
              <w:left w:val="single" w:sz="4" w:space="0" w:color="auto"/>
              <w:bottom w:val="nil"/>
              <w:right w:val="single" w:sz="4" w:space="0" w:color="auto"/>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18</w:t>
            </w:r>
          </w:p>
        </w:tc>
      </w:tr>
      <w:tr w:rsidR="006B2CF8" w:rsidRPr="006B2CF8" w:rsidTr="006B2CF8">
        <w:trPr>
          <w:trHeight w:hRule="exact" w:val="288"/>
          <w:jc w:val="center"/>
        </w:trPr>
        <w:tc>
          <w:tcPr>
            <w:tcW w:w="1814"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2014</w:t>
            </w:r>
          </w:p>
        </w:tc>
        <w:tc>
          <w:tcPr>
            <w:tcW w:w="1810"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231</w:t>
            </w:r>
          </w:p>
        </w:tc>
        <w:tc>
          <w:tcPr>
            <w:tcW w:w="1795"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9</w:t>
            </w:r>
          </w:p>
        </w:tc>
        <w:tc>
          <w:tcPr>
            <w:tcW w:w="1805"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203</w:t>
            </w:r>
          </w:p>
        </w:tc>
        <w:tc>
          <w:tcPr>
            <w:tcW w:w="1814" w:type="dxa"/>
            <w:tcBorders>
              <w:top w:val="single" w:sz="4" w:space="0" w:color="auto"/>
              <w:left w:val="single" w:sz="4" w:space="0" w:color="auto"/>
              <w:bottom w:val="nil"/>
              <w:right w:val="single" w:sz="4" w:space="0" w:color="auto"/>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19</w:t>
            </w:r>
          </w:p>
        </w:tc>
      </w:tr>
      <w:tr w:rsidR="006B2CF8" w:rsidRPr="006B2CF8" w:rsidTr="006B2CF8">
        <w:trPr>
          <w:trHeight w:hRule="exact" w:val="283"/>
          <w:jc w:val="center"/>
        </w:trPr>
        <w:tc>
          <w:tcPr>
            <w:tcW w:w="1814"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2015</w:t>
            </w:r>
          </w:p>
        </w:tc>
        <w:tc>
          <w:tcPr>
            <w:tcW w:w="1810"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203</w:t>
            </w:r>
          </w:p>
        </w:tc>
        <w:tc>
          <w:tcPr>
            <w:tcW w:w="1795"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11</w:t>
            </w:r>
          </w:p>
        </w:tc>
        <w:tc>
          <w:tcPr>
            <w:tcW w:w="1805"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170</w:t>
            </w:r>
          </w:p>
        </w:tc>
        <w:tc>
          <w:tcPr>
            <w:tcW w:w="1814" w:type="dxa"/>
            <w:tcBorders>
              <w:top w:val="single" w:sz="4" w:space="0" w:color="auto"/>
              <w:left w:val="single" w:sz="4" w:space="0" w:color="auto"/>
              <w:bottom w:val="nil"/>
              <w:right w:val="single" w:sz="4" w:space="0" w:color="auto"/>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22</w:t>
            </w:r>
          </w:p>
        </w:tc>
      </w:tr>
      <w:tr w:rsidR="006B2CF8" w:rsidRPr="006B2CF8" w:rsidTr="006B2CF8">
        <w:trPr>
          <w:trHeight w:hRule="exact" w:val="288"/>
          <w:jc w:val="center"/>
        </w:trPr>
        <w:tc>
          <w:tcPr>
            <w:tcW w:w="1814"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2016</w:t>
            </w:r>
          </w:p>
        </w:tc>
        <w:tc>
          <w:tcPr>
            <w:tcW w:w="1810"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191</w:t>
            </w:r>
          </w:p>
        </w:tc>
        <w:tc>
          <w:tcPr>
            <w:tcW w:w="1795"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4</w:t>
            </w:r>
          </w:p>
        </w:tc>
        <w:tc>
          <w:tcPr>
            <w:tcW w:w="1805"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172</w:t>
            </w:r>
          </w:p>
        </w:tc>
        <w:tc>
          <w:tcPr>
            <w:tcW w:w="1814" w:type="dxa"/>
            <w:tcBorders>
              <w:top w:val="single" w:sz="4" w:space="0" w:color="auto"/>
              <w:left w:val="single" w:sz="4" w:space="0" w:color="auto"/>
              <w:bottom w:val="nil"/>
              <w:right w:val="single" w:sz="4" w:space="0" w:color="auto"/>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15</w:t>
            </w:r>
          </w:p>
        </w:tc>
      </w:tr>
      <w:tr w:rsidR="006B2CF8" w:rsidRPr="006B2CF8" w:rsidTr="006B2CF8">
        <w:trPr>
          <w:trHeight w:hRule="exact" w:val="288"/>
          <w:jc w:val="center"/>
        </w:trPr>
        <w:tc>
          <w:tcPr>
            <w:tcW w:w="1814"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2017</w:t>
            </w:r>
          </w:p>
        </w:tc>
        <w:tc>
          <w:tcPr>
            <w:tcW w:w="1810"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153</w:t>
            </w:r>
          </w:p>
        </w:tc>
        <w:tc>
          <w:tcPr>
            <w:tcW w:w="1795"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6</w:t>
            </w:r>
          </w:p>
        </w:tc>
        <w:tc>
          <w:tcPr>
            <w:tcW w:w="1805"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132</w:t>
            </w:r>
          </w:p>
        </w:tc>
        <w:tc>
          <w:tcPr>
            <w:tcW w:w="1814" w:type="dxa"/>
            <w:tcBorders>
              <w:top w:val="single" w:sz="4" w:space="0" w:color="auto"/>
              <w:left w:val="single" w:sz="4" w:space="0" w:color="auto"/>
              <w:bottom w:val="nil"/>
              <w:right w:val="single" w:sz="4" w:space="0" w:color="auto"/>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15</w:t>
            </w:r>
          </w:p>
        </w:tc>
      </w:tr>
      <w:tr w:rsidR="006B2CF8" w:rsidRPr="006B2CF8" w:rsidTr="006B2CF8">
        <w:trPr>
          <w:trHeight w:hRule="exact" w:val="302"/>
          <w:jc w:val="center"/>
        </w:trPr>
        <w:tc>
          <w:tcPr>
            <w:tcW w:w="1814" w:type="dxa"/>
            <w:tcBorders>
              <w:top w:val="single" w:sz="4" w:space="0" w:color="auto"/>
              <w:left w:val="single" w:sz="4" w:space="0" w:color="auto"/>
              <w:bottom w:val="single" w:sz="4" w:space="0" w:color="auto"/>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2018</w:t>
            </w:r>
          </w:p>
        </w:tc>
        <w:tc>
          <w:tcPr>
            <w:tcW w:w="1810" w:type="dxa"/>
            <w:tcBorders>
              <w:top w:val="single" w:sz="4" w:space="0" w:color="auto"/>
              <w:left w:val="single" w:sz="4" w:space="0" w:color="auto"/>
              <w:bottom w:val="single" w:sz="4" w:space="0" w:color="auto"/>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119</w:t>
            </w:r>
          </w:p>
        </w:tc>
        <w:tc>
          <w:tcPr>
            <w:tcW w:w="1795" w:type="dxa"/>
            <w:tcBorders>
              <w:top w:val="single" w:sz="4" w:space="0" w:color="auto"/>
              <w:left w:val="single" w:sz="4" w:space="0" w:color="auto"/>
              <w:bottom w:val="single" w:sz="4" w:space="0" w:color="auto"/>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3</w:t>
            </w:r>
          </w:p>
        </w:tc>
        <w:tc>
          <w:tcPr>
            <w:tcW w:w="1805" w:type="dxa"/>
            <w:tcBorders>
              <w:top w:val="single" w:sz="4" w:space="0" w:color="auto"/>
              <w:left w:val="single" w:sz="4" w:space="0" w:color="auto"/>
              <w:bottom w:val="single" w:sz="4" w:space="0" w:color="auto"/>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109</w:t>
            </w:r>
          </w:p>
        </w:tc>
        <w:tc>
          <w:tcPr>
            <w:tcW w:w="1814" w:type="dxa"/>
            <w:tcBorders>
              <w:top w:val="single" w:sz="4" w:space="0" w:color="auto"/>
              <w:left w:val="single" w:sz="4" w:space="0" w:color="auto"/>
              <w:bottom w:val="single" w:sz="4" w:space="0" w:color="auto"/>
              <w:right w:val="single" w:sz="4" w:space="0" w:color="auto"/>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7</w:t>
            </w:r>
          </w:p>
        </w:tc>
      </w:tr>
    </w:tbl>
    <w:p w:rsidR="006B2CF8" w:rsidRPr="006B2CF8" w:rsidRDefault="006B2CF8" w:rsidP="00953037">
      <w:pPr>
        <w:widowControl w:val="0"/>
        <w:numPr>
          <w:ilvl w:val="0"/>
          <w:numId w:val="2"/>
        </w:numPr>
        <w:tabs>
          <w:tab w:val="left" w:pos="409"/>
        </w:tabs>
        <w:spacing w:before="120" w:after="0" w:line="240" w:lineRule="auto"/>
        <w:jc w:val="both"/>
        <w:rPr>
          <w:rFonts w:eastAsia="Times New Roman" w:cs="Times New Roman"/>
          <w:sz w:val="24"/>
          <w:szCs w:val="24"/>
        </w:rPr>
      </w:pPr>
      <w:bookmarkStart w:id="70" w:name="bookmark60"/>
      <w:bookmarkEnd w:id="70"/>
      <w:r w:rsidRPr="006B2CF8">
        <w:rPr>
          <w:rFonts w:eastAsia="Times New Roman" w:cs="Times New Roman"/>
          <w:sz w:val="24"/>
          <w:szCs w:val="24"/>
        </w:rPr>
        <w:t>Jak wynika z danych Komendy Głównej Policji (dalej: KGP) od 2014 r. maleje liczba skarg związanych z „naruszeniem prawa do wolności”, do których zalicza się skargi związane z pozbawieniem osoby wolności. Ponadto zaledwie ok. 3% skarg uznano za potwierdzone, a aż ok. 85% skarg uznano za niepotwierdzone.</w:t>
      </w:r>
    </w:p>
    <w:p w:rsidR="006B2CF8" w:rsidRPr="006B2CF8" w:rsidRDefault="006B2CF8" w:rsidP="00953037">
      <w:pPr>
        <w:widowControl w:val="0"/>
        <w:spacing w:before="120" w:after="0" w:line="240" w:lineRule="auto"/>
        <w:jc w:val="both"/>
        <w:rPr>
          <w:rFonts w:eastAsia="Times New Roman" w:cs="Times New Roman"/>
          <w:sz w:val="24"/>
          <w:szCs w:val="24"/>
        </w:rPr>
      </w:pPr>
      <w:r w:rsidRPr="006B2CF8">
        <w:rPr>
          <w:rFonts w:eastAsia="Times New Roman" w:cs="Times New Roman"/>
          <w:sz w:val="24"/>
          <w:szCs w:val="24"/>
        </w:rPr>
        <w:t>Tabela 2. Nieludzkie lub poniżające traktowanie</w:t>
      </w:r>
      <w:r w:rsidRPr="0096211C">
        <w:rPr>
          <w:rFonts w:eastAsia="Times New Roman" w:cs="Times New Roman"/>
          <w:sz w:val="24"/>
          <w:szCs w:val="24"/>
          <w:vertAlign w:val="superscript"/>
        </w:rPr>
        <w:footnoteReference w:id="247"/>
      </w:r>
    </w:p>
    <w:tbl>
      <w:tblPr>
        <w:tblOverlap w:val="never"/>
        <w:tblW w:w="0" w:type="auto"/>
        <w:jc w:val="center"/>
        <w:tblLayout w:type="fixed"/>
        <w:tblCellMar>
          <w:left w:w="10" w:type="dxa"/>
          <w:right w:w="10" w:type="dxa"/>
        </w:tblCellMar>
        <w:tblLook w:val="04A0" w:firstRow="1" w:lastRow="0" w:firstColumn="1" w:lastColumn="0" w:noHBand="0" w:noVBand="1"/>
      </w:tblPr>
      <w:tblGrid>
        <w:gridCol w:w="1810"/>
        <w:gridCol w:w="1805"/>
        <w:gridCol w:w="1800"/>
        <w:gridCol w:w="1819"/>
        <w:gridCol w:w="1810"/>
      </w:tblGrid>
      <w:tr w:rsidR="006B2CF8" w:rsidRPr="006B2CF8" w:rsidTr="006B2CF8">
        <w:trPr>
          <w:trHeight w:hRule="exact" w:val="437"/>
          <w:jc w:val="center"/>
        </w:trPr>
        <w:tc>
          <w:tcPr>
            <w:tcW w:w="1810" w:type="dxa"/>
            <w:vMerge w:val="restart"/>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Rok</w:t>
            </w:r>
          </w:p>
        </w:tc>
        <w:tc>
          <w:tcPr>
            <w:tcW w:w="1805" w:type="dxa"/>
            <w:vMerge w:val="restart"/>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64" w:lineRule="auto"/>
              <w:jc w:val="both"/>
              <w:rPr>
                <w:rFonts w:eastAsia="Times New Roman" w:cs="Times New Roman"/>
              </w:rPr>
            </w:pPr>
            <w:r w:rsidRPr="006B2CF8">
              <w:rPr>
                <w:rFonts w:eastAsia="Times New Roman" w:cs="Times New Roman"/>
              </w:rPr>
              <w:t>Sprawy rozpatrzone wewnętrznie</w:t>
            </w:r>
          </w:p>
        </w:tc>
        <w:tc>
          <w:tcPr>
            <w:tcW w:w="5429" w:type="dxa"/>
            <w:gridSpan w:val="3"/>
            <w:tcBorders>
              <w:top w:val="single" w:sz="4" w:space="0" w:color="auto"/>
              <w:left w:val="single" w:sz="4" w:space="0" w:color="auto"/>
              <w:bottom w:val="nil"/>
              <w:right w:val="single" w:sz="4" w:space="0" w:color="auto"/>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Forma rozpatrzenia:</w:t>
            </w:r>
          </w:p>
        </w:tc>
      </w:tr>
      <w:tr w:rsidR="006B2CF8" w:rsidRPr="006B2CF8" w:rsidTr="006B2CF8">
        <w:trPr>
          <w:trHeight w:hRule="exact" w:val="427"/>
          <w:jc w:val="center"/>
        </w:trPr>
        <w:tc>
          <w:tcPr>
            <w:tcW w:w="1810" w:type="dxa"/>
            <w:vMerge/>
            <w:tcBorders>
              <w:top w:val="single" w:sz="4" w:space="0" w:color="auto"/>
              <w:left w:val="single" w:sz="4" w:space="0" w:color="auto"/>
              <w:bottom w:val="nil"/>
              <w:right w:val="nil"/>
            </w:tcBorders>
            <w:vAlign w:val="center"/>
            <w:hideMark/>
          </w:tcPr>
          <w:p w:rsidR="006B2CF8" w:rsidRPr="006B2CF8" w:rsidRDefault="006B2CF8" w:rsidP="006B2CF8">
            <w:pPr>
              <w:widowControl w:val="0"/>
              <w:spacing w:after="0" w:line="240" w:lineRule="auto"/>
              <w:jc w:val="both"/>
              <w:rPr>
                <w:rFonts w:eastAsia="Times New Roman" w:cs="Times New Roman"/>
                <w:lang w:bidi="en-US"/>
              </w:rPr>
            </w:pPr>
          </w:p>
        </w:tc>
        <w:tc>
          <w:tcPr>
            <w:tcW w:w="1805" w:type="dxa"/>
            <w:vMerge/>
            <w:tcBorders>
              <w:top w:val="single" w:sz="4" w:space="0" w:color="auto"/>
              <w:left w:val="single" w:sz="4" w:space="0" w:color="auto"/>
              <w:bottom w:val="nil"/>
              <w:right w:val="nil"/>
            </w:tcBorders>
            <w:vAlign w:val="center"/>
            <w:hideMark/>
          </w:tcPr>
          <w:p w:rsidR="006B2CF8" w:rsidRPr="006B2CF8" w:rsidRDefault="006B2CF8" w:rsidP="006B2CF8">
            <w:pPr>
              <w:widowControl w:val="0"/>
              <w:spacing w:after="0" w:line="240" w:lineRule="auto"/>
              <w:jc w:val="both"/>
              <w:rPr>
                <w:rFonts w:eastAsia="Times New Roman" w:cs="Times New Roman"/>
                <w:lang w:bidi="en-US"/>
              </w:rPr>
            </w:pPr>
          </w:p>
        </w:tc>
        <w:tc>
          <w:tcPr>
            <w:tcW w:w="1800"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Potwierdzone</w:t>
            </w:r>
          </w:p>
        </w:tc>
        <w:tc>
          <w:tcPr>
            <w:tcW w:w="1819"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Niepotwierdzone</w:t>
            </w:r>
          </w:p>
        </w:tc>
        <w:tc>
          <w:tcPr>
            <w:tcW w:w="1810" w:type="dxa"/>
            <w:tcBorders>
              <w:top w:val="single" w:sz="4" w:space="0" w:color="auto"/>
              <w:left w:val="single" w:sz="4" w:space="0" w:color="auto"/>
              <w:bottom w:val="nil"/>
              <w:right w:val="single" w:sz="4" w:space="0" w:color="auto"/>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Inne</w:t>
            </w:r>
            <w:r w:rsidRPr="006B2CF8">
              <w:rPr>
                <w:rFonts w:eastAsia="Times New Roman" w:cs="Times New Roman"/>
                <w:vertAlign w:val="superscript"/>
              </w:rPr>
              <w:footnoteReference w:id="248"/>
            </w:r>
          </w:p>
        </w:tc>
      </w:tr>
      <w:tr w:rsidR="006B2CF8" w:rsidRPr="006B2CF8" w:rsidTr="006B2CF8">
        <w:trPr>
          <w:trHeight w:hRule="exact" w:val="293"/>
          <w:jc w:val="center"/>
        </w:trPr>
        <w:tc>
          <w:tcPr>
            <w:tcW w:w="1810"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2013</w:t>
            </w:r>
          </w:p>
        </w:tc>
        <w:tc>
          <w:tcPr>
            <w:tcW w:w="1805"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594</w:t>
            </w:r>
          </w:p>
        </w:tc>
        <w:tc>
          <w:tcPr>
            <w:tcW w:w="1800"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11</w:t>
            </w:r>
          </w:p>
        </w:tc>
        <w:tc>
          <w:tcPr>
            <w:tcW w:w="1819"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514</w:t>
            </w:r>
          </w:p>
        </w:tc>
        <w:tc>
          <w:tcPr>
            <w:tcW w:w="1810" w:type="dxa"/>
            <w:tcBorders>
              <w:top w:val="single" w:sz="4" w:space="0" w:color="auto"/>
              <w:left w:val="single" w:sz="4" w:space="0" w:color="auto"/>
              <w:bottom w:val="nil"/>
              <w:right w:val="single" w:sz="4" w:space="0" w:color="auto"/>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69</w:t>
            </w:r>
          </w:p>
        </w:tc>
      </w:tr>
      <w:tr w:rsidR="006B2CF8" w:rsidRPr="006B2CF8" w:rsidTr="006B2CF8">
        <w:trPr>
          <w:trHeight w:hRule="exact" w:val="283"/>
          <w:jc w:val="center"/>
        </w:trPr>
        <w:tc>
          <w:tcPr>
            <w:tcW w:w="1810"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2014</w:t>
            </w:r>
          </w:p>
        </w:tc>
        <w:tc>
          <w:tcPr>
            <w:tcW w:w="1805"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550</w:t>
            </w:r>
          </w:p>
        </w:tc>
        <w:tc>
          <w:tcPr>
            <w:tcW w:w="1800"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16</w:t>
            </w:r>
          </w:p>
        </w:tc>
        <w:tc>
          <w:tcPr>
            <w:tcW w:w="1819"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464</w:t>
            </w:r>
          </w:p>
        </w:tc>
        <w:tc>
          <w:tcPr>
            <w:tcW w:w="1810" w:type="dxa"/>
            <w:tcBorders>
              <w:top w:val="single" w:sz="4" w:space="0" w:color="auto"/>
              <w:left w:val="single" w:sz="4" w:space="0" w:color="auto"/>
              <w:bottom w:val="nil"/>
              <w:right w:val="single" w:sz="4" w:space="0" w:color="auto"/>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70</w:t>
            </w:r>
          </w:p>
        </w:tc>
      </w:tr>
      <w:tr w:rsidR="006B2CF8" w:rsidRPr="006B2CF8" w:rsidTr="006B2CF8">
        <w:trPr>
          <w:trHeight w:hRule="exact" w:val="288"/>
          <w:jc w:val="center"/>
        </w:trPr>
        <w:tc>
          <w:tcPr>
            <w:tcW w:w="1810"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2015</w:t>
            </w:r>
          </w:p>
        </w:tc>
        <w:tc>
          <w:tcPr>
            <w:tcW w:w="1805"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571</w:t>
            </w:r>
          </w:p>
        </w:tc>
        <w:tc>
          <w:tcPr>
            <w:tcW w:w="1800"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9</w:t>
            </w:r>
          </w:p>
        </w:tc>
        <w:tc>
          <w:tcPr>
            <w:tcW w:w="1819"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477</w:t>
            </w:r>
          </w:p>
        </w:tc>
        <w:tc>
          <w:tcPr>
            <w:tcW w:w="1810" w:type="dxa"/>
            <w:tcBorders>
              <w:top w:val="single" w:sz="4" w:space="0" w:color="auto"/>
              <w:left w:val="single" w:sz="4" w:space="0" w:color="auto"/>
              <w:bottom w:val="nil"/>
              <w:right w:val="single" w:sz="4" w:space="0" w:color="auto"/>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85</w:t>
            </w:r>
          </w:p>
        </w:tc>
      </w:tr>
      <w:tr w:rsidR="006B2CF8" w:rsidRPr="006B2CF8" w:rsidTr="006B2CF8">
        <w:trPr>
          <w:trHeight w:hRule="exact" w:val="288"/>
          <w:jc w:val="center"/>
        </w:trPr>
        <w:tc>
          <w:tcPr>
            <w:tcW w:w="1810"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2016</w:t>
            </w:r>
          </w:p>
        </w:tc>
        <w:tc>
          <w:tcPr>
            <w:tcW w:w="1805"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538</w:t>
            </w:r>
          </w:p>
        </w:tc>
        <w:tc>
          <w:tcPr>
            <w:tcW w:w="1800"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3</w:t>
            </w:r>
          </w:p>
        </w:tc>
        <w:tc>
          <w:tcPr>
            <w:tcW w:w="1819"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463</w:t>
            </w:r>
          </w:p>
        </w:tc>
        <w:tc>
          <w:tcPr>
            <w:tcW w:w="1810" w:type="dxa"/>
            <w:tcBorders>
              <w:top w:val="single" w:sz="4" w:space="0" w:color="auto"/>
              <w:left w:val="single" w:sz="4" w:space="0" w:color="auto"/>
              <w:bottom w:val="nil"/>
              <w:right w:val="single" w:sz="4" w:space="0" w:color="auto"/>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72</w:t>
            </w:r>
          </w:p>
        </w:tc>
      </w:tr>
      <w:tr w:rsidR="006B2CF8" w:rsidRPr="006B2CF8" w:rsidTr="006B2CF8">
        <w:trPr>
          <w:trHeight w:hRule="exact" w:val="283"/>
          <w:jc w:val="center"/>
        </w:trPr>
        <w:tc>
          <w:tcPr>
            <w:tcW w:w="1810"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2017</w:t>
            </w:r>
          </w:p>
        </w:tc>
        <w:tc>
          <w:tcPr>
            <w:tcW w:w="1805"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463</w:t>
            </w:r>
          </w:p>
        </w:tc>
        <w:tc>
          <w:tcPr>
            <w:tcW w:w="1800"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9</w:t>
            </w:r>
          </w:p>
        </w:tc>
        <w:tc>
          <w:tcPr>
            <w:tcW w:w="1819" w:type="dxa"/>
            <w:tcBorders>
              <w:top w:val="single" w:sz="4" w:space="0" w:color="auto"/>
              <w:left w:val="single" w:sz="4" w:space="0" w:color="auto"/>
              <w:bottom w:val="nil"/>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391</w:t>
            </w:r>
          </w:p>
        </w:tc>
        <w:tc>
          <w:tcPr>
            <w:tcW w:w="1810" w:type="dxa"/>
            <w:tcBorders>
              <w:top w:val="single" w:sz="4" w:space="0" w:color="auto"/>
              <w:left w:val="single" w:sz="4" w:space="0" w:color="auto"/>
              <w:bottom w:val="nil"/>
              <w:right w:val="single" w:sz="4" w:space="0" w:color="auto"/>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63</w:t>
            </w:r>
          </w:p>
        </w:tc>
      </w:tr>
      <w:tr w:rsidR="006B2CF8" w:rsidRPr="006B2CF8" w:rsidTr="006B2CF8">
        <w:trPr>
          <w:trHeight w:hRule="exact" w:val="302"/>
          <w:jc w:val="center"/>
        </w:trPr>
        <w:tc>
          <w:tcPr>
            <w:tcW w:w="1810" w:type="dxa"/>
            <w:tcBorders>
              <w:top w:val="single" w:sz="4" w:space="0" w:color="auto"/>
              <w:left w:val="single" w:sz="4" w:space="0" w:color="auto"/>
              <w:bottom w:val="single" w:sz="4" w:space="0" w:color="auto"/>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2018</w:t>
            </w:r>
          </w:p>
        </w:tc>
        <w:tc>
          <w:tcPr>
            <w:tcW w:w="1805" w:type="dxa"/>
            <w:tcBorders>
              <w:top w:val="single" w:sz="4" w:space="0" w:color="auto"/>
              <w:left w:val="single" w:sz="4" w:space="0" w:color="auto"/>
              <w:bottom w:val="single" w:sz="4" w:space="0" w:color="auto"/>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408</w:t>
            </w:r>
          </w:p>
        </w:tc>
        <w:tc>
          <w:tcPr>
            <w:tcW w:w="1800" w:type="dxa"/>
            <w:tcBorders>
              <w:top w:val="single" w:sz="4" w:space="0" w:color="auto"/>
              <w:left w:val="single" w:sz="4" w:space="0" w:color="auto"/>
              <w:bottom w:val="single" w:sz="4" w:space="0" w:color="auto"/>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4</w:t>
            </w:r>
          </w:p>
        </w:tc>
        <w:tc>
          <w:tcPr>
            <w:tcW w:w="1819" w:type="dxa"/>
            <w:tcBorders>
              <w:top w:val="single" w:sz="4" w:space="0" w:color="auto"/>
              <w:left w:val="single" w:sz="4" w:space="0" w:color="auto"/>
              <w:bottom w:val="single" w:sz="4" w:space="0" w:color="auto"/>
              <w:right w:val="nil"/>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365</w:t>
            </w:r>
          </w:p>
        </w:tc>
        <w:tc>
          <w:tcPr>
            <w:tcW w:w="1810" w:type="dxa"/>
            <w:tcBorders>
              <w:top w:val="single" w:sz="4" w:space="0" w:color="auto"/>
              <w:left w:val="single" w:sz="4" w:space="0" w:color="auto"/>
              <w:bottom w:val="single" w:sz="4" w:space="0" w:color="auto"/>
              <w:right w:val="single" w:sz="4" w:space="0" w:color="auto"/>
            </w:tcBorders>
            <w:shd w:val="clear" w:color="auto" w:fill="FFFFFF"/>
            <w:hideMark/>
          </w:tcPr>
          <w:p w:rsidR="006B2CF8" w:rsidRPr="006B2CF8" w:rsidRDefault="006B2CF8" w:rsidP="006B2CF8">
            <w:pPr>
              <w:widowControl w:val="0"/>
              <w:spacing w:after="0" w:line="240" w:lineRule="auto"/>
              <w:jc w:val="both"/>
              <w:rPr>
                <w:rFonts w:eastAsia="Times New Roman" w:cs="Times New Roman"/>
              </w:rPr>
            </w:pPr>
            <w:r w:rsidRPr="006B2CF8">
              <w:rPr>
                <w:rFonts w:eastAsia="Times New Roman" w:cs="Times New Roman"/>
              </w:rPr>
              <w:t>39</w:t>
            </w:r>
          </w:p>
        </w:tc>
      </w:tr>
    </w:tbl>
    <w:p w:rsidR="006B2CF8" w:rsidRPr="006B2CF8" w:rsidRDefault="006B2CF8" w:rsidP="006B2CF8">
      <w:pPr>
        <w:widowControl w:val="0"/>
        <w:spacing w:after="259" w:line="1" w:lineRule="exact"/>
        <w:jc w:val="both"/>
        <w:rPr>
          <w:rFonts w:eastAsia="Arial Unicode MS" w:cs="Arial Unicode MS"/>
          <w:sz w:val="24"/>
          <w:szCs w:val="24"/>
          <w:lang w:bidi="en-US"/>
        </w:rPr>
      </w:pPr>
    </w:p>
    <w:p w:rsidR="006B2CF8" w:rsidRPr="006B2CF8" w:rsidRDefault="006B2CF8" w:rsidP="00953037">
      <w:pPr>
        <w:widowControl w:val="0"/>
        <w:numPr>
          <w:ilvl w:val="0"/>
          <w:numId w:val="2"/>
        </w:numPr>
        <w:tabs>
          <w:tab w:val="left" w:pos="409"/>
        </w:tabs>
        <w:spacing w:before="120" w:after="0" w:line="240" w:lineRule="auto"/>
        <w:jc w:val="both"/>
        <w:rPr>
          <w:rFonts w:eastAsia="Times New Roman" w:cs="Times New Roman"/>
          <w:sz w:val="24"/>
          <w:szCs w:val="24"/>
        </w:rPr>
      </w:pPr>
      <w:bookmarkStart w:id="71" w:name="bookmark61"/>
      <w:bookmarkEnd w:id="71"/>
      <w:r w:rsidRPr="006B2CF8">
        <w:rPr>
          <w:rFonts w:eastAsia="Times New Roman" w:cs="Times New Roman"/>
          <w:sz w:val="24"/>
          <w:szCs w:val="24"/>
        </w:rPr>
        <w:t>Należy również zauważyć, że od 2015 r. liczba skarg konsekwentnie maleje (z 594 w 2013 r. do 408 w 2018 r.) Potwierdzone naruszenia wahają się na poziomie 0,5% (2016 r.) do 2% (2014 r.). Niepotwierdzone skargi stanowią łącznie ok. 85%.</w:t>
      </w:r>
    </w:p>
    <w:p w:rsidR="006B2CF8" w:rsidRPr="006B2CF8" w:rsidRDefault="006B2CF8" w:rsidP="00953037">
      <w:pPr>
        <w:widowControl w:val="0"/>
        <w:numPr>
          <w:ilvl w:val="0"/>
          <w:numId w:val="2"/>
        </w:numPr>
        <w:tabs>
          <w:tab w:val="left" w:pos="414"/>
        </w:tabs>
        <w:spacing w:before="120" w:after="0" w:line="240" w:lineRule="auto"/>
        <w:jc w:val="both"/>
        <w:rPr>
          <w:rFonts w:eastAsia="Times New Roman" w:cs="Times New Roman"/>
          <w:sz w:val="24"/>
          <w:szCs w:val="24"/>
        </w:rPr>
      </w:pPr>
      <w:bookmarkStart w:id="72" w:name="bookmark62"/>
      <w:bookmarkEnd w:id="72"/>
      <w:r w:rsidRPr="006B2CF8">
        <w:rPr>
          <w:rFonts w:eastAsia="Times New Roman" w:cs="Times New Roman"/>
          <w:sz w:val="24"/>
          <w:szCs w:val="24"/>
        </w:rPr>
        <w:t>Warto w tym miejscu podkreślić, że jak wynika z odpowiedzi Prokuratury Krajowej (dalej: PK) z dnia 11 lutego 2020 r., Prokuratura Krajowa nie gromadzi danych statystycznych dotyczących przestępstw związanych z torturami i nieludzkim lub poniżającym traktowaniem, stosowaniem przemocy fizycznej lub wypowiedzi słownych przez funkcjonariuszy Policji wobec osób zatrzymanych/podejrzanych. Powodem braku takich danych jest fakt, że rejestracja spraw w prokuratorskim systemie informatycznym SIP LIBRA nie wymaga wpisania zawodu strony, tj. wskazania, że w sprawę zaangażowany jest funkcjonariusz Policji</w:t>
      </w:r>
      <w:r w:rsidRPr="006B2CF8">
        <w:rPr>
          <w:rFonts w:eastAsia="Times New Roman" w:cs="Times New Roman"/>
          <w:sz w:val="24"/>
          <w:szCs w:val="24"/>
          <w:vertAlign w:val="superscript"/>
        </w:rPr>
        <w:footnoteReference w:id="249"/>
      </w:r>
      <w:r w:rsidRPr="006B2CF8">
        <w:rPr>
          <w:rFonts w:eastAsia="Times New Roman" w:cs="Times New Roman"/>
          <w:sz w:val="24"/>
          <w:szCs w:val="24"/>
        </w:rPr>
        <w:t xml:space="preserve">. Natomiast zgodnie z raportem z działań z dnia 29 kwietnia 2016 roku (s. 20) Departament Postępowania Przygotowawczego Prokuratury Generalnej (obecnie Prokuratury Krajowej) miał sprawować stały nadzór nad tego rodzaju przestępstwami. Obowiązek taki wynika również z pkt 14 wytycznych Prokuratora Generalnego z dnia 27 czerwca 2014 r. w sprawie </w:t>
      </w:r>
      <w:r w:rsidRPr="006B2CF8">
        <w:rPr>
          <w:rFonts w:eastAsia="Times New Roman" w:cs="Times New Roman"/>
          <w:sz w:val="24"/>
          <w:szCs w:val="24"/>
        </w:rPr>
        <w:lastRenderedPageBreak/>
        <w:t>prowadzenia przez prokuratorów postępowań o przestępstwa związane z pozbawieniem życia oraz z nieludzkim lub poniżającym traktowaniem albo karaniem, których sprawcami są funkcjonariusze Policji lub inni funkcjonariusze publiczni</w:t>
      </w:r>
      <w:r w:rsidRPr="006B2CF8">
        <w:rPr>
          <w:rFonts w:eastAsia="Times New Roman" w:cs="Times New Roman"/>
          <w:sz w:val="24"/>
          <w:szCs w:val="24"/>
          <w:vertAlign w:val="superscript"/>
        </w:rPr>
        <w:footnoteReference w:id="250"/>
      </w:r>
      <w:r w:rsidRPr="006B2CF8">
        <w:rPr>
          <w:rFonts w:eastAsia="Times New Roman" w:cs="Times New Roman"/>
          <w:sz w:val="24"/>
          <w:szCs w:val="24"/>
        </w:rPr>
        <w:t>.</w:t>
      </w:r>
    </w:p>
    <w:p w:rsidR="006B2CF8" w:rsidRPr="006B2CF8" w:rsidRDefault="006B2CF8" w:rsidP="00953037">
      <w:pPr>
        <w:spacing w:before="120" w:after="0" w:line="240" w:lineRule="auto"/>
        <w:rPr>
          <w:rFonts w:eastAsia="Times New Roman" w:cs="Times New Roman"/>
          <w:b/>
          <w:bCs/>
        </w:rPr>
      </w:pPr>
      <w:bookmarkStart w:id="73" w:name="bookmark65"/>
      <w:bookmarkStart w:id="74" w:name="bookmark64"/>
      <w:bookmarkStart w:id="75" w:name="bookmark63"/>
      <w:r w:rsidRPr="006B2CF8">
        <w:rPr>
          <w:rFonts w:eastAsia="Times New Roman" w:cs="Times New Roman"/>
          <w:b/>
          <w:bCs/>
        </w:rPr>
        <w:t>III. 4. Raport Ministerstwa Spraw Wewnętrznych i Administracji</w:t>
      </w:r>
      <w:bookmarkEnd w:id="73"/>
      <w:bookmarkEnd w:id="74"/>
      <w:bookmarkEnd w:id="75"/>
    </w:p>
    <w:p w:rsidR="006B2CF8" w:rsidRPr="006B2CF8" w:rsidRDefault="006B2CF8" w:rsidP="00953037">
      <w:pPr>
        <w:widowControl w:val="0"/>
        <w:numPr>
          <w:ilvl w:val="0"/>
          <w:numId w:val="2"/>
        </w:numPr>
        <w:tabs>
          <w:tab w:val="left" w:pos="452"/>
        </w:tabs>
        <w:spacing w:before="120" w:after="0" w:line="240" w:lineRule="auto"/>
        <w:jc w:val="both"/>
        <w:rPr>
          <w:rFonts w:eastAsia="Times New Roman" w:cs="Times New Roman"/>
          <w:sz w:val="24"/>
          <w:szCs w:val="24"/>
        </w:rPr>
      </w:pPr>
      <w:bookmarkStart w:id="76" w:name="bookmark66"/>
      <w:bookmarkEnd w:id="76"/>
      <w:r w:rsidRPr="00953037">
        <w:rPr>
          <w:rFonts w:eastAsia="Times New Roman" w:cs="Times New Roman"/>
          <w:sz w:val="24"/>
          <w:szCs w:val="24"/>
        </w:rPr>
        <w:t>W grudniu 2015 r. Ministerstwo Spraw Wewnętrznych i Administracji sporządziło raport podsumowujący pt. „</w:t>
      </w:r>
      <w:r w:rsidRPr="00953037">
        <w:rPr>
          <w:rFonts w:eastAsia="Times New Roman" w:cs="Times New Roman"/>
          <w:iCs/>
          <w:sz w:val="24"/>
          <w:szCs w:val="24"/>
        </w:rPr>
        <w:t>Badania dotyczące problemu występowania w Policji agresji skierowanej przeciwko osobom spoza Policji, z którymi funkcjonariusz ma kontakt w związku z wykonywaniem obowiązków służbowych</w:t>
      </w:r>
      <w:r w:rsidRPr="00953037">
        <w:rPr>
          <w:rFonts w:eastAsia="Times New Roman" w:cs="Times New Roman"/>
          <w:sz w:val="24"/>
          <w:szCs w:val="24"/>
        </w:rPr>
        <w:t>”</w:t>
      </w:r>
      <w:r w:rsidRPr="00953037">
        <w:rPr>
          <w:rFonts w:eastAsia="Times New Roman" w:cs="Times New Roman"/>
          <w:iCs/>
          <w:sz w:val="24"/>
          <w:szCs w:val="24"/>
          <w:vertAlign w:val="superscript"/>
        </w:rPr>
        <w:footnoteReference w:id="251"/>
      </w:r>
      <w:r w:rsidRPr="00953037">
        <w:rPr>
          <w:rFonts w:eastAsia="Times New Roman" w:cs="Times New Roman"/>
          <w:sz w:val="24"/>
          <w:szCs w:val="24"/>
        </w:rPr>
        <w:t xml:space="preserve"> („Raport MSWiA”). Z Raportu MSWiA wynika, że jego zasadniczym celem było „(...) </w:t>
      </w:r>
      <w:r w:rsidRPr="00953037">
        <w:rPr>
          <w:rFonts w:eastAsia="Times New Roman" w:cs="Times New Roman"/>
          <w:iCs/>
          <w:sz w:val="24"/>
          <w:szCs w:val="24"/>
        </w:rPr>
        <w:t>rozpoznanie źródeł agresji funkcjonariuszy w celu wprowadzenia działań pozwalających na ich osłabienie lub wyeliminowanie</w:t>
      </w:r>
      <w:r w:rsidRPr="00953037">
        <w:rPr>
          <w:rFonts w:eastAsia="Times New Roman" w:cs="Times New Roman"/>
          <w:sz w:val="24"/>
          <w:szCs w:val="24"/>
        </w:rPr>
        <w:t>.</w:t>
      </w:r>
      <w:r w:rsidRPr="00953037">
        <w:rPr>
          <w:rFonts w:eastAsia="Times New Roman" w:cs="Times New Roman"/>
          <w:iCs/>
          <w:sz w:val="24"/>
          <w:szCs w:val="24"/>
        </w:rPr>
        <w:t xml:space="preserve"> Takie podejście wymagało ustalenia na jakim poziomie agresja w formacji w ogóle występuje oraz określenia relacji przyczynowo-skutkowych pomiędzy niepożądanymi zachowaniami policjantów a innymi zjawiskami, tak aby było możliwe oddziaływanie na te zachowania policjantów poprzez eliminację lub osłabienie ich przyczyn”</w:t>
      </w:r>
      <w:r w:rsidRPr="00953037">
        <w:rPr>
          <w:rFonts w:eastAsia="Times New Roman" w:cs="Times New Roman"/>
          <w:iCs/>
          <w:sz w:val="24"/>
          <w:szCs w:val="24"/>
          <w:vertAlign w:val="superscript"/>
        </w:rPr>
        <w:footnoteReference w:id="252"/>
      </w:r>
      <w:r w:rsidRPr="00953037">
        <w:rPr>
          <w:rFonts w:eastAsia="Times New Roman" w:cs="Times New Roman"/>
          <w:iCs/>
          <w:sz w:val="24"/>
          <w:szCs w:val="24"/>
        </w:rPr>
        <w:t>.</w:t>
      </w:r>
      <w:r w:rsidRPr="00953037">
        <w:rPr>
          <w:rFonts w:eastAsia="Times New Roman" w:cs="Times New Roman"/>
          <w:sz w:val="24"/>
          <w:szCs w:val="24"/>
        </w:rPr>
        <w:t xml:space="preserve"> Z Raportu MSWiA wynika, że 45% policjantów przyznało, że „(…) byli w trakcie całej swojej służby uczestnikami sytuacji, w której pojawiły się działania policjanta, mogące w oczach osób spoza Policji być uznane za przejaw nieuzasadnionej agresji.</w:t>
      </w:r>
      <w:r w:rsidRPr="00953037">
        <w:rPr>
          <w:rFonts w:eastAsia="Times New Roman" w:cs="Times New Roman"/>
          <w:iCs/>
          <w:sz w:val="24"/>
          <w:szCs w:val="24"/>
        </w:rPr>
        <w:t xml:space="preserve"> (...) 12,95% stwierdza, że interwencje podczas których doszło do takich sytuacji stanowiły przynajmniej 1/5 z ich ostatnich 100 interwencji, a dla 3,58% była to ponad połowa z ich ostatnich 100 interwencji</w:t>
      </w:r>
      <w:r w:rsidRPr="00953037">
        <w:rPr>
          <w:rFonts w:eastAsia="Times New Roman" w:cs="Times New Roman"/>
          <w:sz w:val="24"/>
          <w:szCs w:val="24"/>
        </w:rPr>
        <w:t xml:space="preserve">” </w:t>
      </w:r>
      <w:r w:rsidRPr="00953037">
        <w:rPr>
          <w:rFonts w:eastAsia="Times New Roman" w:cs="Times New Roman"/>
          <w:sz w:val="24"/>
          <w:szCs w:val="24"/>
          <w:vertAlign w:val="superscript"/>
        </w:rPr>
        <w:footnoteReference w:id="253"/>
      </w:r>
      <w:r w:rsidRPr="00953037">
        <w:rPr>
          <w:rFonts w:eastAsia="Times New Roman" w:cs="Times New Roman"/>
          <w:sz w:val="24"/>
          <w:szCs w:val="24"/>
        </w:rPr>
        <w:t>. Do najczęstszych form agresywnych zachowań, których policjanci byli osobiście świadkami, należały różnego rodzaju chwyty obezwładniające (73%), ogólne użycie siły fizycznej (69%), wymuszenie niewygodnej pozycji ciała (43%) oraz wypowiedzi obraźliwe (42%). Znacznie niższe, ale nie znikome odsetki wskazań, przypadają także na formy zachowań, które trudno uznać za przypadkowe: wypowiedzi poniżające (29%), zadanie uderzeń ręką lub kopnięć (25%), zadanie uderzeń przedmiotem innym niż pałka służbowa (17%), nieprzepisowe użycie kajdanek (16%), nadmierne użycie pałki służbowej (16%)</w:t>
      </w:r>
      <w:r w:rsidRPr="00953037">
        <w:rPr>
          <w:rFonts w:eastAsia="Times New Roman" w:cs="Times New Roman"/>
          <w:sz w:val="24"/>
          <w:szCs w:val="24"/>
          <w:vertAlign w:val="superscript"/>
        </w:rPr>
        <w:footnoteReference w:id="254"/>
      </w:r>
      <w:r w:rsidRPr="00953037">
        <w:rPr>
          <w:rFonts w:eastAsia="Times New Roman" w:cs="Times New Roman"/>
          <w:sz w:val="24"/>
          <w:szCs w:val="24"/>
        </w:rPr>
        <w:t>. Z Raportu MSWiA wynika, że „podstawowym źródłem frustracji policjantów jest głęboka rozbieżność pomiędzy ich własnym odbiorem sensu, roli i wartości pracy w Policji, a postrzeganym przez nich odbiorem społecznym oraz docenianiem ze strony społeczeństwa.</w:t>
      </w:r>
      <w:r w:rsidRPr="00953037">
        <w:rPr>
          <w:rFonts w:eastAsia="Times New Roman" w:cs="Times New Roman"/>
          <w:iCs/>
          <w:sz w:val="24"/>
          <w:szCs w:val="24"/>
        </w:rPr>
        <w:t xml:space="preserve"> Funkcjonariusze Policji czują się strażnikami prawa, zobowiązanymi do skutecznego działania na rzecz społeczeństwa. Mają jednak poczucie, że nie są tak odbierani. 71% badanych stwierdza, że dotyczy ich problem niskiego autorytetu społecznego zawodu policjanta, 66% zauważa brak docenienia ze strony społeczeństwa, z czego 38% twierdzi, że dotyczy on ich w dużym lub bardzo dużym stopniu. 59% deklaruje, że dotyczy ich problem konieczności ochrony godności munduru wobec obraźliwego zachowania osób, wobec których prowadzą czynności”</w:t>
      </w:r>
      <w:r w:rsidRPr="00953037">
        <w:rPr>
          <w:rFonts w:eastAsia="Times New Roman" w:cs="Times New Roman"/>
          <w:iCs/>
          <w:sz w:val="24"/>
          <w:szCs w:val="24"/>
          <w:vertAlign w:val="superscript"/>
        </w:rPr>
        <w:footnoteReference w:id="255"/>
      </w:r>
      <w:r w:rsidRPr="00953037">
        <w:rPr>
          <w:rFonts w:eastAsia="Times New Roman" w:cs="Times New Roman"/>
          <w:iCs/>
          <w:sz w:val="24"/>
          <w:szCs w:val="24"/>
        </w:rPr>
        <w:t>.</w:t>
      </w:r>
      <w:r w:rsidRPr="00953037">
        <w:rPr>
          <w:rFonts w:eastAsia="Times New Roman" w:cs="Times New Roman"/>
          <w:sz w:val="24"/>
          <w:szCs w:val="24"/>
        </w:rPr>
        <w:t xml:space="preserve"> W raporcie MSWiA czytamy również, że „</w:t>
      </w:r>
      <w:r w:rsidRPr="00953037">
        <w:rPr>
          <w:rFonts w:eastAsia="Times New Roman" w:cs="Times New Roman"/>
          <w:iCs/>
          <w:sz w:val="24"/>
          <w:szCs w:val="24"/>
        </w:rPr>
        <w:t xml:space="preserve">87% policjantów stwierdza, że funkcjonariusz powinien sięgnąć po wszystkie fizycznie dostępne środki działania, kiedy pojawia się niebezpieczeństwo, że sytuacja podczas interwencji wymknie się spod kontroli”. </w:t>
      </w:r>
      <w:r w:rsidRPr="00953037">
        <w:rPr>
          <w:rFonts w:eastAsia="Times New Roman" w:cs="Times New Roman"/>
          <w:sz w:val="24"/>
          <w:szCs w:val="24"/>
        </w:rPr>
        <w:t xml:space="preserve">Natomiast </w:t>
      </w:r>
      <w:r w:rsidRPr="00953037">
        <w:rPr>
          <w:rFonts w:eastAsia="Times New Roman" w:cs="Times New Roman"/>
          <w:iCs/>
          <w:sz w:val="24"/>
          <w:szCs w:val="24"/>
        </w:rPr>
        <w:t xml:space="preserve">„84% uważa, że sięgnięcie po wszystkie fizycznie dostępne środki działania jest wskazane, gdy pojawia się zagrożenie, że w sytuacji </w:t>
      </w:r>
      <w:r w:rsidRPr="00953037">
        <w:rPr>
          <w:rFonts w:eastAsia="Times New Roman" w:cs="Times New Roman"/>
          <w:iCs/>
          <w:sz w:val="24"/>
          <w:szCs w:val="24"/>
        </w:rPr>
        <w:lastRenderedPageBreak/>
        <w:t>bezpośredniej konfrontacji z przestępcą policjant nie będzie miał wystarczających możliwości fizycznych czy sprzętowych, aby stawić mu skuteczny opór. 63% policjantów wprost przyznaje, że prawdopodobnie lub bardzo prawdopodobnie sami użyliby ŚPB w sposób mogący w oczach osób spoza Policji być uznany za nadmierny, gdyby pojawiło się niebezpieczeństwo, że sytuacja podczas interwencji wymknie się spod kontroli</w:t>
      </w:r>
      <w:r w:rsidRPr="00953037">
        <w:rPr>
          <w:rFonts w:eastAsia="Times New Roman" w:cs="Times New Roman"/>
          <w:iCs/>
          <w:sz w:val="24"/>
          <w:szCs w:val="24"/>
          <w:vertAlign w:val="superscript"/>
        </w:rPr>
        <w:footnoteReference w:id="256"/>
      </w:r>
      <w:r w:rsidRPr="00953037">
        <w:rPr>
          <w:rFonts w:eastAsia="Times New Roman" w:cs="Times New Roman"/>
          <w:iCs/>
          <w:sz w:val="24"/>
          <w:szCs w:val="24"/>
        </w:rPr>
        <w:t>”.</w:t>
      </w:r>
      <w:r w:rsidRPr="00953037">
        <w:rPr>
          <w:rFonts w:eastAsia="Times New Roman" w:cs="Times New Roman"/>
          <w:sz w:val="24"/>
          <w:szCs w:val="24"/>
        </w:rPr>
        <w:t xml:space="preserve"> Wśród zagrożeń mogących doprowadzić do</w:t>
      </w:r>
      <w:r w:rsidRPr="006B2CF8">
        <w:rPr>
          <w:rFonts w:eastAsia="Times New Roman" w:cs="Times New Roman"/>
          <w:sz w:val="24"/>
          <w:szCs w:val="24"/>
        </w:rPr>
        <w:t xml:space="preserve"> wymknięcia się sytuacji spod kontroli policjanci wymieniali: pozwolenie osobie względem której podejmuje się interwencję na przejęcie kontroli nad sytuacją (58%), włączenie się osób trzecich w przebieg interwencji (55%), brak pewności swoich umiejętności (45%), brak przewagi fizycznej (42%), brak przewagi psychicznej (39%)</w:t>
      </w:r>
      <w:r w:rsidRPr="006B2CF8">
        <w:rPr>
          <w:rFonts w:eastAsia="Times New Roman" w:cs="Times New Roman"/>
          <w:sz w:val="24"/>
          <w:szCs w:val="24"/>
          <w:vertAlign w:val="superscript"/>
        </w:rPr>
        <w:footnoteReference w:id="257"/>
      </w:r>
      <w:r w:rsidRPr="006B2CF8">
        <w:rPr>
          <w:rFonts w:eastAsia="Times New Roman" w:cs="Times New Roman"/>
          <w:sz w:val="24"/>
          <w:szCs w:val="24"/>
        </w:rPr>
        <w:t>. Zdolność policjantów do uzyskania tej przewagi jest stale wystawiana na próbę; w wypadku 10% dzieje się to kilka razy dziennie, 46% z nich raz na kilka dni spotyka się z prowokacjami słownymi, 45% badanych jest obiektem krytyki i presji społecznej raz na kilka dni, a 42% przynajmniej kilka razy w tygodniu styka się z poczuciem bezkarności osób, wobec których prowadzą interwencje</w:t>
      </w:r>
      <w:r w:rsidRPr="006B2CF8">
        <w:rPr>
          <w:rFonts w:eastAsia="Times New Roman" w:cs="Times New Roman"/>
          <w:sz w:val="24"/>
          <w:szCs w:val="24"/>
          <w:vertAlign w:val="superscript"/>
        </w:rPr>
        <w:footnoteReference w:id="258"/>
      </w:r>
      <w:r w:rsidRPr="006B2CF8">
        <w:rPr>
          <w:rFonts w:eastAsia="Times New Roman" w:cs="Times New Roman"/>
          <w:sz w:val="24"/>
          <w:szCs w:val="24"/>
        </w:rPr>
        <w:t>. W raporcie MSWiA stwierdzono, że zaledwie 11% policjantów wykazuje wysoki poziom skłonności do zachowań agresywnych, przy czym aż 74% wykazuje poziom średni, a 15% niski</w:t>
      </w:r>
      <w:r w:rsidRPr="006B2CF8">
        <w:rPr>
          <w:rFonts w:eastAsia="Times New Roman" w:cs="Times New Roman"/>
          <w:sz w:val="24"/>
          <w:szCs w:val="24"/>
          <w:vertAlign w:val="superscript"/>
        </w:rPr>
        <w:footnoteReference w:id="259"/>
      </w:r>
      <w:r w:rsidRPr="006B2CF8">
        <w:rPr>
          <w:rFonts w:eastAsia="Times New Roman" w:cs="Times New Roman"/>
          <w:sz w:val="24"/>
          <w:szCs w:val="24"/>
        </w:rPr>
        <w:t>.</w:t>
      </w:r>
    </w:p>
    <w:p w:rsidR="006B2CF8" w:rsidRPr="006B2CF8" w:rsidRDefault="006B2CF8" w:rsidP="00953037">
      <w:pPr>
        <w:widowControl w:val="0"/>
        <w:numPr>
          <w:ilvl w:val="0"/>
          <w:numId w:val="2"/>
        </w:numPr>
        <w:tabs>
          <w:tab w:val="left" w:pos="409"/>
        </w:tabs>
        <w:spacing w:before="120" w:after="0" w:line="240" w:lineRule="auto"/>
        <w:jc w:val="both"/>
        <w:rPr>
          <w:rFonts w:eastAsia="Times New Roman" w:cs="Times New Roman"/>
          <w:sz w:val="24"/>
          <w:szCs w:val="24"/>
        </w:rPr>
      </w:pPr>
      <w:bookmarkStart w:id="77" w:name="bookmark67"/>
      <w:bookmarkEnd w:id="77"/>
      <w:r w:rsidRPr="006B2CF8">
        <w:rPr>
          <w:rFonts w:eastAsia="Times New Roman" w:cs="Times New Roman"/>
          <w:sz w:val="24"/>
          <w:szCs w:val="24"/>
        </w:rPr>
        <w:t>Biorąc pod uwagę ww. raport oraz statystyki KGP, należy przyjąć niski odsetek rozpatrywanych skarg, który w przypadku zatrzymania wynosi 3%, zaś w przypadku nieludzkiego lub poniżającego traktowania zaledwie 0,5%–2%. Jednocześnie należy zauważyć, że liczne skargi uznawane są przez KGP za niepotwierdzone. Niepokojąca może wydawać się również duża liczba skarg, które zostały rozpatrzone w inny sposób, ponieważ są to skargi oczekujące na rozpatrzenie lub takie, w przypadku których przedmiot skargi nie został wyjaśniony. Powstaje zatem pytanie, czy podejście KGP do skarg nie jest nadmiernie formalistyczne. Jednocześnie, po przeanalizowaniu raportu MSWiA niski odsetek uwzględnionych skarg może budzić wątpliwości, zwłaszcza w przypadku skarg dotyczących nieludzkiego lub poniżającego traktowania. Wynika to z faktu, że – jak wskazało ok. 13% policjantów – byli oni świadkami nieuzasadnionej agresji w przypadku 1/5 ostatnich 100 interwencji, a w przypadku ok. 3,5% z nich dotyczyło to ponad połowy 100 interwencji. W związku z powyższym można również przyjąć, że niewielka liczba skarg składanych rocznie przez pokrzywdzonych świadczy o tym, że nie są oni świadomi przysługującego im prawa do ich składania lub że nie uznają tego środka za nieskuteczny.</w:t>
      </w:r>
    </w:p>
    <w:p w:rsidR="006B2CF8" w:rsidRPr="006B2CF8" w:rsidRDefault="006B2CF8" w:rsidP="00953037">
      <w:pPr>
        <w:spacing w:before="120" w:after="0" w:line="240" w:lineRule="auto"/>
        <w:rPr>
          <w:rFonts w:eastAsia="Times New Roman" w:cs="Times New Roman"/>
          <w:b/>
          <w:bCs/>
          <w:sz w:val="24"/>
          <w:szCs w:val="24"/>
        </w:rPr>
      </w:pPr>
      <w:bookmarkStart w:id="78" w:name="bookmark70"/>
      <w:bookmarkStart w:id="79" w:name="bookmark69"/>
      <w:bookmarkStart w:id="80" w:name="bookmark68"/>
      <w:r w:rsidRPr="006B2CF8">
        <w:rPr>
          <w:rFonts w:eastAsia="Times New Roman" w:cs="Times New Roman"/>
          <w:b/>
          <w:bCs/>
          <w:sz w:val="24"/>
          <w:szCs w:val="24"/>
        </w:rPr>
        <w:t>III. 5. Szkolenia dla funkcjonariuszy policji</w:t>
      </w:r>
      <w:bookmarkEnd w:id="78"/>
      <w:bookmarkEnd w:id="79"/>
      <w:bookmarkEnd w:id="80"/>
    </w:p>
    <w:p w:rsidR="006B2CF8" w:rsidRPr="006B2CF8" w:rsidRDefault="006B2CF8" w:rsidP="00953037">
      <w:pPr>
        <w:widowControl w:val="0"/>
        <w:numPr>
          <w:ilvl w:val="0"/>
          <w:numId w:val="2"/>
        </w:numPr>
        <w:tabs>
          <w:tab w:val="left" w:pos="409"/>
        </w:tabs>
        <w:spacing w:before="120" w:after="0" w:line="240" w:lineRule="auto"/>
        <w:jc w:val="both"/>
        <w:rPr>
          <w:rFonts w:eastAsia="Times New Roman" w:cs="Times New Roman"/>
          <w:sz w:val="24"/>
          <w:szCs w:val="24"/>
        </w:rPr>
      </w:pPr>
      <w:bookmarkStart w:id="81" w:name="bookmark71"/>
      <w:bookmarkEnd w:id="81"/>
      <w:r w:rsidRPr="006B2CF8">
        <w:rPr>
          <w:rFonts w:eastAsia="Times New Roman" w:cs="Times New Roman"/>
          <w:sz w:val="24"/>
          <w:szCs w:val="24"/>
        </w:rPr>
        <w:t>Mając na uwadze powyższy raport MSWiA, HFPC przeanalizowała szkolenia z zakresu psychologicznych aspektów interwencji dla nowo przyjmowanych funkcjonariuszy Policji. KGP wskazuje, że powyższe zagadnienie dotyczące interwencji jest realizowane w ramach podstawowego obowiązkowego szkolenia zawodowego prowadzonego dla wszystkich nowo zatrudnionych funkcjonariuszy</w:t>
      </w:r>
      <w:r w:rsidRPr="006B2CF8">
        <w:rPr>
          <w:rFonts w:eastAsia="Times New Roman" w:cs="Times New Roman"/>
          <w:sz w:val="24"/>
          <w:szCs w:val="24"/>
          <w:vertAlign w:val="superscript"/>
        </w:rPr>
        <w:footnoteReference w:id="260"/>
      </w:r>
      <w:r w:rsidRPr="006B2CF8">
        <w:rPr>
          <w:rFonts w:eastAsia="Times New Roman" w:cs="Times New Roman"/>
          <w:sz w:val="24"/>
          <w:szCs w:val="24"/>
        </w:rPr>
        <w:t xml:space="preserve">. Wyższa Szkoła Policji w Słupsku wskazała, że zajęcia takie odbywają się w ramach szkoleń podstawowych i kursów specjalistycznych. Ponadto zwróciła uwagę, że podczas realizacji innych treści programowych omawiano i rozwijano umiejętności praktyczne z zakresu psychologii stosowanej, w tym inne czynności służbowe wykonywane przez policjantów, np. przesłuchanie świadka czy przyjęcie zawiadomienia o popełnieniu </w:t>
      </w:r>
      <w:r w:rsidRPr="006B2CF8">
        <w:rPr>
          <w:rFonts w:eastAsia="Times New Roman" w:cs="Times New Roman"/>
          <w:sz w:val="24"/>
          <w:szCs w:val="24"/>
        </w:rPr>
        <w:lastRenderedPageBreak/>
        <w:t>przestępstwa. Wyższa Szkoła Policji w Słupsku wskazała, że wszystkie zajęcia programowe są obowiązkowe</w:t>
      </w:r>
      <w:r w:rsidRPr="006B2CF8">
        <w:rPr>
          <w:rFonts w:eastAsia="Times New Roman" w:cs="Times New Roman"/>
          <w:sz w:val="24"/>
          <w:szCs w:val="24"/>
          <w:vertAlign w:val="superscript"/>
        </w:rPr>
        <w:footnoteReference w:id="261"/>
      </w:r>
      <w:r w:rsidRPr="006B2CF8">
        <w:rPr>
          <w:rFonts w:eastAsia="Times New Roman" w:cs="Times New Roman"/>
          <w:sz w:val="24"/>
          <w:szCs w:val="24"/>
        </w:rPr>
        <w:t>. Wyższa Szkoła Policji w Szczytnie poinformowała, że zajęcia z zakresu psychologicznych aspektów interwencji prowadzone są w ramach podstawowego szkolenia zawodowego</w:t>
      </w:r>
      <w:r w:rsidRPr="006B2CF8">
        <w:rPr>
          <w:rFonts w:eastAsia="Times New Roman" w:cs="Times New Roman"/>
          <w:sz w:val="24"/>
          <w:szCs w:val="24"/>
          <w:vertAlign w:val="superscript"/>
        </w:rPr>
        <w:footnoteReference w:id="262"/>
      </w:r>
      <w:r w:rsidRPr="006B2CF8">
        <w:rPr>
          <w:rFonts w:eastAsia="Times New Roman" w:cs="Times New Roman"/>
          <w:sz w:val="24"/>
          <w:szCs w:val="24"/>
        </w:rPr>
        <w:t>. Centrum Szkolenia Policji w Legionowie wskazało, że tego typu zajęcia prowadzone są dla nowo przyjętych policjantów i w zajęciach tych uczestniczą psychologowie policyjni, którzy oceniają ćwiczenia lub symulacje w tym zakresie. Ponadto w trakcie zajęć instruktorzy policyjni zobowiązani są do reagowania na zachowania policjantów. Ich zadaniem jest podkreślanie wartości właściwych zachowań społecznych przy jednoczesnej konstruktywnej korekcie zachowań uznanych za nieakceptowalne w świetle prawa lub zasad współżycia społecznego. Centrum Szkolenia Policji w Legionowie wskazało również, że nie powierzono mu realizacji centralnego szkolenia zawodowego z zakresu „psychologicznych aspektów interwencji”</w:t>
      </w:r>
      <w:r w:rsidRPr="0096211C">
        <w:rPr>
          <w:rFonts w:eastAsia="Times New Roman" w:cs="Times New Roman"/>
          <w:sz w:val="24"/>
          <w:szCs w:val="24"/>
          <w:vertAlign w:val="superscript"/>
        </w:rPr>
        <w:footnoteReference w:id="263"/>
      </w:r>
      <w:r w:rsidRPr="006B2CF8">
        <w:rPr>
          <w:rFonts w:eastAsia="Times New Roman" w:cs="Times New Roman"/>
          <w:sz w:val="24"/>
          <w:szCs w:val="24"/>
        </w:rPr>
        <w:t>. HFPC docenia czynności realizowane w ramach szkoleń, jednak wydaje się, że wymagają one uzupełnienia i pogłębienia. W związku z powyższym z analizy HFPC wynika, że dla nowo przyjętych osób nie są prowadzone odrębne zajęcia, w których kładzie się nacisk na psychologicznych aspektach interwencji.</w:t>
      </w:r>
    </w:p>
    <w:p w:rsidR="006B2CF8" w:rsidRPr="006B2CF8" w:rsidRDefault="006B2CF8" w:rsidP="00953037">
      <w:pPr>
        <w:widowControl w:val="0"/>
        <w:numPr>
          <w:ilvl w:val="0"/>
          <w:numId w:val="2"/>
        </w:numPr>
        <w:tabs>
          <w:tab w:val="left" w:pos="414"/>
        </w:tabs>
        <w:spacing w:before="120" w:after="0" w:line="240" w:lineRule="auto"/>
        <w:jc w:val="both"/>
        <w:rPr>
          <w:rFonts w:eastAsia="Times New Roman" w:cs="Times New Roman"/>
          <w:sz w:val="24"/>
          <w:szCs w:val="24"/>
        </w:rPr>
      </w:pPr>
      <w:bookmarkStart w:id="82" w:name="bookmark72"/>
      <w:bookmarkEnd w:id="82"/>
      <w:r w:rsidRPr="006B2CF8">
        <w:rPr>
          <w:rFonts w:eastAsia="Times New Roman" w:cs="Times New Roman"/>
          <w:sz w:val="24"/>
          <w:szCs w:val="24"/>
        </w:rPr>
        <w:t>Ponadto, w ocenie HFPC, nie prowadzi się kształcenia ustawicznego ani szkoleń uzupełniających dla funkcjonariuszy policji w zakresie psychologicznych aspektów interwencji. Ani w Centrum Szkolenia Policji w Legionowie ani w Wyższej Szkole Policji w Słupsku nie prowadzono szkoleń uzupełniających dla policjantów z ww. zakresu</w:t>
      </w:r>
      <w:r w:rsidRPr="0096211C">
        <w:rPr>
          <w:rFonts w:eastAsia="Times New Roman" w:cs="Times New Roman"/>
          <w:sz w:val="24"/>
          <w:szCs w:val="24"/>
          <w:vertAlign w:val="superscript"/>
        </w:rPr>
        <w:footnoteReference w:id="264"/>
      </w:r>
      <w:r w:rsidRPr="006B2CF8">
        <w:rPr>
          <w:rFonts w:eastAsia="Times New Roman" w:cs="Times New Roman"/>
          <w:sz w:val="24"/>
          <w:szCs w:val="24"/>
        </w:rPr>
        <w:t>. Jedynie Wyższa Szkoła Policji w Szczytnie wskazała, że zajęcia z tej tematyki prowadzone są w formie nieobowiązkowych kursów specjalistycznych dostępnych w ramach doskonalenia zawodowego</w:t>
      </w:r>
      <w:r w:rsidRPr="006B2CF8">
        <w:rPr>
          <w:rFonts w:eastAsia="Times New Roman" w:cs="Times New Roman"/>
          <w:sz w:val="24"/>
          <w:szCs w:val="24"/>
          <w:vertAlign w:val="superscript"/>
        </w:rPr>
        <w:footnoteReference w:id="265"/>
      </w:r>
      <w:r w:rsidRPr="006B2CF8">
        <w:rPr>
          <w:rFonts w:eastAsia="Times New Roman" w:cs="Times New Roman"/>
          <w:sz w:val="24"/>
          <w:szCs w:val="24"/>
        </w:rPr>
        <w:t>. KGP wskazała, że opracowano program lokalnego doskonalenia zawodowego pt. „Techniki wywierania wpływu w sytuacjach trudnych interwencji policyjnych”, którego celem jest doskonalenie umiejętności funkcjonariuszy policji w zakresie technik wywierania wpływu podczas interwencji. Szkolenie to nie jest jednak obowiązkowe, a objęty nim program przeznaczony jest dla policjantów prewencyjnych. KGP wskazała, że w 2019 r. przeszkolono 1410 policjantów</w:t>
      </w:r>
      <w:r w:rsidRPr="006B2CF8">
        <w:rPr>
          <w:rFonts w:eastAsia="Times New Roman" w:cs="Times New Roman"/>
          <w:sz w:val="24"/>
          <w:szCs w:val="24"/>
          <w:vertAlign w:val="superscript"/>
        </w:rPr>
        <w:footnoteReference w:id="266"/>
      </w:r>
      <w:r w:rsidRPr="006B2CF8">
        <w:rPr>
          <w:rFonts w:eastAsia="Times New Roman" w:cs="Times New Roman"/>
          <w:sz w:val="24"/>
          <w:szCs w:val="24"/>
        </w:rPr>
        <w:t>. Niemniej wątpliwości budzi nieobowiązkowy charakter szkolenia. Według raportu MSWiA 11% funkcjonariuszy policji wskazuje na wysoki poziom skłonności do agresji, a 74% na średni poziom skłonności. Z tego względu wydaje się, że takie szkolenie powinno być obowiązkowe i powtarzane w danych jednostkach Policji raz na trzy lata. Celem miałaby być ciągła kontrola oraz samodoskonalenia w radzeniu sobie ze stresem i agresją w trudnych sytuacjach.</w:t>
      </w:r>
    </w:p>
    <w:p w:rsidR="006B2CF8" w:rsidRPr="00953037" w:rsidRDefault="006B2CF8" w:rsidP="00953037">
      <w:pPr>
        <w:pStyle w:val="Akapitzlist"/>
        <w:numPr>
          <w:ilvl w:val="0"/>
          <w:numId w:val="7"/>
        </w:numPr>
        <w:spacing w:before="120" w:after="0" w:line="240" w:lineRule="auto"/>
        <w:contextualSpacing w:val="0"/>
        <w:rPr>
          <w:rFonts w:eastAsia="Times New Roman" w:cs="Times New Roman"/>
          <w:b/>
          <w:bCs/>
          <w:sz w:val="24"/>
          <w:szCs w:val="24"/>
        </w:rPr>
      </w:pPr>
      <w:bookmarkStart w:id="83" w:name="bookmark75"/>
      <w:bookmarkStart w:id="84" w:name="bookmark73"/>
      <w:bookmarkStart w:id="85" w:name="bookmark74"/>
      <w:bookmarkStart w:id="86" w:name="bookmark76"/>
      <w:bookmarkEnd w:id="83"/>
      <w:r w:rsidRPr="00953037">
        <w:rPr>
          <w:rFonts w:eastAsia="Times New Roman" w:cs="Times New Roman"/>
          <w:b/>
          <w:bCs/>
          <w:iCs/>
          <w:sz w:val="24"/>
          <w:szCs w:val="24"/>
        </w:rPr>
        <w:t>Zalecenia</w:t>
      </w:r>
      <w:bookmarkEnd w:id="84"/>
      <w:bookmarkEnd w:id="85"/>
      <w:bookmarkEnd w:id="86"/>
    </w:p>
    <w:p w:rsidR="006B2CF8" w:rsidRPr="006B2CF8" w:rsidRDefault="006B2CF8" w:rsidP="00953037">
      <w:pPr>
        <w:widowControl w:val="0"/>
        <w:numPr>
          <w:ilvl w:val="0"/>
          <w:numId w:val="2"/>
        </w:numPr>
        <w:tabs>
          <w:tab w:val="left" w:pos="409"/>
        </w:tabs>
        <w:spacing w:before="120" w:after="0" w:line="240" w:lineRule="auto"/>
        <w:jc w:val="both"/>
        <w:rPr>
          <w:rFonts w:eastAsia="Times New Roman" w:cs="Times New Roman"/>
          <w:sz w:val="24"/>
          <w:szCs w:val="24"/>
        </w:rPr>
      </w:pPr>
      <w:bookmarkStart w:id="87" w:name="bookmark77"/>
      <w:bookmarkEnd w:id="87"/>
      <w:r w:rsidRPr="006B2CF8">
        <w:rPr>
          <w:rFonts w:eastAsia="Times New Roman" w:cs="Times New Roman"/>
          <w:sz w:val="24"/>
          <w:szCs w:val="24"/>
        </w:rPr>
        <w:t>Mając na uwadze powyższe wywody, HFPC zwraca się do Komitetu Ministrów z wnioskiem o dalsze sprawowanie nadzoru nad wykonywaniem wyroku w sprawie</w:t>
      </w:r>
      <w:r w:rsidR="008E32CB">
        <w:rPr>
          <w:rFonts w:eastAsia="Times New Roman" w:cs="Times New Roman"/>
          <w:i/>
          <w:iCs/>
          <w:sz w:val="24"/>
          <w:szCs w:val="24"/>
        </w:rPr>
        <w:t xml:space="preserve"> Bednarz p. </w:t>
      </w:r>
      <w:r w:rsidRPr="006B2CF8">
        <w:rPr>
          <w:rFonts w:eastAsia="Times New Roman" w:cs="Times New Roman"/>
          <w:i/>
          <w:iCs/>
          <w:sz w:val="24"/>
          <w:szCs w:val="24"/>
        </w:rPr>
        <w:t>Polsce</w:t>
      </w:r>
      <w:r w:rsidRPr="006B2CF8">
        <w:rPr>
          <w:rFonts w:eastAsia="Times New Roman" w:cs="Times New Roman"/>
          <w:sz w:val="24"/>
          <w:szCs w:val="24"/>
        </w:rPr>
        <w:t xml:space="preserve">. W </w:t>
      </w:r>
      <w:r w:rsidRPr="006B2CF8">
        <w:rPr>
          <w:rFonts w:eastAsia="Times New Roman" w:cs="Times New Roman"/>
          <w:sz w:val="24"/>
          <w:szCs w:val="24"/>
        </w:rPr>
        <w:lastRenderedPageBreak/>
        <w:t xml:space="preserve">naszej ocenie podjęte działania nie przyniosły oczekiwanych rezultatów. Tym samym przyjęte środki nie mogły być wystarczające do stwierdzenia, że Polska wypełniła swoje zobowiązania wynikające z art. 46 § 1 Konwencji. Z tego względu twierdzimy, że nie należy kończyć rozpatrywania sprawy </w:t>
      </w:r>
      <w:r w:rsidRPr="006B2CF8">
        <w:rPr>
          <w:rFonts w:eastAsia="Times New Roman" w:cs="Times New Roman"/>
          <w:i/>
          <w:iCs/>
          <w:sz w:val="24"/>
          <w:szCs w:val="24"/>
        </w:rPr>
        <w:t>Bednarz</w:t>
      </w:r>
      <w:r w:rsidRPr="006B2CF8">
        <w:rPr>
          <w:rFonts w:eastAsia="Times New Roman" w:cs="Times New Roman"/>
          <w:sz w:val="24"/>
          <w:szCs w:val="24"/>
        </w:rPr>
        <w:t>, gdyż problem systemowy leżący u podstaw naruszenia praw człowieka wciąż nie został w pełni rozwiązany.</w:t>
      </w:r>
    </w:p>
    <w:p w:rsidR="006B2CF8" w:rsidRPr="006B2CF8" w:rsidRDefault="006B2CF8" w:rsidP="00953037">
      <w:pPr>
        <w:widowControl w:val="0"/>
        <w:numPr>
          <w:ilvl w:val="0"/>
          <w:numId w:val="2"/>
        </w:numPr>
        <w:tabs>
          <w:tab w:val="left" w:pos="414"/>
        </w:tabs>
        <w:spacing w:before="120" w:after="0" w:line="240" w:lineRule="auto"/>
        <w:jc w:val="both"/>
        <w:rPr>
          <w:rFonts w:eastAsia="Times New Roman" w:cs="Times New Roman"/>
          <w:sz w:val="24"/>
          <w:szCs w:val="24"/>
        </w:rPr>
      </w:pPr>
      <w:bookmarkStart w:id="88" w:name="bookmark78"/>
      <w:bookmarkEnd w:id="88"/>
      <w:r w:rsidRPr="006B2CF8">
        <w:rPr>
          <w:rFonts w:eastAsia="Times New Roman" w:cs="Times New Roman"/>
          <w:sz w:val="24"/>
          <w:szCs w:val="24"/>
        </w:rPr>
        <w:t>W świetle powyższego, HFPC zaleca, aby Komitet:</w:t>
      </w:r>
    </w:p>
    <w:p w:rsidR="006B2CF8" w:rsidRPr="006B2CF8" w:rsidRDefault="006B2CF8" w:rsidP="00953037">
      <w:pPr>
        <w:widowControl w:val="0"/>
        <w:numPr>
          <w:ilvl w:val="0"/>
          <w:numId w:val="3"/>
        </w:numPr>
        <w:tabs>
          <w:tab w:val="left" w:pos="747"/>
        </w:tabs>
        <w:spacing w:before="120" w:after="0" w:line="240" w:lineRule="auto"/>
        <w:ind w:left="740" w:hanging="340"/>
        <w:jc w:val="both"/>
        <w:rPr>
          <w:rFonts w:eastAsia="Times New Roman" w:cs="Times New Roman"/>
          <w:sz w:val="24"/>
          <w:szCs w:val="24"/>
        </w:rPr>
      </w:pPr>
      <w:bookmarkStart w:id="89" w:name="bookmark79"/>
      <w:bookmarkEnd w:id="89"/>
      <w:r w:rsidRPr="006B2CF8">
        <w:rPr>
          <w:rFonts w:eastAsia="Times New Roman" w:cs="Times New Roman"/>
          <w:sz w:val="24"/>
          <w:szCs w:val="24"/>
        </w:rPr>
        <w:t>w oparciu o informacje zawarte w raporcie z działań z dnia 29 kwietnia 2016 r. – zwrócił się do rządu polskiego o przekazanie informacji na temat:</w:t>
      </w:r>
    </w:p>
    <w:p w:rsidR="006B2CF8" w:rsidRPr="006B2CF8" w:rsidRDefault="006B2CF8" w:rsidP="00953037">
      <w:pPr>
        <w:widowControl w:val="0"/>
        <w:numPr>
          <w:ilvl w:val="0"/>
          <w:numId w:val="4"/>
        </w:numPr>
        <w:tabs>
          <w:tab w:val="left" w:pos="1455"/>
        </w:tabs>
        <w:spacing w:before="120" w:after="0" w:line="240" w:lineRule="auto"/>
        <w:ind w:left="1440" w:hanging="340"/>
        <w:jc w:val="both"/>
        <w:rPr>
          <w:rFonts w:eastAsia="Times New Roman" w:cs="Times New Roman"/>
          <w:sz w:val="24"/>
          <w:szCs w:val="24"/>
        </w:rPr>
      </w:pPr>
      <w:bookmarkStart w:id="90" w:name="bookmark80"/>
      <w:bookmarkEnd w:id="90"/>
      <w:r w:rsidRPr="006B2CF8">
        <w:rPr>
          <w:rFonts w:eastAsia="Times New Roman" w:cs="Times New Roman"/>
          <w:sz w:val="24"/>
          <w:szCs w:val="24"/>
        </w:rPr>
        <w:t>powołania w strukturach Ministerstwa Spraw Wewnętrznych i Administracji zespołu do opracowania konkretnych rozwiązań związanych z kształtowaniem postaw, kształceniem policjantów i podchorążych, a jeśli taki zespół został powołany – wskazanie, jakie są jego zadania i czy wydał już zalecenia;</w:t>
      </w:r>
    </w:p>
    <w:p w:rsidR="006B2CF8" w:rsidRPr="006B2CF8" w:rsidRDefault="006B2CF8" w:rsidP="00953037">
      <w:pPr>
        <w:widowControl w:val="0"/>
        <w:numPr>
          <w:ilvl w:val="0"/>
          <w:numId w:val="4"/>
        </w:numPr>
        <w:tabs>
          <w:tab w:val="left" w:pos="1455"/>
        </w:tabs>
        <w:spacing w:before="120" w:after="0" w:line="240" w:lineRule="auto"/>
        <w:ind w:left="1440" w:hanging="340"/>
        <w:jc w:val="both"/>
        <w:rPr>
          <w:rFonts w:eastAsia="Times New Roman" w:cs="Times New Roman"/>
          <w:sz w:val="24"/>
          <w:szCs w:val="24"/>
        </w:rPr>
      </w:pPr>
      <w:bookmarkStart w:id="91" w:name="bookmark81"/>
      <w:bookmarkEnd w:id="91"/>
      <w:r w:rsidRPr="006B2CF8">
        <w:rPr>
          <w:rFonts w:eastAsia="Times New Roman" w:cs="Times New Roman"/>
          <w:sz w:val="24"/>
          <w:szCs w:val="24"/>
        </w:rPr>
        <w:t>powołania w strukturach Ministerstwa Spraw Wewnętrznych i Administracji zespołu do opracowania konkretnych rozwiązań związanych z różnymi rodzajami pomocy psychologicznej w celu zapewnienia prawidłowego wykonywania zadań przez policjantów, a jeśli taki zespół został powołany – wskazanie, jakie są jego zadania i czy wydał już zalecenia;</w:t>
      </w:r>
    </w:p>
    <w:p w:rsidR="006B2CF8" w:rsidRPr="006B2CF8" w:rsidRDefault="006B2CF8" w:rsidP="00953037">
      <w:pPr>
        <w:widowControl w:val="0"/>
        <w:numPr>
          <w:ilvl w:val="0"/>
          <w:numId w:val="4"/>
        </w:numPr>
        <w:tabs>
          <w:tab w:val="left" w:pos="1455"/>
        </w:tabs>
        <w:spacing w:before="120" w:after="0" w:line="240" w:lineRule="auto"/>
        <w:ind w:left="1440" w:hanging="340"/>
        <w:jc w:val="both"/>
        <w:rPr>
          <w:rFonts w:eastAsia="Times New Roman" w:cs="Times New Roman"/>
          <w:sz w:val="24"/>
          <w:szCs w:val="24"/>
        </w:rPr>
      </w:pPr>
      <w:bookmarkStart w:id="92" w:name="bookmark82"/>
      <w:bookmarkEnd w:id="92"/>
      <w:r w:rsidRPr="006B2CF8">
        <w:rPr>
          <w:rFonts w:eastAsia="Times New Roman" w:cs="Times New Roman"/>
          <w:sz w:val="24"/>
          <w:szCs w:val="24"/>
        </w:rPr>
        <w:t>powołania w strukturach Ministerstwie Spraw Wewnętrznych i Administracji zespołu do spraw opracowania zagadnień związanych z zapobieganiem niewłaściwym zachowaniom funkcjonariuszy policji, a w przypadku powołania takiego zespołu – wskazanie, jakie są jego zadania i czy wydał już zalecenia.</w:t>
      </w:r>
    </w:p>
    <w:p w:rsidR="006B2CF8" w:rsidRPr="006B2CF8" w:rsidRDefault="006B2CF8" w:rsidP="00953037">
      <w:pPr>
        <w:widowControl w:val="0"/>
        <w:numPr>
          <w:ilvl w:val="0"/>
          <w:numId w:val="3"/>
        </w:numPr>
        <w:tabs>
          <w:tab w:val="left" w:pos="747"/>
        </w:tabs>
        <w:spacing w:before="120" w:after="0" w:line="240" w:lineRule="auto"/>
        <w:ind w:left="740" w:hanging="340"/>
        <w:jc w:val="both"/>
        <w:rPr>
          <w:rFonts w:eastAsia="Times New Roman" w:cs="Times New Roman"/>
          <w:sz w:val="24"/>
          <w:szCs w:val="24"/>
        </w:rPr>
      </w:pPr>
      <w:bookmarkStart w:id="93" w:name="bookmark83"/>
      <w:bookmarkEnd w:id="93"/>
      <w:r w:rsidRPr="006B2CF8">
        <w:rPr>
          <w:rFonts w:eastAsia="Times New Roman" w:cs="Times New Roman"/>
          <w:sz w:val="24"/>
          <w:szCs w:val="24"/>
        </w:rPr>
        <w:t>na podstawie raportu Ministerstwa Spraw Wewnętrznych i Administracji z grudnia 2015 r. – zwrócił się do polskiego rządu o przekazanie informacji:</w:t>
      </w:r>
    </w:p>
    <w:p w:rsidR="006B2CF8" w:rsidRPr="006B2CF8" w:rsidRDefault="006B2CF8" w:rsidP="00953037">
      <w:pPr>
        <w:widowControl w:val="0"/>
        <w:numPr>
          <w:ilvl w:val="0"/>
          <w:numId w:val="5"/>
        </w:numPr>
        <w:tabs>
          <w:tab w:val="left" w:pos="1455"/>
        </w:tabs>
        <w:spacing w:before="120" w:after="0" w:line="240" w:lineRule="auto"/>
        <w:ind w:left="1440" w:hanging="340"/>
        <w:jc w:val="both"/>
        <w:rPr>
          <w:rFonts w:eastAsia="Times New Roman" w:cs="Times New Roman"/>
          <w:sz w:val="24"/>
          <w:szCs w:val="24"/>
        </w:rPr>
      </w:pPr>
      <w:bookmarkStart w:id="94" w:name="bookmark84"/>
      <w:bookmarkEnd w:id="94"/>
      <w:r w:rsidRPr="006B2CF8">
        <w:rPr>
          <w:rFonts w:eastAsia="Times New Roman" w:cs="Times New Roman"/>
          <w:sz w:val="24"/>
          <w:szCs w:val="24"/>
        </w:rPr>
        <w:t>na temat tego, czy sporządzono plan wdrożenia po raporcie podsumowującym badanie zrealizowane na zlecenie MSWiA dotyczące problemu występowania w Policji agresji skierowanej przeciwko osobom spoza Policji, z którymi funkcjonariusz ma kontakt w związku z wykonywaniem obowiązków służbowych z dnia 7 grudnia 2015 r;</w:t>
      </w:r>
    </w:p>
    <w:p w:rsidR="006B2CF8" w:rsidRPr="006B2CF8" w:rsidRDefault="006B2CF8" w:rsidP="00953037">
      <w:pPr>
        <w:widowControl w:val="0"/>
        <w:numPr>
          <w:ilvl w:val="0"/>
          <w:numId w:val="5"/>
        </w:numPr>
        <w:tabs>
          <w:tab w:val="left" w:pos="1455"/>
        </w:tabs>
        <w:spacing w:before="120" w:after="0" w:line="240" w:lineRule="auto"/>
        <w:ind w:left="1440" w:hanging="340"/>
        <w:jc w:val="both"/>
        <w:rPr>
          <w:rFonts w:eastAsia="Times New Roman" w:cs="Times New Roman"/>
          <w:sz w:val="24"/>
          <w:szCs w:val="24"/>
        </w:rPr>
      </w:pPr>
      <w:bookmarkStart w:id="95" w:name="bookmark85"/>
      <w:bookmarkEnd w:id="95"/>
      <w:r w:rsidRPr="006B2CF8">
        <w:rPr>
          <w:rFonts w:eastAsia="Times New Roman" w:cs="Times New Roman"/>
          <w:sz w:val="24"/>
          <w:szCs w:val="24"/>
        </w:rPr>
        <w:t>czy przeprowadzono dalsze badania lub czy planowane są badania podobne do badań opisanych w raporcie, o którym mowa w pkt 1, a jeżeli zostały one przeprowadzone lub jeżeli są planowane, przekazanie informacji na ich temat oraz wskazanie, kiedy planowane jest ich zakończenie.</w:t>
      </w:r>
    </w:p>
    <w:p w:rsidR="006B2CF8" w:rsidRPr="006B2CF8" w:rsidRDefault="006B2CF8" w:rsidP="00953037">
      <w:pPr>
        <w:widowControl w:val="0"/>
        <w:numPr>
          <w:ilvl w:val="0"/>
          <w:numId w:val="3"/>
        </w:numPr>
        <w:tabs>
          <w:tab w:val="left" w:pos="747"/>
        </w:tabs>
        <w:spacing w:before="120" w:after="0" w:line="240" w:lineRule="auto"/>
        <w:ind w:left="740" w:hanging="340"/>
        <w:jc w:val="both"/>
        <w:rPr>
          <w:rFonts w:eastAsia="Times New Roman" w:cs="Times New Roman"/>
          <w:sz w:val="24"/>
          <w:szCs w:val="24"/>
        </w:rPr>
      </w:pPr>
      <w:bookmarkStart w:id="96" w:name="bookmark86"/>
      <w:bookmarkEnd w:id="96"/>
      <w:r w:rsidRPr="006B2CF8">
        <w:rPr>
          <w:rFonts w:eastAsia="Times New Roman" w:cs="Times New Roman"/>
          <w:sz w:val="24"/>
          <w:szCs w:val="24"/>
        </w:rPr>
        <w:t>w świetle wytycznych Prokuratora Generalnego z dnia 27 czerwca 2014 r. zwrócił się do rządu polskiego o wyjaśnienie braku danych statystycznych dotyczących przestępstw związanych z torturami i nieludzkim lub poniżającym traktowaniem, stosowaniem przemocy fizycznej lub werbalnej przez funkcjonariuszy Policji wobec osób zatrzymanych/podejrzanych pomimo ww. wytycznych i zapewnień zawartych w raporcie z działań z dnia 29 kwietnia 2016 r., że takie dane zostaną zebrane.</w:t>
      </w:r>
    </w:p>
    <w:p w:rsidR="006B2CF8" w:rsidRPr="006B2CF8" w:rsidRDefault="006B2CF8" w:rsidP="00953037">
      <w:pPr>
        <w:widowControl w:val="0"/>
        <w:numPr>
          <w:ilvl w:val="0"/>
          <w:numId w:val="2"/>
        </w:numPr>
        <w:tabs>
          <w:tab w:val="left" w:pos="433"/>
        </w:tabs>
        <w:spacing w:before="120" w:after="0" w:line="240" w:lineRule="auto"/>
        <w:jc w:val="both"/>
        <w:rPr>
          <w:rFonts w:eastAsia="Times New Roman" w:cs="Times New Roman"/>
          <w:sz w:val="24"/>
          <w:szCs w:val="24"/>
        </w:rPr>
      </w:pPr>
      <w:bookmarkStart w:id="97" w:name="bookmark87"/>
      <w:bookmarkEnd w:id="97"/>
      <w:r w:rsidRPr="006B2CF8">
        <w:rPr>
          <w:rFonts w:eastAsia="Times New Roman" w:cs="Times New Roman"/>
          <w:sz w:val="24"/>
          <w:szCs w:val="24"/>
        </w:rPr>
        <w:t xml:space="preserve">W ocenie HFPC, w celu zagwarantowania pełnego wykonania wyroku w sprawie </w:t>
      </w:r>
      <w:r w:rsidRPr="006B2CF8">
        <w:rPr>
          <w:rFonts w:eastAsia="Times New Roman" w:cs="Times New Roman"/>
          <w:i/>
          <w:iCs/>
          <w:sz w:val="24"/>
          <w:szCs w:val="24"/>
        </w:rPr>
        <w:t>Bednarz przeciwko Polsce</w:t>
      </w:r>
      <w:r w:rsidRPr="006B2CF8">
        <w:rPr>
          <w:rFonts w:eastAsia="Times New Roman" w:cs="Times New Roman"/>
          <w:sz w:val="24"/>
          <w:szCs w:val="24"/>
        </w:rPr>
        <w:t>, rząd polski powinien:</w:t>
      </w:r>
    </w:p>
    <w:p w:rsidR="006B2CF8" w:rsidRPr="006B2CF8" w:rsidRDefault="006B2CF8" w:rsidP="00953037">
      <w:pPr>
        <w:widowControl w:val="0"/>
        <w:numPr>
          <w:ilvl w:val="0"/>
          <w:numId w:val="6"/>
        </w:numPr>
        <w:tabs>
          <w:tab w:val="left" w:pos="692"/>
        </w:tabs>
        <w:spacing w:before="120" w:after="0" w:line="240" w:lineRule="auto"/>
        <w:ind w:left="680" w:hanging="340"/>
        <w:jc w:val="both"/>
        <w:rPr>
          <w:rFonts w:eastAsia="Times New Roman" w:cs="Times New Roman"/>
          <w:sz w:val="24"/>
          <w:szCs w:val="24"/>
        </w:rPr>
      </w:pPr>
      <w:bookmarkStart w:id="98" w:name="bookmark88"/>
      <w:bookmarkEnd w:id="98"/>
      <w:r w:rsidRPr="006B2CF8">
        <w:rPr>
          <w:rFonts w:eastAsia="Times New Roman" w:cs="Times New Roman"/>
          <w:sz w:val="24"/>
          <w:szCs w:val="24"/>
        </w:rPr>
        <w:t xml:space="preserve">dopilnować, aby wszystkie postępowania dotyczące tortur i złego traktowania przez funkcjonariuszy Policji, a także wszystkie przypadki śmierci były badane szybko, </w:t>
      </w:r>
      <w:r w:rsidRPr="006B2CF8">
        <w:rPr>
          <w:rFonts w:eastAsia="Times New Roman" w:cs="Times New Roman"/>
          <w:sz w:val="24"/>
          <w:szCs w:val="24"/>
        </w:rPr>
        <w:lastRenderedPageBreak/>
        <w:t>skutecznie i bezstronnie</w:t>
      </w:r>
      <w:r w:rsidRPr="006B2CF8">
        <w:rPr>
          <w:rFonts w:eastAsia="Times New Roman" w:cs="Times New Roman"/>
          <w:sz w:val="24"/>
          <w:szCs w:val="24"/>
          <w:vertAlign w:val="superscript"/>
        </w:rPr>
        <w:footnoteReference w:id="267"/>
      </w:r>
      <w:r w:rsidRPr="006B2CF8">
        <w:rPr>
          <w:rFonts w:eastAsia="Times New Roman" w:cs="Times New Roman"/>
          <w:sz w:val="24"/>
          <w:szCs w:val="24"/>
        </w:rPr>
        <w:t>;</w:t>
      </w:r>
    </w:p>
    <w:p w:rsidR="006B2CF8" w:rsidRPr="006B2CF8" w:rsidRDefault="006B2CF8" w:rsidP="00953037">
      <w:pPr>
        <w:widowControl w:val="0"/>
        <w:numPr>
          <w:ilvl w:val="0"/>
          <w:numId w:val="6"/>
        </w:numPr>
        <w:tabs>
          <w:tab w:val="left" w:pos="692"/>
        </w:tabs>
        <w:spacing w:before="120" w:after="0" w:line="240" w:lineRule="auto"/>
        <w:ind w:left="680" w:hanging="340"/>
        <w:jc w:val="both"/>
        <w:rPr>
          <w:rFonts w:eastAsia="Times New Roman" w:cs="Times New Roman"/>
          <w:sz w:val="24"/>
          <w:szCs w:val="24"/>
        </w:rPr>
      </w:pPr>
      <w:bookmarkStart w:id="99" w:name="bookmark89"/>
      <w:bookmarkEnd w:id="99"/>
      <w:r w:rsidRPr="006B2CF8">
        <w:rPr>
          <w:rFonts w:eastAsia="Times New Roman" w:cs="Times New Roman"/>
          <w:sz w:val="24"/>
          <w:szCs w:val="24"/>
        </w:rPr>
        <w:t>wprowadzić uregulowanie, zgodnie z którym w przypadku podejrzenia o popełnienie przestępstw związanych z torturami lub nieludzkim traktowaniem, funkcjonariusze byliby natychmiast zawieszani w czynnościach służbowych na czas trwania postępowania</w:t>
      </w:r>
      <w:r w:rsidRPr="006B2CF8">
        <w:rPr>
          <w:rFonts w:eastAsia="Times New Roman" w:cs="Times New Roman"/>
          <w:sz w:val="24"/>
          <w:szCs w:val="24"/>
          <w:vertAlign w:val="superscript"/>
        </w:rPr>
        <w:footnoteReference w:id="268"/>
      </w:r>
      <w:r w:rsidRPr="006B2CF8">
        <w:rPr>
          <w:rFonts w:eastAsia="Times New Roman" w:cs="Times New Roman"/>
          <w:sz w:val="24"/>
          <w:szCs w:val="24"/>
        </w:rPr>
        <w:t>;</w:t>
      </w:r>
    </w:p>
    <w:p w:rsidR="006B2CF8" w:rsidRPr="006B2CF8" w:rsidRDefault="006B2CF8" w:rsidP="00953037">
      <w:pPr>
        <w:widowControl w:val="0"/>
        <w:numPr>
          <w:ilvl w:val="0"/>
          <w:numId w:val="6"/>
        </w:numPr>
        <w:tabs>
          <w:tab w:val="left" w:pos="692"/>
        </w:tabs>
        <w:spacing w:before="120" w:after="0" w:line="240" w:lineRule="auto"/>
        <w:ind w:left="680" w:hanging="340"/>
        <w:jc w:val="both"/>
        <w:rPr>
          <w:rFonts w:eastAsia="Times New Roman" w:cs="Times New Roman"/>
          <w:sz w:val="24"/>
          <w:szCs w:val="24"/>
        </w:rPr>
      </w:pPr>
      <w:bookmarkStart w:id="100" w:name="bookmark90"/>
      <w:bookmarkEnd w:id="100"/>
      <w:r w:rsidRPr="006B2CF8">
        <w:rPr>
          <w:rFonts w:eastAsia="Times New Roman" w:cs="Times New Roman"/>
          <w:sz w:val="24"/>
          <w:szCs w:val="24"/>
        </w:rPr>
        <w:t>dopilnować, aby wszystkie interwencje policji i wszystkie przesłuchania były nagrywane oraz aby we wszystkich pomieszczeniach, w których przeprowadzane są przesłuchania, zainstalowano urządzenia rejestrujące obraz</w:t>
      </w:r>
      <w:r w:rsidRPr="006B2CF8">
        <w:rPr>
          <w:rFonts w:eastAsia="Times New Roman" w:cs="Times New Roman"/>
          <w:sz w:val="24"/>
          <w:szCs w:val="24"/>
          <w:vertAlign w:val="superscript"/>
        </w:rPr>
        <w:footnoteReference w:id="269"/>
      </w:r>
      <w:r w:rsidRPr="006B2CF8">
        <w:rPr>
          <w:rFonts w:eastAsia="Times New Roman" w:cs="Times New Roman"/>
          <w:sz w:val="24"/>
          <w:szCs w:val="24"/>
        </w:rPr>
        <w:t>;</w:t>
      </w:r>
    </w:p>
    <w:p w:rsidR="006B2CF8" w:rsidRPr="006B2CF8" w:rsidRDefault="006B2CF8" w:rsidP="00953037">
      <w:pPr>
        <w:widowControl w:val="0"/>
        <w:numPr>
          <w:ilvl w:val="0"/>
          <w:numId w:val="6"/>
        </w:numPr>
        <w:tabs>
          <w:tab w:val="left" w:pos="692"/>
        </w:tabs>
        <w:spacing w:before="120" w:after="0" w:line="240" w:lineRule="auto"/>
        <w:ind w:firstLine="340"/>
        <w:jc w:val="both"/>
        <w:rPr>
          <w:rFonts w:eastAsia="Times New Roman" w:cs="Times New Roman"/>
          <w:sz w:val="24"/>
          <w:szCs w:val="24"/>
        </w:rPr>
      </w:pPr>
      <w:bookmarkStart w:id="101" w:name="bookmark91"/>
      <w:bookmarkEnd w:id="101"/>
      <w:r w:rsidRPr="006B2CF8">
        <w:rPr>
          <w:rFonts w:eastAsia="Times New Roman" w:cs="Times New Roman"/>
          <w:sz w:val="24"/>
          <w:szCs w:val="24"/>
        </w:rPr>
        <w:t>dopilnować, aby wszystkie przypadki tortur i złego traktowania były rejestrowane</w:t>
      </w:r>
      <w:r w:rsidRPr="006B2CF8">
        <w:rPr>
          <w:rFonts w:eastAsia="Times New Roman" w:cs="Times New Roman"/>
          <w:sz w:val="24"/>
          <w:szCs w:val="24"/>
          <w:vertAlign w:val="superscript"/>
        </w:rPr>
        <w:footnoteReference w:id="270"/>
      </w:r>
      <w:r w:rsidRPr="006B2CF8">
        <w:rPr>
          <w:rFonts w:eastAsia="Times New Roman" w:cs="Times New Roman"/>
          <w:sz w:val="24"/>
          <w:szCs w:val="24"/>
        </w:rPr>
        <w:t>;</w:t>
      </w:r>
    </w:p>
    <w:p w:rsidR="006B2CF8" w:rsidRPr="006B2CF8" w:rsidRDefault="006B2CF8" w:rsidP="00953037">
      <w:pPr>
        <w:widowControl w:val="0"/>
        <w:numPr>
          <w:ilvl w:val="0"/>
          <w:numId w:val="6"/>
        </w:numPr>
        <w:tabs>
          <w:tab w:val="left" w:pos="692"/>
        </w:tabs>
        <w:spacing w:before="120" w:after="0" w:line="240" w:lineRule="auto"/>
        <w:ind w:left="680" w:hanging="340"/>
        <w:jc w:val="both"/>
        <w:rPr>
          <w:rFonts w:eastAsia="Times New Roman" w:cs="Times New Roman"/>
          <w:sz w:val="24"/>
          <w:szCs w:val="24"/>
        </w:rPr>
      </w:pPr>
      <w:bookmarkStart w:id="102" w:name="bookmark92"/>
      <w:bookmarkEnd w:id="102"/>
      <w:r w:rsidRPr="006B2CF8">
        <w:rPr>
          <w:rFonts w:eastAsia="Times New Roman" w:cs="Times New Roman"/>
          <w:sz w:val="24"/>
          <w:szCs w:val="24"/>
        </w:rPr>
        <w:t>dopilnować, aby wszystkie osoby zgłaszające takie przestępstwa były chronione przed zastraszaniem lub represjami; należy im również przekazywać wszelkie informacje na temat środków podjętych w celu ich zawiadomienia, a pokrzywdzeni powinni otrzymywać odpowiednie zadośćuczynienie</w:t>
      </w:r>
      <w:r w:rsidRPr="0096211C">
        <w:rPr>
          <w:rFonts w:eastAsia="Times New Roman" w:cs="Times New Roman"/>
          <w:sz w:val="24"/>
          <w:szCs w:val="24"/>
          <w:vertAlign w:val="superscript"/>
        </w:rPr>
        <w:footnoteReference w:id="271"/>
      </w:r>
      <w:r w:rsidRPr="006B2CF8">
        <w:rPr>
          <w:rFonts w:eastAsia="Times New Roman" w:cs="Times New Roman"/>
          <w:sz w:val="24"/>
          <w:szCs w:val="24"/>
        </w:rPr>
        <w:t>;</w:t>
      </w:r>
    </w:p>
    <w:p w:rsidR="006B2CF8" w:rsidRPr="006B2CF8" w:rsidRDefault="006B2CF8" w:rsidP="00953037">
      <w:pPr>
        <w:widowControl w:val="0"/>
        <w:numPr>
          <w:ilvl w:val="0"/>
          <w:numId w:val="6"/>
        </w:numPr>
        <w:tabs>
          <w:tab w:val="left" w:pos="692"/>
        </w:tabs>
        <w:spacing w:before="120" w:after="0" w:line="240" w:lineRule="auto"/>
        <w:ind w:left="680" w:hanging="340"/>
        <w:jc w:val="both"/>
        <w:rPr>
          <w:rFonts w:eastAsia="Times New Roman" w:cs="Times New Roman"/>
          <w:sz w:val="24"/>
          <w:szCs w:val="24"/>
        </w:rPr>
      </w:pPr>
      <w:bookmarkStart w:id="103" w:name="bookmark93"/>
      <w:bookmarkEnd w:id="103"/>
      <w:r w:rsidRPr="006B2CF8">
        <w:rPr>
          <w:rFonts w:eastAsia="Times New Roman" w:cs="Times New Roman"/>
          <w:sz w:val="24"/>
          <w:szCs w:val="24"/>
        </w:rPr>
        <w:t>zapewnić przeszkolenie lekarzy, sędziów, funkcjonariuszy Służby Więziennej w zakresie zaleceń wynikających z protokołu stambulskiego i ich praktycznego zastosowania</w:t>
      </w:r>
      <w:r w:rsidRPr="006B2CF8">
        <w:rPr>
          <w:rFonts w:eastAsia="Times New Roman" w:cs="Times New Roman"/>
          <w:sz w:val="24"/>
          <w:szCs w:val="24"/>
          <w:vertAlign w:val="superscript"/>
        </w:rPr>
        <w:footnoteReference w:id="272"/>
      </w:r>
      <w:r w:rsidRPr="006B2CF8">
        <w:rPr>
          <w:rFonts w:eastAsia="Times New Roman" w:cs="Times New Roman"/>
          <w:sz w:val="24"/>
          <w:szCs w:val="24"/>
        </w:rPr>
        <w:t>.</w:t>
      </w:r>
    </w:p>
    <w:p w:rsidR="006B2CF8" w:rsidRPr="0096211C" w:rsidRDefault="006B2CF8" w:rsidP="0096211C">
      <w:pPr>
        <w:spacing w:after="120" w:line="240" w:lineRule="auto"/>
        <w:rPr>
          <w:sz w:val="24"/>
          <w:szCs w:val="24"/>
        </w:rPr>
      </w:pPr>
    </w:p>
    <w:p w:rsidR="006B2CF8" w:rsidRDefault="006B2CF8" w:rsidP="0096211C">
      <w:pPr>
        <w:spacing w:after="120" w:line="240" w:lineRule="auto"/>
        <w:rPr>
          <w:sz w:val="24"/>
          <w:szCs w:val="24"/>
          <w:u w:val="single"/>
        </w:rPr>
      </w:pPr>
      <w:r w:rsidRPr="0096211C">
        <w:rPr>
          <w:sz w:val="24"/>
          <w:szCs w:val="24"/>
          <w:u w:val="single"/>
        </w:rPr>
        <w:t>Odpowiedź rządu</w:t>
      </w:r>
      <w:r w:rsidR="0096211C">
        <w:rPr>
          <w:sz w:val="24"/>
          <w:szCs w:val="24"/>
          <w:u w:val="single"/>
        </w:rPr>
        <w:t xml:space="preserve"> z dnia 30 grudnia 2020 r. </w:t>
      </w:r>
    </w:p>
    <w:p w:rsidR="0096211C" w:rsidRDefault="0096211C" w:rsidP="0096211C">
      <w:pPr>
        <w:spacing w:after="120" w:line="240" w:lineRule="auto"/>
        <w:rPr>
          <w:sz w:val="24"/>
          <w:szCs w:val="24"/>
          <w:u w:val="single"/>
        </w:rPr>
      </w:pPr>
    </w:p>
    <w:p w:rsidR="00C26693" w:rsidRPr="00C26693" w:rsidRDefault="00C26693" w:rsidP="00C26693">
      <w:pPr>
        <w:spacing w:before="120" w:after="0" w:line="240" w:lineRule="auto"/>
        <w:jc w:val="both"/>
        <w:rPr>
          <w:rFonts w:ascii="Calibri" w:eastAsia="Times New Roman" w:hAnsi="Calibri" w:cs="Times New Roman"/>
          <w:sz w:val="24"/>
          <w:szCs w:val="24"/>
          <w:lang w:eastAsia="pl-PL"/>
        </w:rPr>
      </w:pPr>
      <w:r w:rsidRPr="00C26693">
        <w:rPr>
          <w:rFonts w:ascii="Calibri" w:eastAsia="Times New Roman" w:hAnsi="Calibri" w:cs="Times New Roman"/>
          <w:sz w:val="24"/>
          <w:szCs w:val="24"/>
          <w:lang w:eastAsia="pl-PL"/>
        </w:rPr>
        <w:t>W odpowiedzi na komunikację Helsińskiej Fundacji Praw Człowieka (dalej: HFPC) z dnia 21 lutego 2020 r. w sprawie wykonania wyroku Europejskiego Trybunału Praw Człowieka w sprawie Bednarz p. Polsce, rząd RP pragnie przedstawić następujące uwagi dotyczące przedstawionych w nich zaleceń dla Państwa-Strony.</w:t>
      </w:r>
    </w:p>
    <w:p w:rsidR="00C26693" w:rsidRPr="00C26693" w:rsidRDefault="00C26693" w:rsidP="00C26693">
      <w:pPr>
        <w:spacing w:before="120" w:after="0" w:line="240" w:lineRule="auto"/>
        <w:jc w:val="both"/>
        <w:rPr>
          <w:rFonts w:ascii="Calibri" w:eastAsia="Times New Roman" w:hAnsi="Calibri" w:cs="Times New Roman"/>
          <w:sz w:val="24"/>
          <w:szCs w:val="24"/>
          <w:lang w:eastAsia="pl-PL"/>
        </w:rPr>
      </w:pPr>
      <w:r w:rsidRPr="00C26693">
        <w:rPr>
          <w:rFonts w:ascii="Calibri" w:eastAsia="Times New Roman" w:hAnsi="Calibri" w:cs="Times New Roman"/>
          <w:sz w:val="24"/>
          <w:szCs w:val="24"/>
          <w:lang w:eastAsia="pl-PL"/>
        </w:rPr>
        <w:t xml:space="preserve">Jeśli chodzi o kwestię zbierania danych statystycznych na temat przestępstw związanych z torturami oraz nieludzkim lub poniżającym traktowaniem, stosowaniem przemocy fizycznej lub werbalnej przez policjantów, należy przede wszystkim zauważyć, że polski Kodeks karny (dalej: KK) nie zawiera oddzielnego przestępstwa tortur. Jednakże wszystkie elementy wskazane w definicji tortur, które znajdują się w międzynarodowych aktach prawnych są penalizowane przez polskie prawo karne — spełniają ustawową definicję różnych przestępstw zawartą w KK (naruszenie nietykalności cielesnej, groźby karalne, znęcanie się nad osobą zależną, spowodowanie uszczerbku na zdrowiu, zmuszanie innej osoby przemocą lub groźbą bezprawną do określonego zachowania). KK przewiduje sankcje dla funkcjonariusza </w:t>
      </w:r>
      <w:r w:rsidRPr="00C26693">
        <w:rPr>
          <w:rFonts w:ascii="Calibri" w:eastAsia="Times New Roman" w:hAnsi="Calibri" w:cs="Times New Roman"/>
          <w:sz w:val="24"/>
          <w:szCs w:val="24"/>
          <w:lang w:eastAsia="pl-PL"/>
        </w:rPr>
        <w:lastRenderedPageBreak/>
        <w:t xml:space="preserve">publicznego , który dopuścił się zachowania noszącego znamiona tortur. Artykuł 246 KK penalizuje wymuszanie zeznań przez funkcjonariusza publicznego (za ten czyn grozi kara pozbawienia od roku do 10 lat). Artykuł 247 KK penalizuje działania polegające na znęcaniu się nad osobą pozbawioną wolności (za ten czyn grozi kara pozbawienia wolności od 3 miesięcy do 5 lata w przypadku działania ze szczególnym okrucieństwem  kara pobawienia wolności od 1 roku do 10 lat). Takiej samej karze podlega funkcjonariusz który dopuszcza do popełnienia opisanych zachowań. </w:t>
      </w:r>
    </w:p>
    <w:p w:rsidR="00C26693" w:rsidRPr="00C26693" w:rsidRDefault="00C26693" w:rsidP="00C26693">
      <w:pPr>
        <w:spacing w:before="120" w:after="0" w:line="240" w:lineRule="auto"/>
        <w:jc w:val="both"/>
        <w:rPr>
          <w:rFonts w:ascii="Calibri" w:eastAsia="Times New Roman" w:hAnsi="Calibri" w:cs="Times New Roman"/>
          <w:sz w:val="24"/>
          <w:szCs w:val="24"/>
          <w:lang w:eastAsia="pl-PL"/>
        </w:rPr>
      </w:pPr>
      <w:r w:rsidRPr="00C26693">
        <w:rPr>
          <w:rFonts w:ascii="Calibri" w:eastAsia="Times New Roman" w:hAnsi="Calibri" w:cs="Times New Roman"/>
          <w:sz w:val="24"/>
          <w:szCs w:val="24"/>
          <w:lang w:eastAsia="pl-PL"/>
        </w:rPr>
        <w:t>W odniesieniu do Wytycznych Prokuratora Generalnego z dnia 27 czerwca 2014 r. w sprawie prowadzenia przez prokuratorów postępowań o przestępstwa związane z pozbawieniem życia oraz nieludzkim lub poniżającym traktowaniem i karaniem , których sprawcami są funkcjonariusze policji lub inni funkcjonariusze publiczni są one nadal aktualne i przestrzegane. Wytyczne te zostały wydane w celu skutecznego i szybkiego badania zgłoszonych doniesień i skarg dotyczących przypadku tortur i nieludzkiego traktowania osób pozbawionych wolości. Prokuratorzy wszczynający postępowania z danej kategorii przestępstw mają obowiązek zawiadomić o tym fakcie prokuratora nadrzędnego.</w:t>
      </w:r>
    </w:p>
    <w:p w:rsidR="00C26693" w:rsidRPr="00C26693" w:rsidRDefault="00C26693" w:rsidP="00C26693">
      <w:pPr>
        <w:spacing w:before="120" w:after="0" w:line="240" w:lineRule="auto"/>
        <w:jc w:val="both"/>
        <w:rPr>
          <w:rFonts w:ascii="Calibri" w:eastAsia="Times New Roman" w:hAnsi="Calibri" w:cs="Times New Roman"/>
          <w:sz w:val="24"/>
          <w:szCs w:val="24"/>
          <w:lang w:eastAsia="pl-PL"/>
        </w:rPr>
      </w:pPr>
      <w:r w:rsidRPr="00C26693">
        <w:rPr>
          <w:rFonts w:ascii="Calibri" w:eastAsia="Times New Roman" w:hAnsi="Calibri" w:cs="Times New Roman"/>
          <w:sz w:val="24"/>
          <w:szCs w:val="24"/>
          <w:lang w:eastAsia="pl-PL"/>
        </w:rPr>
        <w:t xml:space="preserve">Mając na uwadze punkt 12 i 13 ww. wytycznych przeprowadzane są półroczne badania akt w celu dokonania analizy prawidłowości prowadzonego postępowania i zasadności podjętych decyzji. Prokuratury regionalne zostały zobowiązane także do przygotowywania notatek urzędowych z przeprowadzonych badań aktowych wraz z wynikającymi z nich wnioskami o 15 lutego i 15 sierpnia każdego roku. Zostały również zobowiązane do przygotowywania corocznej statystyki dotyczącej przestępstw popełnianych przez funkcjonariuszy policji I pracowników cywilnych zawierającej m.in. liczbę zawiadomień o popełnieniu przestępstwa wpływających do danej jednostki prokuratury, ilość wszczętych postępowań, sposób ich zakończenia oraz czas trwania postępowań przygotowawczych. </w:t>
      </w:r>
    </w:p>
    <w:p w:rsidR="00C26693" w:rsidRPr="00C26693" w:rsidRDefault="00C26693" w:rsidP="00C26693">
      <w:pPr>
        <w:spacing w:before="120" w:after="0" w:line="240" w:lineRule="auto"/>
        <w:jc w:val="both"/>
        <w:rPr>
          <w:rFonts w:ascii="Calibri" w:eastAsia="Times New Roman" w:hAnsi="Calibri" w:cs="Times New Roman"/>
          <w:sz w:val="24"/>
          <w:szCs w:val="24"/>
          <w:lang w:eastAsia="pl-PL"/>
        </w:rPr>
      </w:pPr>
      <w:r w:rsidRPr="00C26693">
        <w:rPr>
          <w:rFonts w:ascii="Calibri" w:eastAsia="Times New Roman" w:hAnsi="Calibri" w:cs="Times New Roman"/>
          <w:sz w:val="24"/>
          <w:szCs w:val="24"/>
          <w:lang w:eastAsia="pl-PL"/>
        </w:rPr>
        <w:t xml:space="preserve">Ponadto w każdej prokuraturze regionalnej działa koordynator do spraw przestępstw popełnionych przez funkcjonariuszy Policji, który nadzoruje i monitoruje tego typu sprawy. Kontynuowana jest także praktyka przekazywania tego rodzaju spraw do innej jednostki prokuratury w celu zapewnienia bezstronności i obiektywizmu </w:t>
      </w:r>
    </w:p>
    <w:p w:rsidR="00C26693" w:rsidRPr="00C26693" w:rsidRDefault="00C26693" w:rsidP="00C26693">
      <w:pPr>
        <w:spacing w:before="120" w:after="0" w:line="240" w:lineRule="auto"/>
        <w:jc w:val="both"/>
        <w:rPr>
          <w:rFonts w:ascii="Calibri" w:eastAsia="Times New Roman" w:hAnsi="Calibri" w:cs="Calibri"/>
          <w:sz w:val="24"/>
          <w:szCs w:val="24"/>
          <w:lang w:eastAsia="pl-PL"/>
        </w:rPr>
      </w:pPr>
      <w:r w:rsidRPr="00C26693">
        <w:rPr>
          <w:rFonts w:ascii="Calibri" w:eastAsia="Times New Roman" w:hAnsi="Calibri" w:cs="Times New Roman"/>
          <w:sz w:val="24"/>
          <w:szCs w:val="24"/>
          <w:lang w:eastAsia="pl-PL"/>
        </w:rPr>
        <w:t>Po drugie, Problematyka działań edukacyjnych mających na celu wykonywanie wyroków Trybunału  została ujęta w Kierunkowej Strategii Policji w zakresie rozwoju systemu ochrony praw człowieka na lata 2013-2015. Realizowane na poziomie lokalnym szkolenia w obszarze ochrony praw człowieka, skierowane są zarówno do kadry kierowniczej Policji, jak i do szeregowych policjantów. W trakcie tych szkoleń omawiane były orzecznictwo Trybunału, a także zagadnienia</w:t>
      </w:r>
      <w:r w:rsidRPr="00C26693">
        <w:rPr>
          <w:rFonts w:ascii="Calibri" w:eastAsia="Times New Roman" w:hAnsi="Calibri" w:cs="Calibri"/>
          <w:sz w:val="24"/>
          <w:szCs w:val="24"/>
          <w:lang w:eastAsia="pl-PL"/>
        </w:rPr>
        <w:t xml:space="preserve"> dotyczące przeciwdziałania torturom oraz nieludzkiemu i poniżającemu traktowaniu, nadużycia siły lub niewłaściwego stosowania środków przymusu bezpośredniego przez funkcjonariuszy podczas działań służbowych oraz praw osób zatrzymanych.</w:t>
      </w:r>
    </w:p>
    <w:p w:rsidR="00C26693" w:rsidRPr="00C26693" w:rsidRDefault="00C26693" w:rsidP="00C26693">
      <w:pPr>
        <w:spacing w:before="120" w:after="0" w:line="240" w:lineRule="auto"/>
        <w:jc w:val="both"/>
        <w:rPr>
          <w:rFonts w:ascii="Calibri" w:eastAsia="Times New Roman" w:hAnsi="Calibri" w:cs="Times New Roman"/>
          <w:sz w:val="24"/>
          <w:szCs w:val="24"/>
          <w:lang w:eastAsia="pl-PL"/>
        </w:rPr>
      </w:pPr>
      <w:r w:rsidRPr="00C26693">
        <w:rPr>
          <w:rFonts w:ascii="Calibri" w:eastAsia="Times New Roman" w:hAnsi="Calibri" w:cs="Calibri"/>
          <w:sz w:val="24"/>
          <w:szCs w:val="24"/>
          <w:lang w:eastAsia="pl-PL"/>
        </w:rPr>
        <w:t>Organizowane były również szkolenia postincydentalne, czyli szkolenia dla konkretnie określonej grupy policjantów, bądź jednostki Policji, w których doszło do lub mogło dojść do niewłaściwego zachowania policjantów (np. przekroczenie uprawnień policjanta, nieproporcjonalność użycia środków przymusu bezpośredniego wobec innej osoby podczas wykonywania czynności służbowych). Podczas takich szkoleń analizowane były przykładowe zdarzenia, podczas których policjanci nie dochowali standardów ochrony praw i wolności człowieka.</w:t>
      </w:r>
      <w:r w:rsidRPr="00C26693">
        <w:rPr>
          <w:rFonts w:ascii="Calibri" w:eastAsia="Times New Roman" w:hAnsi="Calibri" w:cs="Times New Roman"/>
          <w:sz w:val="24"/>
          <w:szCs w:val="24"/>
          <w:lang w:eastAsia="pl-PL"/>
        </w:rPr>
        <w:t xml:space="preserve">  </w:t>
      </w:r>
    </w:p>
    <w:p w:rsidR="00C26693" w:rsidRPr="00C26693" w:rsidRDefault="00C26693" w:rsidP="00C26693">
      <w:pPr>
        <w:spacing w:before="120" w:after="0" w:line="240" w:lineRule="auto"/>
        <w:jc w:val="both"/>
        <w:rPr>
          <w:rFonts w:ascii="Calibri" w:eastAsia="Times New Roman" w:hAnsi="Calibri" w:cs="Calibri"/>
          <w:sz w:val="24"/>
          <w:szCs w:val="24"/>
          <w:lang w:eastAsia="pl-PL"/>
        </w:rPr>
      </w:pPr>
      <w:r w:rsidRPr="00C26693">
        <w:rPr>
          <w:rFonts w:ascii="Calibri" w:eastAsia="Times New Roman" w:hAnsi="Calibri" w:cs="Times New Roman"/>
          <w:sz w:val="24"/>
          <w:szCs w:val="24"/>
          <w:lang w:eastAsia="pl-PL"/>
        </w:rPr>
        <w:lastRenderedPageBreak/>
        <w:t>Ponadto, w</w:t>
      </w:r>
      <w:r w:rsidRPr="00C26693">
        <w:rPr>
          <w:rFonts w:ascii="Calibri" w:eastAsia="Times New Roman" w:hAnsi="Calibri" w:cs="Calibri"/>
          <w:sz w:val="24"/>
          <w:szCs w:val="24"/>
          <w:lang w:eastAsia="pl-PL"/>
        </w:rPr>
        <w:t xml:space="preserve"> 2019 r. wdrożono do realizacji dokument systematyzujący pracę Policji na rzecz ochrony praw człowieka (Plan działalności edukacyjno-informacyjnej w zakresie ochrony praw i wolności człowieka, realizacji zasady równego traktowania i przestrzegania zasad etyki zawodowej w Policji na lata 2019-2020). Plan stanowi kontynuację dokumentu „Główne kierunki działalności edukacyjno-informacyjnej w zakresie ochrony praw i wolności człowieka oraz strategii równych szans w Policji na lata 2016-2018”. Zgodnie z Planem, realizowane zadania skoncentrowane są na doskonaleniu wewnętrznych oraz zewnętrznych działań edukacyjno-informacyjnych, mających wpływ na profesjonalizację wykonywanych przez Policję czynności w aspekcie przestrzegania praw i wolności człowieka, etyki zawodowej oraz równego traktowania. Zadania zawarte w planie realizowane są przez wszystkie jednostki i komórki organizacyjne w policji oraz przede wszystkim przez policyjnych pełnomocników ds. ochrony praw człowieka, którzy współpracują z instytucjami państwowymi, instytucjami pozarządowymi i organizacjami międzynarodowymi w zakresie realizowanych działań.</w:t>
      </w:r>
    </w:p>
    <w:p w:rsidR="00C26693" w:rsidRPr="00C26693" w:rsidRDefault="00C26693" w:rsidP="00C26693">
      <w:pPr>
        <w:spacing w:before="120" w:after="0" w:line="240" w:lineRule="auto"/>
        <w:jc w:val="both"/>
        <w:rPr>
          <w:rFonts w:ascii="Calibri" w:eastAsia="Times New Roman" w:hAnsi="Calibri" w:cs="Times New Roman"/>
          <w:sz w:val="24"/>
          <w:szCs w:val="24"/>
          <w:lang w:eastAsia="pl-PL"/>
        </w:rPr>
      </w:pPr>
      <w:r w:rsidRPr="00C26693">
        <w:rPr>
          <w:rFonts w:ascii="Calibri" w:eastAsia="Times New Roman" w:hAnsi="Calibri" w:cs="Calibri"/>
          <w:sz w:val="24"/>
          <w:szCs w:val="24"/>
          <w:lang w:eastAsia="pl-PL"/>
        </w:rPr>
        <w:t>Problematyka tortur, okrutnego, nieludzkiego lub poniżającego traktowania zawarta jest m.in. w zadaniu prowadzenia działań edukacyjnych i informacyjnych, w oparciu o autorskie lub dostępne narzędzia edukacyjne i informacyjne dotyczące etyki zawodowej w kontekście praw i wolności człowieka, walki ze środowiskową zmową milczenia, a także w zadaniu dotyczącym prowadzenia postincydentalnych przedsięwzięć edukacyjnych, stanowiących szybką i skuteczną reakcję na ujawnione lub domniemane przypadki tortur oraz innych form okrutnego, nieludzkiego lub poniżającego traktowania albo karania.</w:t>
      </w:r>
    </w:p>
    <w:p w:rsidR="00C26693" w:rsidRPr="00C26693" w:rsidRDefault="00C26693" w:rsidP="00C26693">
      <w:pPr>
        <w:spacing w:before="120" w:after="0" w:line="240" w:lineRule="auto"/>
        <w:jc w:val="both"/>
        <w:rPr>
          <w:rFonts w:ascii="Calibri" w:eastAsia="Times New Roman" w:hAnsi="Calibri" w:cs="Calibri"/>
          <w:sz w:val="24"/>
          <w:szCs w:val="24"/>
          <w:lang w:eastAsia="pl-PL"/>
        </w:rPr>
      </w:pPr>
      <w:r w:rsidRPr="00C26693">
        <w:rPr>
          <w:rFonts w:ascii="Calibri" w:eastAsia="Times New Roman" w:hAnsi="Calibri" w:cs="Calibri"/>
          <w:sz w:val="24"/>
          <w:szCs w:val="24"/>
          <w:lang w:eastAsia="pl-PL"/>
        </w:rPr>
        <w:t>Ponadto należy odnotować, ze w dniu 5 sierpnia 2015 r. Minister Spraw Wewnętrznych w drodze zarządzenia nr 20 powołał Zespół ds. realizacji niektórych zapisów Strategii mającej na celu przeciwdziałanie naruszaniu praw człowieka przez funkcjonariuszy Policji. Obecnie trwa ocena podjętych działań w zakresie realizacji Strategii. W świetle zobowiązań międzynarodowych Polski, a także niedawnych spraw związanych ze sposobem traktowania przez policjantów, uzasadnione jest kontynuowanie działań w ramach Strategii. Komitet Praw Człowieka ONZ wskazał Strategię jako pozytywny aspekt działań Polski.</w:t>
      </w:r>
    </w:p>
    <w:p w:rsidR="00C26693" w:rsidRPr="00C26693" w:rsidRDefault="00C26693" w:rsidP="00C26693">
      <w:pPr>
        <w:spacing w:before="120" w:after="0" w:line="240" w:lineRule="auto"/>
        <w:jc w:val="both"/>
        <w:rPr>
          <w:rFonts w:ascii="Calibri" w:eastAsia="Times New Roman" w:hAnsi="Calibri" w:cs="Calibri"/>
          <w:sz w:val="24"/>
          <w:szCs w:val="24"/>
          <w:lang w:eastAsia="pl-PL"/>
        </w:rPr>
      </w:pPr>
      <w:r w:rsidRPr="00C26693">
        <w:rPr>
          <w:rFonts w:ascii="Calibri" w:eastAsia="Times New Roman" w:hAnsi="Calibri" w:cs="Calibri"/>
          <w:sz w:val="24"/>
          <w:szCs w:val="24"/>
          <w:lang w:eastAsia="pl-PL"/>
        </w:rPr>
        <w:t xml:space="preserve">Co więcej, w celu wzmocnienia działań nadzorczych i negowania niewłaściwego zachowania funkcjonariuszy policji w dniu 4 czerwca 2017 r. Minister Spraw Wewnętrznych i Administracji powołał zarządzeniem nr  31 Zespół ds. analizy przypadków łamania prawa przez policjantów. Jednym z zadań tego zespołu było wypracowanie i rekomendacja rozwiązań mających na celu ograniczenie występowania naruszeń w toku działań policjantów. Obecnie Ministerstwo Spraw Wewnętrznych i Administracji dokonuje oceny podjętych działań </w:t>
      </w:r>
    </w:p>
    <w:p w:rsidR="00C26693" w:rsidRPr="00C26693" w:rsidRDefault="00C26693" w:rsidP="00C26693">
      <w:pPr>
        <w:spacing w:before="120" w:after="0" w:line="240" w:lineRule="auto"/>
        <w:jc w:val="both"/>
        <w:rPr>
          <w:rFonts w:ascii="Calibri" w:eastAsia="Times New Roman" w:hAnsi="Calibri" w:cs="Calibri"/>
          <w:sz w:val="24"/>
          <w:szCs w:val="24"/>
          <w:lang w:eastAsia="pl-PL"/>
        </w:rPr>
      </w:pPr>
      <w:r w:rsidRPr="00C26693">
        <w:rPr>
          <w:rFonts w:ascii="Calibri" w:eastAsia="Times New Roman" w:hAnsi="Calibri" w:cs="Calibri"/>
          <w:sz w:val="24"/>
          <w:szCs w:val="24"/>
          <w:lang w:eastAsia="pl-PL"/>
        </w:rPr>
        <w:t>W odniesieniu do rezultatów Badania na temat problemu agresji w policji w stosunku do osób spoza policji, z którymi funkcjonariusz ma kontakt w trakcie obowiązków służbowych,  w celu dogłębnego omówienia wyników w dniu 13 grudnia 2016 r. Ministerstwo Spraw wewnętrznych i Administracji  zorganizował spotkanie eksperckie. Podczas spotkania wykonawca badania zaprezentował wyniki przedstawicielom Policji właściwym w kwestiach przeciwdziałania niewłaściwym zachowaniom funkcjonariuszy (pełnomocnikom ds. ochrony praw człowieka, członkom Zespołu ds. wdrożenia niektórych postanowień Strategii działań nakierowanych na przeciwdziałanie naruszeniom praw człowieka przez funkcjonariuszy Policji.). W ramach projektu nie tylko opisane zostały mechanizmy powstawania agresji, ale także zostały opracowane rekomendacje, które stanowią istotne wsparcie merytoryczne do projektowania i wdrażania nowych rozwiązań mających na celu przeciwdziałanie przypadkom niewłaściwego stosowania przemocy przez funkcjonariuszy Policji.</w:t>
      </w:r>
    </w:p>
    <w:p w:rsidR="00C26693" w:rsidRPr="00C26693" w:rsidRDefault="00C26693" w:rsidP="00C26693">
      <w:pPr>
        <w:spacing w:before="120" w:after="0" w:line="240" w:lineRule="auto"/>
        <w:jc w:val="both"/>
        <w:rPr>
          <w:rFonts w:ascii="Calibri" w:eastAsia="Times New Roman" w:hAnsi="Calibri" w:cs="Times New Roman"/>
          <w:sz w:val="24"/>
          <w:szCs w:val="24"/>
          <w:lang w:eastAsia="pl-PL"/>
        </w:rPr>
      </w:pPr>
      <w:r w:rsidRPr="00C26693">
        <w:rPr>
          <w:rFonts w:ascii="Calibri" w:eastAsia="Times New Roman" w:hAnsi="Calibri" w:cs="Times New Roman"/>
          <w:sz w:val="24"/>
          <w:szCs w:val="24"/>
          <w:lang w:eastAsia="pl-PL"/>
        </w:rPr>
        <w:lastRenderedPageBreak/>
        <w:t>Rekomendacje dotyczące nieuzasadnionej agresji dotyczyły przede wszystkim braku zdolności do wywierania wpływu psychicznego, zwłaszcza wśród młodszych funkcjonariuszy, ograniczonych zdolności natychmiastowego reagowania na zagrożenie, rzadkiego stosowania środków przymusu bezpośredniego (obawa przed ograniczeniami zawodowymi), braku systemów motywacyjnych, potrzeby budowania autorytetu społecznego Policji.</w:t>
      </w:r>
    </w:p>
    <w:p w:rsidR="00C26693" w:rsidRPr="00C26693" w:rsidRDefault="00C26693" w:rsidP="00C26693">
      <w:pPr>
        <w:autoSpaceDE w:val="0"/>
        <w:autoSpaceDN w:val="0"/>
        <w:adjustRightInd w:val="0"/>
        <w:spacing w:before="120" w:after="0" w:line="240" w:lineRule="auto"/>
        <w:jc w:val="both"/>
        <w:rPr>
          <w:rFonts w:ascii="Calibri" w:eastAsia="Times New Roman" w:hAnsi="Calibri" w:cs="Calibri"/>
          <w:sz w:val="24"/>
          <w:szCs w:val="24"/>
          <w:lang w:eastAsia="pl-PL"/>
        </w:rPr>
      </w:pPr>
      <w:r w:rsidRPr="00C26693">
        <w:rPr>
          <w:rFonts w:ascii="Calibri" w:eastAsia="Times New Roman" w:hAnsi="Calibri" w:cs="Calibri"/>
          <w:sz w:val="24"/>
          <w:szCs w:val="24"/>
          <w:lang w:eastAsia="pl-PL"/>
        </w:rPr>
        <w:t xml:space="preserve">W celu realizacji rekomendacji podjęto szereg działań, w tym między innymi w zakresie budowania inicjatyw szkoleniowych w obszarze technik osiągania „psychologicznej przewagi” szkolenia przeprowadzane są przez psychologów policyjnych (np. w formie warsztatowej), skierowane do policjantów pionu prewencyjnego. Szkolenia i wsparcie psychologiczne zapewniane jest także przez psychologów policyjnych w ramach adaptacji służbowej młodych policjantów. Powyższe działania realizowane są w systemie lokalnym, natomiast planowane jest ich usystematyzowanie w skali całej organizacji. Zgodnie z zatwierdzonym przez Komendanta Głównego Policji Harmonogramem  wdrażania wybranych rekomendacji w zakresie optymalizacji działań Policji na rzecz kształtowania systemu wartości i profesjonalizacji postaw zawodowych oraz podnoszenia bezpieczeństwa prawnego i osobistego policjantów, jeszcze w tym roku miały rozpocząć się prace związane z przygotowaniem programu centralnego (lub do realizacji w poszczególnych jednostkach organizacyjnych Policji w ramach doskonalenia zawodowego lokalnego) z zakresu technik wywierania wpływu (podczas interwencji policyjnych). </w:t>
      </w:r>
    </w:p>
    <w:p w:rsidR="00C26693" w:rsidRPr="00C26693" w:rsidRDefault="00C26693" w:rsidP="00C26693">
      <w:pPr>
        <w:autoSpaceDE w:val="0"/>
        <w:autoSpaceDN w:val="0"/>
        <w:adjustRightInd w:val="0"/>
        <w:spacing w:before="120" w:after="0" w:line="240" w:lineRule="auto"/>
        <w:jc w:val="both"/>
        <w:rPr>
          <w:rFonts w:ascii="Calibri" w:eastAsia="Times New Roman" w:hAnsi="Calibri" w:cs="Calibri"/>
          <w:sz w:val="24"/>
          <w:szCs w:val="24"/>
          <w:lang w:eastAsia="pl-PL"/>
        </w:rPr>
      </w:pPr>
      <w:r w:rsidRPr="00C26693">
        <w:rPr>
          <w:rFonts w:ascii="Calibri" w:eastAsia="Times New Roman" w:hAnsi="Calibri" w:cs="Calibri"/>
          <w:sz w:val="24"/>
          <w:szCs w:val="24"/>
          <w:lang w:eastAsia="pl-PL"/>
        </w:rPr>
        <w:t>W celu realizacji zaleceń rozwijania inicjatyw szkoleniowych w zakresie ćwiczeń fizycznych w jednostkach organizacyjnych Policji prowadzone są działania m.in. z zakresu taktyki i techniki interwencji.</w:t>
      </w:r>
    </w:p>
    <w:p w:rsidR="00C26693" w:rsidRPr="00C26693" w:rsidRDefault="00C26693" w:rsidP="00C26693">
      <w:pPr>
        <w:spacing w:before="120" w:after="0" w:line="240" w:lineRule="auto"/>
        <w:jc w:val="both"/>
        <w:rPr>
          <w:rFonts w:ascii="Calibri" w:eastAsia="Times New Roman" w:hAnsi="Calibri" w:cs="Times New Roman"/>
          <w:sz w:val="24"/>
          <w:szCs w:val="24"/>
          <w:lang w:eastAsia="pl-PL"/>
        </w:rPr>
      </w:pPr>
      <w:r w:rsidRPr="00C26693">
        <w:rPr>
          <w:rFonts w:ascii="Calibri" w:eastAsia="Times New Roman" w:hAnsi="Calibri" w:cs="Times New Roman"/>
          <w:sz w:val="24"/>
          <w:szCs w:val="24"/>
          <w:lang w:eastAsia="pl-PL"/>
        </w:rPr>
        <w:t>Ponadto, w ramach działań podejmowanych w celu wyeliminowania przypadków nieuzasadnionej agresji, Komendant Główny Policji decyzją nr 253 z dnia 17 października 2017 r. powołał Zespół do opracowania projektu programu doskonalenia zawodowego centralnego nauczycieli policyjnych z zakresu metodyki nauczania problematyki przestrzegania praw i wolności człowieka oraz etyki zawodowej podczas przedsięwzięć szkoleniowych.</w:t>
      </w:r>
    </w:p>
    <w:p w:rsidR="00C26693" w:rsidRPr="00C26693" w:rsidRDefault="00C26693" w:rsidP="00C26693">
      <w:pPr>
        <w:spacing w:before="120" w:after="0" w:line="240" w:lineRule="auto"/>
        <w:jc w:val="both"/>
        <w:rPr>
          <w:rFonts w:ascii="Calibri" w:eastAsia="Times New Roman" w:hAnsi="Calibri" w:cs="Calibri"/>
          <w:sz w:val="24"/>
          <w:szCs w:val="24"/>
          <w:lang w:eastAsia="pl-PL"/>
        </w:rPr>
      </w:pPr>
      <w:r w:rsidRPr="00C26693">
        <w:rPr>
          <w:rFonts w:ascii="Calibri" w:eastAsia="Times New Roman" w:hAnsi="Calibri" w:cs="Times New Roman"/>
          <w:sz w:val="24"/>
          <w:szCs w:val="24"/>
          <w:lang w:eastAsia="pl-PL"/>
        </w:rPr>
        <w:t>Odnosząc się do rekomendacji potrzeby budowania autorytetu społecznego Policji i policjantów należy zauważyć, że w ww. Harmonogramie realizacji działań zmierzających do organizowania i przeprowadzania wydarzeń informujących społeczeństwo o prawach i obowiązkach policjantów oraz o prawach i obowiązkach obywateli w kontakcie z Policją oraz działania mające na celu promocję zawodu policjanta zaplanowano na lata 2018-2020. W Harmonogramie zaproponowano również wzmocnienie międzynarodowej współpracy w ramach wielostronnych projektów dotyczących np. etyki, zagadnień deontologicznych, zbliżania środowiska policyjnego i społeczeństwa.</w:t>
      </w:r>
    </w:p>
    <w:p w:rsidR="00C26693" w:rsidRPr="00C26693" w:rsidRDefault="00C26693" w:rsidP="00C26693">
      <w:pPr>
        <w:spacing w:before="120" w:after="0" w:line="240" w:lineRule="auto"/>
        <w:jc w:val="both"/>
        <w:rPr>
          <w:rFonts w:ascii="Calibri" w:eastAsia="Times New Roman" w:hAnsi="Calibri" w:cs="Times New Roman"/>
          <w:sz w:val="24"/>
          <w:szCs w:val="24"/>
          <w:lang w:eastAsia="pl-PL"/>
        </w:rPr>
      </w:pPr>
      <w:r w:rsidRPr="00C26693">
        <w:rPr>
          <w:rFonts w:ascii="Calibri" w:eastAsia="Times New Roman" w:hAnsi="Calibri" w:cs="Times New Roman"/>
          <w:sz w:val="24"/>
          <w:szCs w:val="24"/>
          <w:lang w:eastAsia="pl-PL"/>
        </w:rPr>
        <w:t xml:space="preserve">Jeśli chodzi o zalecenie HFPC, aby sędziowie i funkcjonariusze służby więziennej byli szkoleni w zakresie zaleceń Protokołu Stambulskiego i jego praktycznego stosowania, Rząd zwraca uwagę, że w zakresie szkoleń zawodowych sędziów od 2014 r. szkolenia z zakresu praw człowieka i systemu Konwencji prowadzi Krajowa Szkoła Sądownictwa i Prokuratury. Konkretne zagadnienia poruszane podczas tych szkoleń dotyczą tematów zawartych w Protokole Stambulskim, a mianowicie zakazu tortur oraz nieludzkiego i poniżającego traktowania lub karania oraz sądowej kontroli legalności pozbawienia wolności, szybkości postępowania, kontradyktoryjności i równości broni, wolności słowa, praw osób pozbawionych wolności. </w:t>
      </w:r>
    </w:p>
    <w:p w:rsidR="00C26693" w:rsidRPr="00C26693" w:rsidRDefault="00C26693" w:rsidP="00C26693">
      <w:pPr>
        <w:spacing w:before="120" w:after="0" w:line="240" w:lineRule="auto"/>
        <w:jc w:val="both"/>
        <w:rPr>
          <w:rFonts w:ascii="Calibri" w:eastAsia="Times New Roman" w:hAnsi="Calibri" w:cs="Times New Roman"/>
          <w:sz w:val="24"/>
          <w:szCs w:val="24"/>
          <w:lang w:eastAsia="pl-PL"/>
        </w:rPr>
      </w:pPr>
      <w:r w:rsidRPr="00C26693">
        <w:rPr>
          <w:rFonts w:ascii="Calibri" w:eastAsia="Times New Roman" w:hAnsi="Calibri" w:cs="Times New Roman"/>
          <w:sz w:val="24"/>
          <w:szCs w:val="24"/>
          <w:lang w:eastAsia="pl-PL"/>
        </w:rPr>
        <w:lastRenderedPageBreak/>
        <w:t>W szczególności Szkoła przeprowadziła następujące szkolenia:</w:t>
      </w:r>
    </w:p>
    <w:p w:rsidR="00C26693" w:rsidRPr="00C26693" w:rsidRDefault="00C26693" w:rsidP="00D24F7A">
      <w:pPr>
        <w:numPr>
          <w:ilvl w:val="0"/>
          <w:numId w:val="16"/>
        </w:numPr>
        <w:spacing w:before="120" w:after="0" w:line="240" w:lineRule="auto"/>
        <w:jc w:val="both"/>
        <w:rPr>
          <w:rFonts w:ascii="Calibri" w:eastAsia="Times New Roman" w:hAnsi="Calibri" w:cs="Times New Roman"/>
          <w:sz w:val="24"/>
          <w:szCs w:val="24"/>
          <w:lang w:eastAsia="pl-PL"/>
        </w:rPr>
      </w:pPr>
      <w:r w:rsidRPr="00C26693">
        <w:rPr>
          <w:rFonts w:ascii="Calibri" w:eastAsia="Times New Roman" w:hAnsi="Calibri" w:cs="Times New Roman"/>
          <w:sz w:val="24"/>
          <w:szCs w:val="24"/>
          <w:lang w:eastAsia="pl-PL"/>
        </w:rPr>
        <w:t>w 2014 r. – 10 edycji szkolenia dla sędziów orzekających w sprawach karnych, ich asystentów, prokuratorów asesorów i asystentów prokuratorów , łącznie 190 uczestników,</w:t>
      </w:r>
    </w:p>
    <w:p w:rsidR="00C26693" w:rsidRPr="00C26693" w:rsidRDefault="00C26693" w:rsidP="00D24F7A">
      <w:pPr>
        <w:numPr>
          <w:ilvl w:val="0"/>
          <w:numId w:val="16"/>
        </w:numPr>
        <w:spacing w:before="120" w:after="0" w:line="240" w:lineRule="auto"/>
        <w:jc w:val="both"/>
        <w:rPr>
          <w:rFonts w:ascii="Calibri" w:eastAsia="Times New Roman" w:hAnsi="Calibri" w:cs="Times New Roman"/>
          <w:sz w:val="24"/>
          <w:szCs w:val="24"/>
          <w:lang w:eastAsia="pl-PL"/>
        </w:rPr>
      </w:pPr>
      <w:r w:rsidRPr="00C26693">
        <w:rPr>
          <w:rFonts w:ascii="Calibri" w:eastAsia="Times New Roman" w:hAnsi="Calibri" w:cs="Times New Roman"/>
          <w:sz w:val="24"/>
          <w:szCs w:val="24"/>
          <w:lang w:eastAsia="pl-PL"/>
        </w:rPr>
        <w:t xml:space="preserve">w 2015 r. – 2 edycje szkoleń 3-dniowych: </w:t>
      </w:r>
    </w:p>
    <w:p w:rsidR="00C26693" w:rsidRPr="00C26693" w:rsidRDefault="00C26693" w:rsidP="00D24F7A">
      <w:pPr>
        <w:numPr>
          <w:ilvl w:val="0"/>
          <w:numId w:val="15"/>
        </w:numPr>
        <w:spacing w:before="120" w:after="0" w:line="240" w:lineRule="auto"/>
        <w:jc w:val="both"/>
        <w:rPr>
          <w:rFonts w:ascii="Calibri" w:eastAsia="Times New Roman" w:hAnsi="Calibri" w:cs="Times New Roman"/>
          <w:sz w:val="24"/>
          <w:szCs w:val="24"/>
          <w:lang w:eastAsia="pl-PL"/>
        </w:rPr>
      </w:pPr>
      <w:r w:rsidRPr="00C26693">
        <w:rPr>
          <w:rFonts w:ascii="Calibri" w:eastAsia="Times New Roman" w:hAnsi="Calibri" w:cs="Times New Roman"/>
          <w:sz w:val="24"/>
          <w:szCs w:val="24"/>
          <w:lang w:eastAsia="pl-PL"/>
        </w:rPr>
        <w:t xml:space="preserve">w dniach 15-17 lutego 2015 r. – szkolenie dla sędziów wydziałów karnych, ich asystentów, prokuratorów, asesorów, asystentów prokuratorów, łącznie 49 uczestników; </w:t>
      </w:r>
    </w:p>
    <w:p w:rsidR="00C26693" w:rsidRPr="00C26693" w:rsidRDefault="00C26693" w:rsidP="00D24F7A">
      <w:pPr>
        <w:numPr>
          <w:ilvl w:val="0"/>
          <w:numId w:val="15"/>
        </w:numPr>
        <w:spacing w:before="120" w:after="0" w:line="240" w:lineRule="auto"/>
        <w:jc w:val="both"/>
        <w:rPr>
          <w:rFonts w:ascii="Calibri" w:eastAsia="Times New Roman" w:hAnsi="Calibri" w:cs="Times New Roman"/>
          <w:sz w:val="24"/>
          <w:szCs w:val="24"/>
          <w:lang w:eastAsia="pl-PL"/>
        </w:rPr>
      </w:pPr>
      <w:r w:rsidRPr="00C26693">
        <w:rPr>
          <w:rFonts w:ascii="Calibri" w:eastAsia="Times New Roman" w:hAnsi="Calibri" w:cs="Times New Roman"/>
          <w:sz w:val="24"/>
          <w:szCs w:val="24"/>
          <w:lang w:eastAsia="pl-PL"/>
        </w:rPr>
        <w:t>w dniach 28-30 października 2015 r. – szkolenie dla sędziów sądów okręgowych I apelacyjnych oraz prokuratorów, łącznie 18 uczestników,</w:t>
      </w:r>
    </w:p>
    <w:p w:rsidR="00C26693" w:rsidRPr="00C26693" w:rsidRDefault="00C26693" w:rsidP="00D24F7A">
      <w:pPr>
        <w:numPr>
          <w:ilvl w:val="0"/>
          <w:numId w:val="16"/>
        </w:numPr>
        <w:spacing w:before="120" w:after="0" w:line="240" w:lineRule="auto"/>
        <w:jc w:val="both"/>
        <w:rPr>
          <w:rFonts w:ascii="Calibri" w:eastAsia="Times New Roman" w:hAnsi="Calibri" w:cs="Times New Roman"/>
          <w:sz w:val="24"/>
          <w:szCs w:val="24"/>
          <w:lang w:eastAsia="pl-PL"/>
        </w:rPr>
      </w:pPr>
      <w:r w:rsidRPr="00C26693">
        <w:rPr>
          <w:rFonts w:ascii="Calibri" w:eastAsia="Times New Roman" w:hAnsi="Calibri" w:cs="Times New Roman"/>
          <w:sz w:val="24"/>
          <w:szCs w:val="24"/>
          <w:lang w:eastAsia="pl-PL"/>
        </w:rPr>
        <w:t>w 2016 – 1 szkolenie (10-12 października 2016 r.) – szkolenie dla sędziów wydziałów karnych oraz prokuratorów, łącznie 56 uczestników,</w:t>
      </w:r>
    </w:p>
    <w:p w:rsidR="00C26693" w:rsidRPr="00C26693" w:rsidRDefault="00C26693" w:rsidP="00D24F7A">
      <w:pPr>
        <w:numPr>
          <w:ilvl w:val="0"/>
          <w:numId w:val="16"/>
        </w:numPr>
        <w:autoSpaceDE w:val="0"/>
        <w:autoSpaceDN w:val="0"/>
        <w:adjustRightInd w:val="0"/>
        <w:spacing w:before="120" w:after="0" w:line="240" w:lineRule="auto"/>
        <w:jc w:val="both"/>
        <w:rPr>
          <w:rFonts w:ascii="Calibri" w:eastAsia="Times New Roman" w:hAnsi="Calibri" w:cs="Times New Roman"/>
          <w:sz w:val="24"/>
          <w:szCs w:val="24"/>
          <w:lang w:eastAsia="pl-PL"/>
        </w:rPr>
      </w:pPr>
      <w:r w:rsidRPr="00C26693">
        <w:rPr>
          <w:rFonts w:ascii="Calibri" w:eastAsia="Times New Roman" w:hAnsi="Calibri" w:cs="Times New Roman"/>
          <w:sz w:val="24"/>
          <w:szCs w:val="24"/>
          <w:lang w:eastAsia="pl-PL"/>
        </w:rPr>
        <w:t>w 2019 r. – 1 szkolenie (10-12 czerwca 2019 r.) – szkolenie dla sędziów, asesorów sądowych, referendarzy orzekających w wydziałach cywilnych, gospodarczych, pracy i ubezpieczeń społecznych, rodzinnych i nieletnich oraz asystentów sędziów orzekających w tych wydziałach, łącznie 62 uczestników.</w:t>
      </w:r>
    </w:p>
    <w:p w:rsidR="00C26693" w:rsidRPr="00C26693" w:rsidRDefault="00C26693" w:rsidP="00C26693">
      <w:pPr>
        <w:spacing w:before="120" w:after="0" w:line="240" w:lineRule="auto"/>
        <w:jc w:val="both"/>
        <w:rPr>
          <w:rFonts w:ascii="Calibri" w:eastAsia="Times New Roman" w:hAnsi="Calibri" w:cs="Times New Roman"/>
          <w:sz w:val="24"/>
          <w:szCs w:val="24"/>
          <w:lang w:eastAsia="pl-PL"/>
        </w:rPr>
      </w:pPr>
      <w:r w:rsidRPr="00C26693">
        <w:rPr>
          <w:rFonts w:ascii="Calibri" w:eastAsia="Times New Roman" w:hAnsi="Calibri" w:cs="Times New Roman"/>
          <w:sz w:val="24"/>
          <w:szCs w:val="24"/>
          <w:lang w:eastAsia="pl-PL"/>
        </w:rPr>
        <w:t>W ramach współpracy międzynarodowej Krajowa Szkoła Sądownictwa i Prokuratury w latach 2014-2017 umożliwiła udział 18 polskich sędziów i prokuratorów w 8 międzynarodowych szkoleniach, na których omawiana była problematyka zakazu tortur lub nadużyć ze strony funkcjonariuszy wobec osób zatrzymanych i pozbawionych wolności. Sędziowie i prokuratorzy wzięli udziałw  następujących szkoleniach:</w:t>
      </w:r>
    </w:p>
    <w:p w:rsidR="00C26693" w:rsidRPr="00C26693" w:rsidRDefault="00C26693" w:rsidP="00D24F7A">
      <w:pPr>
        <w:numPr>
          <w:ilvl w:val="0"/>
          <w:numId w:val="17"/>
        </w:numPr>
        <w:spacing w:before="120" w:after="0" w:line="240" w:lineRule="auto"/>
        <w:jc w:val="both"/>
        <w:rPr>
          <w:rFonts w:ascii="Calibri" w:eastAsia="Times New Roman" w:hAnsi="Calibri" w:cs="Times New Roman"/>
          <w:sz w:val="24"/>
          <w:szCs w:val="24"/>
          <w:lang w:val="en-US" w:eastAsia="pl-PL"/>
        </w:rPr>
      </w:pPr>
      <w:r w:rsidRPr="00C26693">
        <w:rPr>
          <w:rFonts w:ascii="Calibri" w:eastAsia="Times New Roman" w:hAnsi="Calibri" w:cs="Times New Roman"/>
          <w:sz w:val="24"/>
          <w:szCs w:val="24"/>
          <w:lang w:val="en-US" w:eastAsia="pl-PL"/>
        </w:rPr>
        <w:t>w 2014 r. – “Recent case law of the European Court of Human Rights in criminal matters" i „Improving conditions related to detention”, 3 uczestników,</w:t>
      </w:r>
    </w:p>
    <w:p w:rsidR="00C26693" w:rsidRPr="00C26693" w:rsidRDefault="00C26693" w:rsidP="00D24F7A">
      <w:pPr>
        <w:numPr>
          <w:ilvl w:val="0"/>
          <w:numId w:val="17"/>
        </w:numPr>
        <w:spacing w:before="120" w:after="0" w:line="240" w:lineRule="auto"/>
        <w:jc w:val="both"/>
        <w:rPr>
          <w:rFonts w:ascii="Calibri" w:eastAsia="Times New Roman" w:hAnsi="Calibri" w:cs="Times New Roman"/>
          <w:sz w:val="24"/>
          <w:szCs w:val="24"/>
          <w:lang w:val="en-US" w:eastAsia="pl-PL"/>
        </w:rPr>
      </w:pPr>
      <w:r w:rsidRPr="00C26693">
        <w:rPr>
          <w:rFonts w:ascii="Calibri" w:eastAsia="Times New Roman" w:hAnsi="Calibri" w:cs="Times New Roman"/>
          <w:sz w:val="24"/>
          <w:szCs w:val="24"/>
          <w:lang w:val="en-US" w:eastAsia="pl-PL"/>
        </w:rPr>
        <w:t xml:space="preserve">w 2015 r. – „Supervising matters related to detention", 2 uczestników, </w:t>
      </w:r>
    </w:p>
    <w:p w:rsidR="00C26693" w:rsidRPr="00C26693" w:rsidRDefault="00C26693" w:rsidP="00D24F7A">
      <w:pPr>
        <w:numPr>
          <w:ilvl w:val="0"/>
          <w:numId w:val="17"/>
        </w:numPr>
        <w:spacing w:before="120" w:after="0" w:line="240" w:lineRule="auto"/>
        <w:jc w:val="both"/>
        <w:rPr>
          <w:rFonts w:ascii="Calibri" w:eastAsia="Times New Roman" w:hAnsi="Calibri" w:cs="Times New Roman"/>
          <w:sz w:val="24"/>
          <w:szCs w:val="24"/>
          <w:lang w:val="en-US" w:eastAsia="pl-PL"/>
        </w:rPr>
      </w:pPr>
      <w:r w:rsidRPr="00C26693">
        <w:rPr>
          <w:rFonts w:ascii="Calibri" w:eastAsia="Times New Roman" w:hAnsi="Calibri" w:cs="Times New Roman"/>
          <w:sz w:val="24"/>
          <w:szCs w:val="24"/>
          <w:lang w:val="en-US" w:eastAsia="pl-PL"/>
        </w:rPr>
        <w:t>w 2016 r. – “Improving conditions related to detention”, „Supervising matters related to detention", „Recent case law of the European Court of Human Rights in criminal matters", „Human Rights for EU Judicial Trainers", 10 uczestników,</w:t>
      </w:r>
    </w:p>
    <w:p w:rsidR="00C26693" w:rsidRPr="00C26693" w:rsidRDefault="00C26693" w:rsidP="00D24F7A">
      <w:pPr>
        <w:numPr>
          <w:ilvl w:val="0"/>
          <w:numId w:val="17"/>
        </w:numPr>
        <w:spacing w:before="120" w:after="0" w:line="240" w:lineRule="auto"/>
        <w:jc w:val="both"/>
        <w:rPr>
          <w:rFonts w:ascii="Calibri" w:eastAsia="Times New Roman" w:hAnsi="Calibri" w:cs="Times New Roman"/>
          <w:sz w:val="24"/>
          <w:szCs w:val="24"/>
          <w:lang w:val="en-US" w:eastAsia="pl-PL"/>
        </w:rPr>
      </w:pPr>
      <w:r w:rsidRPr="00C26693">
        <w:rPr>
          <w:rFonts w:ascii="Calibri" w:eastAsia="Times New Roman" w:hAnsi="Calibri" w:cs="Times New Roman"/>
          <w:sz w:val="24"/>
          <w:szCs w:val="24"/>
          <w:lang w:val="en-US" w:eastAsia="pl-PL"/>
        </w:rPr>
        <w:t>w 2017 r. – „Recent Case Law of the European Court of Human Rights on Detention", 3 uczestników.</w:t>
      </w:r>
    </w:p>
    <w:p w:rsidR="00C26693" w:rsidRPr="00C26693" w:rsidRDefault="00C26693" w:rsidP="00C26693">
      <w:pPr>
        <w:spacing w:before="120" w:after="0" w:line="240" w:lineRule="auto"/>
        <w:jc w:val="both"/>
        <w:rPr>
          <w:rFonts w:ascii="Calibri" w:eastAsia="Times New Roman" w:hAnsi="Calibri" w:cs="Times New Roman"/>
          <w:sz w:val="24"/>
          <w:szCs w:val="24"/>
          <w:lang w:eastAsia="pl-PL"/>
        </w:rPr>
      </w:pPr>
      <w:r w:rsidRPr="00C26693">
        <w:rPr>
          <w:rFonts w:ascii="Calibri" w:eastAsia="Times New Roman" w:hAnsi="Calibri" w:cs="Times New Roman"/>
          <w:sz w:val="24"/>
          <w:szCs w:val="24"/>
          <w:lang w:eastAsia="pl-PL"/>
        </w:rPr>
        <w:t xml:space="preserve">W harmonogramie działalności szkoleniowej na 2020 r. przewidziano szereg szkoleń z zakresu prawa karnego materialnego i procesowego, których tematyka służyć będzie implementacji Konwencji w sprawie zakazu stosowania tortur oraz innego okrutnego, nieludzkiego, poniżającego traktowania lub karania. </w:t>
      </w:r>
    </w:p>
    <w:p w:rsidR="00C26693" w:rsidRPr="00C26693" w:rsidRDefault="00C26693" w:rsidP="00C26693">
      <w:pPr>
        <w:spacing w:before="120" w:after="0" w:line="240" w:lineRule="auto"/>
        <w:jc w:val="both"/>
        <w:rPr>
          <w:rFonts w:ascii="Calibri" w:eastAsia="Times New Roman" w:hAnsi="Calibri" w:cs="Times New Roman"/>
          <w:sz w:val="24"/>
          <w:szCs w:val="24"/>
          <w:lang w:eastAsia="pl-PL"/>
        </w:rPr>
      </w:pPr>
      <w:r w:rsidRPr="00C26693">
        <w:rPr>
          <w:rFonts w:ascii="Calibri" w:eastAsia="Times New Roman" w:hAnsi="Calibri" w:cs="Times New Roman"/>
          <w:sz w:val="24"/>
          <w:szCs w:val="24"/>
          <w:lang w:eastAsia="pl-PL"/>
        </w:rPr>
        <w:t>Ponadto koordynatorzy każdego szkolenia prowadzonego przez Krajową Szkołę będą prosić wykładowców o zwrócenie szczególnej uwagi uczestników na odpowiednie zapisy Protokołu.</w:t>
      </w:r>
    </w:p>
    <w:p w:rsidR="00C26693" w:rsidRPr="00C26693" w:rsidRDefault="00C26693" w:rsidP="00C26693">
      <w:pPr>
        <w:spacing w:before="120" w:after="0" w:line="240" w:lineRule="auto"/>
        <w:jc w:val="both"/>
        <w:rPr>
          <w:rFonts w:ascii="Calibri" w:eastAsia="Times New Roman" w:hAnsi="Calibri" w:cs="Times New Roman"/>
          <w:sz w:val="24"/>
          <w:szCs w:val="24"/>
          <w:lang w:eastAsia="pl-PL"/>
        </w:rPr>
      </w:pPr>
      <w:r w:rsidRPr="00C26693">
        <w:rPr>
          <w:rFonts w:ascii="Calibri" w:eastAsia="Times New Roman" w:hAnsi="Calibri" w:cs="Times New Roman"/>
          <w:sz w:val="24"/>
          <w:szCs w:val="24"/>
          <w:lang w:eastAsia="pl-PL"/>
        </w:rPr>
        <w:t>W zakresie szkoleń personelu służby medycznej Służby Więziennej w latach 2017-2019, to odbywał on obowiązkowe szkolenia z zagadnień przewidzianych w Protokole Stambulskim. Łącznie przeszkolono 1200 osób. Szkolenie to było prowadzone przez naczelnych lekarzy okręgowych inspektoratów Służby Więziennej oraz funkcjonariuszy Biura Służby Zdrowia Centralnego Zarządu Służby Więziennej.</w:t>
      </w:r>
    </w:p>
    <w:p w:rsidR="00C26693" w:rsidRPr="00C26693" w:rsidRDefault="00C26693" w:rsidP="00C26693">
      <w:pPr>
        <w:spacing w:before="120" w:after="0" w:line="240" w:lineRule="auto"/>
        <w:jc w:val="both"/>
        <w:rPr>
          <w:rFonts w:ascii="Calibri" w:eastAsia="Times New Roman" w:hAnsi="Calibri" w:cs="Times New Roman"/>
          <w:sz w:val="24"/>
          <w:szCs w:val="24"/>
          <w:lang w:eastAsia="pl-PL"/>
        </w:rPr>
      </w:pPr>
      <w:r w:rsidRPr="00C26693">
        <w:rPr>
          <w:rFonts w:ascii="Calibri" w:eastAsia="Times New Roman" w:hAnsi="Calibri" w:cs="Times New Roman"/>
          <w:sz w:val="24"/>
          <w:szCs w:val="24"/>
          <w:lang w:eastAsia="pl-PL"/>
        </w:rPr>
        <w:lastRenderedPageBreak/>
        <w:t>W czerwcu 2019 r. Biuro Służby Zdrowia Centralnego Zarządu Służby Więziennej zorganizowało spotkanie szkoleniowe wyższego personelu medycznego Służby Więziennej. Omówiono treść Protokołu Stambulskiego. W spotkaniu wzięły udział 54 osoby.</w:t>
      </w:r>
    </w:p>
    <w:p w:rsidR="00C26693" w:rsidRPr="00C26693" w:rsidRDefault="00C26693" w:rsidP="00C26693">
      <w:pPr>
        <w:spacing w:before="120" w:after="0" w:line="240" w:lineRule="auto"/>
        <w:jc w:val="both"/>
        <w:rPr>
          <w:rFonts w:ascii="Calibri" w:eastAsia="Times New Roman" w:hAnsi="Calibri" w:cs="Times New Roman"/>
          <w:sz w:val="24"/>
          <w:szCs w:val="24"/>
          <w:lang w:eastAsia="pl-PL"/>
        </w:rPr>
      </w:pPr>
      <w:r w:rsidRPr="00C26693">
        <w:rPr>
          <w:rFonts w:ascii="Calibri" w:eastAsia="Times New Roman" w:hAnsi="Calibri" w:cs="Times New Roman"/>
          <w:sz w:val="24"/>
          <w:szCs w:val="24"/>
          <w:lang w:eastAsia="pl-PL"/>
        </w:rPr>
        <w:t>Obecnie szkolenia personelu medycznego realizowane są w miarę potrzeb bezpośrednio przez jednostki organizacyjne służby więziennej.</w:t>
      </w:r>
    </w:p>
    <w:p w:rsidR="00C26693" w:rsidRPr="00C26693" w:rsidRDefault="00C26693" w:rsidP="00C26693">
      <w:pPr>
        <w:spacing w:before="120" w:after="0" w:line="240" w:lineRule="auto"/>
        <w:jc w:val="both"/>
        <w:rPr>
          <w:rFonts w:ascii="Calibri" w:eastAsia="Times New Roman" w:hAnsi="Calibri" w:cs="Times New Roman"/>
          <w:sz w:val="24"/>
          <w:szCs w:val="24"/>
          <w:lang w:eastAsia="pl-PL"/>
        </w:rPr>
      </w:pPr>
      <w:r w:rsidRPr="00C26693">
        <w:rPr>
          <w:rFonts w:ascii="Calibri" w:eastAsia="Times New Roman" w:hAnsi="Calibri" w:cs="Times New Roman"/>
          <w:sz w:val="24"/>
          <w:szCs w:val="24"/>
          <w:lang w:eastAsia="pl-PL"/>
        </w:rPr>
        <w:t>Służba Więzienna realizuje rekomendacje Protokołu Stambulskiego również w zakresie prowadzenia działań zmierzających do przeciwdziałania przemocy w rodzinie. Biuro Penitencjarne Centralnego Zarządu Służby Więziennej w 2019 r. przeszkoliło 20 osób przygotowując je do pracy z osobami stosującymi przemoc domową. W 2019 r. zrealizowano 258 programów korekcyjnych dla sprawców przemocy domowej, którymi objęto 5049 osób pozbawionych wolności, z czego 4442 ukończyły program w całości.</w:t>
      </w:r>
    </w:p>
    <w:p w:rsidR="00C26693" w:rsidRPr="00C26693" w:rsidRDefault="00C26693" w:rsidP="00C26693">
      <w:pPr>
        <w:spacing w:before="120" w:after="0" w:line="240" w:lineRule="auto"/>
        <w:jc w:val="both"/>
        <w:rPr>
          <w:rFonts w:ascii="Calibri" w:eastAsia="Times New Roman" w:hAnsi="Calibri" w:cs="Times New Roman"/>
          <w:sz w:val="24"/>
          <w:szCs w:val="24"/>
          <w:lang w:eastAsia="pl-PL"/>
        </w:rPr>
      </w:pPr>
      <w:r w:rsidRPr="00C26693">
        <w:rPr>
          <w:rFonts w:ascii="Calibri" w:eastAsia="Times New Roman" w:hAnsi="Calibri" w:cs="Times New Roman"/>
          <w:sz w:val="24"/>
          <w:szCs w:val="24"/>
          <w:lang w:eastAsia="pl-PL"/>
        </w:rPr>
        <w:t>Treść Protokołu Stambulskiego została umieszczona na stronie internetowej Służby Więziennej oraz na stronie wewnętrznego programu apteczno-ambulatoryjnego dostępnego dla personelu medycznego Służby Więziennej.</w:t>
      </w:r>
    </w:p>
    <w:p w:rsidR="00684137" w:rsidRDefault="00684137" w:rsidP="0096211C">
      <w:pPr>
        <w:spacing w:after="120" w:line="240" w:lineRule="auto"/>
        <w:rPr>
          <w:sz w:val="24"/>
          <w:szCs w:val="24"/>
          <w:u w:val="single"/>
        </w:rPr>
      </w:pPr>
    </w:p>
    <w:p w:rsidR="00684137" w:rsidRPr="00B708A0" w:rsidRDefault="00684137" w:rsidP="00684137">
      <w:pPr>
        <w:pStyle w:val="Nagwek1"/>
        <w:jc w:val="both"/>
        <w:rPr>
          <w:rFonts w:asciiTheme="minorHAnsi" w:hAnsiTheme="minorHAnsi"/>
          <w:sz w:val="28"/>
          <w:szCs w:val="28"/>
        </w:rPr>
      </w:pPr>
      <w:bookmarkStart w:id="104" w:name="_Toc69124154"/>
      <w:r w:rsidRPr="00B708A0">
        <w:rPr>
          <w:rFonts w:asciiTheme="minorHAnsi" w:hAnsiTheme="minorHAnsi"/>
          <w:sz w:val="28"/>
          <w:szCs w:val="28"/>
        </w:rPr>
        <w:t>Komunikacja Helsińskiej Fundacji Praw Człowieka w sprawie wykonania wyrok</w:t>
      </w:r>
      <w:r>
        <w:rPr>
          <w:rFonts w:asciiTheme="minorHAnsi" w:hAnsiTheme="minorHAnsi"/>
          <w:sz w:val="28"/>
          <w:szCs w:val="28"/>
        </w:rPr>
        <w:t>ów</w:t>
      </w:r>
      <w:r w:rsidRPr="00B708A0">
        <w:rPr>
          <w:rFonts w:asciiTheme="minorHAnsi" w:hAnsiTheme="minorHAnsi"/>
          <w:sz w:val="28"/>
          <w:szCs w:val="28"/>
        </w:rPr>
        <w:t xml:space="preserve"> Europejskiego Trybunału Praw Człowieka </w:t>
      </w:r>
      <w:r w:rsidR="004E1166">
        <w:rPr>
          <w:rFonts w:asciiTheme="minorHAnsi" w:hAnsiTheme="minorHAnsi"/>
          <w:i/>
          <w:sz w:val="28"/>
          <w:szCs w:val="28"/>
        </w:rPr>
        <w:t xml:space="preserve">Al Nashiri p. Polsce </w:t>
      </w:r>
      <w:r w:rsidR="004E1166">
        <w:rPr>
          <w:rFonts w:asciiTheme="minorHAnsi" w:hAnsiTheme="minorHAnsi"/>
          <w:sz w:val="28"/>
          <w:szCs w:val="28"/>
        </w:rPr>
        <w:t>i</w:t>
      </w:r>
      <w:r w:rsidRPr="00684137">
        <w:rPr>
          <w:rFonts w:asciiTheme="minorHAnsi" w:hAnsiTheme="minorHAnsi"/>
          <w:sz w:val="28"/>
          <w:szCs w:val="28"/>
        </w:rPr>
        <w:t xml:space="preserve"> </w:t>
      </w:r>
      <w:r w:rsidRPr="00684137">
        <w:rPr>
          <w:rFonts w:asciiTheme="minorHAnsi" w:hAnsiTheme="minorHAnsi"/>
          <w:i/>
          <w:sz w:val="28"/>
          <w:szCs w:val="28"/>
        </w:rPr>
        <w:t>Husayn (Abu Zubaydah) p. Polsce</w:t>
      </w:r>
      <w:r w:rsidR="004E1166">
        <w:rPr>
          <w:rFonts w:asciiTheme="minorHAnsi" w:hAnsiTheme="minorHAnsi"/>
          <w:sz w:val="28"/>
          <w:szCs w:val="28"/>
        </w:rPr>
        <w:t xml:space="preserve"> </w:t>
      </w:r>
      <w:r w:rsidRPr="00B708A0">
        <w:rPr>
          <w:rFonts w:asciiTheme="minorHAnsi" w:hAnsiTheme="minorHAnsi"/>
          <w:sz w:val="28"/>
          <w:szCs w:val="28"/>
        </w:rPr>
        <w:t xml:space="preserve">z dnia </w:t>
      </w:r>
      <w:r w:rsidR="000A28CE">
        <w:rPr>
          <w:rFonts w:asciiTheme="minorHAnsi" w:hAnsiTheme="minorHAnsi"/>
          <w:sz w:val="28"/>
          <w:szCs w:val="28"/>
        </w:rPr>
        <w:t>20</w:t>
      </w:r>
      <w:r w:rsidRPr="00B708A0">
        <w:rPr>
          <w:rFonts w:asciiTheme="minorHAnsi" w:hAnsiTheme="minorHAnsi"/>
          <w:sz w:val="28"/>
          <w:szCs w:val="28"/>
        </w:rPr>
        <w:t xml:space="preserve"> </w:t>
      </w:r>
      <w:r>
        <w:rPr>
          <w:rFonts w:asciiTheme="minorHAnsi" w:hAnsiTheme="minorHAnsi"/>
          <w:sz w:val="28"/>
          <w:szCs w:val="28"/>
        </w:rPr>
        <w:t>lutego</w:t>
      </w:r>
      <w:r w:rsidRPr="00B708A0">
        <w:rPr>
          <w:rFonts w:asciiTheme="minorHAnsi" w:hAnsiTheme="minorHAnsi"/>
          <w:sz w:val="28"/>
          <w:szCs w:val="28"/>
        </w:rPr>
        <w:t xml:space="preserve"> 2020 r.</w:t>
      </w:r>
      <w:bookmarkEnd w:id="104"/>
      <w:r w:rsidRPr="00B708A0">
        <w:rPr>
          <w:rFonts w:asciiTheme="minorHAnsi" w:hAnsiTheme="minorHAnsi"/>
          <w:sz w:val="28"/>
          <w:szCs w:val="28"/>
        </w:rPr>
        <w:t xml:space="preserve">   </w:t>
      </w:r>
    </w:p>
    <w:p w:rsidR="00684137" w:rsidRDefault="00684137" w:rsidP="008E32CB">
      <w:pPr>
        <w:spacing w:before="120" w:after="0" w:line="240" w:lineRule="auto"/>
        <w:rPr>
          <w:sz w:val="24"/>
          <w:szCs w:val="24"/>
          <w:u w:val="single"/>
        </w:rPr>
      </w:pPr>
    </w:p>
    <w:p w:rsidR="00684137" w:rsidRDefault="00684137" w:rsidP="008E32CB">
      <w:pPr>
        <w:spacing w:before="120" w:after="0" w:line="240" w:lineRule="auto"/>
        <w:rPr>
          <w:sz w:val="24"/>
          <w:szCs w:val="24"/>
          <w:u w:val="single"/>
        </w:rPr>
      </w:pPr>
      <w:r>
        <w:rPr>
          <w:sz w:val="24"/>
          <w:szCs w:val="24"/>
          <w:u w:val="single"/>
        </w:rPr>
        <w:t xml:space="preserve">Treść komunikacji </w:t>
      </w:r>
    </w:p>
    <w:p w:rsidR="00684137" w:rsidRPr="000F4063" w:rsidRDefault="00684137" w:rsidP="008E32CB">
      <w:pPr>
        <w:pStyle w:val="Akapitzlist"/>
        <w:numPr>
          <w:ilvl w:val="0"/>
          <w:numId w:val="24"/>
        </w:numPr>
        <w:spacing w:before="120" w:after="0" w:line="240" w:lineRule="auto"/>
        <w:contextualSpacing w:val="0"/>
        <w:rPr>
          <w:rFonts w:eastAsia="Times New Roman" w:cs="Times New Roman"/>
          <w:b/>
          <w:bCs/>
          <w:sz w:val="24"/>
          <w:szCs w:val="24"/>
          <w:lang w:bidi="en-US"/>
        </w:rPr>
      </w:pPr>
      <w:r w:rsidRPr="000F4063">
        <w:rPr>
          <w:rFonts w:eastAsia="Times New Roman" w:cs="Times New Roman"/>
          <w:b/>
          <w:bCs/>
          <w:sz w:val="24"/>
          <w:szCs w:val="24"/>
          <w:lang w:bidi="en-US"/>
        </w:rPr>
        <w:t>Wstęp</w:t>
      </w:r>
    </w:p>
    <w:p w:rsidR="00684137" w:rsidRPr="000F4063" w:rsidRDefault="00684137" w:rsidP="008E32CB">
      <w:pPr>
        <w:widowControl w:val="0"/>
        <w:spacing w:before="120" w:after="0" w:line="240" w:lineRule="auto"/>
        <w:jc w:val="both"/>
        <w:rPr>
          <w:rFonts w:eastAsia="Times New Roman" w:cs="Times New Roman"/>
          <w:sz w:val="24"/>
          <w:szCs w:val="24"/>
          <w:lang w:bidi="en-US"/>
        </w:rPr>
      </w:pPr>
      <w:r w:rsidRPr="000F4063">
        <w:rPr>
          <w:rFonts w:eastAsia="Times New Roman" w:cs="Times New Roman"/>
          <w:sz w:val="24"/>
          <w:szCs w:val="24"/>
          <w:lang w:bidi="en-US"/>
        </w:rPr>
        <w:t xml:space="preserve">Helsińska Fundacja Praw Człowieka („HFPC”, „Fundacja”) uprzejmie przedkłada kolejne uwagi dotyczące wykonania wyroku wydanego przez Europejski Trybunał Praw Człowieka („ETPCz”, „Trybunał”) w dniu 24 lipca 2014 r. w sprawach </w:t>
      </w:r>
      <w:r w:rsidRPr="000F4063">
        <w:rPr>
          <w:rFonts w:eastAsia="Times New Roman" w:cs="Times New Roman"/>
          <w:i/>
          <w:iCs/>
          <w:sz w:val="24"/>
          <w:szCs w:val="24"/>
          <w:lang w:bidi="en-US"/>
        </w:rPr>
        <w:t>Husayn (Abu Zubaydah) p</w:t>
      </w:r>
      <w:r w:rsidR="000A28CE">
        <w:rPr>
          <w:rFonts w:eastAsia="Times New Roman" w:cs="Times New Roman"/>
          <w:i/>
          <w:iCs/>
          <w:sz w:val="24"/>
          <w:szCs w:val="24"/>
          <w:lang w:bidi="en-US"/>
        </w:rPr>
        <w:t>.</w:t>
      </w:r>
      <w:r w:rsidRPr="000F4063">
        <w:rPr>
          <w:rFonts w:eastAsia="Times New Roman" w:cs="Times New Roman"/>
          <w:i/>
          <w:iCs/>
          <w:sz w:val="24"/>
          <w:szCs w:val="24"/>
          <w:lang w:bidi="en-US"/>
        </w:rPr>
        <w:t xml:space="preserve"> Polsce</w:t>
      </w:r>
      <w:r w:rsidRPr="000F4063">
        <w:rPr>
          <w:rFonts w:eastAsia="Times New Roman" w:cs="Times New Roman"/>
          <w:sz w:val="24"/>
          <w:szCs w:val="24"/>
          <w:lang w:bidi="en-US"/>
        </w:rPr>
        <w:t xml:space="preserve"> (skarga nr 7511/13) oraz </w:t>
      </w:r>
      <w:r w:rsidR="00CA7FC2">
        <w:rPr>
          <w:rFonts w:eastAsia="Times New Roman" w:cs="Times New Roman"/>
          <w:i/>
          <w:iCs/>
          <w:sz w:val="24"/>
          <w:szCs w:val="24"/>
          <w:lang w:bidi="en-US"/>
        </w:rPr>
        <w:t>Al Nashiri p.</w:t>
      </w:r>
      <w:r w:rsidRPr="000F4063">
        <w:rPr>
          <w:rFonts w:eastAsia="Times New Roman" w:cs="Times New Roman"/>
          <w:i/>
          <w:iCs/>
          <w:sz w:val="24"/>
          <w:szCs w:val="24"/>
          <w:lang w:bidi="en-US"/>
        </w:rPr>
        <w:t xml:space="preserve"> Polsce</w:t>
      </w:r>
      <w:r w:rsidRPr="000F4063">
        <w:rPr>
          <w:rFonts w:eastAsia="Times New Roman" w:cs="Times New Roman"/>
          <w:sz w:val="24"/>
          <w:szCs w:val="24"/>
          <w:lang w:bidi="en-US"/>
        </w:rPr>
        <w:t xml:space="preserve"> (skarga nr 28761/11).</w:t>
      </w:r>
    </w:p>
    <w:p w:rsidR="00684137" w:rsidRPr="000F4063" w:rsidRDefault="00684137" w:rsidP="008E32CB">
      <w:pPr>
        <w:widowControl w:val="0"/>
        <w:spacing w:before="120" w:after="0" w:line="240" w:lineRule="auto"/>
        <w:jc w:val="both"/>
        <w:rPr>
          <w:rFonts w:eastAsia="Times New Roman" w:cs="Times New Roman"/>
          <w:sz w:val="24"/>
          <w:szCs w:val="24"/>
          <w:lang w:bidi="en-US"/>
        </w:rPr>
      </w:pPr>
      <w:r w:rsidRPr="000F4063">
        <w:rPr>
          <w:rFonts w:eastAsia="Times New Roman" w:cs="Times New Roman"/>
          <w:sz w:val="24"/>
          <w:szCs w:val="24"/>
          <w:lang w:bidi="en-US"/>
        </w:rPr>
        <w:t>HFPC jest organizacją pozarządową utworzoną w celu ochrony praw człowieka, również poprzez kontrolę przestrzegania praw człowieka przez władze publiczne w Polsce. Fundacja realizuje swoje zadania statutowe poprzez reprezentowanie klientów w postępowaniach przed sądami krajowymi i międzynarodowymi organami ochrony praw człowieka, składanie opinii w charakterze tzw. przyjaciela sądu (</w:t>
      </w:r>
      <w:r w:rsidRPr="000A28CE">
        <w:rPr>
          <w:rFonts w:eastAsia="Times New Roman" w:cs="Times New Roman"/>
          <w:i/>
          <w:sz w:val="24"/>
          <w:szCs w:val="24"/>
          <w:lang w:bidi="en-US"/>
        </w:rPr>
        <w:t>amicus curiae</w:t>
      </w:r>
      <w:r w:rsidRPr="000F4063">
        <w:rPr>
          <w:rFonts w:eastAsia="Times New Roman" w:cs="Times New Roman"/>
          <w:sz w:val="24"/>
          <w:szCs w:val="24"/>
          <w:lang w:bidi="en-US"/>
        </w:rPr>
        <w:t xml:space="preserve">) w postępowaniach sądowych, opiniowanie projektów legislacyjnych oraz przedstawianie stanowisk prawnych organom państwowym. Fundacja monitoruje również wykonywanie wyroków ETPCz wydanych w sprawach wniesionych przeciwko Polsce. W tym zakresie przedstawialiśmy już Komitetowi Ministrów nasze stanowiska w przedmiocie wykonania szeregu wyroków ETPCz, w tym w sprawach </w:t>
      </w:r>
      <w:r w:rsidR="000A28CE">
        <w:rPr>
          <w:rFonts w:eastAsia="Times New Roman" w:cs="Times New Roman"/>
          <w:i/>
          <w:iCs/>
          <w:sz w:val="24"/>
          <w:szCs w:val="24"/>
          <w:lang w:bidi="en-US"/>
        </w:rPr>
        <w:t>P. i S. p.</w:t>
      </w:r>
      <w:r w:rsidRPr="000F4063">
        <w:rPr>
          <w:rFonts w:eastAsia="Times New Roman" w:cs="Times New Roman"/>
          <w:i/>
          <w:iCs/>
          <w:sz w:val="24"/>
          <w:szCs w:val="24"/>
          <w:lang w:bidi="en-US"/>
        </w:rPr>
        <w:t xml:space="preserve"> Polsce </w:t>
      </w:r>
      <w:r w:rsidRPr="000F4063">
        <w:rPr>
          <w:rFonts w:eastAsia="Times New Roman" w:cs="Times New Roman"/>
          <w:sz w:val="24"/>
          <w:szCs w:val="24"/>
          <w:lang w:bidi="en-US"/>
        </w:rPr>
        <w:t xml:space="preserve">(wyrok z dnia 30 października 2012 r., skarga nr 57375/08), </w:t>
      </w:r>
      <w:r w:rsidRPr="000F4063">
        <w:rPr>
          <w:rFonts w:eastAsia="Times New Roman" w:cs="Times New Roman"/>
          <w:i/>
          <w:iCs/>
          <w:sz w:val="24"/>
          <w:szCs w:val="24"/>
          <w:lang w:bidi="en-US"/>
        </w:rPr>
        <w:t xml:space="preserve">Kędzior </w:t>
      </w:r>
      <w:r w:rsidR="000A28CE">
        <w:rPr>
          <w:rFonts w:eastAsia="Times New Roman" w:cs="Times New Roman"/>
          <w:i/>
          <w:iCs/>
          <w:sz w:val="24"/>
          <w:szCs w:val="24"/>
          <w:lang w:bidi="en-US"/>
        </w:rPr>
        <w:t>p.</w:t>
      </w:r>
      <w:r w:rsidRPr="000F4063">
        <w:rPr>
          <w:rFonts w:eastAsia="Times New Roman" w:cs="Times New Roman"/>
          <w:i/>
          <w:iCs/>
          <w:sz w:val="24"/>
          <w:szCs w:val="24"/>
          <w:lang w:bidi="en-US"/>
        </w:rPr>
        <w:t xml:space="preserve"> Polsce</w:t>
      </w:r>
      <w:r w:rsidRPr="000F4063">
        <w:rPr>
          <w:rFonts w:eastAsia="Times New Roman" w:cs="Times New Roman"/>
          <w:sz w:val="24"/>
          <w:szCs w:val="24"/>
          <w:lang w:bidi="en-US"/>
        </w:rPr>
        <w:t xml:space="preserve"> (16 października 2012 r., skarga nr 45026/07), </w:t>
      </w:r>
      <w:r w:rsidR="000A28CE">
        <w:rPr>
          <w:rFonts w:eastAsia="Times New Roman" w:cs="Times New Roman"/>
          <w:i/>
          <w:iCs/>
          <w:sz w:val="24"/>
          <w:szCs w:val="24"/>
          <w:lang w:bidi="en-US"/>
        </w:rPr>
        <w:t>Beller p.</w:t>
      </w:r>
      <w:r w:rsidRPr="000F4063">
        <w:rPr>
          <w:rFonts w:eastAsia="Times New Roman" w:cs="Times New Roman"/>
          <w:i/>
          <w:iCs/>
          <w:sz w:val="24"/>
          <w:szCs w:val="24"/>
          <w:lang w:bidi="en-US"/>
        </w:rPr>
        <w:t xml:space="preserve"> Polsce </w:t>
      </w:r>
      <w:r w:rsidRPr="000F4063">
        <w:rPr>
          <w:rFonts w:eastAsia="Times New Roman" w:cs="Times New Roman"/>
          <w:sz w:val="24"/>
          <w:szCs w:val="24"/>
          <w:lang w:bidi="en-US"/>
        </w:rPr>
        <w:t xml:space="preserve">(1 lutego 2005 r., skarga nr 51837/99), </w:t>
      </w:r>
      <w:r w:rsidRPr="000F4063">
        <w:rPr>
          <w:rFonts w:eastAsia="Times New Roman" w:cs="Times New Roman"/>
          <w:i/>
          <w:iCs/>
          <w:sz w:val="24"/>
          <w:szCs w:val="24"/>
          <w:lang w:bidi="en-US"/>
        </w:rPr>
        <w:t xml:space="preserve">Rutkowski i </w:t>
      </w:r>
      <w:r w:rsidR="000A28CE">
        <w:rPr>
          <w:rFonts w:eastAsia="Times New Roman" w:cs="Times New Roman"/>
          <w:i/>
          <w:iCs/>
          <w:sz w:val="24"/>
          <w:szCs w:val="24"/>
          <w:lang w:bidi="en-US"/>
        </w:rPr>
        <w:t>i</w:t>
      </w:r>
      <w:r w:rsidRPr="000F4063">
        <w:rPr>
          <w:rFonts w:eastAsia="Times New Roman" w:cs="Times New Roman"/>
          <w:i/>
          <w:iCs/>
          <w:sz w:val="24"/>
          <w:szCs w:val="24"/>
          <w:lang w:bidi="en-US"/>
        </w:rPr>
        <w:t>nni p</w:t>
      </w:r>
      <w:r w:rsidR="000A28CE">
        <w:rPr>
          <w:rFonts w:eastAsia="Times New Roman" w:cs="Times New Roman"/>
          <w:i/>
          <w:iCs/>
          <w:sz w:val="24"/>
          <w:szCs w:val="24"/>
          <w:lang w:bidi="en-US"/>
        </w:rPr>
        <w:t>.</w:t>
      </w:r>
      <w:r w:rsidRPr="000F4063">
        <w:rPr>
          <w:rFonts w:eastAsia="Times New Roman" w:cs="Times New Roman"/>
          <w:i/>
          <w:iCs/>
          <w:sz w:val="24"/>
          <w:szCs w:val="24"/>
          <w:lang w:bidi="en-US"/>
        </w:rPr>
        <w:t xml:space="preserve"> Polsce</w:t>
      </w:r>
      <w:r w:rsidRPr="000F4063">
        <w:rPr>
          <w:rFonts w:eastAsia="Times New Roman" w:cs="Times New Roman"/>
          <w:sz w:val="24"/>
          <w:szCs w:val="24"/>
          <w:lang w:bidi="en-US"/>
        </w:rPr>
        <w:t xml:space="preserve"> (7 lipca 2015 r., skarga nr 72287/10), </w:t>
      </w:r>
      <w:r w:rsidRPr="000F4063">
        <w:rPr>
          <w:rFonts w:eastAsia="Times New Roman" w:cs="Times New Roman"/>
          <w:i/>
          <w:iCs/>
          <w:sz w:val="24"/>
          <w:szCs w:val="24"/>
          <w:lang w:bidi="en-US"/>
        </w:rPr>
        <w:t>Burża p</w:t>
      </w:r>
      <w:r w:rsidR="000A28CE">
        <w:rPr>
          <w:rFonts w:eastAsia="Times New Roman" w:cs="Times New Roman"/>
          <w:i/>
          <w:iCs/>
          <w:sz w:val="24"/>
          <w:szCs w:val="24"/>
          <w:lang w:bidi="en-US"/>
        </w:rPr>
        <w:t>.</w:t>
      </w:r>
      <w:r w:rsidRPr="000F4063">
        <w:rPr>
          <w:rFonts w:eastAsia="Times New Roman" w:cs="Times New Roman"/>
          <w:i/>
          <w:iCs/>
          <w:sz w:val="24"/>
          <w:szCs w:val="24"/>
          <w:lang w:bidi="en-US"/>
        </w:rPr>
        <w:t xml:space="preserve"> Polsce</w:t>
      </w:r>
      <w:r w:rsidRPr="000F4063">
        <w:rPr>
          <w:rFonts w:eastAsia="Times New Roman" w:cs="Times New Roman"/>
          <w:sz w:val="24"/>
          <w:szCs w:val="24"/>
          <w:lang w:bidi="en-US"/>
        </w:rPr>
        <w:t xml:space="preserve"> (18 października 2018 r., nr 15333/16), </w:t>
      </w:r>
      <w:r w:rsidRPr="000F4063">
        <w:rPr>
          <w:rFonts w:eastAsia="Times New Roman" w:cs="Times New Roman"/>
          <w:i/>
          <w:iCs/>
          <w:sz w:val="24"/>
          <w:szCs w:val="24"/>
          <w:lang w:bidi="en-US"/>
        </w:rPr>
        <w:t>Adamkowski p</w:t>
      </w:r>
      <w:r w:rsidR="000A28CE">
        <w:rPr>
          <w:rFonts w:eastAsia="Times New Roman" w:cs="Times New Roman"/>
          <w:i/>
          <w:iCs/>
          <w:sz w:val="24"/>
          <w:szCs w:val="24"/>
          <w:lang w:bidi="en-US"/>
        </w:rPr>
        <w:t>.</w:t>
      </w:r>
      <w:r w:rsidRPr="000F4063">
        <w:rPr>
          <w:rFonts w:eastAsia="Times New Roman" w:cs="Times New Roman"/>
          <w:i/>
          <w:iCs/>
          <w:sz w:val="24"/>
          <w:szCs w:val="24"/>
          <w:lang w:bidi="en-US"/>
        </w:rPr>
        <w:t xml:space="preserve"> Polsce</w:t>
      </w:r>
      <w:r w:rsidRPr="000F4063">
        <w:rPr>
          <w:rFonts w:eastAsia="Times New Roman" w:cs="Times New Roman"/>
          <w:sz w:val="24"/>
          <w:szCs w:val="24"/>
          <w:lang w:bidi="en-US"/>
        </w:rPr>
        <w:t xml:space="preserve"> (28 marca 2019 r., skarga nr 57814/12), </w:t>
      </w:r>
      <w:r w:rsidRPr="000F4063">
        <w:rPr>
          <w:rFonts w:eastAsia="Times New Roman" w:cs="Times New Roman"/>
          <w:i/>
          <w:iCs/>
          <w:sz w:val="24"/>
          <w:szCs w:val="24"/>
          <w:lang w:bidi="en-US"/>
        </w:rPr>
        <w:t>Parol p</w:t>
      </w:r>
      <w:r w:rsidR="000A28CE">
        <w:rPr>
          <w:rFonts w:eastAsia="Times New Roman" w:cs="Times New Roman"/>
          <w:i/>
          <w:iCs/>
          <w:sz w:val="24"/>
          <w:szCs w:val="24"/>
          <w:lang w:bidi="en-US"/>
        </w:rPr>
        <w:t>.</w:t>
      </w:r>
      <w:r w:rsidRPr="000F4063">
        <w:rPr>
          <w:rFonts w:eastAsia="Times New Roman" w:cs="Times New Roman"/>
          <w:i/>
          <w:iCs/>
          <w:sz w:val="24"/>
          <w:szCs w:val="24"/>
          <w:lang w:bidi="en-US"/>
        </w:rPr>
        <w:t xml:space="preserve"> Polsce</w:t>
      </w:r>
      <w:r w:rsidRPr="000F4063">
        <w:rPr>
          <w:rFonts w:eastAsia="Times New Roman" w:cs="Times New Roman"/>
          <w:sz w:val="24"/>
          <w:szCs w:val="24"/>
          <w:lang w:bidi="en-US"/>
        </w:rPr>
        <w:t xml:space="preserve"> (11 października 2018 r., skarga nr 65379/13).</w:t>
      </w:r>
    </w:p>
    <w:p w:rsidR="00684137" w:rsidRPr="000F4063" w:rsidRDefault="00684137" w:rsidP="008E32CB">
      <w:pPr>
        <w:widowControl w:val="0"/>
        <w:spacing w:before="120" w:after="0" w:line="240" w:lineRule="auto"/>
        <w:jc w:val="both"/>
        <w:rPr>
          <w:rFonts w:eastAsia="Times New Roman" w:cs="Times New Roman"/>
          <w:sz w:val="24"/>
          <w:szCs w:val="24"/>
          <w:lang w:bidi="en-US"/>
        </w:rPr>
      </w:pPr>
      <w:r w:rsidRPr="000F4063">
        <w:rPr>
          <w:rFonts w:eastAsia="Times New Roman" w:cs="Times New Roman"/>
          <w:sz w:val="24"/>
          <w:szCs w:val="24"/>
          <w:lang w:bidi="en-US"/>
        </w:rPr>
        <w:t xml:space="preserve">Głównym obszarem działalności Fundacji jest zakaz tortur lub nieludzkiego i poniżającego traktowania albo karania, o którym mowa w art. 3 Europejskiej Konwencji Praw Człowieka </w:t>
      </w:r>
      <w:r w:rsidRPr="000F4063">
        <w:rPr>
          <w:rFonts w:eastAsia="Times New Roman" w:cs="Times New Roman"/>
          <w:sz w:val="24"/>
          <w:szCs w:val="24"/>
          <w:lang w:bidi="en-US"/>
        </w:rPr>
        <w:lastRenderedPageBreak/>
        <w:t>(„EKPC”). Od lat HFPC podejmuje działania mające na celu ochronę jednostek przed działaniami ze strony władz publicznych, które mogą stanowić naruszenie art. 3 EKPC. Działania Fundacji zmierzające do osiągnięcia tego celu koncentrują się m.in. na sprawach dotyczących kontrowersyjnych operacji amerykańskiej Centralnej Agencji Wywiadowczej (CIA).</w:t>
      </w:r>
    </w:p>
    <w:p w:rsidR="00684137" w:rsidRPr="000F4063" w:rsidRDefault="00684137" w:rsidP="008E32CB">
      <w:pPr>
        <w:widowControl w:val="0"/>
        <w:spacing w:before="120" w:after="0" w:line="240" w:lineRule="auto"/>
        <w:jc w:val="both"/>
        <w:rPr>
          <w:rFonts w:eastAsia="Times New Roman" w:cs="Times New Roman"/>
          <w:sz w:val="24"/>
          <w:szCs w:val="24"/>
          <w:lang w:bidi="en-US"/>
        </w:rPr>
      </w:pPr>
      <w:r w:rsidRPr="000F4063">
        <w:rPr>
          <w:rFonts w:eastAsia="Times New Roman" w:cs="Times New Roman"/>
          <w:sz w:val="24"/>
          <w:szCs w:val="24"/>
          <w:lang w:bidi="en-US"/>
        </w:rPr>
        <w:t xml:space="preserve">Obserwatorium działań CIA w Polsce – program uruchomiony przez HFPC w 2007 r. – uzyskało dostęp do akt Straży Granicznej, z których wynika, że w okresie od grudnia 2002 r. do września 2003 r. 20 osób N.N. przywieziono na lotnisko w Szymanach na pokładzie siedmiu samolotów Gulfstream, które przyleciały z Afganistanu, Dubaju i Maroka. Jednym z kluczowych działań podjętych przez HFPC w tym zakresie było przedstawienie opinii w charakterze tzw. przyjaciela sądu (amicus curiae) w sprawach </w:t>
      </w:r>
      <w:r w:rsidRPr="000F4063">
        <w:rPr>
          <w:rFonts w:eastAsia="Times New Roman" w:cs="Times New Roman"/>
          <w:i/>
          <w:iCs/>
          <w:sz w:val="24"/>
          <w:szCs w:val="24"/>
          <w:lang w:bidi="en-US"/>
        </w:rPr>
        <w:t>Abu Zubaydah</w:t>
      </w:r>
      <w:r w:rsidRPr="000F4063">
        <w:rPr>
          <w:rFonts w:eastAsia="Times New Roman" w:cs="Times New Roman"/>
          <w:sz w:val="24"/>
          <w:szCs w:val="24"/>
          <w:lang w:bidi="en-US"/>
        </w:rPr>
        <w:t xml:space="preserve"> i </w:t>
      </w:r>
      <w:r w:rsidRPr="000F4063">
        <w:rPr>
          <w:rFonts w:eastAsia="Times New Roman" w:cs="Times New Roman"/>
          <w:i/>
          <w:iCs/>
          <w:sz w:val="24"/>
          <w:szCs w:val="24"/>
          <w:lang w:bidi="en-US"/>
        </w:rPr>
        <w:t>Al Nashiri</w:t>
      </w:r>
      <w:r w:rsidRPr="000F4063">
        <w:rPr>
          <w:rFonts w:eastAsia="Times New Roman" w:cs="Times New Roman"/>
          <w:sz w:val="24"/>
          <w:szCs w:val="24"/>
          <w:lang w:bidi="en-US"/>
        </w:rPr>
        <w:t xml:space="preserve">. W późniejszym okresie zespół prawny HFPC monitorował postępowanie przygotowawcze prowadzone przez organy krajowe w sprawie działalności tajnych więzień CIA w Polsce, jak również wykonywanie wyroków w sprawie </w:t>
      </w:r>
      <w:r w:rsidRPr="000F4063">
        <w:rPr>
          <w:rFonts w:eastAsia="Times New Roman" w:cs="Times New Roman"/>
          <w:i/>
          <w:iCs/>
          <w:sz w:val="24"/>
          <w:szCs w:val="24"/>
          <w:lang w:bidi="en-US"/>
        </w:rPr>
        <w:t>Abu Zubaydah</w:t>
      </w:r>
      <w:r w:rsidRPr="000F4063">
        <w:rPr>
          <w:rFonts w:eastAsia="Times New Roman" w:cs="Times New Roman"/>
          <w:sz w:val="24"/>
          <w:szCs w:val="24"/>
          <w:lang w:bidi="en-US"/>
        </w:rPr>
        <w:t xml:space="preserve"> i </w:t>
      </w:r>
      <w:r w:rsidRPr="000F4063">
        <w:rPr>
          <w:rFonts w:eastAsia="Times New Roman" w:cs="Times New Roman"/>
          <w:i/>
          <w:iCs/>
          <w:sz w:val="24"/>
          <w:szCs w:val="24"/>
          <w:lang w:bidi="en-US"/>
        </w:rPr>
        <w:t>Al Nashiri</w:t>
      </w:r>
      <w:r w:rsidRPr="000F4063">
        <w:rPr>
          <w:rFonts w:eastAsia="Times New Roman" w:cs="Times New Roman"/>
          <w:sz w:val="24"/>
          <w:szCs w:val="24"/>
          <w:lang w:bidi="en-US"/>
        </w:rPr>
        <w:t xml:space="preserve"> przez władze polskie</w:t>
      </w:r>
      <w:r w:rsidRPr="000F4063">
        <w:rPr>
          <w:rFonts w:eastAsia="Times New Roman" w:cs="Times New Roman"/>
          <w:sz w:val="24"/>
          <w:szCs w:val="24"/>
          <w:vertAlign w:val="superscript"/>
          <w:lang w:bidi="en-US"/>
        </w:rPr>
        <w:footnoteReference w:id="273"/>
      </w:r>
      <w:r w:rsidRPr="000F4063">
        <w:rPr>
          <w:rFonts w:eastAsia="Times New Roman" w:cs="Times New Roman"/>
          <w:sz w:val="24"/>
          <w:szCs w:val="24"/>
          <w:lang w:bidi="en-US"/>
        </w:rPr>
        <w:t>.</w:t>
      </w:r>
    </w:p>
    <w:p w:rsidR="00684137" w:rsidRPr="000F4063" w:rsidRDefault="00684137" w:rsidP="008E32CB">
      <w:pPr>
        <w:widowControl w:val="0"/>
        <w:spacing w:before="120" w:after="0" w:line="240" w:lineRule="auto"/>
        <w:jc w:val="both"/>
        <w:rPr>
          <w:rFonts w:eastAsia="Times New Roman" w:cs="Times New Roman"/>
          <w:sz w:val="24"/>
          <w:szCs w:val="24"/>
          <w:lang w:bidi="en-US"/>
        </w:rPr>
      </w:pPr>
      <w:r w:rsidRPr="000F4063">
        <w:rPr>
          <w:rFonts w:eastAsia="Times New Roman" w:cs="Times New Roman"/>
          <w:sz w:val="24"/>
          <w:szCs w:val="24"/>
          <w:lang w:bidi="en-US"/>
        </w:rPr>
        <w:t>W styczniu 2020 r. HFPC zorganizowała debatę pt. „Tajne więzienia, tajne postępowania, pozorna (nie)odpowiedzialność – czego nadal nie wiemy o więzieniach CIA w Polsce?”</w:t>
      </w:r>
      <w:r w:rsidRPr="000F4063">
        <w:rPr>
          <w:rFonts w:eastAsia="Times New Roman" w:cs="Times New Roman"/>
          <w:i/>
          <w:iCs/>
          <w:sz w:val="24"/>
          <w:szCs w:val="24"/>
          <w:vertAlign w:val="superscript"/>
          <w:lang w:bidi="en-US"/>
        </w:rPr>
        <w:footnoteReference w:id="274"/>
      </w:r>
      <w:r w:rsidRPr="000F4063">
        <w:rPr>
          <w:rFonts w:eastAsia="Times New Roman" w:cs="Times New Roman"/>
          <w:sz w:val="24"/>
          <w:szCs w:val="24"/>
          <w:lang w:bidi="en-US"/>
        </w:rPr>
        <w:t>, której uczestnicy, w tym eksperci, analizowali, jakie znaczenie dla polityki międzynarodowej miało ujawnienie informacji o tajnych więzieniach CIA na terenie Europy i jaka była odpowiedź społeczności międzynarodowej na poczynione ustalenia. Uczestnicy debaty podjęli również próbę udzielenia odpowiedzi na pytanie, czy ujawnienie tych informacji doprowadziło do zmiany stosunku władz i opinii publicznej w Polsce do tortur i środków stosowanych w związku ze współczesnymi konfliktami międzynarodowymi. Na koniec uczestnicy debaty zastanawiali się, czy możliwe jest uniknięcie podobnej sytuacji w przyszłości.</w:t>
      </w:r>
    </w:p>
    <w:p w:rsidR="00684137" w:rsidRPr="000F4063" w:rsidRDefault="00684137" w:rsidP="008E32CB">
      <w:pPr>
        <w:pStyle w:val="Akapitzlist"/>
        <w:numPr>
          <w:ilvl w:val="0"/>
          <w:numId w:val="24"/>
        </w:numPr>
        <w:spacing w:before="120" w:after="0" w:line="240" w:lineRule="auto"/>
        <w:contextualSpacing w:val="0"/>
        <w:rPr>
          <w:rFonts w:eastAsia="Times New Roman" w:cs="Times New Roman"/>
          <w:b/>
          <w:bCs/>
          <w:sz w:val="24"/>
          <w:szCs w:val="24"/>
          <w:lang w:bidi="en-US"/>
        </w:rPr>
      </w:pPr>
      <w:r w:rsidRPr="000F4063">
        <w:rPr>
          <w:rFonts w:eastAsia="Times New Roman" w:cs="Times New Roman"/>
          <w:b/>
          <w:bCs/>
          <w:sz w:val="24"/>
          <w:szCs w:val="24"/>
          <w:lang w:bidi="en-US"/>
        </w:rPr>
        <w:t>Wyrok Europejskiego Trybunału Praw Człowieka</w:t>
      </w:r>
    </w:p>
    <w:p w:rsidR="00684137" w:rsidRPr="000F4063" w:rsidRDefault="00684137" w:rsidP="008E32CB">
      <w:pPr>
        <w:widowControl w:val="0"/>
        <w:spacing w:before="120" w:after="0" w:line="240" w:lineRule="auto"/>
        <w:jc w:val="both"/>
        <w:rPr>
          <w:rFonts w:eastAsia="Times New Roman" w:cs="Times New Roman"/>
          <w:sz w:val="24"/>
          <w:szCs w:val="24"/>
          <w:lang w:bidi="en-US"/>
        </w:rPr>
      </w:pPr>
      <w:r w:rsidRPr="000F4063">
        <w:rPr>
          <w:rFonts w:eastAsia="Times New Roman" w:cs="Times New Roman"/>
          <w:sz w:val="24"/>
          <w:szCs w:val="24"/>
          <w:lang w:bidi="en-US"/>
        </w:rPr>
        <w:t xml:space="preserve">W sprawie </w:t>
      </w:r>
      <w:r w:rsidRPr="000F4063">
        <w:rPr>
          <w:rFonts w:eastAsia="Times New Roman" w:cs="Times New Roman"/>
          <w:i/>
          <w:iCs/>
          <w:sz w:val="24"/>
          <w:szCs w:val="24"/>
          <w:lang w:bidi="en-US"/>
        </w:rPr>
        <w:t xml:space="preserve">Al Nashiri </w:t>
      </w:r>
      <w:r w:rsidRPr="000F4063">
        <w:rPr>
          <w:rFonts w:eastAsia="Times New Roman" w:cs="Times New Roman"/>
          <w:sz w:val="24"/>
          <w:szCs w:val="24"/>
          <w:lang w:bidi="en-US"/>
        </w:rPr>
        <w:t>ETPCz uznał, że Polska dopuściła się naruszenia następujących postanowień Konwencji:</w:t>
      </w:r>
    </w:p>
    <w:p w:rsidR="00684137" w:rsidRPr="000F4063" w:rsidRDefault="00684137" w:rsidP="008E32CB">
      <w:pPr>
        <w:widowControl w:val="0"/>
        <w:numPr>
          <w:ilvl w:val="0"/>
          <w:numId w:val="20"/>
        </w:numPr>
        <w:tabs>
          <w:tab w:val="left" w:pos="738"/>
        </w:tabs>
        <w:spacing w:before="120" w:after="0" w:line="240" w:lineRule="auto"/>
        <w:ind w:left="680" w:hanging="300"/>
        <w:jc w:val="both"/>
        <w:rPr>
          <w:rFonts w:eastAsia="Times New Roman" w:cs="Times New Roman"/>
          <w:sz w:val="24"/>
          <w:szCs w:val="24"/>
          <w:lang w:bidi="en-US"/>
        </w:rPr>
      </w:pPr>
      <w:r w:rsidRPr="000F4063">
        <w:rPr>
          <w:rFonts w:eastAsia="Times New Roman" w:cs="Times New Roman"/>
          <w:sz w:val="24"/>
          <w:szCs w:val="24"/>
          <w:lang w:bidi="en-US"/>
        </w:rPr>
        <w:t>art. 2 i 3 EKPC w związku z art. 1 Protokołu nr 6 do EKPC, ze względu na wydanie skarżącego z Polski, a tym samym narażenie go na realne ryzyko kary śmierci;</w:t>
      </w:r>
    </w:p>
    <w:p w:rsidR="00684137" w:rsidRPr="000F4063" w:rsidRDefault="00684137" w:rsidP="008E32CB">
      <w:pPr>
        <w:widowControl w:val="0"/>
        <w:numPr>
          <w:ilvl w:val="0"/>
          <w:numId w:val="20"/>
        </w:numPr>
        <w:tabs>
          <w:tab w:val="left" w:pos="738"/>
        </w:tabs>
        <w:spacing w:before="120" w:after="0" w:line="240" w:lineRule="auto"/>
        <w:ind w:left="680" w:hanging="300"/>
        <w:jc w:val="both"/>
        <w:rPr>
          <w:rFonts w:eastAsia="Times New Roman" w:cs="Times New Roman"/>
          <w:sz w:val="24"/>
          <w:szCs w:val="24"/>
          <w:lang w:bidi="en-US"/>
        </w:rPr>
      </w:pPr>
      <w:r w:rsidRPr="000F4063">
        <w:rPr>
          <w:rFonts w:eastAsia="Times New Roman" w:cs="Times New Roman"/>
          <w:sz w:val="24"/>
          <w:szCs w:val="24"/>
          <w:lang w:bidi="en-US"/>
        </w:rPr>
        <w:t>art. 3 EKPC w jego aspekcie proceduralnym, ze względu na nieprzeprowadzenie przez Polskę skutecznego śledztwa w sprawie zarzutów skarżącego dotyczących poważnych naruszeń Konwencji, w tym tortur, niewłaściwego traktowania i tajnego przetrzymywania;</w:t>
      </w:r>
    </w:p>
    <w:p w:rsidR="00684137" w:rsidRPr="000F4063" w:rsidRDefault="00684137" w:rsidP="008E32CB">
      <w:pPr>
        <w:widowControl w:val="0"/>
        <w:numPr>
          <w:ilvl w:val="0"/>
          <w:numId w:val="20"/>
        </w:numPr>
        <w:tabs>
          <w:tab w:val="left" w:pos="738"/>
        </w:tabs>
        <w:spacing w:before="120" w:after="0" w:line="240" w:lineRule="auto"/>
        <w:ind w:left="680" w:hanging="300"/>
        <w:jc w:val="both"/>
        <w:rPr>
          <w:rFonts w:eastAsia="Times New Roman" w:cs="Times New Roman"/>
          <w:sz w:val="24"/>
          <w:szCs w:val="24"/>
          <w:lang w:bidi="en-US"/>
        </w:rPr>
      </w:pPr>
      <w:r w:rsidRPr="000F4063">
        <w:rPr>
          <w:rFonts w:eastAsia="Times New Roman" w:cs="Times New Roman"/>
          <w:sz w:val="24"/>
          <w:szCs w:val="24"/>
          <w:lang w:bidi="en-US"/>
        </w:rPr>
        <w:t>art. 3 EKPC w jego aspekcie materialnym w związku ze współudziałem Polski w programie CIA dotyczącym przetrzymywania szczególnie ważnych w sposób umożliwiający władzom Stanów Zjednoczonych poddawanie na swoim terytorium skarżącego torturom i niewłaściwemu traktowaniu oraz przewiezienie skarżącego ze swojego terytorium pomimo istnienia realnego ryzyka, że zostanie on poddany traktowaniu sprzecznemu z art. 3 EKPC;</w:t>
      </w:r>
    </w:p>
    <w:p w:rsidR="00684137" w:rsidRPr="000F4063" w:rsidRDefault="00684137" w:rsidP="008E32CB">
      <w:pPr>
        <w:widowControl w:val="0"/>
        <w:numPr>
          <w:ilvl w:val="0"/>
          <w:numId w:val="20"/>
        </w:numPr>
        <w:tabs>
          <w:tab w:val="left" w:pos="738"/>
        </w:tabs>
        <w:spacing w:before="120" w:after="0" w:line="240" w:lineRule="auto"/>
        <w:ind w:left="680" w:hanging="300"/>
        <w:jc w:val="both"/>
        <w:rPr>
          <w:rFonts w:eastAsia="Times New Roman" w:cs="Times New Roman"/>
          <w:sz w:val="24"/>
          <w:szCs w:val="24"/>
          <w:lang w:bidi="en-US"/>
        </w:rPr>
      </w:pPr>
      <w:r w:rsidRPr="000F4063">
        <w:rPr>
          <w:rFonts w:eastAsia="Times New Roman" w:cs="Times New Roman"/>
          <w:sz w:val="24"/>
          <w:szCs w:val="24"/>
          <w:lang w:bidi="en-US"/>
        </w:rPr>
        <w:lastRenderedPageBreak/>
        <w:t>art. 5 EKPC w związku z tajnym przetrzymywaniem skarżącego na terytorium Polski oraz faktu, że Polska umożliwiła władzom Stanów Zjednoczonych przewiezienie skarżącego ze swojego terytorium, pomimo istnienia realnego ryzyka, że zostanie on poddany dalszemu tajnemu przetrzymywaniu;</w:t>
      </w:r>
    </w:p>
    <w:p w:rsidR="000A28CE" w:rsidRDefault="00684137" w:rsidP="008E32CB">
      <w:pPr>
        <w:widowControl w:val="0"/>
        <w:numPr>
          <w:ilvl w:val="0"/>
          <w:numId w:val="20"/>
        </w:numPr>
        <w:tabs>
          <w:tab w:val="left" w:pos="738"/>
        </w:tabs>
        <w:spacing w:before="120" w:after="0" w:line="240" w:lineRule="auto"/>
        <w:ind w:left="680" w:hanging="300"/>
        <w:jc w:val="both"/>
        <w:rPr>
          <w:rFonts w:eastAsia="Times New Roman" w:cs="Times New Roman"/>
          <w:sz w:val="24"/>
          <w:szCs w:val="24"/>
          <w:lang w:bidi="en-US"/>
        </w:rPr>
      </w:pPr>
      <w:r w:rsidRPr="000F4063">
        <w:rPr>
          <w:rFonts w:eastAsia="Times New Roman" w:cs="Times New Roman"/>
          <w:sz w:val="24"/>
          <w:szCs w:val="24"/>
          <w:lang w:bidi="en-US"/>
        </w:rPr>
        <w:t>art. 6 ust. 1 EKPC w związku z przewozem skarżącego z terytorium Polski pomimo istnienia realnego ryzyka, że może zostać narażony na rażącą odmowę sprawiedliwości;</w:t>
      </w:r>
    </w:p>
    <w:p w:rsidR="00684137" w:rsidRPr="000A28CE" w:rsidRDefault="00684137" w:rsidP="008E32CB">
      <w:pPr>
        <w:widowControl w:val="0"/>
        <w:numPr>
          <w:ilvl w:val="0"/>
          <w:numId w:val="20"/>
        </w:numPr>
        <w:tabs>
          <w:tab w:val="left" w:pos="738"/>
        </w:tabs>
        <w:spacing w:before="120" w:after="0" w:line="240" w:lineRule="auto"/>
        <w:ind w:left="680" w:hanging="300"/>
        <w:jc w:val="both"/>
        <w:rPr>
          <w:rFonts w:eastAsia="Times New Roman" w:cs="Times New Roman"/>
          <w:sz w:val="24"/>
          <w:szCs w:val="24"/>
          <w:lang w:bidi="en-US"/>
        </w:rPr>
      </w:pPr>
      <w:r w:rsidRPr="000A28CE">
        <w:rPr>
          <w:rFonts w:eastAsia="Times New Roman" w:cs="Times New Roman"/>
          <w:sz w:val="24"/>
          <w:szCs w:val="24"/>
          <w:lang w:bidi="en-US"/>
        </w:rPr>
        <w:t>art. 8 EKPC;</w:t>
      </w:r>
    </w:p>
    <w:p w:rsidR="00684137" w:rsidRPr="000F4063" w:rsidRDefault="00684137" w:rsidP="008E32CB">
      <w:pPr>
        <w:widowControl w:val="0"/>
        <w:numPr>
          <w:ilvl w:val="0"/>
          <w:numId w:val="20"/>
        </w:numPr>
        <w:tabs>
          <w:tab w:val="left" w:pos="738"/>
        </w:tabs>
        <w:spacing w:before="120" w:after="0" w:line="240" w:lineRule="auto"/>
        <w:ind w:left="680" w:hanging="300"/>
        <w:jc w:val="both"/>
        <w:rPr>
          <w:rFonts w:eastAsia="Times New Roman" w:cs="Times New Roman"/>
          <w:sz w:val="24"/>
          <w:szCs w:val="24"/>
          <w:lang w:bidi="en-US"/>
        </w:rPr>
      </w:pPr>
      <w:r w:rsidRPr="000F4063">
        <w:rPr>
          <w:rFonts w:eastAsia="Times New Roman" w:cs="Times New Roman"/>
          <w:sz w:val="24"/>
          <w:szCs w:val="24"/>
          <w:lang w:bidi="en-US"/>
        </w:rPr>
        <w:t>art. 13 EKPC w związku z brakiem skutecznych środków odwoławczych wobec zarzutów skarżącego opartych na art. 3 EKPC;</w:t>
      </w:r>
    </w:p>
    <w:p w:rsidR="00684137" w:rsidRPr="000F4063" w:rsidRDefault="00684137" w:rsidP="008E32CB">
      <w:pPr>
        <w:widowControl w:val="0"/>
        <w:spacing w:before="120" w:after="0" w:line="240" w:lineRule="auto"/>
        <w:jc w:val="both"/>
        <w:rPr>
          <w:rFonts w:eastAsia="Times New Roman" w:cs="Times New Roman"/>
          <w:sz w:val="24"/>
          <w:szCs w:val="24"/>
          <w:lang w:bidi="en-US"/>
        </w:rPr>
      </w:pPr>
      <w:r w:rsidRPr="000F4063">
        <w:rPr>
          <w:rFonts w:eastAsia="Times New Roman" w:cs="Times New Roman"/>
          <w:sz w:val="24"/>
          <w:szCs w:val="24"/>
          <w:lang w:bidi="en-US"/>
        </w:rPr>
        <w:t xml:space="preserve">W sprawie </w:t>
      </w:r>
      <w:r w:rsidRPr="000F4063">
        <w:rPr>
          <w:rFonts w:eastAsia="Times New Roman" w:cs="Times New Roman"/>
          <w:i/>
          <w:iCs/>
          <w:sz w:val="24"/>
          <w:szCs w:val="24"/>
          <w:lang w:bidi="en-US"/>
        </w:rPr>
        <w:t xml:space="preserve">Abu Zubaydah </w:t>
      </w:r>
      <w:r w:rsidRPr="000F4063">
        <w:rPr>
          <w:rFonts w:eastAsia="Times New Roman" w:cs="Times New Roman"/>
          <w:sz w:val="24"/>
          <w:szCs w:val="24"/>
          <w:lang w:bidi="en-US"/>
        </w:rPr>
        <w:t>ETPCz uznał, że Polska dopuściła się naruszenia następujących postanowień Konwencji:</w:t>
      </w:r>
    </w:p>
    <w:p w:rsidR="00684137" w:rsidRPr="000F4063" w:rsidRDefault="00684137" w:rsidP="008E32CB">
      <w:pPr>
        <w:widowControl w:val="0"/>
        <w:numPr>
          <w:ilvl w:val="0"/>
          <w:numId w:val="20"/>
        </w:numPr>
        <w:tabs>
          <w:tab w:val="left" w:pos="738"/>
        </w:tabs>
        <w:spacing w:before="120" w:after="0" w:line="240" w:lineRule="auto"/>
        <w:ind w:left="680" w:hanging="300"/>
        <w:jc w:val="both"/>
        <w:rPr>
          <w:rFonts w:eastAsia="Times New Roman" w:cs="Times New Roman"/>
          <w:sz w:val="24"/>
          <w:szCs w:val="24"/>
          <w:lang w:bidi="en-US"/>
        </w:rPr>
      </w:pPr>
      <w:r w:rsidRPr="000F4063">
        <w:rPr>
          <w:rFonts w:eastAsia="Times New Roman" w:cs="Times New Roman"/>
          <w:sz w:val="24"/>
          <w:szCs w:val="24"/>
          <w:lang w:bidi="en-US"/>
        </w:rPr>
        <w:t>art. 3 EKPC w jego aspekcie proceduralnym, ze względu na nieprzeprowadzenie przez Polskę skutecznego śledztwa w sprawie zarzutów skarżącego dotyczących poważnych naruszeń Konwencji, w tym tortur, niewłaściwego traktowania i tajnego przetrzymywania;</w:t>
      </w:r>
    </w:p>
    <w:p w:rsidR="00684137" w:rsidRPr="000F4063" w:rsidRDefault="00684137" w:rsidP="008E32CB">
      <w:pPr>
        <w:widowControl w:val="0"/>
        <w:numPr>
          <w:ilvl w:val="0"/>
          <w:numId w:val="20"/>
        </w:numPr>
        <w:tabs>
          <w:tab w:val="left" w:pos="738"/>
        </w:tabs>
        <w:spacing w:before="120" w:after="0" w:line="240" w:lineRule="auto"/>
        <w:ind w:left="680" w:hanging="300"/>
        <w:jc w:val="both"/>
        <w:rPr>
          <w:rFonts w:eastAsia="Times New Roman" w:cs="Times New Roman"/>
          <w:sz w:val="24"/>
          <w:szCs w:val="24"/>
          <w:lang w:bidi="en-US"/>
        </w:rPr>
      </w:pPr>
      <w:r w:rsidRPr="000F4063">
        <w:rPr>
          <w:rFonts w:eastAsia="Times New Roman" w:cs="Times New Roman"/>
          <w:sz w:val="24"/>
          <w:szCs w:val="24"/>
          <w:lang w:bidi="en-US"/>
        </w:rPr>
        <w:t>art. 3 EKPC w jego aspekcie materialnym w związku ze współudziałem Polski w programie CIA dotyczącym przetrzymywania szczególnie ważnych osób w sposób umożliwiający władzom Stanów Zjednoczonych poddawanie na swoim terytorium skarżącego torturom i niewłaściwemu traktowaniu oraz przewiezienie skarżącego ze swojego terytorium pomimo istnienia realnego ryzyka, że zostanie on poddany traktowaniu sprzecznemu z art. 3 EKPC;</w:t>
      </w:r>
    </w:p>
    <w:p w:rsidR="00684137" w:rsidRPr="000F4063" w:rsidRDefault="00684137" w:rsidP="008E32CB">
      <w:pPr>
        <w:widowControl w:val="0"/>
        <w:numPr>
          <w:ilvl w:val="0"/>
          <w:numId w:val="20"/>
        </w:numPr>
        <w:tabs>
          <w:tab w:val="left" w:pos="738"/>
        </w:tabs>
        <w:spacing w:before="120" w:after="0" w:line="240" w:lineRule="auto"/>
        <w:ind w:left="680" w:hanging="300"/>
        <w:jc w:val="both"/>
        <w:rPr>
          <w:rFonts w:eastAsia="Times New Roman" w:cs="Times New Roman"/>
          <w:sz w:val="24"/>
          <w:szCs w:val="24"/>
          <w:lang w:bidi="en-US"/>
        </w:rPr>
      </w:pPr>
      <w:r w:rsidRPr="000F4063">
        <w:rPr>
          <w:rFonts w:eastAsia="Times New Roman" w:cs="Times New Roman"/>
          <w:sz w:val="24"/>
          <w:szCs w:val="24"/>
          <w:lang w:bidi="en-US"/>
        </w:rPr>
        <w:t>art. 5 EKPC w związku z tajnym przetrzymywaniem skarżącego na terytorium Polski oraz faktu, że Polska umożliwiła władzom Stanów Zjednoczonych przewiezienie skarżącego ze swojego terytorium, pomimo istnienia realnego ryzyka, że zostanie on poddany dalszemu nieujawnionemu przetrzymywaniu;</w:t>
      </w:r>
    </w:p>
    <w:p w:rsidR="00684137" w:rsidRPr="000F4063" w:rsidRDefault="00684137" w:rsidP="008E32CB">
      <w:pPr>
        <w:widowControl w:val="0"/>
        <w:numPr>
          <w:ilvl w:val="0"/>
          <w:numId w:val="20"/>
        </w:numPr>
        <w:tabs>
          <w:tab w:val="left" w:pos="775"/>
        </w:tabs>
        <w:spacing w:before="120" w:after="0" w:line="240" w:lineRule="auto"/>
        <w:ind w:left="780" w:hanging="320"/>
        <w:jc w:val="both"/>
        <w:rPr>
          <w:rFonts w:eastAsia="Times New Roman" w:cs="Times New Roman"/>
          <w:sz w:val="24"/>
          <w:szCs w:val="24"/>
          <w:lang w:bidi="en-US"/>
        </w:rPr>
      </w:pPr>
      <w:r w:rsidRPr="000F4063">
        <w:rPr>
          <w:rFonts w:eastAsia="Times New Roman" w:cs="Times New Roman"/>
          <w:sz w:val="24"/>
          <w:szCs w:val="24"/>
          <w:lang w:bidi="en-US"/>
        </w:rPr>
        <w:t>art. 6 ust. 1 EKPC w związku z przewiezieniem skarżącego z terytorium Polski pomimo istnienia realnego ryzyka, że może zostać narażony na rażącą odmowę sprawiedliwości;</w:t>
      </w:r>
    </w:p>
    <w:p w:rsidR="00684137" w:rsidRPr="000F4063" w:rsidRDefault="00684137" w:rsidP="008E32CB">
      <w:pPr>
        <w:widowControl w:val="0"/>
        <w:numPr>
          <w:ilvl w:val="0"/>
          <w:numId w:val="20"/>
        </w:numPr>
        <w:tabs>
          <w:tab w:val="left" w:pos="775"/>
        </w:tabs>
        <w:spacing w:before="120" w:after="0" w:line="240" w:lineRule="auto"/>
        <w:ind w:firstLine="460"/>
        <w:rPr>
          <w:rFonts w:eastAsia="Times New Roman" w:cs="Times New Roman"/>
          <w:sz w:val="24"/>
          <w:szCs w:val="24"/>
          <w:lang w:bidi="en-US"/>
        </w:rPr>
      </w:pPr>
      <w:r w:rsidRPr="000F4063">
        <w:rPr>
          <w:rFonts w:eastAsia="Times New Roman" w:cs="Times New Roman"/>
          <w:sz w:val="24"/>
          <w:szCs w:val="24"/>
          <w:lang w:bidi="en-US"/>
        </w:rPr>
        <w:t>art. 8 EKPC;</w:t>
      </w:r>
    </w:p>
    <w:p w:rsidR="00684137" w:rsidRPr="000F4063" w:rsidRDefault="00684137" w:rsidP="008E32CB">
      <w:pPr>
        <w:widowControl w:val="0"/>
        <w:numPr>
          <w:ilvl w:val="0"/>
          <w:numId w:val="20"/>
        </w:numPr>
        <w:tabs>
          <w:tab w:val="left" w:pos="738"/>
        </w:tabs>
        <w:spacing w:before="120" w:after="0" w:line="240" w:lineRule="auto"/>
        <w:ind w:left="680" w:hanging="300"/>
        <w:jc w:val="both"/>
        <w:rPr>
          <w:rFonts w:eastAsia="Times New Roman" w:cs="Times New Roman"/>
          <w:sz w:val="24"/>
          <w:szCs w:val="24"/>
          <w:lang w:bidi="en-US"/>
        </w:rPr>
      </w:pPr>
      <w:r w:rsidRPr="000F4063">
        <w:rPr>
          <w:rFonts w:eastAsia="Times New Roman" w:cs="Times New Roman"/>
          <w:sz w:val="24"/>
          <w:szCs w:val="24"/>
          <w:lang w:bidi="en-US"/>
        </w:rPr>
        <w:t>art. 13 EKPC w związku z brakiem skutecz</w:t>
      </w:r>
      <w:r w:rsidR="000A28CE">
        <w:rPr>
          <w:rFonts w:eastAsia="Times New Roman" w:cs="Times New Roman"/>
          <w:sz w:val="24"/>
          <w:szCs w:val="24"/>
          <w:lang w:bidi="en-US"/>
        </w:rPr>
        <w:t>nych środków odwoławczych wobec z</w:t>
      </w:r>
      <w:r w:rsidRPr="000F4063">
        <w:rPr>
          <w:rFonts w:eastAsia="Times New Roman" w:cs="Times New Roman"/>
          <w:sz w:val="24"/>
          <w:szCs w:val="24"/>
          <w:lang w:bidi="en-US"/>
        </w:rPr>
        <w:t>arzutów skarżącego opartych na art. 3, 5 i 8 EKPC.</w:t>
      </w:r>
    </w:p>
    <w:p w:rsidR="00684137" w:rsidRPr="000F4063" w:rsidRDefault="00684137" w:rsidP="008E32CB">
      <w:pPr>
        <w:widowControl w:val="0"/>
        <w:spacing w:before="120" w:after="0" w:line="240" w:lineRule="auto"/>
        <w:jc w:val="both"/>
        <w:rPr>
          <w:rFonts w:eastAsia="Times New Roman" w:cs="Times New Roman"/>
          <w:sz w:val="24"/>
          <w:szCs w:val="24"/>
          <w:lang w:bidi="en-US"/>
        </w:rPr>
      </w:pPr>
      <w:r w:rsidRPr="000F4063">
        <w:rPr>
          <w:rFonts w:eastAsia="Times New Roman" w:cs="Times New Roman"/>
          <w:sz w:val="24"/>
          <w:szCs w:val="24"/>
          <w:lang w:bidi="en-US"/>
        </w:rPr>
        <w:t>W obu sprawach Trybunał poruszył szereg istotnych kwestii. Po pierwsze, ETPCz ustalił ponad uzasadnioną wątpliwość, że Polska ponosi odpowiedzialność za tajne, arbitralne przetrzymanie oraz tortury lub nieludzkie traktowanie na swoim terytorium. Po drugie, ETPCz stwierdził, że program wydawania osób pozbawionych wolności nie byłby możliwy bez udziału państw europejskich, takich jak Polska. Po trzecie, i co najważniejsze, ETPCz uznał, że polskie władze nie przeprowadziły skutecznego śledztwa. Ten ostatni wniosek jest tym bardziej niepokojący, że śledztwo nie zostało jeszcze zakończone.</w:t>
      </w:r>
    </w:p>
    <w:p w:rsidR="00684137" w:rsidRPr="000F4063" w:rsidRDefault="00684137" w:rsidP="008E32CB">
      <w:pPr>
        <w:pStyle w:val="Akapitzlist"/>
        <w:numPr>
          <w:ilvl w:val="0"/>
          <w:numId w:val="24"/>
        </w:numPr>
        <w:spacing w:before="120" w:after="0" w:line="240" w:lineRule="auto"/>
        <w:contextualSpacing w:val="0"/>
        <w:rPr>
          <w:rFonts w:eastAsia="Times New Roman" w:cs="Times New Roman"/>
          <w:b/>
          <w:bCs/>
          <w:sz w:val="24"/>
          <w:szCs w:val="24"/>
          <w:lang w:bidi="en-US"/>
        </w:rPr>
      </w:pPr>
      <w:r w:rsidRPr="000F4063">
        <w:rPr>
          <w:rFonts w:eastAsia="Times New Roman" w:cs="Times New Roman"/>
          <w:b/>
          <w:bCs/>
          <w:sz w:val="24"/>
          <w:szCs w:val="24"/>
          <w:lang w:bidi="en-US"/>
        </w:rPr>
        <w:t>Wykonanie wyroku</w:t>
      </w:r>
    </w:p>
    <w:p w:rsidR="00684137" w:rsidRPr="000F4063" w:rsidRDefault="00684137" w:rsidP="008E32CB">
      <w:pPr>
        <w:widowControl w:val="0"/>
        <w:spacing w:before="120" w:after="0" w:line="240" w:lineRule="auto"/>
        <w:jc w:val="both"/>
        <w:rPr>
          <w:rFonts w:eastAsia="Times New Roman" w:cs="Times New Roman"/>
          <w:sz w:val="24"/>
          <w:szCs w:val="24"/>
          <w:lang w:bidi="en-US"/>
        </w:rPr>
      </w:pPr>
      <w:r w:rsidRPr="000F4063">
        <w:rPr>
          <w:rFonts w:eastAsia="Times New Roman" w:cs="Times New Roman"/>
          <w:sz w:val="24"/>
          <w:szCs w:val="24"/>
          <w:u w:val="single"/>
          <w:lang w:bidi="en-US"/>
        </w:rPr>
        <w:t>Środki indywidualne:</w:t>
      </w:r>
    </w:p>
    <w:p w:rsidR="00684137" w:rsidRPr="000F4063" w:rsidRDefault="00684137" w:rsidP="008E32CB">
      <w:pPr>
        <w:widowControl w:val="0"/>
        <w:spacing w:before="120" w:after="0" w:line="240" w:lineRule="auto"/>
        <w:rPr>
          <w:rFonts w:eastAsia="Times New Roman" w:cs="Times New Roman"/>
          <w:sz w:val="24"/>
          <w:szCs w:val="24"/>
          <w:lang w:bidi="en-US"/>
        </w:rPr>
      </w:pPr>
      <w:r w:rsidRPr="000F4063">
        <w:rPr>
          <w:rFonts w:eastAsia="Times New Roman" w:cs="Times New Roman"/>
          <w:b/>
          <w:bCs/>
          <w:sz w:val="24"/>
          <w:szCs w:val="24"/>
          <w:lang w:bidi="en-US"/>
        </w:rPr>
        <w:lastRenderedPageBreak/>
        <w:t>Naruszenie art. 3 EKPC w aspekcie proceduralnym</w:t>
      </w:r>
    </w:p>
    <w:p w:rsidR="00684137" w:rsidRPr="000F4063" w:rsidRDefault="00684137" w:rsidP="008E32CB">
      <w:pPr>
        <w:widowControl w:val="0"/>
        <w:numPr>
          <w:ilvl w:val="0"/>
          <w:numId w:val="76"/>
        </w:numPr>
        <w:spacing w:before="120" w:after="0" w:line="240" w:lineRule="auto"/>
        <w:jc w:val="both"/>
        <w:rPr>
          <w:rFonts w:eastAsia="Times New Roman" w:cs="Times New Roman"/>
          <w:sz w:val="24"/>
          <w:szCs w:val="24"/>
          <w:lang w:bidi="en-US"/>
        </w:rPr>
      </w:pPr>
      <w:r w:rsidRPr="000F4063">
        <w:rPr>
          <w:rFonts w:eastAsia="Times New Roman" w:cs="Times New Roman"/>
          <w:sz w:val="24"/>
          <w:szCs w:val="24"/>
          <w:lang w:bidi="en-US"/>
        </w:rPr>
        <w:t>Z planu działań z dnia 22 czerwca 2018 r.</w:t>
      </w:r>
      <w:r w:rsidRPr="000F4063">
        <w:rPr>
          <w:rFonts w:eastAsia="Times New Roman" w:cs="Times New Roman"/>
          <w:sz w:val="24"/>
          <w:szCs w:val="24"/>
          <w:vertAlign w:val="superscript"/>
          <w:lang w:bidi="en-US"/>
        </w:rPr>
        <w:footnoteReference w:id="275"/>
      </w:r>
      <w:r w:rsidRPr="000F4063">
        <w:rPr>
          <w:rFonts w:eastAsia="Times New Roman" w:cs="Times New Roman"/>
          <w:sz w:val="24"/>
          <w:szCs w:val="24"/>
          <w:lang w:bidi="en-US"/>
        </w:rPr>
        <w:t xml:space="preserve"> (dalej: „plan działań z 2018 r.”) oraz planu działań z dnia 3 lutego 2020 r.</w:t>
      </w:r>
      <w:r w:rsidRPr="000F4063">
        <w:rPr>
          <w:rFonts w:eastAsia="Times New Roman" w:cs="Times New Roman"/>
          <w:sz w:val="24"/>
          <w:szCs w:val="24"/>
          <w:vertAlign w:val="superscript"/>
          <w:lang w:bidi="en-US"/>
        </w:rPr>
        <w:footnoteReference w:id="276"/>
      </w:r>
      <w:r w:rsidRPr="000F4063">
        <w:rPr>
          <w:rFonts w:eastAsia="Times New Roman" w:cs="Times New Roman"/>
          <w:sz w:val="24"/>
          <w:szCs w:val="24"/>
          <w:lang w:bidi="en-US"/>
        </w:rPr>
        <w:t xml:space="preserve"> (dalej: „plan działań z 2020 r.”) wynika, że postępowanie przygotowawcze jeszcze się nie zakończyło. Polska prokuratura wielokrotnie przedłużała okres jego trwania, ostatnio do dnia 31 marca 2020 r.</w:t>
      </w:r>
      <w:r w:rsidRPr="000F4063">
        <w:rPr>
          <w:rFonts w:eastAsia="Times New Roman" w:cs="Times New Roman"/>
          <w:sz w:val="24"/>
          <w:szCs w:val="24"/>
          <w:vertAlign w:val="superscript"/>
          <w:lang w:bidi="en-US"/>
        </w:rPr>
        <w:footnoteReference w:id="277"/>
      </w:r>
      <w:r w:rsidRPr="000F4063">
        <w:rPr>
          <w:rFonts w:eastAsia="Times New Roman" w:cs="Times New Roman"/>
          <w:sz w:val="24"/>
          <w:szCs w:val="24"/>
          <w:lang w:bidi="en-US"/>
        </w:rPr>
        <w:t xml:space="preserve"> Co istotne, podstawowe informacje na temat postępowania są niejawne, a tym samym szczegóły dotyczące sprawy, która toczy się od 12 lat, znane są tylko prokuraturze i stronom postępowania. Informacje przedstawione w planie działań z 2020 r. stanowią najbardziej szczegółowy opis postępowania przedstawiony przez polskie władze w ostatnich latach</w:t>
      </w:r>
      <w:r w:rsidRPr="000F4063">
        <w:rPr>
          <w:rFonts w:eastAsia="Times New Roman" w:cs="Times New Roman"/>
          <w:sz w:val="24"/>
          <w:szCs w:val="24"/>
          <w:vertAlign w:val="superscript"/>
          <w:lang w:bidi="en-US"/>
        </w:rPr>
        <w:footnoteReference w:id="278"/>
      </w:r>
      <w:r w:rsidRPr="000F4063">
        <w:rPr>
          <w:rFonts w:eastAsia="Times New Roman" w:cs="Times New Roman"/>
          <w:sz w:val="24"/>
          <w:szCs w:val="24"/>
          <w:lang w:bidi="en-US"/>
        </w:rPr>
        <w:t>.</w:t>
      </w:r>
    </w:p>
    <w:p w:rsidR="00684137" w:rsidRPr="000F4063" w:rsidRDefault="00684137" w:rsidP="008E32CB">
      <w:pPr>
        <w:widowControl w:val="0"/>
        <w:numPr>
          <w:ilvl w:val="0"/>
          <w:numId w:val="76"/>
        </w:numPr>
        <w:spacing w:before="120" w:after="0" w:line="240" w:lineRule="auto"/>
        <w:jc w:val="both"/>
        <w:rPr>
          <w:rFonts w:eastAsia="Times New Roman" w:cs="Times New Roman"/>
          <w:sz w:val="24"/>
          <w:szCs w:val="24"/>
          <w:lang w:bidi="en-US"/>
        </w:rPr>
      </w:pPr>
      <w:r w:rsidRPr="000F4063">
        <w:rPr>
          <w:rFonts w:eastAsia="Times New Roman" w:cs="Times New Roman"/>
          <w:sz w:val="24"/>
          <w:szCs w:val="24"/>
          <w:lang w:bidi="en-US"/>
        </w:rPr>
        <w:t>W planie działań z 2020 r. władze polskie wskazują, że „(...) dostęp opinii publicznej do informacji o śledztwie realizowany jest za pośrednictwem rzecznika prasowego Prokuratury Okręgowej w Krakowie, który w odpowiedzi na aktywność przedstawicieli mediów udziela, w możliwym zakresie, odpowiedzi na ich pytania”</w:t>
      </w:r>
      <w:r w:rsidRPr="000F4063">
        <w:rPr>
          <w:rFonts w:eastAsia="Times New Roman" w:cs="Times New Roman"/>
          <w:sz w:val="24"/>
          <w:szCs w:val="24"/>
          <w:vertAlign w:val="superscript"/>
          <w:lang w:bidi="en-US"/>
        </w:rPr>
        <w:footnoteReference w:id="279"/>
      </w:r>
      <w:r w:rsidRPr="000F4063">
        <w:rPr>
          <w:rFonts w:eastAsia="Times New Roman" w:cs="Times New Roman"/>
          <w:i/>
          <w:iCs/>
          <w:sz w:val="24"/>
          <w:szCs w:val="24"/>
          <w:lang w:bidi="en-US"/>
        </w:rPr>
        <w:t>.</w:t>
      </w:r>
      <w:r w:rsidRPr="000F4063">
        <w:rPr>
          <w:rFonts w:eastAsia="Times New Roman" w:cs="Times New Roman"/>
          <w:sz w:val="24"/>
          <w:szCs w:val="24"/>
          <w:lang w:bidi="en-US"/>
        </w:rPr>
        <w:t xml:space="preserve"> Tymczasem nie ma prawie żadnych</w:t>
      </w:r>
      <w:r w:rsidRPr="000F4063">
        <w:rPr>
          <w:rFonts w:eastAsia="Times New Roman" w:cs="Times New Roman"/>
          <w:sz w:val="24"/>
          <w:szCs w:val="24"/>
          <w:vertAlign w:val="superscript"/>
          <w:lang w:bidi="en-US"/>
        </w:rPr>
        <w:footnoteReference w:id="280"/>
      </w:r>
      <w:r w:rsidRPr="000F4063">
        <w:rPr>
          <w:rFonts w:eastAsia="Times New Roman" w:cs="Times New Roman"/>
          <w:sz w:val="24"/>
          <w:szCs w:val="24"/>
          <w:lang w:bidi="en-US"/>
        </w:rPr>
        <w:t xml:space="preserve"> artykułów prasowych czy filmów dokumentalnych, które przekazywałyby konkretne informacje na ten temat.</w:t>
      </w:r>
    </w:p>
    <w:p w:rsidR="00684137" w:rsidRPr="000F4063" w:rsidRDefault="00684137" w:rsidP="008E32CB">
      <w:pPr>
        <w:widowControl w:val="0"/>
        <w:numPr>
          <w:ilvl w:val="0"/>
          <w:numId w:val="76"/>
        </w:numPr>
        <w:spacing w:before="120" w:after="0" w:line="240" w:lineRule="auto"/>
        <w:jc w:val="both"/>
        <w:rPr>
          <w:rFonts w:eastAsia="Times New Roman" w:cs="Times New Roman"/>
          <w:sz w:val="24"/>
          <w:szCs w:val="24"/>
          <w:lang w:bidi="en-US"/>
        </w:rPr>
      </w:pPr>
      <w:r w:rsidRPr="000F4063">
        <w:rPr>
          <w:rFonts w:eastAsia="Times New Roman" w:cs="Times New Roman"/>
          <w:sz w:val="24"/>
          <w:szCs w:val="24"/>
          <w:lang w:bidi="en-US"/>
        </w:rPr>
        <w:t>Kolejną kwestią poruszoną przez władze polskie w planie działań z 2018 r. jest to, że „Z uwagi na przedmiot śledztwa i jego zakres podmiotowy dostęp przedstawicieli mediów oraz społeczeństwa do informacji z przedmiotowego postępowania warunkowany jest ścisłymi rygorami”. W przypadku zapytań kierowanych przez przedstawicieli mediów lub organizacje pozarządowe, udzielane są odpowiedzi na temat stanu śledztwa w zakresie umożliwiającym ujawnienie jego wyników, określonym z jednej strony koniecznością zapewnienia efektywności przedmiotowego postępowania, z drugiej zaś potrzebą zachowania jego transparentności”</w:t>
      </w:r>
      <w:r w:rsidRPr="000F4063">
        <w:rPr>
          <w:rFonts w:eastAsia="Times New Roman" w:cs="Times New Roman"/>
          <w:sz w:val="24"/>
          <w:szCs w:val="24"/>
          <w:vertAlign w:val="superscript"/>
          <w:lang w:bidi="en-US"/>
        </w:rPr>
        <w:footnoteReference w:id="281"/>
      </w:r>
      <w:r w:rsidRPr="000F4063">
        <w:rPr>
          <w:rFonts w:eastAsia="Times New Roman" w:cs="Times New Roman"/>
          <w:sz w:val="24"/>
          <w:szCs w:val="24"/>
          <w:lang w:bidi="en-US"/>
        </w:rPr>
        <w:t>. Niestety powyższe stwierdzenia są sprzeczne z tym, co obserwujemy od dłuższego czasu. W ostatnich latach HFPC wielokrotnie występowała do Prokuratury z wnioskami o dostęp do informacji publicznej, w których kierowała prośby o przekazanie informacji m.in. o stanie prowadzonego postępowania, nazwisko prokuratora prowadzącego postępowanie, numer akt sprawy itp. Przez pewien czas Prokuratura odpowiadała na wszystkie nasze pytania w sposób wystarczająco szczegółowy. W ubiegłym roku sytuacja ta uległa jednak zmianie. W dniu 8 listopada 2019 r. złożyliśmy wniosek o dostęp do informacji publicznej</w:t>
      </w:r>
      <w:r w:rsidRPr="000F4063">
        <w:rPr>
          <w:rFonts w:eastAsia="Times New Roman" w:cs="Times New Roman"/>
          <w:sz w:val="24"/>
          <w:szCs w:val="24"/>
          <w:vertAlign w:val="superscript"/>
          <w:lang w:bidi="en-US"/>
        </w:rPr>
        <w:footnoteReference w:id="282"/>
      </w:r>
      <w:r w:rsidRPr="000F4063">
        <w:rPr>
          <w:rFonts w:eastAsia="Times New Roman" w:cs="Times New Roman"/>
          <w:sz w:val="24"/>
          <w:szCs w:val="24"/>
          <w:lang w:bidi="en-US"/>
        </w:rPr>
        <w:t xml:space="preserve">, w odpowiedzi na który, pismem </w:t>
      </w:r>
      <w:r w:rsidRPr="000F4063">
        <w:rPr>
          <w:rFonts w:eastAsia="Times New Roman" w:cs="Times New Roman"/>
          <w:sz w:val="24"/>
          <w:szCs w:val="24"/>
          <w:lang w:bidi="en-US"/>
        </w:rPr>
        <w:lastRenderedPageBreak/>
        <w:t>z dnia 19 listopada 2019 r., Prokurator Okręgowy w Krakowie poinformował nas, że śledztwo nie zostało jeszcze prawomocnie zakończone i odmówił uwzględnienia wniosku, powołując się na art. 156 § 5 zdanie piąte k.p.k.</w:t>
      </w:r>
      <w:r w:rsidRPr="000F4063">
        <w:rPr>
          <w:rFonts w:eastAsia="Times New Roman" w:cs="Times New Roman"/>
          <w:sz w:val="24"/>
          <w:szCs w:val="24"/>
          <w:vertAlign w:val="superscript"/>
          <w:lang w:bidi="en-US"/>
        </w:rPr>
        <w:footnoteReference w:id="283"/>
      </w:r>
      <w:r w:rsidRPr="000F4063">
        <w:rPr>
          <w:rFonts w:eastAsia="Times New Roman" w:cs="Times New Roman"/>
          <w:sz w:val="24"/>
          <w:szCs w:val="24"/>
          <w:lang w:bidi="en-US"/>
        </w:rPr>
        <w:t xml:space="preserve"> W dniu 24 stycznia 2020 r.</w:t>
      </w:r>
      <w:r w:rsidRPr="000F4063">
        <w:rPr>
          <w:rFonts w:eastAsia="Times New Roman" w:cs="Times New Roman"/>
          <w:sz w:val="24"/>
          <w:szCs w:val="24"/>
          <w:vertAlign w:val="superscript"/>
          <w:lang w:bidi="en-US"/>
        </w:rPr>
        <w:footnoteReference w:id="284"/>
      </w:r>
      <w:r w:rsidRPr="000F4063">
        <w:rPr>
          <w:rFonts w:eastAsia="Times New Roman" w:cs="Times New Roman"/>
          <w:sz w:val="24"/>
          <w:szCs w:val="24"/>
          <w:lang w:bidi="en-US"/>
        </w:rPr>
        <w:t xml:space="preserve"> Fundacja złożyła kolejny wniosek o dostęp do informacji publicznej, tym razem dotyczący informacji, które były bezpośrednio związane z treścią akt sprawy. W dniu 10 lutego 2020 r. HFPC otrzymała odpowiedź identyczną z odpowiedzią otrzymaną w listopadzie, w której odmówiono uwzględnienia wniosku, powołując się na tajemnicę postępowania przygotowawczego</w:t>
      </w:r>
      <w:r w:rsidRPr="000F4063">
        <w:rPr>
          <w:rFonts w:eastAsia="Times New Roman" w:cs="Times New Roman"/>
          <w:sz w:val="24"/>
          <w:szCs w:val="24"/>
          <w:vertAlign w:val="superscript"/>
          <w:lang w:bidi="en-US"/>
        </w:rPr>
        <w:footnoteReference w:id="285"/>
      </w:r>
      <w:r w:rsidRPr="000F4063">
        <w:rPr>
          <w:rFonts w:eastAsia="Times New Roman" w:cs="Times New Roman"/>
          <w:sz w:val="24"/>
          <w:szCs w:val="24"/>
          <w:lang w:bidi="en-US"/>
        </w:rPr>
        <w:t>. W związku z tym Fundacja nie była w stanie uzyskać żadnych informacji na temat ostatnich postępów w śledztwie.</w:t>
      </w:r>
    </w:p>
    <w:p w:rsidR="00684137" w:rsidRPr="000F4063" w:rsidRDefault="00684137" w:rsidP="008E32CB">
      <w:pPr>
        <w:widowControl w:val="0"/>
        <w:spacing w:before="120" w:after="0" w:line="240" w:lineRule="auto"/>
        <w:rPr>
          <w:rFonts w:eastAsia="Times New Roman" w:cs="Times New Roman"/>
          <w:sz w:val="24"/>
          <w:szCs w:val="24"/>
          <w:lang w:bidi="en-US"/>
        </w:rPr>
      </w:pPr>
      <w:r w:rsidRPr="000F4063">
        <w:rPr>
          <w:rFonts w:eastAsia="Times New Roman" w:cs="Times New Roman"/>
          <w:sz w:val="24"/>
          <w:szCs w:val="24"/>
          <w:u w:val="single"/>
          <w:lang w:bidi="en-US"/>
        </w:rPr>
        <w:t>Środek generalny:</w:t>
      </w:r>
    </w:p>
    <w:p w:rsidR="00684137" w:rsidRPr="000F4063" w:rsidRDefault="00684137" w:rsidP="008E32CB">
      <w:pPr>
        <w:widowControl w:val="0"/>
        <w:spacing w:before="120" w:after="0" w:line="240" w:lineRule="auto"/>
        <w:jc w:val="both"/>
        <w:rPr>
          <w:rFonts w:eastAsia="Times New Roman" w:cs="Times New Roman"/>
          <w:sz w:val="24"/>
          <w:szCs w:val="24"/>
          <w:lang w:bidi="en-US"/>
        </w:rPr>
      </w:pPr>
      <w:r w:rsidRPr="000F4063">
        <w:rPr>
          <w:rFonts w:eastAsia="Times New Roman" w:cs="Times New Roman"/>
          <w:b/>
          <w:bCs/>
          <w:sz w:val="24"/>
          <w:szCs w:val="24"/>
          <w:lang w:bidi="en-US"/>
        </w:rPr>
        <w:t>Naruszenie art. 2 i 3 EKPC w związku z art. 1 Protokołu nr 6 (</w:t>
      </w:r>
      <w:r w:rsidRPr="000F4063">
        <w:rPr>
          <w:rFonts w:eastAsia="Times New Roman" w:cs="Times New Roman"/>
          <w:b/>
          <w:bCs/>
          <w:i/>
          <w:sz w:val="24"/>
          <w:szCs w:val="24"/>
          <w:lang w:bidi="en-US"/>
        </w:rPr>
        <w:t>Al Nashiri</w:t>
      </w:r>
      <w:r w:rsidRPr="000F4063">
        <w:rPr>
          <w:rFonts w:eastAsia="Times New Roman" w:cs="Times New Roman"/>
          <w:b/>
          <w:bCs/>
          <w:sz w:val="24"/>
          <w:szCs w:val="24"/>
          <w:lang w:bidi="en-US"/>
        </w:rPr>
        <w:t>) oraz naruszenie art. 6 ust. 1 EKPC (obie sprawy).</w:t>
      </w:r>
    </w:p>
    <w:p w:rsidR="00684137" w:rsidRPr="000F4063" w:rsidRDefault="00684137" w:rsidP="008E32CB">
      <w:pPr>
        <w:widowControl w:val="0"/>
        <w:numPr>
          <w:ilvl w:val="0"/>
          <w:numId w:val="76"/>
        </w:numPr>
        <w:spacing w:before="120" w:after="0" w:line="240" w:lineRule="auto"/>
        <w:jc w:val="both"/>
        <w:rPr>
          <w:rFonts w:eastAsia="Times New Roman" w:cs="Times New Roman"/>
          <w:sz w:val="24"/>
          <w:szCs w:val="24"/>
          <w:lang w:bidi="en-US"/>
        </w:rPr>
      </w:pPr>
      <w:r w:rsidRPr="000F4063">
        <w:rPr>
          <w:rFonts w:eastAsia="Times New Roman" w:cs="Times New Roman"/>
          <w:sz w:val="24"/>
          <w:szCs w:val="24"/>
          <w:lang w:bidi="en-US"/>
        </w:rPr>
        <w:t>W planie działań z 2018 r. władze polskie wskazują ponadto, że „demokratyczna kontrola nad polskimi służbami specjalnymi jest wykonywana przez Komisję do Spraw Służb Specjalnych Sejm, tj. niższej izby polskiego parlamentu, jak również przez krajowe sądy i prokuratury”</w:t>
      </w:r>
      <w:r w:rsidRPr="000F4063">
        <w:rPr>
          <w:rFonts w:eastAsia="Times New Roman" w:cs="Times New Roman"/>
          <w:sz w:val="24"/>
          <w:szCs w:val="24"/>
          <w:vertAlign w:val="superscript"/>
          <w:lang w:bidi="en-US"/>
        </w:rPr>
        <w:footnoteReference w:id="286"/>
      </w:r>
      <w:r w:rsidRPr="000F4063">
        <w:rPr>
          <w:rFonts w:eastAsia="Times New Roman" w:cs="Times New Roman"/>
          <w:sz w:val="24"/>
          <w:szCs w:val="24"/>
          <w:lang w:bidi="en-US"/>
        </w:rPr>
        <w:t>. Polskie służby specjalne są niewątpliwie poddane jakiejś kontroli prawnej. Jak wskazano jednak w ekspertyzie tematycznej</w:t>
      </w:r>
      <w:r w:rsidRPr="000F4063">
        <w:rPr>
          <w:rFonts w:eastAsia="Times New Roman" w:cs="Times New Roman"/>
          <w:sz w:val="24"/>
          <w:szCs w:val="24"/>
          <w:vertAlign w:val="superscript"/>
          <w:lang w:bidi="en-US"/>
        </w:rPr>
        <w:footnoteReference w:id="287"/>
      </w:r>
      <w:r w:rsidRPr="000F4063">
        <w:rPr>
          <w:rFonts w:eastAsia="Times New Roman" w:cs="Times New Roman"/>
          <w:sz w:val="24"/>
          <w:szCs w:val="24"/>
          <w:lang w:bidi="en-US"/>
        </w:rPr>
        <w:t>„W odróżnieniu od innych państw demokratycznych w Polsce nigdy de facto nie dokończono procesu budowania nowoczesnych służb specjalnych</w:t>
      </w:r>
      <w:r w:rsidRPr="000A28CE">
        <w:rPr>
          <w:rFonts w:eastAsia="Times New Roman" w:cs="Times New Roman"/>
          <w:sz w:val="24"/>
          <w:szCs w:val="24"/>
          <w:lang w:bidi="en-US"/>
        </w:rPr>
        <w:t>.</w:t>
      </w:r>
      <w:r w:rsidRPr="000A28CE">
        <w:rPr>
          <w:rFonts w:eastAsia="Times New Roman" w:cs="Times New Roman"/>
          <w:iCs/>
          <w:sz w:val="24"/>
          <w:szCs w:val="24"/>
          <w:lang w:bidi="en-US"/>
        </w:rPr>
        <w:t xml:space="preserve"> Brakującym elementem jest niezależny organ, który sprawowałby nadzór nad nimi. </w:t>
      </w:r>
      <w:r w:rsidRPr="000A28CE">
        <w:rPr>
          <w:rFonts w:eastAsia="Times New Roman" w:cs="Times New Roman"/>
          <w:sz w:val="24"/>
          <w:szCs w:val="24"/>
          <w:lang w:bidi="en-US"/>
        </w:rPr>
        <w:t>Ob</w:t>
      </w:r>
      <w:r w:rsidRPr="000F4063">
        <w:rPr>
          <w:rFonts w:eastAsia="Times New Roman" w:cs="Times New Roman"/>
          <w:sz w:val="24"/>
          <w:szCs w:val="24"/>
          <w:lang w:bidi="en-US"/>
        </w:rPr>
        <w:t>ecnie nadzór ten jest fragmentaryczny i nie pozwala na skuteczne, bezstronne i niezależne od polityki weryfikowanie działalności służb specjalnych</w:t>
      </w:r>
      <w:r w:rsidRPr="000F4063">
        <w:rPr>
          <w:rFonts w:eastAsia="Times New Roman" w:cs="Times New Roman"/>
          <w:iCs/>
          <w:sz w:val="24"/>
          <w:szCs w:val="24"/>
          <w:lang w:bidi="en-US"/>
        </w:rPr>
        <w:t>”</w:t>
      </w:r>
      <w:r w:rsidRPr="000F4063">
        <w:rPr>
          <w:rFonts w:eastAsia="Times New Roman" w:cs="Times New Roman"/>
          <w:sz w:val="24"/>
          <w:szCs w:val="24"/>
          <w:vertAlign w:val="superscript"/>
          <w:lang w:bidi="en-US"/>
        </w:rPr>
        <w:footnoteReference w:id="288"/>
      </w:r>
      <w:r w:rsidRPr="000F4063">
        <w:rPr>
          <w:rFonts w:eastAsia="Times New Roman" w:cs="Times New Roman"/>
          <w:sz w:val="24"/>
          <w:szCs w:val="24"/>
          <w:lang w:bidi="en-US"/>
        </w:rPr>
        <w:t>. Obawy o apolityczność i skuteczność kontroli nad służbami specjalnymi w Polsce potwierdza również fakt, że kontrolę tę sprawuje obecnie osoba będąca aktywnym politykiem partii rządzącej, która została ułaskawiona przez Prezydenta, zanim sąd wydał prawomocny wyrok w sprawie o nadużycie władzy.</w:t>
      </w:r>
    </w:p>
    <w:p w:rsidR="00684137" w:rsidRPr="000F4063" w:rsidRDefault="00684137" w:rsidP="008E32CB">
      <w:pPr>
        <w:widowControl w:val="0"/>
        <w:numPr>
          <w:ilvl w:val="0"/>
          <w:numId w:val="76"/>
        </w:numPr>
        <w:spacing w:before="120" w:after="0" w:line="240" w:lineRule="auto"/>
        <w:jc w:val="both"/>
        <w:rPr>
          <w:rFonts w:eastAsia="Times New Roman" w:cs="Times New Roman"/>
          <w:sz w:val="24"/>
          <w:szCs w:val="24"/>
          <w:lang w:bidi="en-US"/>
        </w:rPr>
      </w:pPr>
      <w:r w:rsidRPr="000F4063">
        <w:rPr>
          <w:rFonts w:eastAsia="Times New Roman" w:cs="Times New Roman"/>
          <w:sz w:val="24"/>
          <w:szCs w:val="24"/>
          <w:lang w:bidi="en-US"/>
        </w:rPr>
        <w:t>Kolejną ważną kwestią poruszoną w planie działań z 2018 r. są trwające prace legislacyjne. Jak wskazały polskie władze: „Obecnie trwają intensywne prace w zakresie opracowania aktów prawnych, których celem jest wprowadzenie zmian o charakterze systemowym w odniesieniu do funkcjonowania służb specjalnych. Wprowadzenie w życie takich zmian wymaga również ustanowienia odpowiednich mechanizmów zapobiegających naruszeniom praw człowieka, zarówno w aspekcie materialnym, jak i proceduralnym”</w:t>
      </w:r>
      <w:r w:rsidRPr="000F4063">
        <w:rPr>
          <w:rFonts w:eastAsia="Times New Roman" w:cs="Times New Roman"/>
          <w:sz w:val="24"/>
          <w:szCs w:val="24"/>
          <w:vertAlign w:val="superscript"/>
          <w:lang w:bidi="en-US"/>
        </w:rPr>
        <w:footnoteReference w:id="289"/>
      </w:r>
      <w:r w:rsidRPr="000F4063">
        <w:rPr>
          <w:rFonts w:eastAsia="Times New Roman" w:cs="Times New Roman"/>
          <w:sz w:val="24"/>
          <w:szCs w:val="24"/>
          <w:lang w:bidi="en-US"/>
        </w:rPr>
        <w:t>. W planie działania z 2020 r. wskazano również, że „prace nad rozwiązaniami mającymi na celu wzmocnienie nadzoru nad służbami specjalnymi nie zostały jeszcze zakończone”</w:t>
      </w:r>
      <w:r w:rsidRPr="000F4063">
        <w:rPr>
          <w:rFonts w:eastAsia="Times New Roman" w:cs="Times New Roman"/>
          <w:i/>
          <w:iCs/>
          <w:sz w:val="24"/>
          <w:szCs w:val="24"/>
          <w:vertAlign w:val="superscript"/>
          <w:lang w:bidi="en-US"/>
        </w:rPr>
        <w:footnoteReference w:id="290"/>
      </w:r>
      <w:r w:rsidRPr="000F4063">
        <w:rPr>
          <w:rFonts w:eastAsia="Times New Roman" w:cs="Times New Roman"/>
          <w:sz w:val="24"/>
          <w:szCs w:val="24"/>
          <w:lang w:bidi="en-US"/>
        </w:rPr>
        <w:t xml:space="preserve">. </w:t>
      </w:r>
      <w:r w:rsidRPr="000F4063">
        <w:rPr>
          <w:rFonts w:eastAsia="Times New Roman" w:cs="Times New Roman"/>
          <w:sz w:val="24"/>
          <w:szCs w:val="24"/>
          <w:lang w:bidi="en-US"/>
        </w:rPr>
        <w:lastRenderedPageBreak/>
        <w:t>Niewątpliwie polskie władze aktywnie włączyły się w proces stanowienia szeregu ustaw dotyczących służb specjalnych. Jednakże nowe przepisy jako całość nie wprowadzają środków, które chroniłyby jednostki przed naruszeniami praw człowieka. Ponadto, według eksperta, ostatnie zmiany stanowią znaczne zagrożenie dla prawa do prywatności</w:t>
      </w:r>
      <w:r w:rsidRPr="000F4063">
        <w:rPr>
          <w:rFonts w:eastAsia="Times New Roman" w:cs="Times New Roman"/>
          <w:sz w:val="24"/>
          <w:szCs w:val="24"/>
          <w:vertAlign w:val="superscript"/>
          <w:lang w:bidi="en-US"/>
        </w:rPr>
        <w:footnoteReference w:id="291"/>
      </w:r>
      <w:r w:rsidRPr="000F4063">
        <w:rPr>
          <w:rFonts w:eastAsia="Times New Roman" w:cs="Times New Roman"/>
          <w:sz w:val="24"/>
          <w:szCs w:val="24"/>
          <w:lang w:bidi="en-US"/>
        </w:rPr>
        <w:t>.</w:t>
      </w:r>
    </w:p>
    <w:p w:rsidR="00684137" w:rsidRPr="000F4063" w:rsidRDefault="00684137" w:rsidP="008E32CB">
      <w:pPr>
        <w:pStyle w:val="Akapitzlist"/>
        <w:numPr>
          <w:ilvl w:val="0"/>
          <w:numId w:val="24"/>
        </w:numPr>
        <w:spacing w:before="120" w:after="0" w:line="240" w:lineRule="auto"/>
        <w:contextualSpacing w:val="0"/>
        <w:rPr>
          <w:rFonts w:eastAsia="Times New Roman" w:cs="Times New Roman"/>
          <w:b/>
          <w:bCs/>
          <w:sz w:val="24"/>
          <w:szCs w:val="24"/>
          <w:lang w:bidi="en-US"/>
        </w:rPr>
      </w:pPr>
      <w:r w:rsidRPr="000F4063">
        <w:rPr>
          <w:rFonts w:eastAsia="Times New Roman" w:cs="Times New Roman"/>
          <w:b/>
          <w:bCs/>
          <w:sz w:val="24"/>
          <w:szCs w:val="24"/>
          <w:lang w:bidi="en-US"/>
        </w:rPr>
        <w:t>Wnioski i zalecenia</w:t>
      </w:r>
    </w:p>
    <w:p w:rsidR="00684137" w:rsidRPr="000F4063" w:rsidRDefault="00684137" w:rsidP="008E32CB">
      <w:pPr>
        <w:widowControl w:val="0"/>
        <w:spacing w:before="120" w:after="0" w:line="240" w:lineRule="auto"/>
        <w:jc w:val="both"/>
        <w:rPr>
          <w:rFonts w:eastAsia="Times New Roman" w:cs="Times New Roman"/>
          <w:sz w:val="24"/>
          <w:szCs w:val="24"/>
          <w:lang w:bidi="en-US"/>
        </w:rPr>
      </w:pPr>
      <w:r w:rsidRPr="000F4063">
        <w:rPr>
          <w:rFonts w:eastAsia="Times New Roman" w:cs="Times New Roman"/>
          <w:sz w:val="24"/>
          <w:szCs w:val="24"/>
          <w:lang w:bidi="en-US"/>
        </w:rPr>
        <w:t xml:space="preserve">W ocenie Helsińskiej Fundacji Praw Człowieka wyroki w sprawach </w:t>
      </w:r>
      <w:r w:rsidRPr="000F4063">
        <w:rPr>
          <w:rFonts w:eastAsia="Times New Roman" w:cs="Times New Roman"/>
          <w:i/>
          <w:iCs/>
          <w:sz w:val="24"/>
          <w:szCs w:val="24"/>
          <w:lang w:bidi="en-US"/>
        </w:rPr>
        <w:t>Abu Zubaydah</w:t>
      </w:r>
      <w:r w:rsidRPr="000F4063">
        <w:rPr>
          <w:rFonts w:eastAsia="Times New Roman" w:cs="Times New Roman"/>
          <w:sz w:val="24"/>
          <w:szCs w:val="24"/>
          <w:lang w:bidi="en-US"/>
        </w:rPr>
        <w:t xml:space="preserve"> i </w:t>
      </w:r>
      <w:r w:rsidRPr="000F4063">
        <w:rPr>
          <w:rFonts w:eastAsia="Times New Roman" w:cs="Times New Roman"/>
          <w:i/>
          <w:iCs/>
          <w:sz w:val="24"/>
          <w:szCs w:val="24"/>
          <w:lang w:bidi="en-US"/>
        </w:rPr>
        <w:t>Al Nashiri</w:t>
      </w:r>
      <w:r w:rsidRPr="000F4063">
        <w:rPr>
          <w:rFonts w:eastAsia="Times New Roman" w:cs="Times New Roman"/>
          <w:sz w:val="24"/>
          <w:szCs w:val="24"/>
          <w:lang w:bidi="en-US"/>
        </w:rPr>
        <w:t xml:space="preserve"> nie zostały jeszcze wykonane i Komitet Ministrów powinien kontynuować nadzór nad ich wykonaniem.</w:t>
      </w:r>
    </w:p>
    <w:p w:rsidR="00684137" w:rsidRPr="000F4063" w:rsidRDefault="00684137" w:rsidP="008E32CB">
      <w:pPr>
        <w:widowControl w:val="0"/>
        <w:spacing w:before="120" w:after="0" w:line="240" w:lineRule="auto"/>
        <w:rPr>
          <w:rFonts w:eastAsia="Times New Roman" w:cs="Times New Roman"/>
          <w:sz w:val="24"/>
          <w:szCs w:val="24"/>
          <w:lang w:bidi="en-US"/>
        </w:rPr>
      </w:pPr>
      <w:r w:rsidRPr="000F4063">
        <w:rPr>
          <w:rFonts w:eastAsia="Times New Roman" w:cs="Times New Roman"/>
          <w:sz w:val="24"/>
          <w:szCs w:val="24"/>
          <w:lang w:bidi="en-US"/>
        </w:rPr>
        <w:t>Mając powyższe na uwadze, HFPC przedstawia następujące zalecenia:</w:t>
      </w:r>
    </w:p>
    <w:p w:rsidR="00684137" w:rsidRPr="000F4063" w:rsidRDefault="00684137" w:rsidP="008E32CB">
      <w:pPr>
        <w:widowControl w:val="0"/>
        <w:spacing w:before="120" w:after="0" w:line="240" w:lineRule="auto"/>
        <w:jc w:val="both"/>
        <w:rPr>
          <w:rFonts w:eastAsia="Times New Roman" w:cs="Times New Roman"/>
          <w:sz w:val="24"/>
          <w:szCs w:val="24"/>
          <w:lang w:bidi="en-US"/>
        </w:rPr>
      </w:pPr>
      <w:r w:rsidRPr="000F4063">
        <w:rPr>
          <w:rFonts w:eastAsia="Times New Roman" w:cs="Times New Roman"/>
          <w:sz w:val="24"/>
          <w:szCs w:val="24"/>
          <w:lang w:bidi="en-US"/>
        </w:rPr>
        <w:t>A. Komitet powinien zwrócić się do rządu polskiego o:</w:t>
      </w:r>
    </w:p>
    <w:p w:rsidR="00684137" w:rsidRPr="008E32CB" w:rsidRDefault="00684137" w:rsidP="008E32CB">
      <w:pPr>
        <w:pStyle w:val="Akapitzlist"/>
        <w:widowControl w:val="0"/>
        <w:numPr>
          <w:ilvl w:val="0"/>
          <w:numId w:val="77"/>
        </w:numPr>
        <w:tabs>
          <w:tab w:val="left" w:pos="2204"/>
        </w:tabs>
        <w:spacing w:before="120" w:after="0" w:line="240" w:lineRule="auto"/>
        <w:contextualSpacing w:val="0"/>
        <w:jc w:val="both"/>
        <w:rPr>
          <w:rFonts w:eastAsia="Times New Roman" w:cs="Times New Roman"/>
          <w:sz w:val="24"/>
          <w:szCs w:val="24"/>
          <w:lang w:bidi="en-US"/>
        </w:rPr>
      </w:pPr>
      <w:r w:rsidRPr="008E32CB">
        <w:rPr>
          <w:rFonts w:eastAsia="Times New Roman" w:cs="Times New Roman"/>
          <w:sz w:val="24"/>
          <w:szCs w:val="24"/>
          <w:lang w:bidi="en-US"/>
        </w:rPr>
        <w:t>publiczne przekazywanie regularnych i aktualnych informacji o przebiegu postępowania karnego dotyczącego tajnych więzień CIA (np. w formie internetowych komunikatów informacyjnych);</w:t>
      </w:r>
    </w:p>
    <w:p w:rsidR="00684137" w:rsidRPr="008E32CB" w:rsidRDefault="00684137" w:rsidP="008E32CB">
      <w:pPr>
        <w:pStyle w:val="Akapitzlist"/>
        <w:widowControl w:val="0"/>
        <w:numPr>
          <w:ilvl w:val="0"/>
          <w:numId w:val="77"/>
        </w:numPr>
        <w:tabs>
          <w:tab w:val="left" w:pos="2204"/>
        </w:tabs>
        <w:spacing w:before="120" w:after="0" w:line="240" w:lineRule="auto"/>
        <w:contextualSpacing w:val="0"/>
        <w:jc w:val="both"/>
        <w:rPr>
          <w:rFonts w:eastAsia="Times New Roman" w:cs="Times New Roman"/>
          <w:sz w:val="24"/>
          <w:szCs w:val="24"/>
          <w:lang w:bidi="en-US"/>
        </w:rPr>
      </w:pPr>
      <w:r w:rsidRPr="008E32CB">
        <w:rPr>
          <w:rFonts w:eastAsia="Times New Roman" w:cs="Times New Roman"/>
          <w:sz w:val="24"/>
          <w:szCs w:val="24"/>
          <w:lang w:bidi="en-US"/>
        </w:rPr>
        <w:t>przeprowadzenie skutecznego i przejrzystego śledztwa, które doprowadzi do ustalenia kluczowych faktów związanych z istnieniem tajnego więzienia CIA w Polsce oraz wykrycie osób odpowiedzialnych za jego istnienie;</w:t>
      </w:r>
    </w:p>
    <w:p w:rsidR="00684137" w:rsidRPr="008E32CB" w:rsidRDefault="00684137" w:rsidP="008E32CB">
      <w:pPr>
        <w:pStyle w:val="Akapitzlist"/>
        <w:widowControl w:val="0"/>
        <w:numPr>
          <w:ilvl w:val="0"/>
          <w:numId w:val="77"/>
        </w:numPr>
        <w:tabs>
          <w:tab w:val="left" w:pos="2204"/>
        </w:tabs>
        <w:spacing w:before="120" w:after="0" w:line="240" w:lineRule="auto"/>
        <w:contextualSpacing w:val="0"/>
        <w:jc w:val="both"/>
        <w:rPr>
          <w:rFonts w:eastAsia="Times New Roman" w:cs="Times New Roman"/>
          <w:sz w:val="24"/>
          <w:szCs w:val="24"/>
          <w:lang w:bidi="en-US"/>
        </w:rPr>
      </w:pPr>
      <w:r w:rsidRPr="008E32CB">
        <w:rPr>
          <w:rFonts w:eastAsia="Times New Roman" w:cs="Times New Roman"/>
          <w:sz w:val="24"/>
          <w:szCs w:val="24"/>
          <w:lang w:bidi="en-US"/>
        </w:rPr>
        <w:t>uzyskanie skutecznej ochrony dyplomatycznej dla skarżących, w szczególności polegającej na niewymierzaniu kary śmierci;</w:t>
      </w:r>
    </w:p>
    <w:p w:rsidR="00684137" w:rsidRPr="008E32CB" w:rsidRDefault="00684137" w:rsidP="008E32CB">
      <w:pPr>
        <w:pStyle w:val="Akapitzlist"/>
        <w:widowControl w:val="0"/>
        <w:numPr>
          <w:ilvl w:val="0"/>
          <w:numId w:val="77"/>
        </w:numPr>
        <w:tabs>
          <w:tab w:val="left" w:pos="2204"/>
        </w:tabs>
        <w:spacing w:before="120" w:after="0" w:line="240" w:lineRule="auto"/>
        <w:contextualSpacing w:val="0"/>
        <w:jc w:val="both"/>
        <w:rPr>
          <w:rFonts w:eastAsia="Times New Roman" w:cs="Times New Roman"/>
          <w:sz w:val="24"/>
          <w:szCs w:val="24"/>
          <w:lang w:bidi="en-US"/>
        </w:rPr>
      </w:pPr>
      <w:r w:rsidRPr="008E32CB">
        <w:rPr>
          <w:rFonts w:eastAsia="Times New Roman" w:cs="Times New Roman"/>
          <w:sz w:val="24"/>
          <w:szCs w:val="24"/>
          <w:lang w:bidi="en-US"/>
        </w:rPr>
        <w:t>utrzymanie skutecznej kontroli nad działalnością służb specjalnych w Polsce</w:t>
      </w:r>
    </w:p>
    <w:p w:rsidR="00684137" w:rsidRPr="008E32CB" w:rsidRDefault="00684137" w:rsidP="008E32CB">
      <w:pPr>
        <w:pStyle w:val="Akapitzlist"/>
        <w:widowControl w:val="0"/>
        <w:numPr>
          <w:ilvl w:val="0"/>
          <w:numId w:val="77"/>
        </w:numPr>
        <w:tabs>
          <w:tab w:val="left" w:pos="2250"/>
        </w:tabs>
        <w:spacing w:before="120" w:after="0" w:line="240" w:lineRule="auto"/>
        <w:contextualSpacing w:val="0"/>
        <w:jc w:val="both"/>
        <w:rPr>
          <w:rFonts w:eastAsia="Times New Roman" w:cs="Times New Roman"/>
          <w:sz w:val="24"/>
          <w:szCs w:val="24"/>
          <w:lang w:bidi="en-US"/>
        </w:rPr>
      </w:pPr>
      <w:r w:rsidRPr="008E32CB">
        <w:rPr>
          <w:rFonts w:eastAsia="Times New Roman" w:cs="Times New Roman"/>
          <w:sz w:val="24"/>
          <w:szCs w:val="24"/>
          <w:lang w:bidi="en-US"/>
        </w:rPr>
        <w:t>podjęcie niezbędnych środków w celu zapobieżenia podobnym naruszeniom praw człowieka w przyszłości.</w:t>
      </w:r>
    </w:p>
    <w:p w:rsidR="00684137" w:rsidRPr="000F4063" w:rsidRDefault="00684137" w:rsidP="008E32CB">
      <w:pPr>
        <w:widowControl w:val="0"/>
        <w:spacing w:before="120" w:after="0" w:line="240" w:lineRule="auto"/>
        <w:jc w:val="both"/>
        <w:rPr>
          <w:rFonts w:eastAsia="Times New Roman" w:cs="Times New Roman"/>
          <w:sz w:val="24"/>
          <w:szCs w:val="24"/>
          <w:lang w:bidi="en-US"/>
        </w:rPr>
      </w:pPr>
      <w:r w:rsidRPr="000F4063">
        <w:rPr>
          <w:rFonts w:eastAsia="Times New Roman" w:cs="Times New Roman"/>
          <w:sz w:val="24"/>
          <w:szCs w:val="24"/>
          <w:lang w:bidi="en-US"/>
        </w:rPr>
        <w:t>W niniejszej sprawie należy również wspomnieć o zaleceniach Komitetu Przeciwko Torturom („CAT”, „Komitet”) dotyczących programu wydawania, które zostały włączone do uwag końcowych dotyczących siódmego raportu okresowego Polski</w:t>
      </w:r>
      <w:r w:rsidRPr="000F4063">
        <w:rPr>
          <w:rFonts w:eastAsia="Times New Roman" w:cs="Times New Roman"/>
          <w:sz w:val="24"/>
          <w:szCs w:val="24"/>
          <w:vertAlign w:val="superscript"/>
          <w:lang w:bidi="en-US"/>
        </w:rPr>
        <w:footnoteReference w:id="292"/>
      </w:r>
      <w:r w:rsidRPr="000F4063">
        <w:rPr>
          <w:rFonts w:eastAsia="Times New Roman" w:cs="Times New Roman"/>
          <w:sz w:val="24"/>
          <w:szCs w:val="24"/>
          <w:lang w:bidi="en-US"/>
        </w:rPr>
        <w:t>. CAT podkreślił, że ważne jest „zakończenie śledztwa w sprawie zarzutów dotyczących jej udziału w programie Centralnej Agencji Wywiadowczej dotyczącym wydawania i tajnego przetrzymywania szczególnie ważnych więźniów w latach 2001-2008 oraz zapewnienie, że osoby zaangażowane w zarzucane przestępstwa tortur i niewłaściwego traktowania zostaną pociągnięte do odpowiedzialności”</w:t>
      </w:r>
      <w:r w:rsidRPr="000F4063">
        <w:rPr>
          <w:rFonts w:eastAsia="Times New Roman" w:cs="Times New Roman"/>
          <w:sz w:val="24"/>
          <w:szCs w:val="24"/>
          <w:vertAlign w:val="superscript"/>
          <w:lang w:bidi="en-US"/>
        </w:rPr>
        <w:footnoteReference w:id="293"/>
      </w:r>
      <w:r w:rsidRPr="000F4063">
        <w:rPr>
          <w:rFonts w:eastAsia="Times New Roman" w:cs="Times New Roman"/>
          <w:sz w:val="24"/>
          <w:szCs w:val="24"/>
          <w:lang w:bidi="en-US"/>
        </w:rPr>
        <w:t>. Komitet wezwał również Polskę „do przyspieszenia, w miarę możliwości, śledztwa prowadzonego przez Prokuraturę Okręgową w Krakowie w sprawie o sygn. akt PR II Ds. 16.2016</w:t>
      </w:r>
      <w:r w:rsidRPr="000F4063">
        <w:rPr>
          <w:rFonts w:eastAsia="Times New Roman" w:cs="Times New Roman"/>
          <w:i/>
          <w:iCs/>
          <w:sz w:val="24"/>
          <w:szCs w:val="24"/>
          <w:lang w:bidi="en-US"/>
        </w:rPr>
        <w:t>”</w:t>
      </w:r>
      <w:r w:rsidRPr="000F4063">
        <w:rPr>
          <w:rFonts w:eastAsia="Times New Roman" w:cs="Times New Roman"/>
          <w:i/>
          <w:iCs/>
          <w:sz w:val="24"/>
          <w:szCs w:val="24"/>
          <w:vertAlign w:val="superscript"/>
          <w:lang w:bidi="en-US"/>
        </w:rPr>
        <w:footnoteReference w:id="294"/>
      </w:r>
      <w:r w:rsidRPr="000F4063">
        <w:rPr>
          <w:rFonts w:eastAsia="Times New Roman" w:cs="Times New Roman"/>
          <w:i/>
          <w:iCs/>
          <w:sz w:val="24"/>
          <w:szCs w:val="24"/>
          <w:lang w:bidi="en-US"/>
        </w:rPr>
        <w:t>.</w:t>
      </w:r>
    </w:p>
    <w:p w:rsidR="00684137" w:rsidRPr="000F4063" w:rsidRDefault="00684137" w:rsidP="008E32CB">
      <w:pPr>
        <w:widowControl w:val="0"/>
        <w:spacing w:before="120" w:after="0" w:line="240" w:lineRule="auto"/>
        <w:jc w:val="both"/>
        <w:rPr>
          <w:rFonts w:eastAsia="Times New Roman" w:cs="Times New Roman"/>
          <w:sz w:val="24"/>
          <w:szCs w:val="24"/>
          <w:lang w:bidi="en-US"/>
        </w:rPr>
      </w:pPr>
      <w:r w:rsidRPr="000F4063">
        <w:rPr>
          <w:rFonts w:eastAsia="Times New Roman" w:cs="Times New Roman"/>
          <w:sz w:val="24"/>
          <w:szCs w:val="24"/>
          <w:lang w:bidi="en-US"/>
        </w:rPr>
        <w:t xml:space="preserve">Helsińska Fundacja Praw Człowieka pragnie wyrazić gotowość do udzielania dalszego wsparcia Komitetowi Ministrów Rady Europy w zakresie monitorowania prawidłowości wykonywania wyroku Europejskiego Trybunału Praw Człowieka w sprawach </w:t>
      </w:r>
      <w:r w:rsidR="008E32CB">
        <w:rPr>
          <w:rFonts w:eastAsia="Times New Roman" w:cs="Times New Roman"/>
          <w:i/>
          <w:iCs/>
          <w:sz w:val="24"/>
          <w:szCs w:val="24"/>
          <w:lang w:bidi="en-US"/>
        </w:rPr>
        <w:t>Abu Zubaydah p.</w:t>
      </w:r>
      <w:r w:rsidRPr="000F4063">
        <w:rPr>
          <w:rFonts w:eastAsia="Times New Roman" w:cs="Times New Roman"/>
          <w:i/>
          <w:iCs/>
          <w:sz w:val="24"/>
          <w:szCs w:val="24"/>
          <w:lang w:bidi="en-US"/>
        </w:rPr>
        <w:t xml:space="preserve"> Polsce</w:t>
      </w:r>
      <w:r w:rsidRPr="000F4063">
        <w:rPr>
          <w:rFonts w:eastAsia="Times New Roman" w:cs="Times New Roman"/>
          <w:sz w:val="24"/>
          <w:szCs w:val="24"/>
          <w:lang w:bidi="en-US"/>
        </w:rPr>
        <w:t xml:space="preserve"> oraz </w:t>
      </w:r>
      <w:r w:rsidR="008E32CB">
        <w:rPr>
          <w:rFonts w:eastAsia="Times New Roman" w:cs="Times New Roman"/>
          <w:i/>
          <w:iCs/>
          <w:sz w:val="24"/>
          <w:szCs w:val="24"/>
          <w:lang w:bidi="en-US"/>
        </w:rPr>
        <w:t>Al Nashiri p.</w:t>
      </w:r>
      <w:r w:rsidRPr="000F4063">
        <w:rPr>
          <w:rFonts w:eastAsia="Times New Roman" w:cs="Times New Roman"/>
          <w:i/>
          <w:iCs/>
          <w:sz w:val="24"/>
          <w:szCs w:val="24"/>
          <w:lang w:bidi="en-US"/>
        </w:rPr>
        <w:t xml:space="preserve"> Polsce</w:t>
      </w:r>
      <w:r w:rsidRPr="000F4063">
        <w:rPr>
          <w:rFonts w:eastAsia="Times New Roman" w:cs="Times New Roman"/>
          <w:sz w:val="24"/>
          <w:szCs w:val="24"/>
          <w:lang w:bidi="en-US"/>
        </w:rPr>
        <w:t>.</w:t>
      </w:r>
    </w:p>
    <w:p w:rsidR="00684137" w:rsidRPr="000F4063" w:rsidRDefault="00684137" w:rsidP="000F4063">
      <w:pPr>
        <w:spacing w:before="120" w:after="0" w:line="240" w:lineRule="auto"/>
        <w:rPr>
          <w:sz w:val="24"/>
          <w:szCs w:val="24"/>
          <w:u w:val="single"/>
        </w:rPr>
      </w:pPr>
    </w:p>
    <w:p w:rsidR="00684137" w:rsidRPr="000F4063" w:rsidRDefault="00684137" w:rsidP="000F4063">
      <w:pPr>
        <w:spacing w:before="120" w:after="0" w:line="240" w:lineRule="auto"/>
        <w:rPr>
          <w:sz w:val="24"/>
          <w:szCs w:val="24"/>
          <w:u w:val="single"/>
        </w:rPr>
      </w:pPr>
      <w:r w:rsidRPr="000F4063">
        <w:rPr>
          <w:sz w:val="24"/>
          <w:szCs w:val="24"/>
          <w:u w:val="single"/>
        </w:rPr>
        <w:lastRenderedPageBreak/>
        <w:t>Odpowiedź rządu z dnia 6 marca 2020 r.</w:t>
      </w:r>
    </w:p>
    <w:p w:rsidR="00FB5A7E" w:rsidRPr="000F4063" w:rsidRDefault="00FB5A7E" w:rsidP="000F4063">
      <w:pPr>
        <w:spacing w:before="120" w:after="0" w:line="240" w:lineRule="auto"/>
        <w:jc w:val="both"/>
        <w:rPr>
          <w:rStyle w:val="sb8d990e2"/>
          <w:sz w:val="24"/>
          <w:szCs w:val="24"/>
        </w:rPr>
      </w:pPr>
      <w:r w:rsidRPr="000F4063">
        <w:rPr>
          <w:sz w:val="24"/>
          <w:szCs w:val="24"/>
        </w:rPr>
        <w:t xml:space="preserve">W odpowiedzi na komunikację Helsińskiej Fundacji Praw Człowieka (dalej: HFPC) z dnia 21 lutego 2020 r. dotyczącą wykonywania wyroków Europejskiego Trybunału Praw Człowieka w sprawach </w:t>
      </w:r>
      <w:r w:rsidRPr="000F4063">
        <w:rPr>
          <w:i/>
          <w:sz w:val="24"/>
          <w:szCs w:val="24"/>
        </w:rPr>
        <w:t xml:space="preserve">Al Nashiri p. Polsce </w:t>
      </w:r>
      <w:r w:rsidRPr="000F4063">
        <w:rPr>
          <w:sz w:val="24"/>
          <w:szCs w:val="24"/>
        </w:rPr>
        <w:t xml:space="preserve">i </w:t>
      </w:r>
      <w:r w:rsidRPr="000F4063">
        <w:rPr>
          <w:i/>
          <w:sz w:val="24"/>
          <w:szCs w:val="24"/>
        </w:rPr>
        <w:t>Abu Zubaydah p. Polsce</w:t>
      </w:r>
      <w:r w:rsidRPr="000F4063">
        <w:rPr>
          <w:rStyle w:val="sb8d990e2"/>
          <w:sz w:val="24"/>
          <w:szCs w:val="24"/>
        </w:rPr>
        <w:t>, rząd Polski pragnie przedstawić następujące uwagi dotyczące przedstawionych w niej rekomendacji dla Państwa-Strony.</w:t>
      </w:r>
    </w:p>
    <w:p w:rsidR="00FB5A7E" w:rsidRPr="000F4063" w:rsidRDefault="00FB5A7E" w:rsidP="000F4063">
      <w:pPr>
        <w:spacing w:before="120" w:after="0" w:line="240" w:lineRule="auto"/>
        <w:jc w:val="both"/>
        <w:rPr>
          <w:sz w:val="24"/>
          <w:szCs w:val="24"/>
        </w:rPr>
      </w:pPr>
      <w:r w:rsidRPr="000F4063">
        <w:rPr>
          <w:rStyle w:val="sb8d990e2"/>
          <w:sz w:val="24"/>
          <w:szCs w:val="24"/>
        </w:rPr>
        <w:t>Przede wszystkim w odniesieniu do sprawy śledztwa krajowego i wykonania środków generalnych (skuteczna kontrola nad służbami specjalnymi oraz niezbędne środki zapobiegające podobnym naruszeniom praw człowieka w przyszłości) rząd pragnie zwrócić uwagę na informacje przedstawione w swoim najnowszym planie działania z 3 lutego</w:t>
      </w:r>
      <w:r w:rsidRPr="000F4063">
        <w:rPr>
          <w:sz w:val="24"/>
          <w:szCs w:val="24"/>
        </w:rPr>
        <w:t xml:space="preserve"> 2020 r. (dokument DH-DD(2020)100) i nie będzie ich tutaj powtarzał.</w:t>
      </w:r>
    </w:p>
    <w:p w:rsidR="00FB5A7E" w:rsidRPr="000F4063" w:rsidRDefault="00FB5A7E" w:rsidP="000F4063">
      <w:pPr>
        <w:spacing w:before="120" w:after="0" w:line="240" w:lineRule="auto"/>
        <w:jc w:val="both"/>
        <w:rPr>
          <w:sz w:val="24"/>
          <w:szCs w:val="24"/>
        </w:rPr>
      </w:pPr>
      <w:r w:rsidRPr="000F4063">
        <w:rPr>
          <w:sz w:val="24"/>
          <w:szCs w:val="24"/>
        </w:rPr>
        <w:t xml:space="preserve">W odniesieniu do uwagi HFPC w sprawie odmowy udostępnienia przez Prokuratora Regionalnego w Krakowie informacji dotyczących śledztwa, o które wystąpiła HFPC na podstawie przepisów regulujących dostęp do informacji publicznej, rząd pragnie wyjaśnić, że HFPC została poinformowana przez Prokuraturę Regionalną w Krakowie, że ze względu na etap śledztwa (postępowanie przygotowawcze) przepisy ustawy o dostępie do informacji publicznej nie mają zastosowania do udostępnienia informacji o wynikach śledztwa. Jednocześnie poinformowano HFPC o innej prawnej możliwości uzyskania żądanych informacji, tj. na podstawie wniosku z art. 156 § 5 Kodeksu postępowania karnego. Należy zaznaczyć, że zgodnie z jednolitym orzecznictwem krajowych sądów administracyjnych w sprawach dotyczących informacji lub dokumentów z toczących się postępowań przygotowawczych art. 156 § 5 lub § 5a Kodeksu postępowania karnego stanowi </w:t>
      </w:r>
      <w:r w:rsidRPr="000F4063">
        <w:rPr>
          <w:i/>
          <w:sz w:val="24"/>
          <w:szCs w:val="24"/>
        </w:rPr>
        <w:t>lex specialis</w:t>
      </w:r>
      <w:r w:rsidRPr="000F4063">
        <w:rPr>
          <w:sz w:val="24"/>
          <w:szCs w:val="24"/>
        </w:rPr>
        <w:t xml:space="preserve"> dla ustawy o dostępie do informacji publicznej i jednocześnie wyklucza stosowanie tej ustawy (por. np. uchwała Naczelnego Sądu Administracyjnego z dnia 9 grudnia 2013 r., sygn. I OPS 7/13 oraz wyrok Naczelnego Sądu Administracyjnego z dnia 19 grudnia 2019 r., sygn. I OSK 357/19). Do Prokuratury Regionalnej w Krakowie nie wpłynął wniosek HFPC w oparciu o powyższy przepis.  </w:t>
      </w:r>
    </w:p>
    <w:p w:rsidR="00FB5A7E" w:rsidRPr="000F4063" w:rsidRDefault="00FB5A7E" w:rsidP="000F4063">
      <w:pPr>
        <w:spacing w:before="120" w:after="0" w:line="240" w:lineRule="auto"/>
        <w:jc w:val="both"/>
        <w:rPr>
          <w:sz w:val="24"/>
          <w:szCs w:val="24"/>
        </w:rPr>
      </w:pPr>
      <w:r w:rsidRPr="000F4063">
        <w:rPr>
          <w:sz w:val="24"/>
          <w:szCs w:val="24"/>
        </w:rPr>
        <w:t>Odnosząc się do rekomendacji HFPC dotyczącej publicznego dostępu do aktualnych informacji o przebiegu postępowań karnych dotyczących tajnych więzień CIA, rząd pragnie podkreślić, że jak wskazano powyżej, istnieją inne prawne sposoby uzyskiwania informacji o śledztwie niż publikowanie ich w biuletynie online.</w:t>
      </w:r>
    </w:p>
    <w:p w:rsidR="00FB5A7E" w:rsidRPr="000F4063" w:rsidRDefault="00FB5A7E" w:rsidP="000F4063">
      <w:pPr>
        <w:spacing w:before="120" w:after="0" w:line="240" w:lineRule="auto"/>
        <w:jc w:val="both"/>
        <w:rPr>
          <w:sz w:val="24"/>
          <w:szCs w:val="24"/>
        </w:rPr>
      </w:pPr>
      <w:r w:rsidRPr="000F4063">
        <w:rPr>
          <w:sz w:val="24"/>
          <w:szCs w:val="24"/>
        </w:rPr>
        <w:t xml:space="preserve">Ponadto, w odniesieniu do rekomendacji HFPC w sprawie uzyskania od Stanów Zjednoczonych skutecznych gwarancji dyplomatycznych dla skarżących, rząd chciałby podkreślić, że od czasu ogłoszenia wyroków w sprawach </w:t>
      </w:r>
      <w:r w:rsidRPr="000F4063">
        <w:rPr>
          <w:i/>
          <w:sz w:val="24"/>
          <w:szCs w:val="24"/>
        </w:rPr>
        <w:t>Al Nashiri p. Polsce</w:t>
      </w:r>
      <w:r w:rsidRPr="000F4063">
        <w:rPr>
          <w:sz w:val="24"/>
          <w:szCs w:val="24"/>
        </w:rPr>
        <w:t xml:space="preserve"> i </w:t>
      </w:r>
      <w:r w:rsidRPr="000F4063">
        <w:rPr>
          <w:i/>
          <w:sz w:val="24"/>
          <w:szCs w:val="24"/>
        </w:rPr>
        <w:t>Abu Zubaydah p. Polsce</w:t>
      </w:r>
      <w:r w:rsidRPr="000F4063">
        <w:rPr>
          <w:sz w:val="24"/>
          <w:szCs w:val="24"/>
        </w:rPr>
        <w:t>, polskie władze podjęły liczne działania zmierzające do uzyskania gwarancji  dyplomatycznych, że pan Al Nashiri nie będzie podlegać karze śmierci i że obaj skarżący nie będą nadal podlegać rażącej odmowie sprawiedliwości. W szczególności Ministerstwo Spraw Zagranicznych przekazało trzy noty dyplomatyczne do Ambasady Stanów Zjednoczonych w Warszawie (w dniu 6 marca 2015 r., 13 maja 2015 r. i 24 lutego 2020 r.), polskie władze wysokiego szczebla politycznego wysłały trzy listy do swoich amerykańskich odpowiedników i odbyły się cztery spotkania z władzami USA, zarówno w Warszawie, jak i w Waszyngtonie. Ostatnia próba uzyskania ww. gwarancji, tj. wniosek złożony notą dyplomatyczną z dnia 24 lutego 2020 r., została podjęta w odpowiedzi na decyzję Komitetu Ministrów z 6 czerwca 2019 r., w której wezwano polskie władze do ponownego zwrócenia się do władz USA o gwarancje dyplomatyczne dla skarżących.</w:t>
      </w:r>
    </w:p>
    <w:p w:rsidR="00FB5A7E" w:rsidRPr="000F4063" w:rsidRDefault="00FB5A7E" w:rsidP="000F4063">
      <w:pPr>
        <w:autoSpaceDE w:val="0"/>
        <w:autoSpaceDN w:val="0"/>
        <w:adjustRightInd w:val="0"/>
        <w:spacing w:before="120" w:after="0" w:line="240" w:lineRule="auto"/>
        <w:jc w:val="both"/>
        <w:rPr>
          <w:sz w:val="24"/>
          <w:szCs w:val="24"/>
        </w:rPr>
      </w:pPr>
    </w:p>
    <w:p w:rsidR="00FB5A7E" w:rsidRPr="00953037" w:rsidRDefault="004E1166" w:rsidP="000F4063">
      <w:pPr>
        <w:pStyle w:val="Nagwek1"/>
        <w:spacing w:before="120" w:line="240" w:lineRule="auto"/>
        <w:jc w:val="both"/>
        <w:rPr>
          <w:rFonts w:asciiTheme="minorHAnsi" w:hAnsiTheme="minorHAnsi"/>
          <w:sz w:val="28"/>
          <w:szCs w:val="28"/>
        </w:rPr>
      </w:pPr>
      <w:bookmarkStart w:id="105" w:name="_Toc69124155"/>
      <w:r w:rsidRPr="00953037">
        <w:rPr>
          <w:rFonts w:asciiTheme="minorHAnsi" w:hAnsiTheme="minorHAnsi"/>
          <w:sz w:val="28"/>
          <w:szCs w:val="28"/>
        </w:rPr>
        <w:lastRenderedPageBreak/>
        <w:t xml:space="preserve">Komunikacja Helsińskiej Fundacji Praw Człowieka w sprawie wykonania wyroku Europejskiego Trybunału Praw Człowieka </w:t>
      </w:r>
      <w:r w:rsidRPr="00953037">
        <w:rPr>
          <w:rFonts w:asciiTheme="minorHAnsi" w:hAnsiTheme="minorHAnsi"/>
          <w:i/>
          <w:sz w:val="28"/>
          <w:szCs w:val="28"/>
        </w:rPr>
        <w:t>Rutkowski i inni p. Polsce</w:t>
      </w:r>
      <w:r w:rsidRPr="00953037">
        <w:rPr>
          <w:rFonts w:asciiTheme="minorHAnsi" w:hAnsiTheme="minorHAnsi"/>
          <w:sz w:val="28"/>
          <w:szCs w:val="28"/>
        </w:rPr>
        <w:t xml:space="preserve"> z dnia 16 kwietnia 2020 r.</w:t>
      </w:r>
      <w:bookmarkEnd w:id="105"/>
    </w:p>
    <w:p w:rsidR="004E1166" w:rsidRPr="00953037" w:rsidRDefault="004E1166" w:rsidP="000F4063">
      <w:pPr>
        <w:spacing w:before="120" w:after="0" w:line="240" w:lineRule="auto"/>
        <w:rPr>
          <w:sz w:val="28"/>
          <w:szCs w:val="28"/>
        </w:rPr>
      </w:pPr>
    </w:p>
    <w:p w:rsidR="004E1166" w:rsidRPr="000F4063" w:rsidRDefault="004E1166" w:rsidP="008E32CB">
      <w:pPr>
        <w:spacing w:before="120" w:after="0" w:line="240" w:lineRule="auto"/>
        <w:jc w:val="both"/>
        <w:rPr>
          <w:sz w:val="24"/>
          <w:szCs w:val="24"/>
          <w:u w:val="single"/>
        </w:rPr>
      </w:pPr>
      <w:r w:rsidRPr="000F4063">
        <w:rPr>
          <w:sz w:val="24"/>
          <w:szCs w:val="24"/>
          <w:u w:val="single"/>
        </w:rPr>
        <w:t>Treść komunikacji</w:t>
      </w:r>
    </w:p>
    <w:p w:rsidR="004E1166" w:rsidRPr="000F4063" w:rsidRDefault="004E1166" w:rsidP="008E32CB">
      <w:pPr>
        <w:widowControl w:val="0"/>
        <w:numPr>
          <w:ilvl w:val="0"/>
          <w:numId w:val="27"/>
        </w:numPr>
        <w:spacing w:before="120" w:after="0" w:line="240" w:lineRule="auto"/>
        <w:jc w:val="both"/>
        <w:rPr>
          <w:rFonts w:eastAsia="Arial Unicode MS" w:cs="Times New Roman"/>
          <w:b/>
          <w:color w:val="000000"/>
          <w:sz w:val="24"/>
          <w:szCs w:val="24"/>
          <w:lang w:bidi="en-US"/>
        </w:rPr>
      </w:pPr>
      <w:r w:rsidRPr="000F4063">
        <w:rPr>
          <w:rFonts w:eastAsia="Arial Unicode MS" w:cs="Arial Unicode MS"/>
          <w:b/>
          <w:color w:val="000000"/>
          <w:sz w:val="24"/>
          <w:szCs w:val="24"/>
          <w:lang w:bidi="en-US"/>
        </w:rPr>
        <w:t>Wprowadzenie</w:t>
      </w:r>
    </w:p>
    <w:p w:rsidR="004E1166" w:rsidRPr="000F4063" w:rsidRDefault="004E1166" w:rsidP="008E32CB">
      <w:pPr>
        <w:widowControl w:val="0"/>
        <w:numPr>
          <w:ilvl w:val="0"/>
          <w:numId w:val="28"/>
        </w:numPr>
        <w:tabs>
          <w:tab w:val="left" w:pos="308"/>
        </w:tabs>
        <w:spacing w:before="120" w:after="0" w:line="240" w:lineRule="auto"/>
        <w:ind w:left="142"/>
        <w:jc w:val="both"/>
        <w:rPr>
          <w:rFonts w:eastAsia="Times New Roman" w:cs="Times New Roman"/>
          <w:b/>
          <w:sz w:val="24"/>
          <w:szCs w:val="24"/>
        </w:rPr>
      </w:pPr>
      <w:r w:rsidRPr="000F4063">
        <w:rPr>
          <w:rFonts w:eastAsia="Times New Roman" w:cs="Times New Roman"/>
          <w:sz w:val="24"/>
          <w:szCs w:val="24"/>
        </w:rPr>
        <w:t xml:space="preserve">Helsińska Fundacja Praw Człowieka („HFPC”) uprzejmie przedstawia swoją zaktualizowaną komunikację z dnia 11 września 2019 r. („Komunikacja z dnia 11 września 2019 r.”) w sprawie wykonania wyroku Europejskiego Trybunału Praw Człowieka („ETPCz,” „Trybunał”) z dnia 7 lipca 2015 r. w sprawie </w:t>
      </w:r>
      <w:r w:rsidR="00BD3249">
        <w:rPr>
          <w:rFonts w:eastAsia="Times New Roman" w:cs="Times New Roman"/>
          <w:i/>
          <w:iCs/>
          <w:sz w:val="24"/>
          <w:szCs w:val="24"/>
        </w:rPr>
        <w:t>Rutkowski i inni p.</w:t>
      </w:r>
      <w:r w:rsidRPr="000F4063">
        <w:rPr>
          <w:rFonts w:eastAsia="Times New Roman" w:cs="Times New Roman"/>
          <w:i/>
          <w:iCs/>
          <w:sz w:val="24"/>
          <w:szCs w:val="24"/>
        </w:rPr>
        <w:t xml:space="preserve"> Polsce</w:t>
      </w:r>
      <w:r w:rsidRPr="000F4063">
        <w:rPr>
          <w:rFonts w:eastAsia="Times New Roman" w:cs="Times New Roman"/>
          <w:sz w:val="24"/>
          <w:szCs w:val="24"/>
        </w:rPr>
        <w:t xml:space="preserve"> (skarga nr 72287/10). Niniejsze zaktualizowane stanowisko przedkładamy również w związku z odpowiedzią rządu na naszą komunikację z dnia 11 września 2019 r. oraz z uwagi na fakt, że sprawa </w:t>
      </w:r>
      <w:r w:rsidRPr="000F4063">
        <w:rPr>
          <w:rFonts w:eastAsia="Times New Roman" w:cs="Times New Roman"/>
          <w:i/>
          <w:iCs/>
          <w:sz w:val="24"/>
          <w:szCs w:val="24"/>
        </w:rPr>
        <w:t>Rutkowski p</w:t>
      </w:r>
      <w:r w:rsidR="00BD3249">
        <w:rPr>
          <w:rFonts w:eastAsia="Times New Roman" w:cs="Times New Roman"/>
          <w:i/>
          <w:iCs/>
          <w:sz w:val="24"/>
          <w:szCs w:val="24"/>
        </w:rPr>
        <w:t>.</w:t>
      </w:r>
      <w:r w:rsidRPr="000F4063">
        <w:rPr>
          <w:rFonts w:eastAsia="Times New Roman" w:cs="Times New Roman"/>
          <w:i/>
          <w:iCs/>
          <w:sz w:val="24"/>
          <w:szCs w:val="24"/>
        </w:rPr>
        <w:t xml:space="preserve"> Polsce</w:t>
      </w:r>
      <w:r w:rsidRPr="000F4063">
        <w:rPr>
          <w:rFonts w:eastAsia="Times New Roman" w:cs="Times New Roman"/>
          <w:sz w:val="24"/>
          <w:szCs w:val="24"/>
        </w:rPr>
        <w:t xml:space="preserve"> została włączona do porządku obrad posiedzenia Komitetu Ministrów Rady Europy w czerwcu 2020 r.</w:t>
      </w:r>
    </w:p>
    <w:p w:rsidR="004E1166" w:rsidRPr="000F4063" w:rsidRDefault="004E1166" w:rsidP="008E32CB">
      <w:pPr>
        <w:widowControl w:val="0"/>
        <w:numPr>
          <w:ilvl w:val="0"/>
          <w:numId w:val="28"/>
        </w:numPr>
        <w:tabs>
          <w:tab w:val="left" w:pos="308"/>
        </w:tabs>
        <w:spacing w:before="120" w:after="0" w:line="240" w:lineRule="auto"/>
        <w:ind w:left="142"/>
        <w:jc w:val="both"/>
        <w:rPr>
          <w:rFonts w:eastAsia="Times New Roman" w:cs="Times New Roman"/>
          <w:b/>
          <w:sz w:val="24"/>
          <w:szCs w:val="24"/>
        </w:rPr>
      </w:pPr>
      <w:r w:rsidRPr="000F4063">
        <w:rPr>
          <w:rFonts w:eastAsia="Times New Roman" w:cs="Times New Roman"/>
          <w:sz w:val="24"/>
          <w:szCs w:val="24"/>
        </w:rPr>
        <w:t xml:space="preserve"> W niniejszej zaktualizowanej komunikacji HFPC dokonuje analizy najważniejszych wniosków </w:t>
      </w:r>
      <w:r w:rsidRPr="008E32CB">
        <w:rPr>
          <w:rFonts w:eastAsia="Times New Roman" w:cs="Times New Roman"/>
          <w:sz w:val="24"/>
          <w:szCs w:val="24"/>
        </w:rPr>
        <w:t>wynikających z raportu „</w:t>
      </w:r>
      <w:r w:rsidRPr="008E32CB">
        <w:rPr>
          <w:rFonts w:eastAsia="Times New Roman" w:cs="Times New Roman"/>
          <w:iCs/>
          <w:sz w:val="24"/>
          <w:szCs w:val="24"/>
        </w:rPr>
        <w:t>Kwerenda spraw ze skargi na przewlekłość postępowania sądowego</w:t>
      </w:r>
      <w:r w:rsidRPr="008E32CB">
        <w:rPr>
          <w:rFonts w:eastAsia="Times New Roman" w:cs="Times New Roman"/>
          <w:sz w:val="24"/>
          <w:szCs w:val="24"/>
        </w:rPr>
        <w:t>”</w:t>
      </w:r>
      <w:r w:rsidRPr="008E32CB">
        <w:rPr>
          <w:rFonts w:eastAsia="Times New Roman" w:cs="Times New Roman"/>
          <w:iCs/>
          <w:sz w:val="24"/>
          <w:szCs w:val="24"/>
          <w:vertAlign w:val="superscript"/>
          <w:lang w:val="en-GB"/>
        </w:rPr>
        <w:footnoteReference w:id="295"/>
      </w:r>
      <w:r w:rsidRPr="008E32CB">
        <w:rPr>
          <w:rFonts w:eastAsia="Times New Roman" w:cs="Times New Roman"/>
          <w:sz w:val="24"/>
          <w:szCs w:val="24"/>
        </w:rPr>
        <w:t xml:space="preserve"> (dalej: „Raport”). O powyższym Raporcie wspomniało Ministerstwo Spraw</w:t>
      </w:r>
      <w:r w:rsidRPr="000F4063">
        <w:rPr>
          <w:rFonts w:eastAsia="Times New Roman" w:cs="Times New Roman"/>
          <w:sz w:val="24"/>
          <w:szCs w:val="24"/>
        </w:rPr>
        <w:t xml:space="preserve"> Zagranicznych w odpowiedzi z dnia 25 września 2019 r. na komunikację z dnia 11 września 2019 r. Ministerstwo wskazało, co następuje: „Należy wspomnieć, że Ministerstwo Sprawiedliwości wystąpiło do Instytutu Wymiaru Sprawiedliwości o przeprowadzenie kwerendy orzecznictwa sądów krajowych w sprawach ze skarg na przewlekłość za rok 2018. Kwerenda obejmuje przeanalizowanie wszystkich spraw (1966), w których sądy zasądziły sumę pieniężną – w celu ustalenia rzeczywistej średniej kwoty zasądzanej przez sądy w poszczególnych rodzajach spraw za każdy rok trwania oraz zidentyfikowanie ewentualnych uchybień sadów krajowych w stosowaniu znowelizowanej ustawy z 2004 r. w zakresie adekwatnej rekompensaty. Planowany termin sporządzenia raportu zawierającego rezultaty kwerendy ustalony został na koniec roku 2019</w:t>
      </w:r>
      <w:r w:rsidRPr="000F4063">
        <w:rPr>
          <w:rFonts w:eastAsia="Times New Roman" w:cs="Times New Roman"/>
          <w:i/>
          <w:iCs/>
          <w:sz w:val="24"/>
          <w:szCs w:val="24"/>
        </w:rPr>
        <w:t>”</w:t>
      </w:r>
      <w:r w:rsidRPr="000F4063">
        <w:rPr>
          <w:rFonts w:eastAsia="Times New Roman" w:cs="Times New Roman"/>
          <w:i/>
          <w:iCs/>
          <w:sz w:val="24"/>
          <w:szCs w:val="24"/>
          <w:vertAlign w:val="superscript"/>
          <w:lang w:val="en-GB"/>
        </w:rPr>
        <w:footnoteReference w:id="296"/>
      </w:r>
      <w:r w:rsidRPr="000F4063">
        <w:rPr>
          <w:rFonts w:eastAsia="Times New Roman" w:cs="Times New Roman"/>
          <w:i/>
          <w:iCs/>
          <w:sz w:val="24"/>
          <w:szCs w:val="24"/>
        </w:rPr>
        <w:t>.</w:t>
      </w:r>
    </w:p>
    <w:p w:rsidR="004E1166" w:rsidRPr="000F4063" w:rsidRDefault="004E1166" w:rsidP="008E32CB">
      <w:pPr>
        <w:widowControl w:val="0"/>
        <w:numPr>
          <w:ilvl w:val="0"/>
          <w:numId w:val="28"/>
        </w:numPr>
        <w:tabs>
          <w:tab w:val="left" w:pos="308"/>
        </w:tabs>
        <w:spacing w:before="120" w:after="0" w:line="240" w:lineRule="auto"/>
        <w:ind w:left="142"/>
        <w:jc w:val="both"/>
        <w:rPr>
          <w:rFonts w:eastAsia="Times New Roman" w:cs="Times New Roman"/>
          <w:b/>
          <w:sz w:val="24"/>
          <w:szCs w:val="24"/>
        </w:rPr>
      </w:pPr>
      <w:r w:rsidRPr="000F4063">
        <w:rPr>
          <w:rFonts w:eastAsia="Times New Roman" w:cs="Times New Roman"/>
          <w:sz w:val="24"/>
          <w:szCs w:val="24"/>
        </w:rPr>
        <w:t xml:space="preserve"> Jednocześnie HFPC pragnie podkreślić, że w pełni podtrzymuje wszystkie twierdzenia i wnioski zawarte w jej komunikacji z dnia 11 września 2019 r., w szczególności te sugerujące, że kwota 500 zł zasądzona za każdy rok przewlekłego postępowania sądowego może być zbyt niska na potrzeby wykonania wyroku w sprawie </w:t>
      </w:r>
      <w:r w:rsidR="00BD3249">
        <w:rPr>
          <w:rFonts w:eastAsia="Times New Roman" w:cs="Times New Roman"/>
          <w:i/>
          <w:iCs/>
          <w:sz w:val="24"/>
          <w:szCs w:val="24"/>
        </w:rPr>
        <w:t>Rutkowski i inni p.</w:t>
      </w:r>
      <w:r w:rsidRPr="000F4063">
        <w:rPr>
          <w:rFonts w:eastAsia="Times New Roman" w:cs="Times New Roman"/>
          <w:i/>
          <w:iCs/>
          <w:sz w:val="24"/>
          <w:szCs w:val="24"/>
        </w:rPr>
        <w:t xml:space="preserve"> Polsce</w:t>
      </w:r>
      <w:r w:rsidRPr="000F4063">
        <w:rPr>
          <w:rFonts w:eastAsia="Times New Roman" w:cs="Times New Roman"/>
          <w:sz w:val="24"/>
          <w:szCs w:val="24"/>
        </w:rPr>
        <w:t>.</w:t>
      </w:r>
    </w:p>
    <w:p w:rsidR="004E1166" w:rsidRPr="008E32CB" w:rsidRDefault="004E1166" w:rsidP="008E32CB">
      <w:pPr>
        <w:widowControl w:val="0"/>
        <w:numPr>
          <w:ilvl w:val="0"/>
          <w:numId w:val="27"/>
        </w:numPr>
        <w:tabs>
          <w:tab w:val="left" w:pos="308"/>
        </w:tabs>
        <w:spacing w:before="120" w:after="0" w:line="240" w:lineRule="auto"/>
        <w:ind w:left="993"/>
        <w:jc w:val="both"/>
        <w:rPr>
          <w:rFonts w:eastAsia="Times New Roman" w:cs="Times New Roman"/>
          <w:b/>
          <w:sz w:val="24"/>
          <w:szCs w:val="24"/>
        </w:rPr>
      </w:pPr>
      <w:r w:rsidRPr="008E32CB">
        <w:rPr>
          <w:rFonts w:eastAsia="Times New Roman" w:cs="Times New Roman"/>
          <w:b/>
          <w:bCs/>
          <w:iCs/>
          <w:sz w:val="24"/>
          <w:szCs w:val="24"/>
        </w:rPr>
        <w:t>„Kwerenda spraw ze skargi na przewlekłość postępowania sądowego”</w:t>
      </w:r>
    </w:p>
    <w:p w:rsidR="004E1166" w:rsidRPr="008E32CB" w:rsidRDefault="004E1166" w:rsidP="008E32CB">
      <w:pPr>
        <w:widowControl w:val="0"/>
        <w:numPr>
          <w:ilvl w:val="0"/>
          <w:numId w:val="28"/>
        </w:numPr>
        <w:tabs>
          <w:tab w:val="left" w:pos="308"/>
        </w:tabs>
        <w:spacing w:before="120" w:after="0" w:line="240" w:lineRule="auto"/>
        <w:ind w:left="142"/>
        <w:jc w:val="both"/>
        <w:rPr>
          <w:rFonts w:eastAsia="Times New Roman" w:cs="Times New Roman"/>
          <w:b/>
          <w:sz w:val="24"/>
          <w:szCs w:val="24"/>
        </w:rPr>
      </w:pPr>
      <w:r w:rsidRPr="008E32CB">
        <w:rPr>
          <w:rFonts w:eastAsia="Times New Roman" w:cs="Times New Roman"/>
          <w:sz w:val="24"/>
          <w:szCs w:val="24"/>
        </w:rPr>
        <w:t xml:space="preserve"> W raporcie Instytutu Wymiaru Sprawiedliwości wskazano, że jego celem była „</w:t>
      </w:r>
      <w:r w:rsidRPr="008E32CB">
        <w:rPr>
          <w:rFonts w:eastAsia="Times New Roman" w:cs="Times New Roman"/>
          <w:iCs/>
          <w:sz w:val="24"/>
          <w:szCs w:val="24"/>
        </w:rPr>
        <w:t xml:space="preserve">analiza spraw ze skargi na przewlekłość postępowania sądowego, w których sądy w 2018 r. ustaliły przewlekłość i zasądziły przyznanie skarżącemu sumy pieniężnej. Głównym celem badania było zaś ustalenie rzeczywistej średniej kwoty zasądzanej przez sądy w poszczególnych rodzajach spraw za każdy rok przewlekłości, z uwzględnieniem okoliczności każdej ze </w:t>
      </w:r>
      <w:r w:rsidRPr="008E32CB">
        <w:rPr>
          <w:rFonts w:eastAsia="Times New Roman" w:cs="Times New Roman"/>
          <w:iCs/>
          <w:sz w:val="24"/>
          <w:szCs w:val="24"/>
        </w:rPr>
        <w:lastRenderedPageBreak/>
        <w:t>spraw”</w:t>
      </w:r>
      <w:r w:rsidRPr="008E32CB">
        <w:rPr>
          <w:rFonts w:eastAsia="Times New Roman" w:cs="Times New Roman"/>
          <w:iCs/>
          <w:sz w:val="24"/>
          <w:szCs w:val="24"/>
          <w:vertAlign w:val="superscript"/>
          <w:lang w:val="en-GB"/>
        </w:rPr>
        <w:footnoteReference w:id="297"/>
      </w:r>
      <w:r w:rsidRPr="008E32CB">
        <w:rPr>
          <w:rFonts w:eastAsia="Times New Roman" w:cs="Times New Roman"/>
          <w:iCs/>
          <w:sz w:val="24"/>
          <w:szCs w:val="24"/>
        </w:rPr>
        <w:t>.</w:t>
      </w:r>
      <w:r w:rsidRPr="008E32CB">
        <w:rPr>
          <w:rFonts w:eastAsia="Times New Roman" w:cs="Times New Roman"/>
          <w:sz w:val="24"/>
          <w:szCs w:val="24"/>
        </w:rPr>
        <w:t xml:space="preserve"> W badaniu ostatecznie przeanalizowano 1324 sprawy, w których stwierdzono przewlekłość postępowania, i zasądzono rekompensatę pieniężną</w:t>
      </w:r>
      <w:r w:rsidRPr="008E32CB">
        <w:rPr>
          <w:rFonts w:eastAsia="Times New Roman" w:cs="Times New Roman"/>
          <w:sz w:val="24"/>
          <w:szCs w:val="24"/>
          <w:vertAlign w:val="superscript"/>
          <w:lang w:val="en-GB"/>
        </w:rPr>
        <w:footnoteReference w:id="298"/>
      </w:r>
      <w:r w:rsidRPr="008E32CB">
        <w:rPr>
          <w:rFonts w:eastAsia="Times New Roman" w:cs="Times New Roman"/>
          <w:sz w:val="24"/>
          <w:szCs w:val="24"/>
        </w:rPr>
        <w:t>. Badane sprawy dotyczyły następujących rodzajów i liczby postępowań ze skargi: karne (237), cywilne (819), cywilne ze skargi na czynności komorników (44), egzekucyjne (53), rodzinne (68), gospodarcze (65), pracy i ubezpieczeń społecznych (24), wieczystoksięgowe (8) i rejestrowe (6)</w:t>
      </w:r>
      <w:r w:rsidRPr="008E32CB">
        <w:rPr>
          <w:rFonts w:eastAsia="Times New Roman" w:cs="Times New Roman"/>
          <w:sz w:val="24"/>
          <w:szCs w:val="24"/>
          <w:vertAlign w:val="superscript"/>
          <w:lang w:val="en-GB"/>
        </w:rPr>
        <w:footnoteReference w:id="299"/>
      </w:r>
      <w:r w:rsidRPr="008E32CB">
        <w:rPr>
          <w:rFonts w:eastAsia="Times New Roman" w:cs="Times New Roman"/>
          <w:sz w:val="24"/>
          <w:szCs w:val="24"/>
        </w:rPr>
        <w:t>.</w:t>
      </w:r>
    </w:p>
    <w:p w:rsidR="004E1166" w:rsidRPr="008E32CB" w:rsidRDefault="004E1166" w:rsidP="008E32CB">
      <w:pPr>
        <w:widowControl w:val="0"/>
        <w:numPr>
          <w:ilvl w:val="0"/>
          <w:numId w:val="28"/>
        </w:numPr>
        <w:tabs>
          <w:tab w:val="left" w:pos="308"/>
        </w:tabs>
        <w:spacing w:before="120" w:after="0" w:line="240" w:lineRule="auto"/>
        <w:ind w:left="142"/>
        <w:jc w:val="both"/>
        <w:rPr>
          <w:rFonts w:eastAsia="Times New Roman" w:cs="Times New Roman"/>
          <w:b/>
          <w:sz w:val="24"/>
          <w:szCs w:val="24"/>
        </w:rPr>
      </w:pPr>
      <w:r w:rsidRPr="008E32CB">
        <w:rPr>
          <w:rFonts w:eastAsia="Times New Roman" w:cs="Times New Roman"/>
          <w:sz w:val="24"/>
          <w:szCs w:val="24"/>
        </w:rPr>
        <w:t xml:space="preserve"> Jak wskazano powyżej, głównym celem Raportu była analiza kwot zasądzanych przez sądy w związku ze stwierdzeniem przewlekłości postępowania. Znamienne jest to, że zgodnie z art. 12 ust. 4 ustawy z dnia 17 czerwca 2004 r. o skardze na naruszenie prawa strony do rozpoznania sprawy w postępowaniu przygotowawczym prowadzonym lub nadzorowanym przez prokuratora i postępowaniu sądowym bez nieuzasadnionej zwłoki</w:t>
      </w:r>
      <w:r w:rsidRPr="008E32CB">
        <w:rPr>
          <w:rFonts w:eastAsia="Times New Roman" w:cs="Times New Roman"/>
          <w:sz w:val="24"/>
          <w:szCs w:val="24"/>
          <w:vertAlign w:val="superscript"/>
          <w:lang w:val="en-GB"/>
        </w:rPr>
        <w:footnoteReference w:id="300"/>
      </w:r>
      <w:r w:rsidRPr="008E32CB">
        <w:rPr>
          <w:rFonts w:eastAsia="Times New Roman" w:cs="Times New Roman"/>
          <w:sz w:val="24"/>
          <w:szCs w:val="24"/>
        </w:rPr>
        <w:t xml:space="preserve"> (dalej: ustawa o przewlekłości postępowania) w przypadku rozstrzygnięcia sprawy na korzyść skarżącego sąd przyznaje sumę pieniężną w wysokości od 2000 zł do 20 000 zł. Dalej przepis ten stanowi, że „</w:t>
      </w:r>
      <w:r w:rsidRPr="008E32CB">
        <w:rPr>
          <w:rFonts w:eastAsia="Times New Roman" w:cs="Times New Roman"/>
          <w:iCs/>
          <w:sz w:val="24"/>
          <w:szCs w:val="24"/>
        </w:rPr>
        <w:t>wysokość sumy pieniężnej, w granicach wskazanych w zdaniu pierwszym, wynosi nie mniej niż 500 złotych za każdy rok dotychczasowego trwania postępowania, niezależnie od tego, ilu etapów postępowania dotyczy stwierdzona przewlekłość postępowania. Sąd może przyznać sumę pieniężną wyższą niż 500 złotych za każdy rok dotychczasowego trwania postępowania, jeżeli sprawa ma szczególne znaczenie dla skarżącego, który swoją postawą nie przyczynił się w sposób zawiniony do wydłużenia czasu trwania postępowania. Na poczet tej sumy zalicza się kwoty przyznane już skarżącemu tytułem sumy pieniężnej w tej samej sprawie”.</w:t>
      </w:r>
    </w:p>
    <w:p w:rsidR="004E1166" w:rsidRPr="008E32CB" w:rsidRDefault="004E1166" w:rsidP="008E32CB">
      <w:pPr>
        <w:widowControl w:val="0"/>
        <w:numPr>
          <w:ilvl w:val="0"/>
          <w:numId w:val="28"/>
        </w:numPr>
        <w:tabs>
          <w:tab w:val="left" w:pos="308"/>
        </w:tabs>
        <w:spacing w:before="120" w:after="0" w:line="240" w:lineRule="auto"/>
        <w:ind w:left="142"/>
        <w:jc w:val="both"/>
        <w:rPr>
          <w:rFonts w:eastAsia="Times New Roman" w:cs="Times New Roman"/>
          <w:b/>
          <w:sz w:val="24"/>
          <w:szCs w:val="24"/>
        </w:rPr>
      </w:pPr>
      <w:r w:rsidRPr="008E32CB">
        <w:rPr>
          <w:rFonts w:eastAsia="Times New Roman" w:cs="Times New Roman"/>
          <w:sz w:val="24"/>
          <w:szCs w:val="24"/>
        </w:rPr>
        <w:t>Z przeprowadzonej przez HFPC analizy danych statystycznych, przedstawionej w pkt 18 komunikacji z dnia 11 września 2019 r., wynika, że kwoty zasądzane w przypadku przewlekłości postępowania mogą być zbyt niskie. Jak wynika z Raportu, kwoty pieniężne zasądzane przez sądy w badanych sprawach „</w:t>
      </w:r>
      <w:r w:rsidRPr="008E32CB">
        <w:rPr>
          <w:rFonts w:eastAsia="Times New Roman" w:cs="Times New Roman"/>
          <w:iCs/>
          <w:sz w:val="24"/>
          <w:szCs w:val="24"/>
        </w:rPr>
        <w:t>mieściły się w zakresie od 500 zł do 20 000 zł. Przeciętnie była ona jednak znacznie niższa niż ta wskazywana w skargach – średnia arytmetyczna wyniosła 2798,35 zł, a mediana – 2000 zł. Jedynie w jednej zbadanej sprawie sąd zasądził maksymalną sumę w wysokości 20 000 zł. Najczęściej za odpowiednią sądy uznawały rekompensatę pieniężną w kwocie minimalnej 2000 zł (prawie 70% ogółu badanych spraw). Około 1% stanowiły odszkodowania niższe niż 2000 zł w przeliczeniu na 1 skarżącego”.</w:t>
      </w:r>
      <w:r w:rsidRPr="008E32CB">
        <w:rPr>
          <w:rFonts w:eastAsia="Times New Roman" w:cs="Times New Roman"/>
          <w:iCs/>
          <w:sz w:val="24"/>
          <w:szCs w:val="24"/>
          <w:vertAlign w:val="superscript"/>
          <w:lang w:val="en-GB"/>
        </w:rPr>
        <w:footnoteReference w:id="301"/>
      </w:r>
      <w:r w:rsidRPr="008E32CB">
        <w:rPr>
          <w:rFonts w:eastAsia="Times New Roman" w:cs="Times New Roman"/>
          <w:sz w:val="24"/>
          <w:szCs w:val="24"/>
        </w:rPr>
        <w:t xml:space="preserve"> Mając powyższe na uwadze, autorzy Raportu podkreślili, że sądy co do zasady stosują się do art. 12 ust. 4 ustawy o przewlekłości postępowania. Tymczasem badane sprawy potwierdzają wnioski HFPC, że kwota 500 zł zasądzana za każdy rok przewlekłości</w:t>
      </w:r>
      <w:r w:rsidRPr="000F4063">
        <w:rPr>
          <w:rFonts w:eastAsia="Times New Roman" w:cs="Times New Roman"/>
          <w:sz w:val="24"/>
          <w:szCs w:val="24"/>
        </w:rPr>
        <w:t xml:space="preserve"> </w:t>
      </w:r>
      <w:r w:rsidRPr="008E32CB">
        <w:rPr>
          <w:rFonts w:eastAsia="Times New Roman" w:cs="Times New Roman"/>
          <w:sz w:val="24"/>
          <w:szCs w:val="24"/>
        </w:rPr>
        <w:t>postępowania może być zbyt niska. Chociaż w 92% spraw na rzecz skarżącego zasądzono kwotę co najmniej 500 zł za każdy rok postępowania, to „</w:t>
      </w:r>
      <w:r w:rsidRPr="008E32CB">
        <w:rPr>
          <w:rFonts w:eastAsia="Times New Roman" w:cs="Times New Roman"/>
          <w:iCs/>
          <w:sz w:val="24"/>
          <w:szCs w:val="24"/>
        </w:rPr>
        <w:t>w tych pozostałych 108 sprawach (8,2% wszystkich) najprawdopodobniej doszło do naruszenia przepisów ustawy o skardze. Mogło to wynikać z faktu, że najczęściej w uzasadnieniach postanowień sądy odnosiły się tylko do okresu stwierdzonej przewlekłości, a nie do całego okresu trwania przewlekłego postępowania</w:t>
      </w:r>
      <w:r w:rsidRPr="008E32CB">
        <w:rPr>
          <w:rFonts w:eastAsia="Times New Roman" w:cs="Times New Roman"/>
          <w:sz w:val="24"/>
          <w:szCs w:val="24"/>
        </w:rPr>
        <w:t>”</w:t>
      </w:r>
      <w:r w:rsidRPr="008E32CB">
        <w:rPr>
          <w:rFonts w:eastAsia="Times New Roman" w:cs="Times New Roman"/>
          <w:sz w:val="24"/>
          <w:szCs w:val="24"/>
          <w:vertAlign w:val="superscript"/>
        </w:rPr>
        <w:footnoteReference w:id="302"/>
      </w:r>
      <w:r w:rsidRPr="008E32CB">
        <w:rPr>
          <w:rFonts w:eastAsia="Times New Roman" w:cs="Times New Roman"/>
          <w:sz w:val="24"/>
          <w:szCs w:val="24"/>
        </w:rPr>
        <w:t xml:space="preserve">. Z tabeli zawartej w Raporcie wynika również, że w przypadku stwierdzenia przewlekłości postępowania rekompensata pieniężna przyznana za każdy rok przewlekłości </w:t>
      </w:r>
      <w:r w:rsidRPr="008E32CB">
        <w:rPr>
          <w:rFonts w:eastAsia="Times New Roman" w:cs="Times New Roman"/>
          <w:sz w:val="24"/>
          <w:szCs w:val="24"/>
        </w:rPr>
        <w:lastRenderedPageBreak/>
        <w:t>w 8 przypadkach (0,6%) była niższa niż 500 zł, a w 131 przypadkach (9,9%) wynosiła od 500 zł do 1000 zł</w:t>
      </w:r>
      <w:r w:rsidRPr="008E32CB">
        <w:rPr>
          <w:rFonts w:eastAsia="Times New Roman" w:cs="Times New Roman"/>
          <w:sz w:val="24"/>
          <w:szCs w:val="24"/>
          <w:vertAlign w:val="superscript"/>
        </w:rPr>
        <w:footnoteReference w:id="303"/>
      </w:r>
      <w:r w:rsidRPr="008E32CB">
        <w:rPr>
          <w:rFonts w:eastAsia="Times New Roman" w:cs="Times New Roman"/>
          <w:sz w:val="24"/>
          <w:szCs w:val="24"/>
        </w:rPr>
        <w:t>. W związku z tym, jak wskazali autorzy, w „</w:t>
      </w:r>
      <w:r w:rsidRPr="008E32CB">
        <w:rPr>
          <w:rFonts w:eastAsia="Times New Roman" w:cs="Times New Roman"/>
          <w:iCs/>
          <w:sz w:val="24"/>
          <w:szCs w:val="24"/>
        </w:rPr>
        <w:t>prawie 85% spraw zasądzona kwota w przeliczeniu na każdy rok stwierdzonej przewlekłości nie przekraczała bowiem 2000 zł</w:t>
      </w:r>
      <w:r w:rsidRPr="008E32CB">
        <w:rPr>
          <w:rFonts w:eastAsia="Times New Roman" w:cs="Times New Roman"/>
          <w:sz w:val="24"/>
          <w:szCs w:val="24"/>
        </w:rPr>
        <w:t>”</w:t>
      </w:r>
      <w:r w:rsidRPr="008E32CB">
        <w:rPr>
          <w:rFonts w:eastAsia="Times New Roman" w:cs="Times New Roman"/>
          <w:sz w:val="24"/>
          <w:szCs w:val="24"/>
          <w:vertAlign w:val="superscript"/>
        </w:rPr>
        <w:footnoteReference w:id="304"/>
      </w:r>
      <w:r w:rsidRPr="008E32CB">
        <w:rPr>
          <w:rFonts w:eastAsia="Times New Roman" w:cs="Times New Roman"/>
          <w:sz w:val="24"/>
          <w:szCs w:val="24"/>
        </w:rPr>
        <w:t>. Z powyższych danych wynika, że na podstawie 1324 spraw zbadanych w 2018 r., kwota 500 zł zasądzana za każdy rok przewlekłości postępowania może być zbyt niska i nie spełnia standardów wynikających z orzecznictwa ETPCz.</w:t>
      </w:r>
    </w:p>
    <w:p w:rsidR="004E1166" w:rsidRPr="008E32CB" w:rsidRDefault="004E1166" w:rsidP="008E32CB">
      <w:pPr>
        <w:widowControl w:val="0"/>
        <w:numPr>
          <w:ilvl w:val="0"/>
          <w:numId w:val="28"/>
        </w:numPr>
        <w:tabs>
          <w:tab w:val="left" w:pos="313"/>
        </w:tabs>
        <w:spacing w:before="120" w:after="0" w:line="240" w:lineRule="auto"/>
        <w:ind w:left="142"/>
        <w:jc w:val="both"/>
        <w:rPr>
          <w:rFonts w:eastAsia="Times New Roman" w:cs="Times New Roman"/>
          <w:b/>
          <w:sz w:val="24"/>
          <w:szCs w:val="24"/>
        </w:rPr>
      </w:pPr>
      <w:r w:rsidRPr="008E32CB">
        <w:rPr>
          <w:rFonts w:eastAsia="Times New Roman" w:cs="Times New Roman"/>
          <w:sz w:val="24"/>
          <w:szCs w:val="24"/>
        </w:rPr>
        <w:t xml:space="preserve"> Jak wynika z przedstawionej w Raporcie analizy sądy rzadko podwyższają kwotę zasądzaną na rzecz skarżącego z tytułu przewlekłości postępowania ponad ustawowe minimum, tj. 2000 zł, ze względu na to, że sprawa ma szczególne znaczenie dla skarżącego, bowiem w „</w:t>
      </w:r>
      <w:r w:rsidRPr="008E32CB">
        <w:rPr>
          <w:rFonts w:eastAsia="Times New Roman" w:cs="Times New Roman"/>
          <w:iCs/>
          <w:sz w:val="24"/>
          <w:szCs w:val="24"/>
        </w:rPr>
        <w:t>sprawach, w których skardze podlegało postępowanie trwające łącznie mniej niż rok, sąd w 26 przypadkach podwyższył kwotę minimalną, z czego tylko w 3 przypadkach powołał się na to, że sprawa miała szczególne znaczenie dla skarżącego. W żadnym przypadku sąd nie zwrócił uwagi na to, że skarżący mógł swoim zachowaniem przyczynić się do przewlekłości. Z kolei w postępowaniach trwających dłużej niż rok sąd w 271 przypadkach zasądził kwotę wyższą niż 2000 zł i tym samym wyższą niż 500 zł w przeliczeniu na każdy rok trwającego postępowania. W tych sprawach, jedynie w 41 przypadkach powołał się na szczególne znaczenie dla skarżącego, a w 28 przypadkach zarzucił, że zachowanie skarżącego miało wpływ na powstałą przewlekłość. Wydaje się więc, że, jak już sygnalizowano, zasadniczo sądy najczęściej poprzestają na przyznaniu minimalnej wysokości rekompensaty, a jej podwyższenie nie jest też najczęściej uzasadniane dwiema, wymienionymi przesłankami”</w:t>
      </w:r>
      <w:r w:rsidRPr="008E32CB">
        <w:rPr>
          <w:rFonts w:eastAsia="Times New Roman" w:cs="Times New Roman"/>
          <w:iCs/>
          <w:sz w:val="24"/>
          <w:szCs w:val="24"/>
          <w:vertAlign w:val="superscript"/>
          <w:lang w:val="en-GB"/>
        </w:rPr>
        <w:footnoteReference w:id="305"/>
      </w:r>
      <w:r w:rsidRPr="008E32CB">
        <w:rPr>
          <w:rFonts w:eastAsia="Times New Roman" w:cs="Times New Roman"/>
          <w:iCs/>
          <w:sz w:val="24"/>
          <w:szCs w:val="24"/>
        </w:rPr>
        <w:t>.</w:t>
      </w:r>
      <w:r w:rsidRPr="008E32CB">
        <w:rPr>
          <w:rFonts w:eastAsia="Times New Roman" w:cs="Times New Roman"/>
          <w:sz w:val="24"/>
          <w:szCs w:val="24"/>
        </w:rPr>
        <w:t xml:space="preserve"> Oznacza to, że tylko w 297 z 1324 badanych spraw, tj. w ok. 22%, sądy zdecydowały się na podwyższenie przyznanej skarżącym rekompensaty pieniężnej z powodu stwierdzonej przewlekłości postępowania sądowego, zgodnie ze szczególnymi przesłankami, o których mowa w art. 12 ust. 4 ustawy o skardze na przewlekłość postępowania.</w:t>
      </w:r>
    </w:p>
    <w:p w:rsidR="004E1166" w:rsidRPr="000F4063" w:rsidRDefault="004E1166" w:rsidP="008E32CB">
      <w:pPr>
        <w:widowControl w:val="0"/>
        <w:numPr>
          <w:ilvl w:val="0"/>
          <w:numId w:val="28"/>
        </w:numPr>
        <w:tabs>
          <w:tab w:val="left" w:pos="313"/>
        </w:tabs>
        <w:spacing w:before="120" w:after="0" w:line="240" w:lineRule="auto"/>
        <w:ind w:left="142"/>
        <w:jc w:val="both"/>
        <w:rPr>
          <w:rFonts w:eastAsia="Times New Roman" w:cs="Times New Roman"/>
          <w:b/>
          <w:sz w:val="24"/>
          <w:szCs w:val="24"/>
        </w:rPr>
      </w:pPr>
      <w:r w:rsidRPr="008E32CB">
        <w:rPr>
          <w:rFonts w:eastAsia="Times New Roman" w:cs="Times New Roman"/>
          <w:sz w:val="24"/>
          <w:szCs w:val="24"/>
        </w:rPr>
        <w:t xml:space="preserve"> Analizując sprawy według rodzaju, wskazano, że „</w:t>
      </w:r>
      <w:r w:rsidRPr="008E32CB">
        <w:rPr>
          <w:rFonts w:eastAsia="Times New Roman" w:cs="Times New Roman"/>
          <w:iCs/>
          <w:sz w:val="24"/>
          <w:szCs w:val="24"/>
        </w:rPr>
        <w:t>uwzględniając podział rzeczowy spraw, najwyższe rekompensaty pieniężne były przyznawane w sprawach karnych (średnia arytmetyczna – 4024,89 zł, mediana – 2500 zł, co wynika z ich większej ogólnej przewlekłości), najniższe zaś w sprawach cywilnych ze skargi na czynności komornika (średnia arytmetyczna – 2181,82 zł, mediana – 2 000 zł) oraz w sprawach gospodarczych (średnia arytmetyczna – 2238,46 zł, mediana – 2000 zł)</w:t>
      </w:r>
      <w:r w:rsidRPr="008E32CB">
        <w:rPr>
          <w:rFonts w:eastAsia="Times New Roman" w:cs="Times New Roman"/>
          <w:sz w:val="24"/>
          <w:szCs w:val="24"/>
        </w:rPr>
        <w:t>”</w:t>
      </w:r>
      <w:r w:rsidRPr="008E32CB">
        <w:rPr>
          <w:rFonts w:eastAsia="Times New Roman" w:cs="Times New Roman"/>
          <w:sz w:val="24"/>
          <w:szCs w:val="24"/>
          <w:vertAlign w:val="superscript"/>
          <w:lang w:val="en-GB"/>
        </w:rPr>
        <w:footnoteReference w:id="306"/>
      </w:r>
      <w:r w:rsidRPr="008E32CB">
        <w:rPr>
          <w:rFonts w:eastAsia="Times New Roman" w:cs="Times New Roman"/>
          <w:sz w:val="24"/>
          <w:szCs w:val="24"/>
        </w:rPr>
        <w:t xml:space="preserve">. Powyższa analiza znajduje potwierdzenie we wnioskach zawartych w pkt 18 naszej komunikacji z dnia 11 września 2019 r. W większości spraw średnie kwoty pieniężne zasądzane z tytułu przewlekłości postępowania nie przekraczają 2000 zł. Jednocześnie, jak wskazano w komunikacji z dnia 11 września 2019 r., najwyższe kwoty zasądzane są w sprawach karnych, co należy ocenić pozytywnie. Natomiast </w:t>
      </w:r>
      <w:r w:rsidRPr="000F4063">
        <w:rPr>
          <w:rFonts w:eastAsia="Times New Roman" w:cs="Times New Roman"/>
          <w:sz w:val="24"/>
          <w:szCs w:val="24"/>
        </w:rPr>
        <w:t>w sprawach z zakresu ubezpieczeń społecznych kwoty te tylko nieznacznie przekraczają 2000 zł (2125 zł). To samo dotyczy spraw gospodarczych rozpoznawanych przez sądy okręgowe, gdzie średnia zasądzana kwota wynosiła 2300 zł. Nie we wszystkich rodzajach spraw dochodzi zatem do podwyższenia zasądzanej rekompensaty pieniężnej.</w:t>
      </w:r>
    </w:p>
    <w:p w:rsidR="004E1166" w:rsidRPr="000F4063" w:rsidRDefault="004E1166" w:rsidP="008E32CB">
      <w:pPr>
        <w:widowControl w:val="0"/>
        <w:numPr>
          <w:ilvl w:val="0"/>
          <w:numId w:val="28"/>
        </w:numPr>
        <w:tabs>
          <w:tab w:val="left" w:pos="313"/>
        </w:tabs>
        <w:spacing w:before="120" w:after="0" w:line="240" w:lineRule="auto"/>
        <w:ind w:left="142"/>
        <w:jc w:val="both"/>
        <w:rPr>
          <w:rFonts w:eastAsia="Times New Roman" w:cs="Times New Roman"/>
          <w:b/>
          <w:sz w:val="24"/>
          <w:szCs w:val="24"/>
        </w:rPr>
      </w:pPr>
      <w:r w:rsidRPr="000F4063">
        <w:rPr>
          <w:rFonts w:eastAsia="Times New Roman" w:cs="Times New Roman"/>
          <w:sz w:val="24"/>
          <w:szCs w:val="24"/>
        </w:rPr>
        <w:t xml:space="preserve"> Podsumowując powyższe rozważania, z przedstawionej w Raporcie analizy wynika, że nie w każdej sprawie, w której stwierdzono przewlekłość postępowania, zasądzono 500 zł rocznie, </w:t>
      </w:r>
      <w:r w:rsidRPr="000F4063">
        <w:rPr>
          <w:rFonts w:eastAsia="Times New Roman" w:cs="Times New Roman"/>
          <w:sz w:val="24"/>
          <w:szCs w:val="24"/>
        </w:rPr>
        <w:lastRenderedPageBreak/>
        <w:t>pomimo wprowadzenia takiej regulacji do ustawy o przewlekłości postępowania. Na ten sam problem HFPC zwróciła uwagę w komunikacji z dnia 11 września 2019 r. Ponadto, jak również wynika z Raportu, wraz ze wzrostem liczby wpływających skarg na przewlekłość postępowań zwiększyła się również łączna kwota wydawana na odszkodowania dla osób skarżących – od 357 tys. złotych w 2004 r. do 5,8 mln zł w 2018 r. Jednak pomimo tego znacznego wzrostu, średnia kwota wypłacanych rekompensat nie zmienia się znacząco – w 2004 r. wynosiła ona 2400 zł, a w 2018 r. – 3100 zł</w:t>
      </w:r>
      <w:r w:rsidRPr="000F4063">
        <w:rPr>
          <w:rFonts w:eastAsia="Times New Roman" w:cs="Times New Roman"/>
          <w:sz w:val="24"/>
          <w:szCs w:val="24"/>
          <w:vertAlign w:val="superscript"/>
          <w:lang w:val="en-GB"/>
        </w:rPr>
        <w:footnoteReference w:id="307"/>
      </w:r>
      <w:r w:rsidRPr="000F4063">
        <w:rPr>
          <w:rFonts w:eastAsia="Times New Roman" w:cs="Times New Roman"/>
          <w:sz w:val="24"/>
          <w:szCs w:val="24"/>
        </w:rPr>
        <w:t>. Należy ponownie podkreślić, że wniosek ten jest zbieżny z ustaleniami opartymi na danych przedstawionych przez HFPC w punkcie 18 komunikacji z dnia 11 września 2019 r.</w:t>
      </w:r>
    </w:p>
    <w:p w:rsidR="004E1166" w:rsidRPr="000F4063" w:rsidRDefault="004E1166" w:rsidP="008E32CB">
      <w:pPr>
        <w:widowControl w:val="0"/>
        <w:numPr>
          <w:ilvl w:val="0"/>
          <w:numId w:val="27"/>
        </w:numPr>
        <w:tabs>
          <w:tab w:val="left" w:pos="313"/>
        </w:tabs>
        <w:spacing w:before="120" w:after="0" w:line="240" w:lineRule="auto"/>
        <w:jc w:val="both"/>
        <w:rPr>
          <w:rFonts w:eastAsia="Times New Roman" w:cs="Times New Roman"/>
          <w:b/>
          <w:sz w:val="24"/>
          <w:szCs w:val="24"/>
        </w:rPr>
      </w:pPr>
      <w:r w:rsidRPr="000F4063">
        <w:rPr>
          <w:rFonts w:eastAsia="Times New Roman" w:cs="Times New Roman"/>
          <w:b/>
          <w:sz w:val="24"/>
          <w:szCs w:val="24"/>
        </w:rPr>
        <w:t>Streszczenie i zalecenia</w:t>
      </w:r>
    </w:p>
    <w:p w:rsidR="004E1166" w:rsidRPr="000F4063" w:rsidRDefault="004E1166" w:rsidP="008E32CB">
      <w:pPr>
        <w:widowControl w:val="0"/>
        <w:numPr>
          <w:ilvl w:val="0"/>
          <w:numId w:val="28"/>
        </w:numPr>
        <w:tabs>
          <w:tab w:val="left" w:pos="142"/>
        </w:tabs>
        <w:spacing w:before="120" w:after="0" w:line="240" w:lineRule="auto"/>
        <w:ind w:left="284"/>
        <w:jc w:val="both"/>
        <w:rPr>
          <w:rFonts w:eastAsia="Times New Roman" w:cs="Times New Roman"/>
          <w:b/>
          <w:sz w:val="24"/>
          <w:szCs w:val="24"/>
        </w:rPr>
      </w:pPr>
      <w:r w:rsidRPr="000F4063">
        <w:rPr>
          <w:rFonts w:eastAsia="Times New Roman" w:cs="Times New Roman"/>
          <w:sz w:val="24"/>
          <w:szCs w:val="24"/>
        </w:rPr>
        <w:t xml:space="preserve"> Mając na uwadze powyższy Raport i wszystkie wyprowadzone w nim wnioski, należy podkreślić, że jego ustalenia są zbieżne z komunikacją z dnia 11 września 2019 r., a w szczególności z jej punktem 18. Z tego względu HFPC podtrzymuje wszystkie swoje wnioski zawarte w wyżej wymienionej komunikacji</w:t>
      </w:r>
    </w:p>
    <w:p w:rsidR="004E1166" w:rsidRPr="000F4063" w:rsidRDefault="004E1166" w:rsidP="008E32CB">
      <w:pPr>
        <w:widowControl w:val="0"/>
        <w:numPr>
          <w:ilvl w:val="0"/>
          <w:numId w:val="28"/>
        </w:numPr>
        <w:tabs>
          <w:tab w:val="left" w:pos="308"/>
        </w:tabs>
        <w:spacing w:before="120" w:after="0" w:line="240" w:lineRule="auto"/>
        <w:ind w:left="284"/>
        <w:jc w:val="both"/>
        <w:rPr>
          <w:rFonts w:eastAsia="Times New Roman" w:cs="Times New Roman"/>
          <w:b/>
          <w:sz w:val="24"/>
          <w:szCs w:val="24"/>
        </w:rPr>
      </w:pPr>
      <w:r w:rsidRPr="000F4063">
        <w:rPr>
          <w:rFonts w:eastAsia="Times New Roman" w:cs="Times New Roman"/>
          <w:sz w:val="24"/>
          <w:szCs w:val="24"/>
        </w:rPr>
        <w:t xml:space="preserve"> Zdaniem Helsińskiej Fundacji Praw Człowieka wyrok w sprawie </w:t>
      </w:r>
      <w:r w:rsidRPr="000F4063">
        <w:rPr>
          <w:rFonts w:eastAsia="Times New Roman" w:cs="Times New Roman"/>
          <w:i/>
          <w:iCs/>
          <w:sz w:val="24"/>
          <w:szCs w:val="24"/>
        </w:rPr>
        <w:t xml:space="preserve">Rutkowski i </w:t>
      </w:r>
      <w:r w:rsidR="008E32CB">
        <w:rPr>
          <w:rFonts w:eastAsia="Times New Roman" w:cs="Times New Roman"/>
          <w:i/>
          <w:iCs/>
          <w:sz w:val="24"/>
          <w:szCs w:val="24"/>
        </w:rPr>
        <w:t>i</w:t>
      </w:r>
      <w:r w:rsidRPr="000F4063">
        <w:rPr>
          <w:rFonts w:eastAsia="Times New Roman" w:cs="Times New Roman"/>
          <w:i/>
          <w:iCs/>
          <w:sz w:val="24"/>
          <w:szCs w:val="24"/>
        </w:rPr>
        <w:t>nni p</w:t>
      </w:r>
      <w:r w:rsidR="008E32CB">
        <w:rPr>
          <w:rFonts w:eastAsia="Times New Roman" w:cs="Times New Roman"/>
          <w:i/>
          <w:iCs/>
          <w:sz w:val="24"/>
          <w:szCs w:val="24"/>
        </w:rPr>
        <w:t xml:space="preserve">. </w:t>
      </w:r>
      <w:r w:rsidRPr="000F4063">
        <w:rPr>
          <w:rFonts w:eastAsia="Times New Roman" w:cs="Times New Roman"/>
          <w:i/>
          <w:iCs/>
          <w:sz w:val="24"/>
          <w:szCs w:val="24"/>
        </w:rPr>
        <w:t>Polsce</w:t>
      </w:r>
      <w:r w:rsidRPr="000F4063">
        <w:rPr>
          <w:rFonts w:eastAsia="Times New Roman" w:cs="Times New Roman"/>
          <w:sz w:val="24"/>
          <w:szCs w:val="24"/>
        </w:rPr>
        <w:t xml:space="preserve"> nie został jeszcze w pełni wykonany i Komitet Ministrów powinien kontynuować nadzór nad jego wykonaniem. Niewątpliwie pozytywnie należy ocenić wyeliminowanie problemu „fragmentaryzacji” postępowania. Ustawowa minimalna kwota rocznego słusznego zadośćuczynienia (500 zł) jest jednak zbyt niska, aby zapewnić prawidłowe wykonanie wyroku w sprawie </w:t>
      </w:r>
      <w:r w:rsidRPr="000F4063">
        <w:rPr>
          <w:rFonts w:eastAsia="Times New Roman" w:cs="Times New Roman"/>
          <w:i/>
          <w:iCs/>
          <w:sz w:val="24"/>
          <w:szCs w:val="24"/>
        </w:rPr>
        <w:t>Rutkowski</w:t>
      </w:r>
      <w:r w:rsidRPr="000F4063">
        <w:rPr>
          <w:rFonts w:eastAsia="Times New Roman" w:cs="Times New Roman"/>
          <w:sz w:val="24"/>
          <w:szCs w:val="24"/>
        </w:rPr>
        <w:t>. Negatywnie należy również ocenić utrzymanie maksymalnego progu 20 000 zł łącznej kwoty słusznego zadośćuczynienia, które może zostać zasądzone z tytułu przewlekłości postępowania.</w:t>
      </w:r>
    </w:p>
    <w:p w:rsidR="004E1166" w:rsidRPr="000F4063" w:rsidRDefault="004E1166" w:rsidP="008E32CB">
      <w:pPr>
        <w:widowControl w:val="0"/>
        <w:numPr>
          <w:ilvl w:val="0"/>
          <w:numId w:val="28"/>
        </w:numPr>
        <w:tabs>
          <w:tab w:val="left" w:pos="308"/>
        </w:tabs>
        <w:spacing w:before="120" w:after="0" w:line="240" w:lineRule="auto"/>
        <w:ind w:left="284"/>
        <w:jc w:val="both"/>
        <w:rPr>
          <w:rFonts w:eastAsia="Times New Roman" w:cs="Times New Roman"/>
          <w:b/>
          <w:sz w:val="24"/>
          <w:szCs w:val="24"/>
        </w:rPr>
      </w:pPr>
      <w:r w:rsidRPr="000F4063">
        <w:rPr>
          <w:rFonts w:eastAsia="Times New Roman" w:cs="Times New Roman"/>
          <w:sz w:val="24"/>
          <w:szCs w:val="24"/>
        </w:rPr>
        <w:t>Mając powyższe na uwadze, HFPC uprzejmie przedstawia następujące zalecenia:</w:t>
      </w:r>
    </w:p>
    <w:p w:rsidR="004E1166" w:rsidRPr="000F4063" w:rsidRDefault="004E1166" w:rsidP="008E32CB">
      <w:pPr>
        <w:widowControl w:val="0"/>
        <w:numPr>
          <w:ilvl w:val="0"/>
          <w:numId w:val="29"/>
        </w:numPr>
        <w:tabs>
          <w:tab w:val="left" w:pos="1445"/>
        </w:tabs>
        <w:spacing w:before="120" w:after="0" w:line="240" w:lineRule="auto"/>
        <w:ind w:left="1440" w:hanging="360"/>
        <w:jc w:val="both"/>
        <w:rPr>
          <w:rFonts w:eastAsia="Times New Roman" w:cs="Times New Roman"/>
          <w:sz w:val="24"/>
          <w:szCs w:val="24"/>
        </w:rPr>
      </w:pPr>
      <w:r w:rsidRPr="000F4063">
        <w:rPr>
          <w:rFonts w:eastAsia="Times New Roman" w:cs="Times New Roman"/>
          <w:sz w:val="24"/>
          <w:szCs w:val="24"/>
        </w:rPr>
        <w:t>Komitet powinien zwrócić się do polskiego rządu o przekazanie informacji na temat:</w:t>
      </w:r>
    </w:p>
    <w:p w:rsidR="004E1166" w:rsidRPr="000F4063" w:rsidRDefault="004E1166" w:rsidP="008E32CB">
      <w:pPr>
        <w:widowControl w:val="0"/>
        <w:numPr>
          <w:ilvl w:val="0"/>
          <w:numId w:val="30"/>
        </w:numPr>
        <w:tabs>
          <w:tab w:val="left" w:pos="2180"/>
        </w:tabs>
        <w:spacing w:before="120" w:after="0" w:line="240" w:lineRule="auto"/>
        <w:ind w:left="2160" w:hanging="340"/>
        <w:jc w:val="both"/>
        <w:rPr>
          <w:rFonts w:eastAsia="Times New Roman" w:cs="Times New Roman"/>
          <w:sz w:val="24"/>
          <w:szCs w:val="24"/>
        </w:rPr>
      </w:pPr>
      <w:r w:rsidRPr="000F4063">
        <w:rPr>
          <w:rFonts w:eastAsia="Times New Roman" w:cs="Times New Roman"/>
          <w:sz w:val="24"/>
          <w:szCs w:val="24"/>
        </w:rPr>
        <w:t>działań podjętych w celu zapewnienia prawa do bycia wysłuchanym w rozsądnym terminie i do skutecznego środka odwoławczego w przewlekłych postępowaniach przed sądami polskimi;</w:t>
      </w:r>
    </w:p>
    <w:p w:rsidR="004E1166" w:rsidRPr="000F4063" w:rsidRDefault="004E1166" w:rsidP="008E32CB">
      <w:pPr>
        <w:widowControl w:val="0"/>
        <w:numPr>
          <w:ilvl w:val="0"/>
          <w:numId w:val="30"/>
        </w:numPr>
        <w:tabs>
          <w:tab w:val="left" w:pos="2180"/>
        </w:tabs>
        <w:spacing w:before="120" w:after="0" w:line="240" w:lineRule="auto"/>
        <w:ind w:left="2160" w:hanging="340"/>
        <w:jc w:val="both"/>
        <w:rPr>
          <w:rFonts w:eastAsia="Times New Roman" w:cs="Times New Roman"/>
          <w:sz w:val="24"/>
          <w:szCs w:val="24"/>
        </w:rPr>
      </w:pPr>
      <w:r w:rsidRPr="000F4063">
        <w:rPr>
          <w:rFonts w:eastAsia="Times New Roman" w:cs="Times New Roman"/>
          <w:sz w:val="24"/>
          <w:szCs w:val="24"/>
        </w:rPr>
        <w:t>skuteczności dotychczas podjętych działań;</w:t>
      </w:r>
    </w:p>
    <w:p w:rsidR="004E1166" w:rsidRPr="000F4063" w:rsidRDefault="004E1166" w:rsidP="008E32CB">
      <w:pPr>
        <w:widowControl w:val="0"/>
        <w:numPr>
          <w:ilvl w:val="0"/>
          <w:numId w:val="30"/>
        </w:numPr>
        <w:tabs>
          <w:tab w:val="left" w:pos="2180"/>
        </w:tabs>
        <w:spacing w:before="120" w:after="0" w:line="240" w:lineRule="auto"/>
        <w:ind w:left="2160" w:hanging="340"/>
        <w:jc w:val="both"/>
        <w:rPr>
          <w:rFonts w:eastAsia="Times New Roman" w:cs="Times New Roman"/>
          <w:sz w:val="24"/>
          <w:szCs w:val="24"/>
        </w:rPr>
      </w:pPr>
      <w:r w:rsidRPr="000F4063">
        <w:rPr>
          <w:rFonts w:eastAsia="Times New Roman" w:cs="Times New Roman"/>
          <w:sz w:val="24"/>
          <w:szCs w:val="24"/>
        </w:rPr>
        <w:t xml:space="preserve">wszelkich planowanych kolejnych działaniach mających na celu wykonanie wyroku w sprawie </w:t>
      </w:r>
      <w:r w:rsidRPr="000F4063">
        <w:rPr>
          <w:rFonts w:eastAsia="Times New Roman" w:cs="Times New Roman"/>
          <w:i/>
          <w:iCs/>
          <w:sz w:val="24"/>
          <w:szCs w:val="24"/>
        </w:rPr>
        <w:t>Rutkowski</w:t>
      </w:r>
      <w:r w:rsidRPr="000F4063">
        <w:rPr>
          <w:rFonts w:eastAsia="Times New Roman" w:cs="Times New Roman"/>
          <w:sz w:val="24"/>
          <w:szCs w:val="24"/>
        </w:rPr>
        <w:t>.</w:t>
      </w:r>
    </w:p>
    <w:p w:rsidR="004E1166" w:rsidRPr="000F4063" w:rsidRDefault="004E1166" w:rsidP="008E32CB">
      <w:pPr>
        <w:widowControl w:val="0"/>
        <w:numPr>
          <w:ilvl w:val="0"/>
          <w:numId w:val="29"/>
        </w:numPr>
        <w:tabs>
          <w:tab w:val="left" w:pos="1445"/>
        </w:tabs>
        <w:spacing w:before="120" w:after="0" w:line="240" w:lineRule="auto"/>
        <w:ind w:left="1440" w:hanging="360"/>
        <w:jc w:val="both"/>
        <w:rPr>
          <w:rFonts w:eastAsia="Times New Roman" w:cs="Times New Roman"/>
          <w:sz w:val="24"/>
          <w:szCs w:val="24"/>
        </w:rPr>
      </w:pPr>
      <w:r w:rsidRPr="000F4063">
        <w:rPr>
          <w:rFonts w:eastAsia="Times New Roman" w:cs="Times New Roman"/>
          <w:sz w:val="24"/>
          <w:szCs w:val="24"/>
        </w:rPr>
        <w:t xml:space="preserve">Komitet Ministrów Rady Europy powinien rozważyć uwzględnienie w porządku obrad swojego najbliższego posiedzenia kwestii ogólnego wykonania wyroku ETPCz w sprawie </w:t>
      </w:r>
      <w:r w:rsidR="00BD3249">
        <w:rPr>
          <w:rFonts w:eastAsia="Times New Roman" w:cs="Times New Roman"/>
          <w:i/>
          <w:iCs/>
          <w:sz w:val="24"/>
          <w:szCs w:val="24"/>
        </w:rPr>
        <w:t>Rutkowski i inni p.</w:t>
      </w:r>
      <w:r w:rsidRPr="000F4063">
        <w:rPr>
          <w:rFonts w:eastAsia="Times New Roman" w:cs="Times New Roman"/>
          <w:i/>
          <w:iCs/>
          <w:sz w:val="24"/>
          <w:szCs w:val="24"/>
        </w:rPr>
        <w:t xml:space="preserve"> Polsce</w:t>
      </w:r>
      <w:r w:rsidRPr="000F4063">
        <w:rPr>
          <w:rFonts w:eastAsia="Times New Roman" w:cs="Times New Roman"/>
          <w:sz w:val="24"/>
          <w:szCs w:val="24"/>
        </w:rPr>
        <w:t>.</w:t>
      </w:r>
    </w:p>
    <w:p w:rsidR="004E1166" w:rsidRPr="000F4063" w:rsidRDefault="004E1166" w:rsidP="008E32CB">
      <w:pPr>
        <w:widowControl w:val="0"/>
        <w:numPr>
          <w:ilvl w:val="0"/>
          <w:numId w:val="28"/>
        </w:numPr>
        <w:tabs>
          <w:tab w:val="left" w:pos="414"/>
        </w:tabs>
        <w:spacing w:before="120" w:after="0" w:line="240" w:lineRule="auto"/>
        <w:jc w:val="both"/>
        <w:rPr>
          <w:rFonts w:eastAsia="Times New Roman" w:cs="Times New Roman"/>
          <w:sz w:val="24"/>
          <w:szCs w:val="24"/>
        </w:rPr>
      </w:pPr>
      <w:r w:rsidRPr="000F4063">
        <w:rPr>
          <w:rFonts w:eastAsia="Times New Roman" w:cs="Times New Roman"/>
          <w:sz w:val="24"/>
          <w:szCs w:val="24"/>
        </w:rPr>
        <w:t xml:space="preserve">W ocenie HFPC pełne wykonanie wyroku w sprawie </w:t>
      </w:r>
      <w:r w:rsidRPr="000F4063">
        <w:rPr>
          <w:rFonts w:eastAsia="Times New Roman" w:cs="Times New Roman"/>
          <w:i/>
          <w:iCs/>
          <w:sz w:val="24"/>
          <w:szCs w:val="24"/>
        </w:rPr>
        <w:t>Rutkowski</w:t>
      </w:r>
      <w:r w:rsidRPr="000F4063">
        <w:rPr>
          <w:rFonts w:eastAsia="Times New Roman" w:cs="Times New Roman"/>
          <w:sz w:val="24"/>
          <w:szCs w:val="24"/>
        </w:rPr>
        <w:t xml:space="preserve"> wymaga od rządu polskiego wprowadzenia następujących zmian:</w:t>
      </w:r>
    </w:p>
    <w:p w:rsidR="004E1166" w:rsidRPr="000F4063" w:rsidRDefault="004E1166" w:rsidP="008E32CB">
      <w:pPr>
        <w:widowControl w:val="0"/>
        <w:numPr>
          <w:ilvl w:val="1"/>
          <w:numId w:val="31"/>
        </w:numPr>
        <w:tabs>
          <w:tab w:val="left" w:pos="414"/>
        </w:tabs>
        <w:spacing w:before="120" w:after="0" w:line="240" w:lineRule="auto"/>
        <w:jc w:val="both"/>
        <w:rPr>
          <w:rFonts w:eastAsia="Times New Roman" w:cs="Times New Roman"/>
          <w:sz w:val="24"/>
          <w:szCs w:val="24"/>
        </w:rPr>
      </w:pPr>
      <w:r w:rsidRPr="000F4063">
        <w:rPr>
          <w:rFonts w:eastAsia="Times New Roman" w:cs="Times New Roman"/>
          <w:sz w:val="24"/>
          <w:szCs w:val="24"/>
        </w:rPr>
        <w:t xml:space="preserve">należy podwyższyć minimalną kwotę słusznego odszkodowania z tytułu przewlekłości postępowania (obecnie 500 zł za każdy rok przewlekłości postępowania) co najmniej do poziomu zgodnego ze standardem wyznaczonym przez ETPCz w sprawie </w:t>
      </w:r>
      <w:r w:rsidR="00BD3249">
        <w:rPr>
          <w:rFonts w:eastAsia="Times New Roman" w:cs="Times New Roman"/>
          <w:i/>
          <w:iCs/>
          <w:sz w:val="24"/>
          <w:szCs w:val="24"/>
        </w:rPr>
        <w:t>Apicella p.</w:t>
      </w:r>
      <w:r w:rsidRPr="000F4063">
        <w:rPr>
          <w:rFonts w:eastAsia="Times New Roman" w:cs="Times New Roman"/>
          <w:i/>
          <w:iCs/>
          <w:sz w:val="24"/>
          <w:szCs w:val="24"/>
        </w:rPr>
        <w:t xml:space="preserve"> Włochom</w:t>
      </w:r>
      <w:r w:rsidRPr="000F4063">
        <w:rPr>
          <w:rFonts w:eastAsia="Times New Roman" w:cs="Times New Roman"/>
          <w:sz w:val="24"/>
          <w:szCs w:val="24"/>
        </w:rPr>
        <w:t>,</w:t>
      </w:r>
    </w:p>
    <w:p w:rsidR="004E1166" w:rsidRPr="000F4063" w:rsidRDefault="004E1166" w:rsidP="008E32CB">
      <w:pPr>
        <w:widowControl w:val="0"/>
        <w:numPr>
          <w:ilvl w:val="1"/>
          <w:numId w:val="31"/>
        </w:numPr>
        <w:tabs>
          <w:tab w:val="left" w:pos="414"/>
        </w:tabs>
        <w:spacing w:before="120" w:after="0" w:line="240" w:lineRule="auto"/>
        <w:jc w:val="both"/>
        <w:rPr>
          <w:rFonts w:eastAsia="Times New Roman" w:cs="Times New Roman"/>
          <w:sz w:val="24"/>
          <w:szCs w:val="24"/>
        </w:rPr>
      </w:pPr>
      <w:r w:rsidRPr="000F4063">
        <w:rPr>
          <w:rFonts w:eastAsia="Times New Roman" w:cs="Times New Roman"/>
          <w:sz w:val="24"/>
          <w:szCs w:val="24"/>
        </w:rPr>
        <w:lastRenderedPageBreak/>
        <w:t>należy zmienić treść art. 12 ust. 4 ustawy z 2004 r. poprzez uchylenie górnej granicy kwoty rekompensaty tytułem słusznego zadośćuczynienia za przewlekłość postępowania;</w:t>
      </w:r>
      <w:r w:rsidRPr="000F4063">
        <w:rPr>
          <w:rFonts w:eastAsia="Times New Roman" w:cs="Times New Roman"/>
          <w:sz w:val="24"/>
          <w:szCs w:val="24"/>
        </w:rPr>
        <w:t> </w:t>
      </w:r>
    </w:p>
    <w:p w:rsidR="004E1166" w:rsidRPr="000F4063" w:rsidRDefault="004E1166" w:rsidP="008E32CB">
      <w:pPr>
        <w:widowControl w:val="0"/>
        <w:numPr>
          <w:ilvl w:val="1"/>
          <w:numId w:val="31"/>
        </w:numPr>
        <w:tabs>
          <w:tab w:val="left" w:pos="414"/>
        </w:tabs>
        <w:spacing w:before="120" w:after="0" w:line="240" w:lineRule="auto"/>
        <w:jc w:val="both"/>
        <w:rPr>
          <w:rFonts w:eastAsia="Times New Roman" w:cs="Times New Roman"/>
          <w:sz w:val="24"/>
          <w:szCs w:val="24"/>
        </w:rPr>
      </w:pPr>
      <w:r w:rsidRPr="000F4063">
        <w:rPr>
          <w:rFonts w:eastAsia="Times New Roman" w:cs="Times New Roman"/>
          <w:sz w:val="24"/>
          <w:szCs w:val="24"/>
        </w:rPr>
        <w:t>należy zmienić ustawę Prawo o ustroju sądów powszechnych w taki sposób, aby sędziowie, którzy zostali oddelegowani do pełnienia obowiązków administracyjnych i którzy zgodnie z art. 77 § 1 pkt 2b) ustawy Prawa o ustroju sądów powszechnych nie są w stanie rozpoznawać spraw, nie byli już uznawani za czynnych sędziów sądów krajowych;</w:t>
      </w:r>
    </w:p>
    <w:p w:rsidR="004E1166" w:rsidRPr="000F4063" w:rsidRDefault="004E1166" w:rsidP="008E32CB">
      <w:pPr>
        <w:widowControl w:val="0"/>
        <w:numPr>
          <w:ilvl w:val="1"/>
          <w:numId w:val="31"/>
        </w:numPr>
        <w:tabs>
          <w:tab w:val="left" w:pos="428"/>
        </w:tabs>
        <w:spacing w:before="120" w:after="0" w:line="240" w:lineRule="auto"/>
        <w:jc w:val="both"/>
        <w:rPr>
          <w:rFonts w:eastAsia="Times New Roman" w:cs="Times New Roman"/>
          <w:sz w:val="24"/>
          <w:szCs w:val="24"/>
        </w:rPr>
      </w:pPr>
      <w:r w:rsidRPr="000F4063">
        <w:rPr>
          <w:rFonts w:eastAsia="Times New Roman" w:cs="Times New Roman"/>
          <w:sz w:val="24"/>
          <w:szCs w:val="24"/>
        </w:rPr>
        <w:t>Wakaty sędziowskie należy zlikwidować poprzez zapewnienie odpowiedniej liczby sędziów, a także personelu administracyjnego obsługującego sędziów.</w:t>
      </w:r>
    </w:p>
    <w:p w:rsidR="004E1166" w:rsidRPr="000F4063" w:rsidRDefault="004E1166" w:rsidP="008E32CB">
      <w:pPr>
        <w:widowControl w:val="0"/>
        <w:numPr>
          <w:ilvl w:val="0"/>
          <w:numId w:val="28"/>
        </w:numPr>
        <w:tabs>
          <w:tab w:val="left" w:pos="428"/>
        </w:tabs>
        <w:spacing w:before="120" w:after="0" w:line="240" w:lineRule="auto"/>
        <w:jc w:val="both"/>
        <w:rPr>
          <w:rFonts w:eastAsia="Times New Roman" w:cs="Times New Roman"/>
          <w:sz w:val="24"/>
          <w:szCs w:val="24"/>
        </w:rPr>
      </w:pPr>
      <w:r w:rsidRPr="000F4063">
        <w:rPr>
          <w:rFonts w:eastAsia="Times New Roman" w:cs="Times New Roman"/>
          <w:sz w:val="24"/>
          <w:szCs w:val="24"/>
        </w:rPr>
        <w:t xml:space="preserve">Helsińska Fundacja Praw Człowieka pragnie wyrazić gotowość do udzielenia dalszego wsparcia Komitetowi Ministrów Rady Europy w zakresie monitorowania prawidłowości wykonywania wyroku Europejskiego Trybunału Praw Człowieka w sprawie </w:t>
      </w:r>
      <w:r w:rsidR="008E32CB">
        <w:rPr>
          <w:rFonts w:eastAsia="Times New Roman" w:cs="Times New Roman"/>
          <w:i/>
          <w:iCs/>
          <w:sz w:val="24"/>
          <w:szCs w:val="24"/>
        </w:rPr>
        <w:t>Rutkowski i Inni p.</w:t>
      </w:r>
      <w:r w:rsidRPr="000F4063">
        <w:rPr>
          <w:rFonts w:eastAsia="Times New Roman" w:cs="Times New Roman"/>
          <w:i/>
          <w:iCs/>
          <w:sz w:val="24"/>
          <w:szCs w:val="24"/>
        </w:rPr>
        <w:t xml:space="preserve"> Polsce</w:t>
      </w:r>
      <w:r w:rsidRPr="000F4063">
        <w:rPr>
          <w:rFonts w:eastAsia="Times New Roman" w:cs="Times New Roman"/>
          <w:sz w:val="24"/>
          <w:szCs w:val="24"/>
        </w:rPr>
        <w:t>.</w:t>
      </w:r>
    </w:p>
    <w:p w:rsidR="004E1166" w:rsidRPr="004E1166" w:rsidRDefault="004E1166" w:rsidP="004E1166">
      <w:pPr>
        <w:spacing w:after="120" w:line="240" w:lineRule="auto"/>
        <w:jc w:val="both"/>
        <w:rPr>
          <w:sz w:val="24"/>
          <w:szCs w:val="24"/>
        </w:rPr>
      </w:pPr>
    </w:p>
    <w:p w:rsidR="004E1166" w:rsidRDefault="004E1166" w:rsidP="004E1166">
      <w:pPr>
        <w:spacing w:after="120" w:line="240" w:lineRule="auto"/>
        <w:jc w:val="both"/>
        <w:rPr>
          <w:sz w:val="24"/>
          <w:szCs w:val="24"/>
          <w:u w:val="single"/>
        </w:rPr>
      </w:pPr>
      <w:r>
        <w:rPr>
          <w:sz w:val="24"/>
          <w:szCs w:val="24"/>
          <w:u w:val="single"/>
        </w:rPr>
        <w:t xml:space="preserve">Odpowiedź rządu z dnia 24 kwietnia 2020 r. </w:t>
      </w:r>
    </w:p>
    <w:p w:rsidR="00751592" w:rsidRPr="00751592" w:rsidRDefault="00751592" w:rsidP="00751592">
      <w:pPr>
        <w:autoSpaceDE w:val="0"/>
        <w:autoSpaceDN w:val="0"/>
        <w:adjustRightInd w:val="0"/>
        <w:spacing w:before="120" w:after="0" w:line="240" w:lineRule="auto"/>
        <w:jc w:val="both"/>
        <w:rPr>
          <w:rFonts w:ascii="Calibri" w:hAnsi="Calibri" w:cs="Calibri"/>
          <w:sz w:val="24"/>
          <w:szCs w:val="24"/>
        </w:rPr>
      </w:pPr>
      <w:r w:rsidRPr="00751592">
        <w:rPr>
          <w:rFonts w:ascii="Calibri" w:hAnsi="Calibri" w:cs="Calibri"/>
          <w:sz w:val="24"/>
          <w:szCs w:val="24"/>
        </w:rPr>
        <w:t>W odpowiedzi na komunikację Helsińskiej Fundacji Praw Człowieka (dalej: HFPC) z dnia 17 kwietnia 2020 r. w sprawie Rutkowski i inni p. Polsce (skarga nr 72287/10), rząd Polski chciałby przedstawić następujące uwagi.</w:t>
      </w:r>
    </w:p>
    <w:p w:rsidR="00751592" w:rsidRPr="00751592" w:rsidRDefault="00751592" w:rsidP="00751592">
      <w:pPr>
        <w:autoSpaceDE w:val="0"/>
        <w:autoSpaceDN w:val="0"/>
        <w:adjustRightInd w:val="0"/>
        <w:spacing w:before="120" w:after="0" w:line="240" w:lineRule="auto"/>
        <w:jc w:val="both"/>
        <w:rPr>
          <w:rFonts w:ascii="Calibri" w:hAnsi="Calibri" w:cs="Calibri"/>
          <w:sz w:val="24"/>
          <w:szCs w:val="24"/>
        </w:rPr>
      </w:pPr>
      <w:r w:rsidRPr="00751592">
        <w:rPr>
          <w:rFonts w:ascii="Calibri" w:hAnsi="Calibri" w:cs="Calibri"/>
          <w:sz w:val="24"/>
          <w:szCs w:val="24"/>
        </w:rPr>
        <w:t>Przede wszystkim należy zauważyć, ze komunikacja HFPC z 17 kwietnia 2020 dotyczy ustaleń z kwerendy orzecznictwa krajowego w 2018 r. dotyczącej skarg na przewlekłość postępowania, przeprowadzonej przez Instytut Wymiaru Sprawiedliwości w celu ustalenia rzeczywistej średniej kwoty zasądzonej przez sądy w każdym rodzaju sprawy za każdy rok przewlekłych postępowań. Dlatego obecne uwagi rządu odnoszą się tylko do tej kwestii. Jednocześnie, w zakresie w jakim dotyczy to pozostałych rekomendacji dla Państwa-Strony, zawartych w pkt 13 b-d komunikacji (kwestia zniesienia górnej granicy wysokości odszkodowania za przewlekłe postępowanie, kwestia sędziów oddelegowanych do czynności administracyjnych oraz kwestia wakatów na stanowiskach sędziowskich), rząd chciałby podtrzymać swoje stanowisko zaprezentowane w pkt 2-4 odpowiedzi na poprzednią komunikację HFPC z dnia 11 września 2019 r., przekazaną w dniu 25 września 2019 r. (dokument DH-DD(2019)1081).</w:t>
      </w:r>
    </w:p>
    <w:p w:rsidR="00751592" w:rsidRPr="00751592" w:rsidRDefault="00751592" w:rsidP="00751592">
      <w:pPr>
        <w:autoSpaceDE w:val="0"/>
        <w:autoSpaceDN w:val="0"/>
        <w:adjustRightInd w:val="0"/>
        <w:spacing w:before="120" w:after="0" w:line="240" w:lineRule="auto"/>
        <w:jc w:val="both"/>
        <w:rPr>
          <w:rFonts w:ascii="Calibri" w:hAnsi="Calibri" w:cs="Calibri"/>
          <w:sz w:val="24"/>
          <w:szCs w:val="24"/>
        </w:rPr>
      </w:pPr>
      <w:r w:rsidRPr="00751592">
        <w:rPr>
          <w:rFonts w:ascii="Calibri" w:hAnsi="Calibri" w:cs="Calibri"/>
          <w:sz w:val="24"/>
          <w:szCs w:val="24"/>
        </w:rPr>
        <w:t>Po drugie, w odniesieniu do komentarzy HFPC dotyczącej wysokości kompensacji za przewlekłe postępowanie oraz jej wniosków że ustalenia ww. kwerendy stanowią poparcie rekomendacji że ustawowe minimum takiej kompensacji za każdy rok przewlekłego postępowania (500 zł) powinno zostać podniesione, rząd nie może zgodzić się z takim wnioskiem i podtrzymuje swoje stanowisko przedstawione w dokumencie z dnia 25 września 2019 r.</w:t>
      </w:r>
    </w:p>
    <w:p w:rsidR="00751592" w:rsidRPr="00751592" w:rsidRDefault="00751592" w:rsidP="00751592">
      <w:pPr>
        <w:autoSpaceDE w:val="0"/>
        <w:autoSpaceDN w:val="0"/>
        <w:adjustRightInd w:val="0"/>
        <w:spacing w:before="120" w:after="0" w:line="240" w:lineRule="auto"/>
        <w:jc w:val="both"/>
        <w:rPr>
          <w:rFonts w:ascii="Calibri" w:hAnsi="Calibri" w:cs="Calibri"/>
          <w:sz w:val="24"/>
          <w:szCs w:val="24"/>
        </w:rPr>
      </w:pPr>
      <w:r w:rsidRPr="00751592">
        <w:rPr>
          <w:rFonts w:ascii="Calibri" w:hAnsi="Calibri" w:cs="Calibri"/>
          <w:sz w:val="24"/>
          <w:szCs w:val="24"/>
        </w:rPr>
        <w:t xml:space="preserve">Rząd pragnie przypomnieć, że badanie to zostało zlecone przez Ministerstwo Sprawiedliwości w odpowiedzi również na obawy Komitetu Ministrów dotyczące przyznawanej przeciętnej kwoty pieniężnej i wezwań do pogłębionej refleksji nad kwestią adekwatności kwot odszkodowań zasądzanych przez sądy za przewlekłe postępowania. Raport z kwerendy został </w:t>
      </w:r>
      <w:r w:rsidRPr="00751592">
        <w:rPr>
          <w:rFonts w:ascii="Calibri" w:hAnsi="Calibri" w:cs="Calibri"/>
          <w:sz w:val="24"/>
          <w:szCs w:val="24"/>
        </w:rPr>
        <w:lastRenderedPageBreak/>
        <w:t>udostępniony w styczniu 2020 r. na stronie Instytutu Wymiaru Sądownictwa</w:t>
      </w:r>
      <w:r w:rsidRPr="00751592">
        <w:rPr>
          <w:sz w:val="24"/>
          <w:szCs w:val="24"/>
        </w:rPr>
        <w:footnoteReference w:id="308"/>
      </w:r>
      <w:r w:rsidRPr="00751592">
        <w:rPr>
          <w:rFonts w:ascii="Calibri" w:hAnsi="Calibri" w:cs="Calibri"/>
          <w:sz w:val="24"/>
          <w:szCs w:val="24"/>
        </w:rPr>
        <w:t xml:space="preserve">. Rząd przedstawił obszerną analizę wyników kwerendy w zaktualizowanym planie działania z 22 kwietnia 2020 r. (w części C na stronach 20-22), dlatego też nie będzie ona przytoczona poniżej. </w:t>
      </w:r>
    </w:p>
    <w:p w:rsidR="00751592" w:rsidRPr="00751592" w:rsidRDefault="00751592" w:rsidP="00751592">
      <w:pPr>
        <w:autoSpaceDE w:val="0"/>
        <w:autoSpaceDN w:val="0"/>
        <w:adjustRightInd w:val="0"/>
        <w:spacing w:before="120" w:after="0" w:line="240" w:lineRule="auto"/>
        <w:jc w:val="both"/>
        <w:rPr>
          <w:rFonts w:ascii="Calibri" w:hAnsi="Calibri" w:cs="Calibri"/>
          <w:sz w:val="24"/>
          <w:szCs w:val="24"/>
        </w:rPr>
      </w:pPr>
      <w:r w:rsidRPr="00751592">
        <w:rPr>
          <w:rFonts w:ascii="Calibri" w:hAnsi="Calibri" w:cs="Calibri"/>
          <w:sz w:val="24"/>
          <w:szCs w:val="24"/>
        </w:rPr>
        <w:t>Uwzględniając uwagi HFPC zawarte w komunikacie z dnia 17 kwietnia 2020 r., Rząd nie może nie zauważyć, że wyniki badania Instytutu Sądownictwa wydają się być przedstawione wybiórczo w celu poparcia wcześniejszych wniosków. W punkcie 6 komunika</w:t>
      </w:r>
      <w:r w:rsidR="008E6740">
        <w:rPr>
          <w:rFonts w:ascii="Calibri" w:hAnsi="Calibri" w:cs="Calibri"/>
          <w:sz w:val="24"/>
          <w:szCs w:val="24"/>
        </w:rPr>
        <w:t>cji</w:t>
      </w:r>
      <w:r w:rsidRPr="00751592">
        <w:rPr>
          <w:rFonts w:ascii="Calibri" w:hAnsi="Calibri" w:cs="Calibri"/>
          <w:sz w:val="24"/>
          <w:szCs w:val="24"/>
        </w:rPr>
        <w:t xml:space="preserve"> HFPC odniosła się do informacji przedstawionych na stronach 47 i 48 ankiety, w których wskazano, że w 92% skarg na przewlekłość postępowania zasądzone kwoty pieniężne były równe lub wyższe niż  500 zł za każdy rok postępowania, niezależnie od indywidualnych okoliczności sprawy, w tym: 500-1000 zł w 28,4% skarg, 1001-1500 zł w 18,8% skarg, 1501-2000 zł w 38,8% skarg, 2001-2500 zł w 2,6% skarg, 2501- 3000 zł w 1,9% skarg i 3001 PLN i  więcej w 1,3% skarg. Tak więc w 63.4% wszystkich badanych spraw, sądy Krajowe zasądziły sumy równe lub wyższe od standardu wymaganego w wyroku pilotażowym w tzw. ujęciu retrospektywnym (tj. powyżej 1000 zł za każdy rok) i to przy założeniu modelowego postępowania (bez przyczynienia się skarżącego), natomiast w kolejnych 28,4% spraw sądy przyznały kwoty od 500 do 1000 zł, które w zależności od okoliczności sprawy (np. postępowanie cywilne nieprocesowe, przyczynienie stron) mogą być uznane za adekwatne.</w:t>
      </w:r>
    </w:p>
    <w:p w:rsidR="00751592" w:rsidRPr="00751592" w:rsidRDefault="00751592" w:rsidP="00751592">
      <w:pPr>
        <w:autoSpaceDE w:val="0"/>
        <w:autoSpaceDN w:val="0"/>
        <w:adjustRightInd w:val="0"/>
        <w:spacing w:before="120" w:after="0" w:line="240" w:lineRule="auto"/>
        <w:jc w:val="both"/>
        <w:rPr>
          <w:rFonts w:ascii="Calibri" w:hAnsi="Calibri" w:cs="Calibri"/>
          <w:sz w:val="24"/>
          <w:szCs w:val="24"/>
        </w:rPr>
      </w:pPr>
      <w:r w:rsidRPr="00751592">
        <w:rPr>
          <w:rFonts w:ascii="Calibri" w:hAnsi="Calibri" w:cs="Calibri"/>
          <w:sz w:val="24"/>
          <w:szCs w:val="24"/>
        </w:rPr>
        <w:t xml:space="preserve">Wbrew stanowisku HFPC, powyższe dane nie uzasadniają wniosku, iż przyjęta w ustawie minimalna kwota 500 zł za każdy rok trwania przewlekłego postępowania jest </w:t>
      </w:r>
      <w:r w:rsidRPr="00751592">
        <w:rPr>
          <w:rFonts w:ascii="Calibri" w:hAnsi="Calibri" w:cs="Calibri"/>
          <w:i/>
          <w:sz w:val="24"/>
          <w:szCs w:val="24"/>
        </w:rPr>
        <w:t>per se</w:t>
      </w:r>
      <w:r w:rsidRPr="00751592">
        <w:rPr>
          <w:rFonts w:ascii="Calibri" w:hAnsi="Calibri" w:cs="Calibri"/>
          <w:sz w:val="24"/>
          <w:szCs w:val="24"/>
        </w:rPr>
        <w:t xml:space="preserve"> zbyt niska i w tym zakresie regulacja ustawowa narusza konwencyjny standard i wymaga interwencji (niezależnie od kwestii możliwości miarkowania ww. kwoty przez sądy krajowe, jak również okoliczności, że sąd nie może zasądzić mniejszej kwoty niż 2000 zł).</w:t>
      </w:r>
    </w:p>
    <w:p w:rsidR="00751592" w:rsidRPr="00751592" w:rsidRDefault="00751592" w:rsidP="00751592">
      <w:pPr>
        <w:autoSpaceDE w:val="0"/>
        <w:autoSpaceDN w:val="0"/>
        <w:adjustRightInd w:val="0"/>
        <w:spacing w:before="120" w:after="0" w:line="240" w:lineRule="auto"/>
        <w:jc w:val="both"/>
        <w:rPr>
          <w:rFonts w:ascii="Calibri" w:hAnsi="Calibri" w:cs="Calibri"/>
          <w:sz w:val="24"/>
          <w:szCs w:val="24"/>
        </w:rPr>
      </w:pPr>
      <w:r w:rsidRPr="00751592">
        <w:rPr>
          <w:rFonts w:ascii="Calibri" w:hAnsi="Calibri" w:cs="Calibri"/>
          <w:sz w:val="24"/>
          <w:szCs w:val="24"/>
        </w:rPr>
        <w:t>W punktach 6 I 8 komunikacji, HFPC przytacza ustalenia ze stron 47 i 51 kwerendy dotyczące średniej arytmetycznej oraz mediany zasądzanych rekompensat ogólnie i w każdym rodzaju spraw, jednak bez przeprowadzenia pogłębionej analizy tych danych, w szczególności bez odwołania się do czasu trwania każdego rodzaju postępowania w chwili badania skargi na przewlekłość postępowania, do ich jedno- lub wieloinstancyjnego charakteru, złożoności faktycznej i prawnej oraz wagi sprawy dla stron. Należy podkreślić, że głównym celem kwerendy było ustalenie rzeczywistej średniej wysokości rekompensaty przyznawanej przez sądy w poszczególnych rodzajach spraw za każdy rok przewlekłego postępowania.</w:t>
      </w:r>
    </w:p>
    <w:p w:rsidR="00751592" w:rsidRPr="00751592" w:rsidRDefault="00751592" w:rsidP="00751592">
      <w:pPr>
        <w:autoSpaceDE w:val="0"/>
        <w:autoSpaceDN w:val="0"/>
        <w:adjustRightInd w:val="0"/>
        <w:spacing w:before="120" w:after="0" w:line="240" w:lineRule="auto"/>
        <w:jc w:val="both"/>
        <w:rPr>
          <w:rFonts w:ascii="Calibri" w:hAnsi="Calibri" w:cs="Calibri"/>
          <w:sz w:val="24"/>
          <w:szCs w:val="24"/>
        </w:rPr>
      </w:pPr>
      <w:r w:rsidRPr="00751592">
        <w:rPr>
          <w:rFonts w:ascii="Calibri" w:hAnsi="Calibri" w:cs="Calibri"/>
          <w:sz w:val="24"/>
          <w:szCs w:val="24"/>
        </w:rPr>
        <w:t>Dlatego też nie sposób pominąć takich wynikających z opracowania informacji jak te, że:</w:t>
      </w:r>
    </w:p>
    <w:p w:rsidR="00751592" w:rsidRPr="00751592" w:rsidRDefault="00751592" w:rsidP="00987EB2">
      <w:pPr>
        <w:numPr>
          <w:ilvl w:val="0"/>
          <w:numId w:val="32"/>
        </w:numPr>
        <w:autoSpaceDE w:val="0"/>
        <w:autoSpaceDN w:val="0"/>
        <w:adjustRightInd w:val="0"/>
        <w:spacing w:before="120" w:after="0" w:line="240" w:lineRule="auto"/>
        <w:contextualSpacing/>
        <w:jc w:val="both"/>
        <w:rPr>
          <w:rFonts w:ascii="Calibri" w:hAnsi="Calibri" w:cs="Calibri"/>
          <w:sz w:val="24"/>
          <w:szCs w:val="24"/>
        </w:rPr>
      </w:pPr>
      <w:r w:rsidRPr="00751592">
        <w:rPr>
          <w:rFonts w:ascii="Calibri" w:hAnsi="Calibri" w:cs="Calibri"/>
          <w:sz w:val="24"/>
          <w:szCs w:val="24"/>
        </w:rPr>
        <w:t>jedynie 5% spraw (68 skarg) dotyczyło postępowań wieloetapowych (z instancją odwoławczą), w konsekwencji należy podkreślić, że skarga na przewlekłość postępowań dotyczy przede wszystkim postępowań przed sądami pierwszej instancji (w 77% przed sądami rejonowymi i w 15% przed sądami okręgowymi);</w:t>
      </w:r>
    </w:p>
    <w:p w:rsidR="00751592" w:rsidRPr="00751592" w:rsidRDefault="00751592" w:rsidP="00987EB2">
      <w:pPr>
        <w:numPr>
          <w:ilvl w:val="0"/>
          <w:numId w:val="32"/>
        </w:numPr>
        <w:autoSpaceDE w:val="0"/>
        <w:autoSpaceDN w:val="0"/>
        <w:adjustRightInd w:val="0"/>
        <w:spacing w:before="120" w:after="0" w:line="240" w:lineRule="auto"/>
        <w:contextualSpacing/>
        <w:jc w:val="both"/>
        <w:rPr>
          <w:rFonts w:ascii="Calibri" w:hAnsi="Calibri" w:cs="Calibri"/>
          <w:sz w:val="24"/>
          <w:szCs w:val="24"/>
        </w:rPr>
      </w:pPr>
      <w:r w:rsidRPr="00751592">
        <w:rPr>
          <w:rFonts w:ascii="Calibri" w:hAnsi="Calibri" w:cs="Calibri"/>
          <w:sz w:val="24"/>
          <w:szCs w:val="24"/>
        </w:rPr>
        <w:t>średni czas trwania wszystkich postępowań uznanych za przewlekłe, gdzie sąd zasądził rekompensatę wynosił 1072 dni tj. niespełna 3 lata. Natomiast mediana wyniosła 630 dni, tj. 1 rok i 9 miesięcy;</w:t>
      </w:r>
    </w:p>
    <w:p w:rsidR="00751592" w:rsidRPr="00751592" w:rsidRDefault="00751592" w:rsidP="00987EB2">
      <w:pPr>
        <w:numPr>
          <w:ilvl w:val="0"/>
          <w:numId w:val="32"/>
        </w:numPr>
        <w:autoSpaceDE w:val="0"/>
        <w:autoSpaceDN w:val="0"/>
        <w:adjustRightInd w:val="0"/>
        <w:spacing w:before="120" w:after="0" w:line="240" w:lineRule="auto"/>
        <w:contextualSpacing/>
        <w:jc w:val="both"/>
        <w:rPr>
          <w:rFonts w:ascii="Calibri" w:hAnsi="Calibri" w:cs="Calibri"/>
          <w:sz w:val="24"/>
          <w:szCs w:val="24"/>
        </w:rPr>
      </w:pPr>
      <w:r w:rsidRPr="00751592">
        <w:rPr>
          <w:rFonts w:ascii="Calibri" w:hAnsi="Calibri" w:cs="Calibri"/>
          <w:sz w:val="24"/>
          <w:szCs w:val="24"/>
        </w:rPr>
        <w:t xml:space="preserve">w przypadku spraw cywilnych średni czas trwania przewlekłego postępowania, w którym zasądzono rekompensatę wynosił 961 dni, tj. 2 lata i 4 miesiące. Mediana wynosiła 600 dni, tj. 1 rok i 7 miesięcy. Najwięcej przewlekłych postępowań cywilnych </w:t>
      </w:r>
      <w:r w:rsidRPr="00751592">
        <w:rPr>
          <w:rFonts w:ascii="Calibri" w:hAnsi="Calibri" w:cs="Calibri"/>
          <w:sz w:val="24"/>
          <w:szCs w:val="24"/>
        </w:rPr>
        <w:lastRenderedPageBreak/>
        <w:t>dotyczyło: spraw o zapłatę (ponad 50%), spraw spadkowych oraz dotyczących zasiedzenia i służebności (14%), spraw o podział majątku wspólnego i zniesienie współwłasności (9%) [postępowania nieprocesowe] oraz spraw o odszkodowanie lub zadośćuczynienie (7%). W praktyce skutkuje to niższymi średnimi kwotami rekompensaty zasądzanymi w sprawach cywilnych.</w:t>
      </w:r>
    </w:p>
    <w:p w:rsidR="00751592" w:rsidRPr="00751592" w:rsidRDefault="00751592" w:rsidP="00987EB2">
      <w:pPr>
        <w:numPr>
          <w:ilvl w:val="0"/>
          <w:numId w:val="32"/>
        </w:numPr>
        <w:autoSpaceDE w:val="0"/>
        <w:autoSpaceDN w:val="0"/>
        <w:adjustRightInd w:val="0"/>
        <w:spacing w:before="120" w:after="0" w:line="240" w:lineRule="auto"/>
        <w:contextualSpacing/>
        <w:jc w:val="both"/>
        <w:rPr>
          <w:rFonts w:ascii="Calibri" w:hAnsi="Calibri" w:cs="Calibri"/>
          <w:sz w:val="24"/>
          <w:szCs w:val="24"/>
        </w:rPr>
      </w:pPr>
      <w:r w:rsidRPr="00751592">
        <w:rPr>
          <w:rFonts w:ascii="Calibri" w:hAnsi="Calibri" w:cs="Calibri"/>
          <w:sz w:val="24"/>
          <w:szCs w:val="24"/>
        </w:rPr>
        <w:t>w przypadku spraw karnych, średni czas przewlekłych postępowań, w których sądy krajowe przyznały rekompensatę, wynosił 1786 dni, tj. 4 lata i 10 miesięcy. Mediana wynosiła 1168 dni, tj. 3 lata i 2 miesiące. W praktyce przekłada się to na wyższą uśrednioną wysokość rekompensat przyznawanych w sprawach karnych.</w:t>
      </w:r>
    </w:p>
    <w:p w:rsidR="00751592" w:rsidRPr="00751592" w:rsidRDefault="00751592" w:rsidP="00751592">
      <w:pPr>
        <w:autoSpaceDE w:val="0"/>
        <w:autoSpaceDN w:val="0"/>
        <w:adjustRightInd w:val="0"/>
        <w:spacing w:before="120" w:after="0" w:line="240" w:lineRule="auto"/>
        <w:jc w:val="both"/>
        <w:rPr>
          <w:rFonts w:ascii="Calibri" w:hAnsi="Calibri" w:cs="Calibri"/>
          <w:sz w:val="24"/>
          <w:szCs w:val="24"/>
        </w:rPr>
      </w:pPr>
      <w:r w:rsidRPr="00751592">
        <w:rPr>
          <w:rFonts w:ascii="Calibri" w:hAnsi="Calibri" w:cs="Calibri"/>
          <w:sz w:val="24"/>
          <w:szCs w:val="24"/>
        </w:rPr>
        <w:t>Zgodnie z dostępnymi danymi za 2018 r. sprawy karne stanowiły 13,6% spraw (267 skarg), zaś szeroko rozumiane sprawy cywilne - 86,4% (1699 skarg. Widać zatem, że skargi na przewlekłe postępowania w sprawach cywilnych dominują i biorąc pod uwagę charakter tych spraw, ich złożoność i znaczenie dla stron, a także czas ich trwania, a przede wszystkim jednostronny charakter, ma to istotny wpływ na średnią kwotę rekompensaty przyznawaną za  wszystkie przewlekłe postępowania. Co należy podkreślić, w ramach spraw cywilnych rekompensata przyznana w 2018 r. dotyczył tylko 1% spraw z zakresu ubezpieczenia (21 skarg) i 0,08% spraw z zakresu prawa pracy (17 skarg).</w:t>
      </w:r>
    </w:p>
    <w:p w:rsidR="00751592" w:rsidRPr="00751592" w:rsidRDefault="00751592" w:rsidP="00751592">
      <w:pPr>
        <w:autoSpaceDE w:val="0"/>
        <w:autoSpaceDN w:val="0"/>
        <w:adjustRightInd w:val="0"/>
        <w:spacing w:before="120" w:after="0" w:line="240" w:lineRule="auto"/>
        <w:jc w:val="both"/>
        <w:rPr>
          <w:rFonts w:ascii="Calibri" w:hAnsi="Calibri" w:cs="Calibri"/>
          <w:sz w:val="24"/>
          <w:szCs w:val="24"/>
        </w:rPr>
      </w:pPr>
      <w:r w:rsidRPr="00751592">
        <w:rPr>
          <w:rFonts w:ascii="Calibri" w:hAnsi="Calibri" w:cs="Calibri"/>
          <w:sz w:val="24"/>
          <w:szCs w:val="24"/>
        </w:rPr>
        <w:t xml:space="preserve">Mając na uwadze całościowe ustalenia kwerendy, a w szczególności te odnoszące się do przeważnie jednoetapowego charakteru postępowań oraz długości każdego rodzaju postępowań, nie można uznać za zaskakujące informacji przedstawionych na stronie 49 ankiety i przytoczonych w pkt. 7 komunikacji HFPC dotyczących liczby przypadków, w których sądy krajowe podwyższały ustawowe minimum (tj. 2000 zł). </w:t>
      </w:r>
    </w:p>
    <w:p w:rsidR="00751592" w:rsidRPr="00751592" w:rsidRDefault="00751592" w:rsidP="00751592">
      <w:pPr>
        <w:autoSpaceDE w:val="0"/>
        <w:autoSpaceDN w:val="0"/>
        <w:adjustRightInd w:val="0"/>
        <w:spacing w:before="120" w:after="0" w:line="240" w:lineRule="auto"/>
        <w:jc w:val="both"/>
        <w:rPr>
          <w:rFonts w:ascii="Calibri" w:hAnsi="Calibri" w:cs="Calibri"/>
          <w:sz w:val="24"/>
          <w:szCs w:val="24"/>
        </w:rPr>
      </w:pPr>
      <w:r w:rsidRPr="00751592">
        <w:rPr>
          <w:rFonts w:ascii="Calibri" w:hAnsi="Calibri" w:cs="Calibri"/>
          <w:sz w:val="24"/>
          <w:szCs w:val="24"/>
        </w:rPr>
        <w:t>Dzieje się tak dlatego, że przedmiotowa kwota jest adekwatna w modelowych sytuacjach, w których sprawa toczy się co najmniej od dwóch lat - jest więc wystarczająca w przeważającej większości spraw, w których składana była skarga na długość postępowania.</w:t>
      </w:r>
    </w:p>
    <w:p w:rsidR="00751592" w:rsidRPr="00751592" w:rsidRDefault="00751592" w:rsidP="00751592">
      <w:pPr>
        <w:autoSpaceDE w:val="0"/>
        <w:autoSpaceDN w:val="0"/>
        <w:adjustRightInd w:val="0"/>
        <w:spacing w:before="120" w:after="0" w:line="240" w:lineRule="auto"/>
        <w:jc w:val="both"/>
        <w:rPr>
          <w:rFonts w:ascii="Calibri" w:hAnsi="Calibri" w:cs="Calibri"/>
          <w:sz w:val="24"/>
          <w:szCs w:val="24"/>
        </w:rPr>
      </w:pPr>
      <w:r w:rsidRPr="00751592">
        <w:rPr>
          <w:rFonts w:ascii="Calibri" w:hAnsi="Calibri" w:cs="Calibri"/>
          <w:sz w:val="24"/>
          <w:szCs w:val="24"/>
        </w:rPr>
        <w:t xml:space="preserve">Końcowo, dla uzyskania bardziej szczegółowych informacji o wykonaniu grupy spraw </w:t>
      </w:r>
      <w:r w:rsidRPr="00751592">
        <w:rPr>
          <w:rFonts w:ascii="Calibri" w:hAnsi="Calibri" w:cs="Calibri"/>
          <w:i/>
          <w:sz w:val="24"/>
          <w:szCs w:val="24"/>
        </w:rPr>
        <w:t>Rutkowski i inni p. Polsce</w:t>
      </w:r>
      <w:r w:rsidRPr="00751592">
        <w:rPr>
          <w:rFonts w:ascii="Calibri" w:hAnsi="Calibri" w:cs="Calibri"/>
          <w:sz w:val="24"/>
          <w:szCs w:val="24"/>
        </w:rPr>
        <w:t xml:space="preserve">, rząd pragnie skierować do ostatniego planu działania z dnia 22 kwietnia 2020 r. (dokument DH-DD(2020)359). </w:t>
      </w:r>
    </w:p>
    <w:p w:rsidR="004E1166" w:rsidRDefault="004E1166" w:rsidP="004E1166">
      <w:pPr>
        <w:spacing w:after="120" w:line="240" w:lineRule="auto"/>
        <w:jc w:val="both"/>
        <w:rPr>
          <w:sz w:val="24"/>
          <w:szCs w:val="24"/>
        </w:rPr>
      </w:pPr>
    </w:p>
    <w:p w:rsidR="006165C6" w:rsidRPr="00B708A0" w:rsidRDefault="006165C6" w:rsidP="006165C6">
      <w:pPr>
        <w:pStyle w:val="Nagwek1"/>
        <w:jc w:val="both"/>
        <w:rPr>
          <w:rFonts w:asciiTheme="minorHAnsi" w:hAnsiTheme="minorHAnsi"/>
          <w:sz w:val="28"/>
          <w:szCs w:val="28"/>
        </w:rPr>
      </w:pPr>
      <w:bookmarkStart w:id="106" w:name="_Toc69124156"/>
      <w:r w:rsidRPr="00B708A0">
        <w:rPr>
          <w:rFonts w:asciiTheme="minorHAnsi" w:hAnsiTheme="minorHAnsi"/>
          <w:sz w:val="28"/>
          <w:szCs w:val="28"/>
        </w:rPr>
        <w:t xml:space="preserve">Komunikacja Helsińskiej Fundacji Praw Człowieka w sprawie wykonania wyroku Europejskiego Trybunału Praw Człowieka </w:t>
      </w:r>
      <w:r>
        <w:rPr>
          <w:rFonts w:asciiTheme="minorHAnsi" w:hAnsiTheme="minorHAnsi"/>
          <w:i/>
          <w:sz w:val="28"/>
          <w:szCs w:val="28"/>
        </w:rPr>
        <w:t>Bistieva i inni</w:t>
      </w:r>
      <w:r w:rsidRPr="00B708A0">
        <w:rPr>
          <w:rFonts w:asciiTheme="minorHAnsi" w:hAnsiTheme="minorHAnsi"/>
          <w:i/>
          <w:sz w:val="28"/>
          <w:szCs w:val="28"/>
        </w:rPr>
        <w:t xml:space="preserve"> p. Polsce</w:t>
      </w:r>
      <w:r w:rsidRPr="00B708A0">
        <w:rPr>
          <w:rFonts w:asciiTheme="minorHAnsi" w:hAnsiTheme="minorHAnsi"/>
          <w:sz w:val="28"/>
          <w:szCs w:val="28"/>
        </w:rPr>
        <w:t xml:space="preserve"> z dnia </w:t>
      </w:r>
      <w:r w:rsidR="004A409A">
        <w:rPr>
          <w:rFonts w:asciiTheme="minorHAnsi" w:hAnsiTheme="minorHAnsi"/>
          <w:sz w:val="28"/>
          <w:szCs w:val="28"/>
        </w:rPr>
        <w:t xml:space="preserve">5 czerwca </w:t>
      </w:r>
      <w:r w:rsidRPr="00B708A0">
        <w:rPr>
          <w:rFonts w:asciiTheme="minorHAnsi" w:hAnsiTheme="minorHAnsi"/>
          <w:sz w:val="28"/>
          <w:szCs w:val="28"/>
        </w:rPr>
        <w:t>2020 r.</w:t>
      </w:r>
      <w:bookmarkEnd w:id="106"/>
      <w:r w:rsidRPr="00B708A0">
        <w:rPr>
          <w:rFonts w:asciiTheme="minorHAnsi" w:hAnsiTheme="minorHAnsi"/>
          <w:sz w:val="28"/>
          <w:szCs w:val="28"/>
        </w:rPr>
        <w:t xml:space="preserve">   </w:t>
      </w:r>
    </w:p>
    <w:p w:rsidR="004A409A" w:rsidRPr="00BB66BF" w:rsidRDefault="004A409A" w:rsidP="00BB66BF">
      <w:pPr>
        <w:spacing w:before="120" w:after="0" w:line="240" w:lineRule="auto"/>
        <w:jc w:val="both"/>
        <w:rPr>
          <w:sz w:val="24"/>
          <w:szCs w:val="24"/>
        </w:rPr>
      </w:pPr>
    </w:p>
    <w:p w:rsidR="006165C6" w:rsidRPr="00BB66BF" w:rsidRDefault="004A409A" w:rsidP="00BB66BF">
      <w:pPr>
        <w:spacing w:before="120" w:after="0" w:line="240" w:lineRule="auto"/>
        <w:jc w:val="both"/>
        <w:rPr>
          <w:sz w:val="24"/>
          <w:szCs w:val="24"/>
          <w:u w:val="single"/>
        </w:rPr>
      </w:pPr>
      <w:r w:rsidRPr="00BB66BF">
        <w:rPr>
          <w:sz w:val="24"/>
          <w:szCs w:val="24"/>
          <w:u w:val="single"/>
        </w:rPr>
        <w:t xml:space="preserve">Treść komunikacji </w:t>
      </w:r>
    </w:p>
    <w:p w:rsidR="004A409A" w:rsidRPr="00BB66BF" w:rsidRDefault="004A409A" w:rsidP="00BB66BF">
      <w:pPr>
        <w:autoSpaceDE w:val="0"/>
        <w:autoSpaceDN w:val="0"/>
        <w:adjustRightInd w:val="0"/>
        <w:spacing w:before="120" w:after="0" w:line="240" w:lineRule="auto"/>
        <w:jc w:val="both"/>
        <w:rPr>
          <w:sz w:val="24"/>
          <w:szCs w:val="24"/>
        </w:rPr>
      </w:pPr>
      <w:r w:rsidRPr="00BB66BF">
        <w:rPr>
          <w:sz w:val="24"/>
          <w:szCs w:val="24"/>
          <w:lang w:val="pl"/>
        </w:rPr>
        <w:t>Helsińska Fundacja Praw Człowieka w piśmie z dnia 20 sierpnia 2019 r. skierowanym do Komitetu Ministrów Rady Europy, na podstawie Reguły 9 ust. 2 Regulaminu Komitetu Ministrów ds. nadzoru nad wykonywaniem wyroków, przedstawiła swoje wystąpienie w sprawie wykonania przez władze polskie wyroku Europejskiego Trybunału Praw Człowieka („ETPCz”) w sprawie Bistieva i Inni p. Polsce (skarga nr 75157/14).</w:t>
      </w:r>
    </w:p>
    <w:p w:rsidR="004A409A" w:rsidRPr="00BB66BF" w:rsidRDefault="004A409A" w:rsidP="00BB66BF">
      <w:pPr>
        <w:autoSpaceDE w:val="0"/>
        <w:autoSpaceDN w:val="0"/>
        <w:adjustRightInd w:val="0"/>
        <w:spacing w:before="120" w:after="0" w:line="240" w:lineRule="auto"/>
        <w:jc w:val="both"/>
        <w:rPr>
          <w:sz w:val="24"/>
          <w:szCs w:val="24"/>
        </w:rPr>
      </w:pPr>
      <w:r w:rsidRPr="00BB66BF">
        <w:rPr>
          <w:sz w:val="24"/>
          <w:szCs w:val="24"/>
          <w:lang w:val="pl"/>
        </w:rPr>
        <w:t xml:space="preserve">Stwierdziliśmy w nim, że zachodzi potrzeba podjęcia szeregu konkretnych kroków w celu należytego wykonania wyroku ws. </w:t>
      </w:r>
      <w:r w:rsidRPr="00BB66BF">
        <w:rPr>
          <w:i/>
          <w:iCs/>
          <w:sz w:val="24"/>
          <w:szCs w:val="24"/>
          <w:lang w:val="pl"/>
        </w:rPr>
        <w:t>Bistieva.</w:t>
      </w:r>
      <w:r w:rsidRPr="00BB66BF">
        <w:rPr>
          <w:sz w:val="24"/>
          <w:szCs w:val="24"/>
          <w:lang w:val="pl"/>
        </w:rPr>
        <w:t xml:space="preserve"> Zarekomendowaliśmy m.in. sporządzenie i </w:t>
      </w:r>
      <w:r w:rsidRPr="00BB66BF">
        <w:rPr>
          <w:sz w:val="24"/>
          <w:szCs w:val="24"/>
          <w:lang w:val="pl"/>
        </w:rPr>
        <w:lastRenderedPageBreak/>
        <w:t>wdrożenie praktycznych wskazówek odnośnie do działań podejmowanych przez Straż Graniczną i sądy krajowe podczas badania najlepszego interesu dziecka w oparciu o międzynarodowe prawo praw człowieka i zalecenia Komitetu Praw Dziecka ONZ.</w:t>
      </w:r>
    </w:p>
    <w:p w:rsidR="004A409A" w:rsidRPr="00BB66BF" w:rsidRDefault="004A409A" w:rsidP="00BB66BF">
      <w:pPr>
        <w:autoSpaceDE w:val="0"/>
        <w:autoSpaceDN w:val="0"/>
        <w:adjustRightInd w:val="0"/>
        <w:spacing w:before="120" w:after="0" w:line="240" w:lineRule="auto"/>
        <w:jc w:val="both"/>
        <w:rPr>
          <w:sz w:val="24"/>
          <w:szCs w:val="24"/>
        </w:rPr>
      </w:pPr>
      <w:r w:rsidRPr="00BB66BF">
        <w:rPr>
          <w:sz w:val="24"/>
          <w:szCs w:val="24"/>
          <w:lang w:val="pl"/>
        </w:rPr>
        <w:t>Z uwagi na brak reakcji rządu na te rekomendacje, podjęliśmy decyzję o przygotowaniu dokumentu zawierającego streszczenie przedmiotowych standardów krajowych i międzynarodowych dotyczących oceny najlepszego interesu dziecka oraz wskazówki odnośnie do konkretnych działań, jakie powinny być podejmowane w trakcie badania najlepszego interesu dziecka w toku postępowań o umieszczenie w strzeżonym ośrodku.</w:t>
      </w:r>
    </w:p>
    <w:p w:rsidR="004A409A" w:rsidRPr="00BB66BF" w:rsidRDefault="004A409A" w:rsidP="00BB66BF">
      <w:pPr>
        <w:autoSpaceDE w:val="0"/>
        <w:autoSpaceDN w:val="0"/>
        <w:adjustRightInd w:val="0"/>
        <w:spacing w:before="120" w:after="0" w:line="240" w:lineRule="auto"/>
        <w:jc w:val="both"/>
        <w:rPr>
          <w:sz w:val="24"/>
          <w:szCs w:val="24"/>
        </w:rPr>
      </w:pPr>
      <w:r w:rsidRPr="00BB66BF">
        <w:rPr>
          <w:sz w:val="24"/>
          <w:szCs w:val="24"/>
          <w:lang w:val="pl"/>
        </w:rPr>
        <w:t xml:space="preserve">Zważywszy również, że w bieżącym roku Trybunał wydał kolejne dwa wyroki w sprawach przeciwko Polsce, w których uznał zastosowanie środka detencyjnego wobec dzieci uchodźców w okolicznościach podobnych do sprawy </w:t>
      </w:r>
      <w:r w:rsidRPr="00BB66BF">
        <w:rPr>
          <w:i/>
          <w:iCs/>
          <w:sz w:val="24"/>
          <w:szCs w:val="24"/>
          <w:lang w:val="pl"/>
        </w:rPr>
        <w:t>Bistieva</w:t>
      </w:r>
      <w:r w:rsidRPr="00BB66BF">
        <w:rPr>
          <w:sz w:val="24"/>
          <w:szCs w:val="24"/>
          <w:lang w:val="pl"/>
        </w:rPr>
        <w:t xml:space="preserve"> (</w:t>
      </w:r>
      <w:r w:rsidRPr="00BB66BF">
        <w:rPr>
          <w:i/>
          <w:iCs/>
          <w:sz w:val="24"/>
          <w:szCs w:val="24"/>
          <w:lang w:val="pl"/>
        </w:rPr>
        <w:t>Bilalova i Inni p. Polsce</w:t>
      </w:r>
      <w:r w:rsidRPr="00BB66BF">
        <w:rPr>
          <w:sz w:val="24"/>
          <w:szCs w:val="24"/>
          <w:lang w:val="pl"/>
        </w:rPr>
        <w:t xml:space="preserve">, wyrok z dnia 25 marca 2020 r., skarga nr 23685/14 i </w:t>
      </w:r>
      <w:r w:rsidRPr="00BB66BF">
        <w:rPr>
          <w:i/>
          <w:iCs/>
          <w:sz w:val="24"/>
          <w:szCs w:val="24"/>
          <w:lang w:val="pl"/>
        </w:rPr>
        <w:t>A.B. i Inni p. Polsce</w:t>
      </w:r>
      <w:r w:rsidRPr="00BB66BF">
        <w:rPr>
          <w:sz w:val="24"/>
          <w:szCs w:val="24"/>
          <w:lang w:val="pl"/>
        </w:rPr>
        <w:t>, wyrok z dnia 4 czerwca 2020 r., skargi nr 15845/15 i 56300/15), przygotowanie i wdrożenie takich wytycznych przez rząd wydaje się być palącą potrzebą. Załączony dokument może posłużyć jako inspiracja.</w:t>
      </w:r>
    </w:p>
    <w:p w:rsidR="004A409A" w:rsidRPr="00BB66BF" w:rsidRDefault="004A409A" w:rsidP="00BB66BF">
      <w:pPr>
        <w:autoSpaceDE w:val="0"/>
        <w:autoSpaceDN w:val="0"/>
        <w:adjustRightInd w:val="0"/>
        <w:spacing w:before="120" w:after="0" w:line="240" w:lineRule="auto"/>
        <w:jc w:val="both"/>
        <w:rPr>
          <w:sz w:val="24"/>
          <w:szCs w:val="24"/>
        </w:rPr>
      </w:pPr>
      <w:r w:rsidRPr="00BB66BF">
        <w:rPr>
          <w:sz w:val="24"/>
          <w:szCs w:val="24"/>
          <w:lang w:val="pl"/>
        </w:rPr>
        <w:t xml:space="preserve">Z powyższych przyczyn wnosimy również o rozpatrzenie kwestii wykonania wyroku w sprawie </w:t>
      </w:r>
      <w:r w:rsidRPr="00BB66BF">
        <w:rPr>
          <w:i/>
          <w:sz w:val="24"/>
          <w:szCs w:val="24"/>
          <w:lang w:val="pl"/>
        </w:rPr>
        <w:t>Bistieva p.</w:t>
      </w:r>
      <w:r w:rsidRPr="00BB66BF">
        <w:rPr>
          <w:i/>
          <w:iCs/>
          <w:sz w:val="24"/>
          <w:szCs w:val="24"/>
          <w:lang w:val="pl"/>
        </w:rPr>
        <w:t xml:space="preserve"> Polsce</w:t>
      </w:r>
      <w:r w:rsidRPr="00BB66BF">
        <w:rPr>
          <w:sz w:val="24"/>
          <w:szCs w:val="24"/>
          <w:lang w:val="pl"/>
        </w:rPr>
        <w:t xml:space="preserve"> na najbliższym posiedzeniu Komitetu.</w:t>
      </w:r>
    </w:p>
    <w:p w:rsidR="004A409A" w:rsidRPr="00BB66BF" w:rsidRDefault="004A409A" w:rsidP="00BB66BF">
      <w:pPr>
        <w:spacing w:before="120" w:after="0" w:line="240" w:lineRule="auto"/>
        <w:rPr>
          <w:rFonts w:eastAsia="Times New Roman" w:cs="Times New Roman"/>
          <w:sz w:val="24"/>
          <w:szCs w:val="24"/>
        </w:rPr>
      </w:pPr>
    </w:p>
    <w:p w:rsidR="004A409A" w:rsidRPr="005538ED" w:rsidRDefault="004A409A" w:rsidP="00BB66BF">
      <w:pPr>
        <w:pStyle w:val="Teksttreci30"/>
        <w:spacing w:before="120" w:after="0" w:line="240" w:lineRule="auto"/>
        <w:ind w:left="0"/>
        <w:jc w:val="center"/>
        <w:rPr>
          <w:rFonts w:asciiTheme="minorHAnsi" w:hAnsiTheme="minorHAnsi"/>
          <w:sz w:val="24"/>
          <w:szCs w:val="24"/>
        </w:rPr>
      </w:pPr>
      <w:r w:rsidRPr="005538ED">
        <w:rPr>
          <w:rFonts w:asciiTheme="minorHAnsi" w:hAnsiTheme="minorHAnsi"/>
          <w:sz w:val="24"/>
          <w:szCs w:val="24"/>
          <w:lang w:val="pl"/>
        </w:rPr>
        <w:t>WSKAZÓWKI I REKOMENDACJE DOTYCZĄCE BADANIA NAJLEPSZEGO INTERESU DZIECKA W TOKU POSTĘPOWANIA O UMIESZCZENIE W STRZEŻONYM OŚRODKU PROWADZONEGO PRZEZ WŁADZE POLSKIE</w:t>
      </w:r>
    </w:p>
    <w:p w:rsidR="004A409A" w:rsidRPr="005538ED" w:rsidRDefault="004A409A" w:rsidP="00BB66BF">
      <w:pPr>
        <w:pStyle w:val="Teksttreci0"/>
        <w:spacing w:before="120" w:line="240" w:lineRule="auto"/>
        <w:ind w:firstLine="0"/>
        <w:jc w:val="both"/>
        <w:rPr>
          <w:rFonts w:asciiTheme="minorHAnsi" w:hAnsiTheme="minorHAnsi"/>
          <w:sz w:val="24"/>
          <w:szCs w:val="24"/>
        </w:rPr>
      </w:pPr>
      <w:r w:rsidRPr="005538ED">
        <w:rPr>
          <w:rFonts w:asciiTheme="minorHAnsi" w:hAnsiTheme="minorHAnsi"/>
          <w:sz w:val="24"/>
          <w:szCs w:val="24"/>
          <w:lang w:val="pl"/>
        </w:rPr>
        <w:t xml:space="preserve">Uwzględniając krajowe i międzynarodowe prawo, orzecznictwo, rekomendacje i wskazówki wnosimy, aby podczas badania najlepszego interesu dziecka w toku postępowania o </w:t>
      </w:r>
      <w:r w:rsidR="00BB66BF">
        <w:rPr>
          <w:rFonts w:asciiTheme="minorHAnsi" w:hAnsiTheme="minorHAnsi"/>
          <w:sz w:val="24"/>
          <w:szCs w:val="24"/>
          <w:lang w:val="pl"/>
        </w:rPr>
        <w:t>d</w:t>
      </w:r>
      <w:r w:rsidRPr="005538ED">
        <w:rPr>
          <w:rFonts w:asciiTheme="minorHAnsi" w:hAnsiTheme="minorHAnsi"/>
          <w:sz w:val="24"/>
          <w:szCs w:val="24"/>
          <w:lang w:val="pl"/>
        </w:rPr>
        <w:t>etencję cudzoziemców właściwe władze i sądy brały pod uwagę okoliczności wymienione w niniejszym dokumencie i podejmowały konkretne, opisane tu czynności istotne dla tegoż badania.</w:t>
      </w:r>
    </w:p>
    <w:p w:rsidR="004A409A" w:rsidRPr="005538ED" w:rsidRDefault="004A409A" w:rsidP="00BB66BF">
      <w:pPr>
        <w:pStyle w:val="Teksttreci0"/>
        <w:spacing w:before="120" w:line="240" w:lineRule="auto"/>
        <w:ind w:firstLine="0"/>
        <w:rPr>
          <w:rFonts w:asciiTheme="minorHAnsi" w:hAnsiTheme="minorHAnsi"/>
          <w:sz w:val="24"/>
          <w:szCs w:val="24"/>
        </w:rPr>
      </w:pPr>
      <w:r w:rsidRPr="005538ED">
        <w:rPr>
          <w:rFonts w:asciiTheme="minorHAnsi" w:hAnsiTheme="minorHAnsi"/>
          <w:sz w:val="24"/>
          <w:szCs w:val="24"/>
          <w:lang w:val="pl"/>
        </w:rPr>
        <w:t>Niniejsze rekomendacje mają charakter ramowy. Pełną treść rekomendacji zamieszczono w części zawierającej opis odnośnych standardów oraz teksty źródłowe wskazane w niniejszym opracowaniu.</w:t>
      </w:r>
    </w:p>
    <w:p w:rsidR="004A409A" w:rsidRPr="00BB66BF" w:rsidRDefault="004A409A" w:rsidP="00BB66BF">
      <w:pPr>
        <w:pStyle w:val="Nagwek11"/>
        <w:keepNext/>
        <w:keepLines/>
        <w:numPr>
          <w:ilvl w:val="0"/>
          <w:numId w:val="36"/>
        </w:numPr>
        <w:tabs>
          <w:tab w:val="left" w:pos="283"/>
        </w:tabs>
        <w:spacing w:before="120" w:after="0" w:line="240" w:lineRule="auto"/>
        <w:ind w:firstLine="0"/>
        <w:jc w:val="center"/>
        <w:outlineLvl w:val="9"/>
        <w:rPr>
          <w:rFonts w:asciiTheme="minorHAnsi" w:hAnsiTheme="minorHAnsi"/>
          <w:sz w:val="24"/>
          <w:szCs w:val="24"/>
        </w:rPr>
      </w:pPr>
      <w:r w:rsidRPr="00BB66BF">
        <w:rPr>
          <w:rFonts w:asciiTheme="minorHAnsi" w:hAnsiTheme="minorHAnsi"/>
          <w:sz w:val="24"/>
          <w:szCs w:val="24"/>
          <w:lang w:val="pl"/>
        </w:rPr>
        <w:t>Czynniki, które należy uwzględnić podczas badania najlepszego interesu dziecka</w:t>
      </w:r>
    </w:p>
    <w:p w:rsidR="004A409A" w:rsidRPr="00BB66BF" w:rsidRDefault="004A409A" w:rsidP="00BB66BF">
      <w:pPr>
        <w:pStyle w:val="Teksttreci0"/>
        <w:numPr>
          <w:ilvl w:val="0"/>
          <w:numId w:val="37"/>
        </w:numPr>
        <w:tabs>
          <w:tab w:val="left" w:pos="305"/>
        </w:tabs>
        <w:spacing w:before="120" w:line="240" w:lineRule="auto"/>
        <w:ind w:firstLine="0"/>
        <w:jc w:val="both"/>
        <w:rPr>
          <w:rFonts w:asciiTheme="minorHAnsi" w:hAnsiTheme="minorHAnsi"/>
          <w:sz w:val="24"/>
          <w:szCs w:val="24"/>
        </w:rPr>
      </w:pPr>
      <w:r w:rsidRPr="00BB66BF">
        <w:rPr>
          <w:rFonts w:asciiTheme="minorHAnsi" w:hAnsiTheme="minorHAnsi"/>
          <w:sz w:val="24"/>
          <w:szCs w:val="24"/>
          <w:lang w:val="pl"/>
        </w:rPr>
        <w:t>Tożsamość dziecka, w tym jego doświadczenia, wiek, pochodzenie narodowościowe i etniczne, kraj pochodzenia, wyznawana religia i przekonania. W razie wątpliwości co do wieku dziecka należy go określić zgodnie ze wskazówkami organizacji międzynarodowych. W szczególności niezbędne jest stwierdzenie, czy dziecko:</w:t>
      </w:r>
    </w:p>
    <w:p w:rsidR="004A409A" w:rsidRPr="00BB66BF" w:rsidRDefault="004A409A" w:rsidP="00BB66BF">
      <w:pPr>
        <w:pStyle w:val="Teksttreci0"/>
        <w:numPr>
          <w:ilvl w:val="0"/>
          <w:numId w:val="74"/>
        </w:numPr>
        <w:tabs>
          <w:tab w:val="left" w:pos="695"/>
        </w:tabs>
        <w:spacing w:before="120" w:line="240" w:lineRule="auto"/>
        <w:jc w:val="both"/>
        <w:rPr>
          <w:rFonts w:asciiTheme="minorHAnsi" w:hAnsiTheme="minorHAnsi"/>
          <w:sz w:val="24"/>
          <w:szCs w:val="24"/>
        </w:rPr>
      </w:pPr>
      <w:r w:rsidRPr="00BB66BF">
        <w:rPr>
          <w:rFonts w:asciiTheme="minorHAnsi" w:hAnsiTheme="minorHAnsi"/>
          <w:sz w:val="24"/>
          <w:szCs w:val="24"/>
          <w:lang w:val="pl"/>
        </w:rPr>
        <w:t>pochodzi z regionu lub kraju, w którym toczy się konflikt zbrojny lub mają miej</w:t>
      </w:r>
      <w:r w:rsidR="00BB66BF">
        <w:rPr>
          <w:rFonts w:asciiTheme="minorHAnsi" w:hAnsiTheme="minorHAnsi"/>
          <w:sz w:val="24"/>
          <w:szCs w:val="24"/>
          <w:lang w:val="pl"/>
        </w:rPr>
        <w:t xml:space="preserve">sce </w:t>
      </w:r>
      <w:r w:rsidRPr="00BB66BF">
        <w:rPr>
          <w:rFonts w:asciiTheme="minorHAnsi" w:hAnsiTheme="minorHAnsi"/>
          <w:sz w:val="24"/>
          <w:szCs w:val="24"/>
          <w:lang w:val="pl"/>
        </w:rPr>
        <w:t>naruszenia praw człowieka i czy jest ich ofiarą,</w:t>
      </w:r>
    </w:p>
    <w:p w:rsidR="004A409A" w:rsidRPr="00BB66BF" w:rsidRDefault="00BB66BF" w:rsidP="00BB66BF">
      <w:pPr>
        <w:pStyle w:val="Teksttreci0"/>
        <w:numPr>
          <w:ilvl w:val="0"/>
          <w:numId w:val="74"/>
        </w:numPr>
        <w:tabs>
          <w:tab w:val="left" w:pos="695"/>
        </w:tabs>
        <w:spacing w:before="120" w:line="240" w:lineRule="auto"/>
        <w:jc w:val="both"/>
        <w:rPr>
          <w:rFonts w:asciiTheme="minorHAnsi" w:hAnsiTheme="minorHAnsi"/>
          <w:sz w:val="24"/>
          <w:szCs w:val="24"/>
          <w:lang w:val="pl"/>
        </w:rPr>
      </w:pPr>
      <w:r>
        <w:rPr>
          <w:rFonts w:asciiTheme="minorHAnsi" w:hAnsiTheme="minorHAnsi"/>
          <w:sz w:val="24"/>
          <w:szCs w:val="24"/>
          <w:lang w:val="pl"/>
        </w:rPr>
        <w:t>n</w:t>
      </w:r>
      <w:r w:rsidR="004A409A" w:rsidRPr="00BB66BF">
        <w:rPr>
          <w:rFonts w:asciiTheme="minorHAnsi" w:hAnsiTheme="minorHAnsi"/>
          <w:sz w:val="24"/>
          <w:szCs w:val="24"/>
          <w:lang w:val="pl"/>
        </w:rPr>
        <w:t>ależy do grupy społecznej prześladowanej w kraju pochodzenia,</w:t>
      </w:r>
    </w:p>
    <w:p w:rsidR="004A409A" w:rsidRPr="00BB66BF" w:rsidRDefault="004A409A" w:rsidP="00BB66BF">
      <w:pPr>
        <w:pStyle w:val="Teksttreci0"/>
        <w:numPr>
          <w:ilvl w:val="0"/>
          <w:numId w:val="74"/>
        </w:numPr>
        <w:tabs>
          <w:tab w:val="left" w:pos="695"/>
        </w:tabs>
        <w:spacing w:before="120" w:line="240" w:lineRule="auto"/>
        <w:jc w:val="both"/>
        <w:rPr>
          <w:rFonts w:asciiTheme="minorHAnsi" w:hAnsiTheme="minorHAnsi"/>
          <w:sz w:val="24"/>
          <w:szCs w:val="24"/>
          <w:lang w:val="pl"/>
        </w:rPr>
      </w:pPr>
      <w:r w:rsidRPr="00BB66BF">
        <w:rPr>
          <w:rFonts w:asciiTheme="minorHAnsi" w:hAnsiTheme="minorHAnsi"/>
          <w:sz w:val="24"/>
          <w:szCs w:val="24"/>
          <w:lang w:val="pl"/>
        </w:rPr>
        <w:t>w przeszłości było pozbawione wolności, a jeśli tak, to jaki to miało na nie wpływ,</w:t>
      </w:r>
    </w:p>
    <w:p w:rsidR="004A409A" w:rsidRPr="00BB66BF" w:rsidRDefault="004A409A" w:rsidP="00BB66BF">
      <w:pPr>
        <w:pStyle w:val="Teksttreci0"/>
        <w:numPr>
          <w:ilvl w:val="0"/>
          <w:numId w:val="74"/>
        </w:numPr>
        <w:tabs>
          <w:tab w:val="left" w:pos="695"/>
        </w:tabs>
        <w:spacing w:before="120" w:line="240" w:lineRule="auto"/>
        <w:jc w:val="both"/>
        <w:rPr>
          <w:rFonts w:asciiTheme="minorHAnsi" w:hAnsiTheme="minorHAnsi"/>
          <w:sz w:val="24"/>
          <w:szCs w:val="24"/>
          <w:lang w:val="pl"/>
        </w:rPr>
      </w:pPr>
      <w:r w:rsidRPr="00BB66BF">
        <w:rPr>
          <w:rFonts w:asciiTheme="minorHAnsi" w:hAnsiTheme="minorHAnsi"/>
          <w:sz w:val="24"/>
          <w:szCs w:val="24"/>
          <w:lang w:val="pl"/>
        </w:rPr>
        <w:t>będzie miało możliwość praktykowania swojej wiary w ośrodku strzeżonym,</w:t>
      </w:r>
    </w:p>
    <w:p w:rsidR="004A409A" w:rsidRPr="00BB66BF" w:rsidRDefault="004A409A" w:rsidP="00BB66BF">
      <w:pPr>
        <w:pStyle w:val="Teksttreci0"/>
        <w:numPr>
          <w:ilvl w:val="0"/>
          <w:numId w:val="74"/>
        </w:numPr>
        <w:tabs>
          <w:tab w:val="left" w:pos="695"/>
        </w:tabs>
        <w:spacing w:before="120" w:line="240" w:lineRule="auto"/>
        <w:jc w:val="both"/>
        <w:rPr>
          <w:rFonts w:asciiTheme="minorHAnsi" w:hAnsiTheme="minorHAnsi"/>
          <w:sz w:val="24"/>
          <w:szCs w:val="24"/>
          <w:lang w:val="pl"/>
        </w:rPr>
      </w:pPr>
      <w:r w:rsidRPr="00BB66BF">
        <w:rPr>
          <w:rFonts w:asciiTheme="minorHAnsi" w:hAnsiTheme="minorHAnsi"/>
          <w:sz w:val="24"/>
          <w:szCs w:val="24"/>
          <w:lang w:val="pl"/>
        </w:rPr>
        <w:t xml:space="preserve">będzie mogło korzystać z odpowiedniej dla niego i kultury jego pochodzenia infrastruktury ośrodka strzeżonego (np. w przypadku gdy dziecko pozbawione opiekuna zachoruje na chorobę ginekologiczną, a personel medyczny ośrodka </w:t>
      </w:r>
      <w:r w:rsidRPr="00BB66BF">
        <w:rPr>
          <w:rFonts w:asciiTheme="minorHAnsi" w:hAnsiTheme="minorHAnsi"/>
          <w:sz w:val="24"/>
          <w:szCs w:val="24"/>
          <w:lang w:val="pl"/>
        </w:rPr>
        <w:lastRenderedPageBreak/>
        <w:t>stanowią wyłącznie mężczyźni, co może nie być akceptowane z przyczyn kulturowych; czy zapewnione będą odpowiednie posiłki itd.),</w:t>
      </w:r>
    </w:p>
    <w:p w:rsidR="004A409A" w:rsidRPr="00BB66BF" w:rsidRDefault="004A409A" w:rsidP="00BB66BF">
      <w:pPr>
        <w:pStyle w:val="Teksttreci0"/>
        <w:numPr>
          <w:ilvl w:val="0"/>
          <w:numId w:val="74"/>
        </w:numPr>
        <w:tabs>
          <w:tab w:val="left" w:pos="695"/>
        </w:tabs>
        <w:spacing w:before="120" w:line="240" w:lineRule="auto"/>
        <w:jc w:val="both"/>
        <w:rPr>
          <w:rFonts w:asciiTheme="minorHAnsi" w:hAnsiTheme="minorHAnsi"/>
          <w:sz w:val="24"/>
          <w:szCs w:val="24"/>
        </w:rPr>
      </w:pPr>
      <w:r w:rsidRPr="00BB66BF">
        <w:rPr>
          <w:rFonts w:asciiTheme="minorHAnsi" w:hAnsiTheme="minorHAnsi"/>
          <w:sz w:val="24"/>
          <w:szCs w:val="24"/>
          <w:lang w:val="pl"/>
        </w:rPr>
        <w:t>jak postrzega ono, z uwagi na swój wiek lub stopień dojrzałości, długość okresu przebywania w ośrodku i na ile jest świadome swojej sytuacji.</w:t>
      </w:r>
    </w:p>
    <w:p w:rsidR="004A409A" w:rsidRPr="00BB66BF" w:rsidRDefault="004A409A" w:rsidP="00BB66BF">
      <w:pPr>
        <w:pStyle w:val="Teksttreci0"/>
        <w:numPr>
          <w:ilvl w:val="0"/>
          <w:numId w:val="37"/>
        </w:numPr>
        <w:tabs>
          <w:tab w:val="left" w:pos="312"/>
        </w:tabs>
        <w:spacing w:before="120" w:line="240" w:lineRule="auto"/>
        <w:ind w:firstLine="0"/>
        <w:rPr>
          <w:rFonts w:asciiTheme="minorHAnsi" w:hAnsiTheme="minorHAnsi"/>
          <w:sz w:val="24"/>
          <w:szCs w:val="24"/>
        </w:rPr>
      </w:pPr>
      <w:r w:rsidRPr="00BB66BF">
        <w:rPr>
          <w:rFonts w:asciiTheme="minorHAnsi" w:hAnsiTheme="minorHAnsi"/>
          <w:sz w:val="24"/>
          <w:szCs w:val="24"/>
          <w:lang w:val="pl"/>
        </w:rPr>
        <w:t>Sytuacja rodzinna dziecka.</w:t>
      </w:r>
    </w:p>
    <w:p w:rsidR="004A409A" w:rsidRPr="00BB66BF" w:rsidRDefault="004A409A" w:rsidP="00BB66BF">
      <w:pPr>
        <w:pStyle w:val="Teksttreci0"/>
        <w:spacing w:before="120" w:line="240" w:lineRule="auto"/>
        <w:ind w:firstLine="0"/>
        <w:rPr>
          <w:rFonts w:asciiTheme="minorHAnsi" w:hAnsiTheme="minorHAnsi"/>
          <w:sz w:val="24"/>
          <w:szCs w:val="24"/>
        </w:rPr>
      </w:pPr>
      <w:r w:rsidRPr="00BB66BF">
        <w:rPr>
          <w:rFonts w:asciiTheme="minorHAnsi" w:hAnsiTheme="minorHAnsi"/>
          <w:sz w:val="24"/>
          <w:szCs w:val="24"/>
          <w:lang w:val="pl"/>
        </w:rPr>
        <w:t>W szczególności należy zbadać następujące okoliczności:</w:t>
      </w:r>
    </w:p>
    <w:p w:rsidR="004A409A" w:rsidRPr="00BB66BF" w:rsidRDefault="004A409A" w:rsidP="00BB66BF">
      <w:pPr>
        <w:pStyle w:val="Teksttreci0"/>
        <w:numPr>
          <w:ilvl w:val="0"/>
          <w:numId w:val="74"/>
        </w:numPr>
        <w:tabs>
          <w:tab w:val="left" w:pos="695"/>
        </w:tabs>
        <w:spacing w:before="120" w:line="240" w:lineRule="auto"/>
        <w:jc w:val="both"/>
        <w:rPr>
          <w:rFonts w:asciiTheme="minorHAnsi" w:hAnsiTheme="minorHAnsi"/>
          <w:sz w:val="24"/>
          <w:szCs w:val="24"/>
          <w:lang w:val="pl"/>
        </w:rPr>
      </w:pPr>
      <w:r w:rsidRPr="00BB66BF">
        <w:rPr>
          <w:rFonts w:asciiTheme="minorHAnsi" w:hAnsiTheme="minorHAnsi"/>
          <w:sz w:val="24"/>
          <w:szCs w:val="24"/>
          <w:lang w:val="pl"/>
        </w:rPr>
        <w:t>jakie stosunki panują w rodzinie, tzn. czy rodzice/opiekunowie prawni nie stosują wobec niego przemocy lub go nie zaniedbują, czy nie istnieje konflikt między interesem dziecka a interesem jego rodziców/opiekunów prawnych i czy stan psychofizyczny rodziców/opiekunów prawnych umożliwia im sprawowanie prawidłowej opieki nad dzieckiem;</w:t>
      </w:r>
    </w:p>
    <w:p w:rsidR="004A409A" w:rsidRPr="00BB66BF" w:rsidRDefault="004A409A" w:rsidP="00BB66BF">
      <w:pPr>
        <w:pStyle w:val="Teksttreci0"/>
        <w:numPr>
          <w:ilvl w:val="0"/>
          <w:numId w:val="74"/>
        </w:numPr>
        <w:tabs>
          <w:tab w:val="left" w:pos="695"/>
        </w:tabs>
        <w:spacing w:before="120" w:line="240" w:lineRule="auto"/>
        <w:jc w:val="both"/>
        <w:rPr>
          <w:rFonts w:asciiTheme="minorHAnsi" w:hAnsiTheme="minorHAnsi"/>
          <w:sz w:val="24"/>
          <w:szCs w:val="24"/>
          <w:lang w:val="pl"/>
        </w:rPr>
      </w:pPr>
      <w:r w:rsidRPr="00BB66BF">
        <w:rPr>
          <w:rFonts w:asciiTheme="minorHAnsi" w:hAnsiTheme="minorHAnsi"/>
          <w:sz w:val="24"/>
          <w:szCs w:val="24"/>
          <w:lang w:val="pl"/>
        </w:rPr>
        <w:t>czy dziecko pozostające bez opiekuna ma w Polsce lub innym kraju członkowskim UE rodziców lub bliskich krewnych, którzy mogliby się nim zaopiekować.</w:t>
      </w:r>
    </w:p>
    <w:p w:rsidR="004A409A" w:rsidRPr="00BB66BF" w:rsidRDefault="004A409A" w:rsidP="00BB66BF">
      <w:pPr>
        <w:pStyle w:val="Teksttreci0"/>
        <w:numPr>
          <w:ilvl w:val="0"/>
          <w:numId w:val="37"/>
        </w:numPr>
        <w:tabs>
          <w:tab w:val="left" w:pos="312"/>
        </w:tabs>
        <w:spacing w:before="120" w:line="240" w:lineRule="auto"/>
        <w:ind w:firstLine="0"/>
        <w:rPr>
          <w:rFonts w:asciiTheme="minorHAnsi" w:hAnsiTheme="minorHAnsi"/>
          <w:sz w:val="24"/>
          <w:szCs w:val="24"/>
        </w:rPr>
      </w:pPr>
      <w:r w:rsidRPr="00BB66BF">
        <w:rPr>
          <w:rFonts w:asciiTheme="minorHAnsi" w:hAnsiTheme="minorHAnsi"/>
          <w:sz w:val="24"/>
          <w:szCs w:val="24"/>
          <w:lang w:val="pl"/>
        </w:rPr>
        <w:t>Przynależność do grup ryzyka lub mniejszości.</w:t>
      </w:r>
    </w:p>
    <w:p w:rsidR="004A409A" w:rsidRPr="00BB66BF" w:rsidRDefault="004A409A" w:rsidP="00BB66BF">
      <w:pPr>
        <w:pStyle w:val="Teksttreci0"/>
        <w:spacing w:before="120" w:line="240" w:lineRule="auto"/>
        <w:ind w:firstLine="0"/>
        <w:rPr>
          <w:rFonts w:asciiTheme="minorHAnsi" w:hAnsiTheme="minorHAnsi"/>
          <w:sz w:val="24"/>
          <w:szCs w:val="24"/>
        </w:rPr>
      </w:pPr>
      <w:r w:rsidRPr="00BB66BF">
        <w:rPr>
          <w:rFonts w:asciiTheme="minorHAnsi" w:hAnsiTheme="minorHAnsi"/>
          <w:sz w:val="24"/>
          <w:szCs w:val="24"/>
          <w:lang w:val="pl"/>
        </w:rPr>
        <w:t>W szczególności niezbędne jest stwierdzenie, czy:</w:t>
      </w:r>
    </w:p>
    <w:p w:rsidR="004A409A" w:rsidRPr="00BB66BF" w:rsidRDefault="004A409A" w:rsidP="00BB66BF">
      <w:pPr>
        <w:pStyle w:val="Teksttreci0"/>
        <w:numPr>
          <w:ilvl w:val="0"/>
          <w:numId w:val="74"/>
        </w:numPr>
        <w:tabs>
          <w:tab w:val="left" w:pos="695"/>
        </w:tabs>
        <w:spacing w:before="120" w:line="240" w:lineRule="auto"/>
        <w:jc w:val="both"/>
        <w:rPr>
          <w:rFonts w:asciiTheme="minorHAnsi" w:hAnsiTheme="minorHAnsi"/>
          <w:sz w:val="24"/>
          <w:szCs w:val="24"/>
          <w:lang w:val="pl"/>
        </w:rPr>
      </w:pPr>
      <w:r w:rsidRPr="00BB66BF">
        <w:rPr>
          <w:rFonts w:asciiTheme="minorHAnsi" w:hAnsiTheme="minorHAnsi"/>
          <w:sz w:val="24"/>
          <w:szCs w:val="24"/>
          <w:lang w:val="pl"/>
        </w:rPr>
        <w:t>dziecko doświadczyło przemocy (w tym przemocy zadanej przez członków rodziny), nie jest niepełnosprawne, w ciąży, czy nie należy do mniejszości seksualnej, jest ofiarą handlu ludźmi, uprowadzenia, nielegalnej adopcji, pracy przymusowej itd.,</w:t>
      </w:r>
    </w:p>
    <w:p w:rsidR="004A409A" w:rsidRPr="00BB66BF" w:rsidRDefault="004A409A" w:rsidP="00BB66BF">
      <w:pPr>
        <w:pStyle w:val="Teksttreci0"/>
        <w:numPr>
          <w:ilvl w:val="0"/>
          <w:numId w:val="74"/>
        </w:numPr>
        <w:tabs>
          <w:tab w:val="left" w:pos="695"/>
        </w:tabs>
        <w:spacing w:before="120" w:line="240" w:lineRule="auto"/>
        <w:jc w:val="both"/>
        <w:rPr>
          <w:rFonts w:asciiTheme="minorHAnsi" w:hAnsiTheme="minorHAnsi"/>
          <w:sz w:val="24"/>
          <w:szCs w:val="24"/>
        </w:rPr>
      </w:pPr>
      <w:r w:rsidRPr="00BB66BF">
        <w:rPr>
          <w:rFonts w:asciiTheme="minorHAnsi" w:hAnsiTheme="minorHAnsi"/>
          <w:sz w:val="24"/>
          <w:szCs w:val="24"/>
          <w:lang w:val="pl"/>
        </w:rPr>
        <w:t>w związku z cechami indywidualnymi dziecka, jego pobyt w detencji nie będzie godził w jego najlepszy interes, np. czy dziecko nie będzie narażone na przemoc ze strony innych obcokrajowców umieszczonych w ośrodku (należących do grup antagonistycznych lub nie tolerujących pewnych cech np. osób LGBT),</w:t>
      </w:r>
    </w:p>
    <w:p w:rsidR="004A409A" w:rsidRPr="00BB66BF" w:rsidRDefault="004A409A" w:rsidP="00BB66BF">
      <w:pPr>
        <w:pStyle w:val="Teksttreci0"/>
        <w:numPr>
          <w:ilvl w:val="0"/>
          <w:numId w:val="74"/>
        </w:numPr>
        <w:tabs>
          <w:tab w:val="left" w:pos="675"/>
        </w:tabs>
        <w:spacing w:before="120" w:line="240" w:lineRule="auto"/>
        <w:jc w:val="both"/>
        <w:rPr>
          <w:rFonts w:asciiTheme="minorHAnsi" w:hAnsiTheme="minorHAnsi"/>
          <w:sz w:val="24"/>
          <w:szCs w:val="24"/>
        </w:rPr>
      </w:pPr>
      <w:r w:rsidRPr="00BB66BF">
        <w:rPr>
          <w:rFonts w:asciiTheme="minorHAnsi" w:hAnsiTheme="minorHAnsi"/>
          <w:sz w:val="24"/>
          <w:szCs w:val="24"/>
          <w:lang w:val="pl"/>
        </w:rPr>
        <w:t>jego prywatność będzie uszanowana.</w:t>
      </w:r>
    </w:p>
    <w:p w:rsidR="004A409A" w:rsidRPr="00BB66BF" w:rsidRDefault="004A409A" w:rsidP="00BB66BF">
      <w:pPr>
        <w:pStyle w:val="Teksttreci0"/>
        <w:numPr>
          <w:ilvl w:val="0"/>
          <w:numId w:val="37"/>
        </w:numPr>
        <w:tabs>
          <w:tab w:val="left" w:pos="311"/>
        </w:tabs>
        <w:spacing w:before="120" w:line="240" w:lineRule="auto"/>
        <w:ind w:firstLine="0"/>
        <w:jc w:val="both"/>
        <w:rPr>
          <w:rFonts w:asciiTheme="minorHAnsi" w:hAnsiTheme="minorHAnsi"/>
          <w:sz w:val="24"/>
          <w:szCs w:val="24"/>
        </w:rPr>
      </w:pPr>
      <w:r w:rsidRPr="00BB66BF">
        <w:rPr>
          <w:rFonts w:asciiTheme="minorHAnsi" w:hAnsiTheme="minorHAnsi"/>
          <w:sz w:val="24"/>
          <w:szCs w:val="24"/>
          <w:lang w:val="pl"/>
        </w:rPr>
        <w:t>Zdrowie fizyczne, psychiczne i emocjonalne (czy nie cierpi na schorzenia psychiczne spowodowane urazem lub przemocą, chorobę przewlekłą lub rzadką, alergie itd.)</w:t>
      </w:r>
    </w:p>
    <w:p w:rsidR="004A409A" w:rsidRPr="00BB66BF" w:rsidRDefault="004A409A" w:rsidP="00BB66BF">
      <w:pPr>
        <w:pStyle w:val="Teksttreci0"/>
        <w:spacing w:before="120" w:line="240" w:lineRule="auto"/>
        <w:ind w:firstLine="0"/>
        <w:jc w:val="both"/>
        <w:rPr>
          <w:rFonts w:asciiTheme="minorHAnsi" w:hAnsiTheme="minorHAnsi"/>
          <w:sz w:val="24"/>
          <w:szCs w:val="24"/>
        </w:rPr>
      </w:pPr>
      <w:r w:rsidRPr="00BB66BF">
        <w:rPr>
          <w:rFonts w:asciiTheme="minorHAnsi" w:hAnsiTheme="minorHAnsi"/>
          <w:sz w:val="24"/>
          <w:szCs w:val="24"/>
          <w:lang w:val="pl"/>
        </w:rPr>
        <w:t>Takie indywidualne oceny powinny być przeprowadzane często i regularnie aktualizowane. Ocenę należy przeprowadzać zarówno przed podjęciem decyzji o umieszczeniu dziecka w ośrodku strzeżonym, jak również w trakcie dalszych postępowań detencyjnych (celem zbadania jak obecna detencja wpłynęła na jego stan psychiczny, czy nie trwa ona zbyt długo, czy nie powoduje cierpień u dziecka itd.). Ponadto należy w szczególności zbadać, czy dziecko w strzeżonym ośrodku może otrzymywać prawidłowe leczenie, czy dostępni są lekarze pediatrzy i lekarze innych potrzebnych specjalności.</w:t>
      </w:r>
    </w:p>
    <w:p w:rsidR="004A409A" w:rsidRPr="00BB66BF" w:rsidRDefault="004A409A" w:rsidP="00BB66BF">
      <w:pPr>
        <w:pStyle w:val="Teksttreci0"/>
        <w:numPr>
          <w:ilvl w:val="0"/>
          <w:numId w:val="37"/>
        </w:numPr>
        <w:tabs>
          <w:tab w:val="left" w:pos="307"/>
        </w:tabs>
        <w:spacing w:before="120" w:line="240" w:lineRule="auto"/>
        <w:ind w:firstLine="0"/>
        <w:jc w:val="both"/>
        <w:rPr>
          <w:rFonts w:asciiTheme="minorHAnsi" w:hAnsiTheme="minorHAnsi"/>
          <w:sz w:val="24"/>
          <w:szCs w:val="24"/>
        </w:rPr>
      </w:pPr>
      <w:r w:rsidRPr="00BB66BF">
        <w:rPr>
          <w:rFonts w:asciiTheme="minorHAnsi" w:hAnsiTheme="minorHAnsi"/>
          <w:sz w:val="24"/>
          <w:szCs w:val="24"/>
          <w:lang w:val="pl"/>
        </w:rPr>
        <w:t>Dostęp dziecka do odpowiedniej edukacji, rekreacji i zabawy.</w:t>
      </w:r>
    </w:p>
    <w:p w:rsidR="004A409A" w:rsidRPr="00BB66BF" w:rsidRDefault="004A409A" w:rsidP="00BB66BF">
      <w:pPr>
        <w:pStyle w:val="Teksttreci0"/>
        <w:spacing w:before="120" w:line="240" w:lineRule="auto"/>
        <w:ind w:firstLine="0"/>
        <w:jc w:val="both"/>
        <w:rPr>
          <w:rFonts w:asciiTheme="minorHAnsi" w:hAnsiTheme="minorHAnsi"/>
          <w:sz w:val="24"/>
          <w:szCs w:val="24"/>
        </w:rPr>
      </w:pPr>
      <w:r w:rsidRPr="00BB66BF">
        <w:rPr>
          <w:rFonts w:asciiTheme="minorHAnsi" w:hAnsiTheme="minorHAnsi"/>
          <w:sz w:val="24"/>
          <w:szCs w:val="24"/>
          <w:lang w:val="pl"/>
        </w:rPr>
        <w:t>W szczególności należy zbadać:</w:t>
      </w:r>
    </w:p>
    <w:p w:rsidR="00BB66BF" w:rsidRDefault="004A409A" w:rsidP="00BB66BF">
      <w:pPr>
        <w:pStyle w:val="Teksttreci0"/>
        <w:numPr>
          <w:ilvl w:val="0"/>
          <w:numId w:val="74"/>
        </w:numPr>
        <w:tabs>
          <w:tab w:val="left" w:pos="709"/>
        </w:tabs>
        <w:spacing w:before="120" w:line="240" w:lineRule="auto"/>
        <w:jc w:val="both"/>
        <w:rPr>
          <w:rFonts w:asciiTheme="minorHAnsi" w:hAnsiTheme="minorHAnsi"/>
          <w:sz w:val="24"/>
          <w:szCs w:val="24"/>
          <w:lang w:val="pl"/>
        </w:rPr>
      </w:pPr>
      <w:r w:rsidRPr="00BB66BF">
        <w:rPr>
          <w:rFonts w:asciiTheme="minorHAnsi" w:hAnsiTheme="minorHAnsi"/>
          <w:sz w:val="24"/>
          <w:szCs w:val="24"/>
          <w:lang w:val="pl"/>
        </w:rPr>
        <w:t>poziom edukacyjny dziecka,</w:t>
      </w:r>
    </w:p>
    <w:p w:rsidR="004A409A" w:rsidRPr="00BB66BF" w:rsidRDefault="004A409A" w:rsidP="00BB66BF">
      <w:pPr>
        <w:pStyle w:val="Teksttreci0"/>
        <w:numPr>
          <w:ilvl w:val="0"/>
          <w:numId w:val="74"/>
        </w:numPr>
        <w:tabs>
          <w:tab w:val="left" w:pos="709"/>
        </w:tabs>
        <w:spacing w:before="120" w:line="240" w:lineRule="auto"/>
        <w:jc w:val="both"/>
        <w:rPr>
          <w:rFonts w:asciiTheme="minorHAnsi" w:hAnsiTheme="minorHAnsi"/>
          <w:sz w:val="24"/>
          <w:szCs w:val="24"/>
          <w:lang w:val="pl"/>
        </w:rPr>
      </w:pPr>
      <w:r w:rsidRPr="00BB66BF">
        <w:rPr>
          <w:rFonts w:asciiTheme="minorHAnsi" w:hAnsiTheme="minorHAnsi"/>
          <w:sz w:val="24"/>
          <w:szCs w:val="24"/>
          <w:lang w:val="pl"/>
        </w:rPr>
        <w:t>dostępność i jakość usług edukacyjnych w ośrodku (jak często odbywają się zajęcia, w jakim języku itd.),</w:t>
      </w:r>
    </w:p>
    <w:p w:rsidR="004A409A" w:rsidRPr="00BB66BF" w:rsidRDefault="004A409A" w:rsidP="00BB66BF">
      <w:pPr>
        <w:pStyle w:val="Teksttreci0"/>
        <w:numPr>
          <w:ilvl w:val="0"/>
          <w:numId w:val="74"/>
        </w:numPr>
        <w:tabs>
          <w:tab w:val="left" w:pos="709"/>
        </w:tabs>
        <w:spacing w:before="120" w:line="240" w:lineRule="auto"/>
        <w:jc w:val="both"/>
        <w:rPr>
          <w:rFonts w:asciiTheme="minorHAnsi" w:hAnsiTheme="minorHAnsi"/>
          <w:sz w:val="24"/>
          <w:szCs w:val="24"/>
          <w:lang w:val="pl"/>
        </w:rPr>
      </w:pPr>
      <w:r w:rsidRPr="00BB66BF">
        <w:rPr>
          <w:rFonts w:asciiTheme="minorHAnsi" w:hAnsiTheme="minorHAnsi"/>
          <w:sz w:val="24"/>
          <w:szCs w:val="24"/>
          <w:lang w:val="pl"/>
        </w:rPr>
        <w:t>czy dziecko będzie miało możliwość korzystania z odpoczynku, rekreacji i zabawy na terenie ośrodka strzeżonego.</w:t>
      </w:r>
    </w:p>
    <w:p w:rsidR="004A409A" w:rsidRPr="00BB66BF" w:rsidRDefault="004A409A" w:rsidP="00BB66BF">
      <w:pPr>
        <w:pStyle w:val="Teksttreci0"/>
        <w:numPr>
          <w:ilvl w:val="0"/>
          <w:numId w:val="37"/>
        </w:numPr>
        <w:tabs>
          <w:tab w:val="left" w:pos="314"/>
        </w:tabs>
        <w:spacing w:before="120" w:line="240" w:lineRule="auto"/>
        <w:ind w:firstLine="0"/>
        <w:jc w:val="both"/>
        <w:rPr>
          <w:rFonts w:asciiTheme="minorHAnsi" w:hAnsiTheme="minorHAnsi"/>
          <w:sz w:val="24"/>
          <w:szCs w:val="24"/>
        </w:rPr>
      </w:pPr>
      <w:r w:rsidRPr="00BB66BF">
        <w:rPr>
          <w:rFonts w:asciiTheme="minorHAnsi" w:hAnsiTheme="minorHAnsi"/>
          <w:sz w:val="24"/>
          <w:szCs w:val="24"/>
          <w:lang w:val="pl"/>
        </w:rPr>
        <w:lastRenderedPageBreak/>
        <w:t>Inne warunki na terenie ośrodka strzeżonego, np.: czy rodzinie zostanie zapewniona prywatność i bezpieczeństwo, jaka jest płeć i kompetencje personelu do pracy z dziećmi, czy na terenie ośrodka zatrudnieni są pracownicy socjalni, czy teren ośrodka jest przystosowany dla dzieci (zwłaszcza małych dzieci, potrzebujących odpowiednich zabezpieczeń), czy pracownicy ośrodka wchodzący w bezpośredni kontakt z obcokrajowcami są umundurowani, co może budzić u dziecka niepokój.</w:t>
      </w:r>
    </w:p>
    <w:p w:rsidR="004A409A" w:rsidRPr="00BB66BF" w:rsidRDefault="004A409A" w:rsidP="00BB66BF">
      <w:pPr>
        <w:pStyle w:val="Teksttreci0"/>
        <w:numPr>
          <w:ilvl w:val="0"/>
          <w:numId w:val="37"/>
        </w:numPr>
        <w:tabs>
          <w:tab w:val="left" w:pos="307"/>
        </w:tabs>
        <w:spacing w:before="120" w:line="240" w:lineRule="auto"/>
        <w:ind w:firstLine="0"/>
        <w:jc w:val="both"/>
        <w:rPr>
          <w:rFonts w:asciiTheme="minorHAnsi" w:hAnsiTheme="minorHAnsi"/>
          <w:sz w:val="24"/>
          <w:szCs w:val="24"/>
        </w:rPr>
      </w:pPr>
      <w:r w:rsidRPr="00BB66BF">
        <w:rPr>
          <w:rFonts w:asciiTheme="minorHAnsi" w:hAnsiTheme="minorHAnsi"/>
          <w:sz w:val="24"/>
          <w:szCs w:val="24"/>
          <w:lang w:val="pl"/>
        </w:rPr>
        <w:t>Status prawny/migracyjny dziecka.</w:t>
      </w:r>
    </w:p>
    <w:p w:rsidR="004A409A" w:rsidRPr="00BB66BF" w:rsidRDefault="004A409A" w:rsidP="00BB66BF">
      <w:pPr>
        <w:pStyle w:val="Teksttreci0"/>
        <w:spacing w:before="120" w:line="240" w:lineRule="auto"/>
        <w:ind w:firstLine="0"/>
        <w:jc w:val="both"/>
        <w:rPr>
          <w:rFonts w:asciiTheme="minorHAnsi" w:hAnsiTheme="minorHAnsi"/>
          <w:sz w:val="24"/>
          <w:szCs w:val="24"/>
        </w:rPr>
      </w:pPr>
      <w:r w:rsidRPr="00BB66BF">
        <w:rPr>
          <w:rFonts w:asciiTheme="minorHAnsi" w:hAnsiTheme="minorHAnsi"/>
          <w:sz w:val="24"/>
          <w:szCs w:val="24"/>
          <w:lang w:val="pl"/>
        </w:rPr>
        <w:t>W szczególności należy rozważyć, czy istnieją podstawy do legalizacji pobytu dziecka w Polsce (np. z powodu prowadzenia w Polsce życia rodzinnego i prywatnego, stopnia zintegrowania dziecka z Polską, długości pobytu w Polsce itd.).</w:t>
      </w:r>
    </w:p>
    <w:p w:rsidR="004A409A" w:rsidRPr="00BB66BF" w:rsidRDefault="004A409A" w:rsidP="00BB66BF">
      <w:pPr>
        <w:pStyle w:val="Teksttreci0"/>
        <w:numPr>
          <w:ilvl w:val="0"/>
          <w:numId w:val="37"/>
        </w:numPr>
        <w:tabs>
          <w:tab w:val="left" w:pos="311"/>
        </w:tabs>
        <w:spacing w:before="120" w:line="240" w:lineRule="auto"/>
        <w:ind w:firstLine="0"/>
        <w:jc w:val="both"/>
        <w:rPr>
          <w:rFonts w:asciiTheme="minorHAnsi" w:hAnsiTheme="minorHAnsi"/>
          <w:sz w:val="24"/>
          <w:szCs w:val="24"/>
        </w:rPr>
      </w:pPr>
      <w:r w:rsidRPr="00BB66BF">
        <w:rPr>
          <w:rFonts w:asciiTheme="minorHAnsi" w:hAnsiTheme="minorHAnsi"/>
          <w:sz w:val="24"/>
          <w:szCs w:val="24"/>
          <w:lang w:val="pl"/>
        </w:rPr>
        <w:t>Zawsze należy uwzględniać fakt, że jeśli dziecko objęte jest postępowaniem o udzielenie ochrony międzynarodowej, to z mocy prawa (na podstawie rozdziału 5 ustawy o udzielaniu cudzoziemcom ochrony) zakwaterowanie, wyżywienie, opiekę medyczną i inne świadczenia zapewnia Urząd do Spraw Cudzoziemców.</w:t>
      </w:r>
    </w:p>
    <w:p w:rsidR="004A409A" w:rsidRPr="00BB66BF" w:rsidRDefault="004A409A" w:rsidP="00BB66BF">
      <w:pPr>
        <w:pStyle w:val="Nagwek11"/>
        <w:keepNext/>
        <w:keepLines/>
        <w:numPr>
          <w:ilvl w:val="0"/>
          <w:numId w:val="36"/>
        </w:numPr>
        <w:tabs>
          <w:tab w:val="left" w:pos="283"/>
        </w:tabs>
        <w:spacing w:before="120" w:after="0" w:line="240" w:lineRule="auto"/>
        <w:ind w:firstLine="0"/>
        <w:jc w:val="center"/>
        <w:outlineLvl w:val="9"/>
        <w:rPr>
          <w:rFonts w:asciiTheme="minorHAnsi" w:hAnsiTheme="minorHAnsi"/>
          <w:sz w:val="24"/>
          <w:szCs w:val="24"/>
        </w:rPr>
      </w:pPr>
      <w:r w:rsidRPr="00BB66BF">
        <w:rPr>
          <w:rFonts w:asciiTheme="minorHAnsi" w:hAnsiTheme="minorHAnsi"/>
          <w:sz w:val="24"/>
          <w:szCs w:val="24"/>
          <w:lang w:val="pl"/>
        </w:rPr>
        <w:t>Gwarancje proceduralne zapewniające realizację najlepszego interesu dziecka w toku postępowania o umieszczenie w strzeżonym ośrodku</w:t>
      </w:r>
    </w:p>
    <w:p w:rsidR="004A409A" w:rsidRPr="00BB66BF" w:rsidRDefault="004A409A" w:rsidP="00BB66BF">
      <w:pPr>
        <w:pStyle w:val="Teksttreci0"/>
        <w:numPr>
          <w:ilvl w:val="0"/>
          <w:numId w:val="39"/>
        </w:numPr>
        <w:tabs>
          <w:tab w:val="left" w:pos="303"/>
        </w:tabs>
        <w:spacing w:before="120" w:line="240" w:lineRule="auto"/>
        <w:ind w:firstLine="0"/>
        <w:jc w:val="both"/>
        <w:rPr>
          <w:rFonts w:asciiTheme="minorHAnsi" w:hAnsiTheme="minorHAnsi"/>
          <w:sz w:val="24"/>
          <w:szCs w:val="24"/>
        </w:rPr>
      </w:pPr>
      <w:r w:rsidRPr="00BB66BF">
        <w:rPr>
          <w:rFonts w:asciiTheme="minorHAnsi" w:hAnsiTheme="minorHAnsi"/>
          <w:sz w:val="24"/>
          <w:szCs w:val="24"/>
          <w:lang w:val="pl"/>
        </w:rPr>
        <w:t>Dziecku winno przysługiwać prawo uczestniczenia w postępowaniu, a jego indywidualna sytuacja winna być rozpatrywana niezależnie od sytuacji rodziców.</w:t>
      </w:r>
    </w:p>
    <w:p w:rsidR="004A409A" w:rsidRPr="00BB66BF" w:rsidRDefault="004A409A" w:rsidP="00BB66BF">
      <w:pPr>
        <w:pStyle w:val="Teksttreci0"/>
        <w:numPr>
          <w:ilvl w:val="0"/>
          <w:numId w:val="40"/>
        </w:numPr>
        <w:tabs>
          <w:tab w:val="left" w:pos="311"/>
        </w:tabs>
        <w:spacing w:before="120" w:line="240" w:lineRule="auto"/>
        <w:ind w:left="284" w:hanging="284"/>
        <w:jc w:val="both"/>
        <w:rPr>
          <w:rFonts w:asciiTheme="minorHAnsi" w:hAnsiTheme="minorHAnsi"/>
          <w:sz w:val="24"/>
          <w:szCs w:val="24"/>
        </w:rPr>
      </w:pPr>
      <w:r w:rsidRPr="00BB66BF">
        <w:rPr>
          <w:rFonts w:asciiTheme="minorHAnsi" w:hAnsiTheme="minorHAnsi"/>
          <w:sz w:val="24"/>
          <w:szCs w:val="24"/>
          <w:lang w:val="pl"/>
        </w:rPr>
        <w:t>Należy zagwarantować prawo dziecka do wyrażania własnych poglądów.</w:t>
      </w:r>
    </w:p>
    <w:p w:rsidR="004A409A" w:rsidRPr="00BB66BF" w:rsidRDefault="004A409A" w:rsidP="00BB66BF">
      <w:pPr>
        <w:pStyle w:val="Teksttreci0"/>
        <w:numPr>
          <w:ilvl w:val="0"/>
          <w:numId w:val="74"/>
        </w:numPr>
        <w:tabs>
          <w:tab w:val="left" w:pos="709"/>
        </w:tabs>
        <w:spacing w:before="120" w:line="240" w:lineRule="auto"/>
        <w:jc w:val="both"/>
        <w:rPr>
          <w:rFonts w:asciiTheme="minorHAnsi" w:hAnsiTheme="minorHAnsi"/>
          <w:sz w:val="24"/>
          <w:szCs w:val="24"/>
        </w:rPr>
      </w:pPr>
      <w:r w:rsidRPr="00BB66BF">
        <w:rPr>
          <w:rFonts w:asciiTheme="minorHAnsi" w:hAnsiTheme="minorHAnsi"/>
          <w:sz w:val="24"/>
          <w:szCs w:val="24"/>
          <w:lang w:val="pl"/>
        </w:rPr>
        <w:t>Dziecko należy informować o rodzaju prowadzonego postępowania i jego możliwym wyniku w sposób jemu przyjazny i w języku, który rozumie.</w:t>
      </w:r>
    </w:p>
    <w:p w:rsidR="004A409A" w:rsidRPr="00BB66BF" w:rsidRDefault="004A409A" w:rsidP="00BB66BF">
      <w:pPr>
        <w:pStyle w:val="Teksttreci0"/>
        <w:numPr>
          <w:ilvl w:val="0"/>
          <w:numId w:val="74"/>
        </w:numPr>
        <w:tabs>
          <w:tab w:val="left" w:pos="709"/>
        </w:tabs>
        <w:spacing w:before="120" w:line="240" w:lineRule="auto"/>
        <w:jc w:val="both"/>
        <w:rPr>
          <w:rFonts w:asciiTheme="minorHAnsi" w:hAnsiTheme="minorHAnsi"/>
          <w:sz w:val="24"/>
          <w:szCs w:val="24"/>
          <w:lang w:val="pl"/>
        </w:rPr>
      </w:pPr>
      <w:r w:rsidRPr="00BB66BF">
        <w:rPr>
          <w:rFonts w:asciiTheme="minorHAnsi" w:hAnsiTheme="minorHAnsi"/>
          <w:sz w:val="24"/>
          <w:szCs w:val="24"/>
          <w:lang w:val="pl"/>
        </w:rPr>
        <w:t>Dziecku, które jest w stanie formułować własne opinie, należy dawać możliwość wypowiadania się adekwatnie do jego wieku i poziomu dojrzałości; wysłuchanie może zostać przeprowadzone bezpośrednio przez organ/sąd lub specjalistę/biegłego (np. pedagoga, psychologa dziecięcego).</w:t>
      </w:r>
    </w:p>
    <w:p w:rsidR="004A409A" w:rsidRPr="00BB66BF" w:rsidRDefault="004A409A" w:rsidP="00BB66BF">
      <w:pPr>
        <w:pStyle w:val="Teksttreci0"/>
        <w:numPr>
          <w:ilvl w:val="0"/>
          <w:numId w:val="74"/>
        </w:numPr>
        <w:tabs>
          <w:tab w:val="left" w:pos="709"/>
        </w:tabs>
        <w:spacing w:before="120" w:line="240" w:lineRule="auto"/>
        <w:jc w:val="both"/>
        <w:rPr>
          <w:rFonts w:asciiTheme="minorHAnsi" w:hAnsiTheme="minorHAnsi"/>
          <w:sz w:val="24"/>
          <w:szCs w:val="24"/>
          <w:lang w:val="pl"/>
        </w:rPr>
      </w:pPr>
      <w:r w:rsidRPr="00BB66BF">
        <w:rPr>
          <w:rFonts w:asciiTheme="minorHAnsi" w:hAnsiTheme="minorHAnsi"/>
          <w:sz w:val="24"/>
          <w:szCs w:val="24"/>
          <w:lang w:val="pl"/>
        </w:rPr>
        <w:t>Wysłuchanie powinno odbyć się w otoczeniu przyjaznym dla dziecka (np. w tzw. przyjaznym pokoju przesłuchań lub miejscach prowadzonych przez samorządy lub organizacje pozarządowe).</w:t>
      </w:r>
    </w:p>
    <w:p w:rsidR="004A409A" w:rsidRPr="00BB66BF" w:rsidRDefault="004A409A" w:rsidP="00BB66BF">
      <w:pPr>
        <w:pStyle w:val="Teksttreci0"/>
        <w:numPr>
          <w:ilvl w:val="0"/>
          <w:numId w:val="74"/>
        </w:numPr>
        <w:tabs>
          <w:tab w:val="left" w:pos="709"/>
        </w:tabs>
        <w:spacing w:before="120" w:line="240" w:lineRule="auto"/>
        <w:jc w:val="both"/>
        <w:rPr>
          <w:rFonts w:asciiTheme="minorHAnsi" w:hAnsiTheme="minorHAnsi"/>
          <w:sz w:val="24"/>
          <w:szCs w:val="24"/>
          <w:lang w:val="pl"/>
        </w:rPr>
      </w:pPr>
      <w:r w:rsidRPr="00BB66BF">
        <w:rPr>
          <w:rFonts w:asciiTheme="minorHAnsi" w:hAnsiTheme="minorHAnsi"/>
          <w:sz w:val="24"/>
          <w:szCs w:val="24"/>
          <w:lang w:val="pl"/>
        </w:rPr>
        <w:t>Jeżeli wysłuchanie jest prowadzone bezpośrednio przez organ/sąd, powinno się odbywać się w obecności psychologa dziecięcego i rodzica/opiekuna oraz, w razie potrzeby, tłumacza.</w:t>
      </w:r>
    </w:p>
    <w:p w:rsidR="004A409A" w:rsidRPr="00BB66BF" w:rsidRDefault="004A409A" w:rsidP="00BB66BF">
      <w:pPr>
        <w:pStyle w:val="Teksttreci0"/>
        <w:numPr>
          <w:ilvl w:val="0"/>
          <w:numId w:val="40"/>
        </w:numPr>
        <w:tabs>
          <w:tab w:val="left" w:pos="308"/>
        </w:tabs>
        <w:spacing w:before="120" w:line="240" w:lineRule="auto"/>
        <w:ind w:left="284" w:hanging="284"/>
        <w:rPr>
          <w:rFonts w:asciiTheme="minorHAnsi" w:hAnsiTheme="minorHAnsi"/>
          <w:sz w:val="24"/>
          <w:szCs w:val="24"/>
        </w:rPr>
      </w:pPr>
      <w:r w:rsidRPr="00BB66BF">
        <w:rPr>
          <w:rFonts w:asciiTheme="minorHAnsi" w:hAnsiTheme="minorHAnsi"/>
          <w:sz w:val="24"/>
          <w:szCs w:val="24"/>
          <w:lang w:val="pl"/>
        </w:rPr>
        <w:t>Indywidualną sytuację dziecka powinni badać eksperci.</w:t>
      </w:r>
    </w:p>
    <w:p w:rsidR="004A409A" w:rsidRPr="00BB66BF" w:rsidRDefault="004A409A" w:rsidP="00BB66BF">
      <w:pPr>
        <w:pStyle w:val="Teksttreci0"/>
        <w:numPr>
          <w:ilvl w:val="0"/>
          <w:numId w:val="74"/>
        </w:numPr>
        <w:tabs>
          <w:tab w:val="left" w:pos="709"/>
        </w:tabs>
        <w:spacing w:before="120" w:line="240" w:lineRule="auto"/>
        <w:jc w:val="both"/>
        <w:rPr>
          <w:rFonts w:asciiTheme="minorHAnsi" w:hAnsiTheme="minorHAnsi"/>
          <w:sz w:val="24"/>
          <w:szCs w:val="24"/>
        </w:rPr>
      </w:pPr>
      <w:r w:rsidRPr="00BB66BF">
        <w:rPr>
          <w:rFonts w:asciiTheme="minorHAnsi" w:hAnsiTheme="minorHAnsi"/>
          <w:sz w:val="24"/>
          <w:szCs w:val="24"/>
          <w:lang w:val="pl"/>
        </w:rPr>
        <w:t>W celu oceny sytuacji dziecka, w szczególności jego stanu psychofizycznego, należy powołać wykwalifikowany zespół (składający się z psychologa dziecięcego, pediatry, pracownika socjalnego, pedagoga); specjaliści tworzący zespół powinni być powoływani przez sąd i niezależni od podmiotu składającego wniosek o umieszczenie w strzeżonym ośrodku. Biegłemu psychologowi należy umożliwić zapoznanie się z innymi opiniami psychologicznymi dotyczącymi dziecka. Jest to szczególnie ważne w przypadku, gdy przedstawione zostaną prywatne opinie dotyczące zdrowia psychicznego dziecka różniące się od oceny przedstawionej przez organy.</w:t>
      </w:r>
    </w:p>
    <w:p w:rsidR="004A409A" w:rsidRPr="00BB66BF" w:rsidRDefault="004A409A" w:rsidP="00BB66BF">
      <w:pPr>
        <w:pStyle w:val="Teksttreci0"/>
        <w:numPr>
          <w:ilvl w:val="0"/>
          <w:numId w:val="40"/>
        </w:numPr>
        <w:tabs>
          <w:tab w:val="left" w:pos="308"/>
        </w:tabs>
        <w:spacing w:before="120" w:line="240" w:lineRule="auto"/>
        <w:ind w:left="284" w:hanging="284"/>
        <w:rPr>
          <w:rFonts w:asciiTheme="minorHAnsi" w:hAnsiTheme="minorHAnsi"/>
          <w:sz w:val="24"/>
          <w:szCs w:val="24"/>
        </w:rPr>
      </w:pPr>
      <w:r w:rsidRPr="00BB66BF">
        <w:rPr>
          <w:rFonts w:asciiTheme="minorHAnsi" w:hAnsiTheme="minorHAnsi"/>
          <w:sz w:val="24"/>
          <w:szCs w:val="24"/>
          <w:lang w:val="pl"/>
        </w:rPr>
        <w:t>Pozyskiwanie informacji z innych źródeł.</w:t>
      </w:r>
    </w:p>
    <w:p w:rsidR="004A409A" w:rsidRPr="00BB66BF" w:rsidRDefault="004A409A" w:rsidP="00BB66BF">
      <w:pPr>
        <w:pStyle w:val="Teksttreci0"/>
        <w:numPr>
          <w:ilvl w:val="0"/>
          <w:numId w:val="74"/>
        </w:numPr>
        <w:tabs>
          <w:tab w:val="left" w:pos="709"/>
        </w:tabs>
        <w:spacing w:before="120" w:line="240" w:lineRule="auto"/>
        <w:jc w:val="both"/>
        <w:rPr>
          <w:rFonts w:asciiTheme="minorHAnsi" w:hAnsiTheme="minorHAnsi"/>
          <w:sz w:val="24"/>
          <w:szCs w:val="24"/>
          <w:lang w:val="pl"/>
        </w:rPr>
      </w:pPr>
      <w:r w:rsidRPr="00BB66BF">
        <w:rPr>
          <w:rFonts w:asciiTheme="minorHAnsi" w:hAnsiTheme="minorHAnsi"/>
          <w:sz w:val="24"/>
          <w:szCs w:val="24"/>
          <w:lang w:val="pl"/>
        </w:rPr>
        <w:lastRenderedPageBreak/>
        <w:t>W celu przeprowadzenia pełnej oceny sytuacji dziecka należy przesłuchać również inne osoby posiadające wiedzę o stanie i funkcjonowaniu dziecka (np. nauczyciele, pracownicy służby zdrowia itd.).</w:t>
      </w:r>
    </w:p>
    <w:p w:rsidR="004A409A" w:rsidRPr="00BB66BF" w:rsidRDefault="004A409A" w:rsidP="00BB66BF">
      <w:pPr>
        <w:pStyle w:val="Teksttreci0"/>
        <w:numPr>
          <w:ilvl w:val="0"/>
          <w:numId w:val="74"/>
        </w:numPr>
        <w:tabs>
          <w:tab w:val="left" w:pos="709"/>
        </w:tabs>
        <w:spacing w:before="120" w:line="240" w:lineRule="auto"/>
        <w:jc w:val="both"/>
        <w:rPr>
          <w:rFonts w:asciiTheme="minorHAnsi" w:hAnsiTheme="minorHAnsi"/>
          <w:sz w:val="24"/>
          <w:szCs w:val="24"/>
        </w:rPr>
      </w:pPr>
      <w:r w:rsidRPr="00BB66BF">
        <w:rPr>
          <w:rFonts w:asciiTheme="minorHAnsi" w:hAnsiTheme="minorHAnsi"/>
          <w:sz w:val="24"/>
          <w:szCs w:val="24"/>
          <w:lang w:val="pl"/>
        </w:rPr>
        <w:t>Należy ustalić, czy względem dziecka nie są prowadzone inne postępowania i czy nie zawierają one informacji istotnych z punktu widzenia postępowania o umieszczenie w strzeżonym ośrodku (np. wniosek, protokół z przesłuchania lub decyzje wydane w toku postępowania o udzielenie ochrony międzynarodowej mogą zawierać informacje o przemocy i prześladowaniu, których dziecko było ofiarą).</w:t>
      </w:r>
    </w:p>
    <w:p w:rsidR="004A409A" w:rsidRPr="00BB66BF" w:rsidRDefault="004A409A" w:rsidP="00BB66BF">
      <w:pPr>
        <w:pStyle w:val="Teksttreci0"/>
        <w:numPr>
          <w:ilvl w:val="0"/>
          <w:numId w:val="39"/>
        </w:numPr>
        <w:tabs>
          <w:tab w:val="left" w:pos="289"/>
        </w:tabs>
        <w:spacing w:before="120" w:line="240" w:lineRule="auto"/>
        <w:ind w:firstLine="0"/>
        <w:jc w:val="both"/>
        <w:rPr>
          <w:rFonts w:asciiTheme="minorHAnsi" w:hAnsiTheme="minorHAnsi"/>
          <w:sz w:val="24"/>
          <w:szCs w:val="24"/>
        </w:rPr>
      </w:pPr>
      <w:r w:rsidRPr="00BB66BF">
        <w:rPr>
          <w:rFonts w:asciiTheme="minorHAnsi" w:hAnsiTheme="minorHAnsi"/>
          <w:sz w:val="24"/>
          <w:szCs w:val="24"/>
          <w:lang w:val="pl"/>
        </w:rPr>
        <w:t>Dziecku należy zapewnić odpowiednie zastępstwo procesowe i pomoc prawną.</w:t>
      </w:r>
    </w:p>
    <w:p w:rsidR="004A409A" w:rsidRPr="00BB66BF" w:rsidRDefault="004A409A" w:rsidP="00BB66BF">
      <w:pPr>
        <w:pStyle w:val="Teksttreci0"/>
        <w:numPr>
          <w:ilvl w:val="0"/>
          <w:numId w:val="74"/>
        </w:numPr>
        <w:tabs>
          <w:tab w:val="left" w:pos="709"/>
        </w:tabs>
        <w:spacing w:before="120" w:line="240" w:lineRule="auto"/>
        <w:jc w:val="both"/>
        <w:rPr>
          <w:rFonts w:asciiTheme="minorHAnsi" w:hAnsiTheme="minorHAnsi"/>
          <w:sz w:val="24"/>
          <w:szCs w:val="24"/>
        </w:rPr>
      </w:pPr>
      <w:r w:rsidRPr="00BB66BF">
        <w:rPr>
          <w:rFonts w:asciiTheme="minorHAnsi" w:hAnsiTheme="minorHAnsi"/>
          <w:sz w:val="24"/>
          <w:szCs w:val="24"/>
          <w:lang w:val="pl"/>
        </w:rPr>
        <w:t>W ramach postępowania o umieszczenie w strzeżonym ośrodku rodzinom oraz dzieciom bez opiekunów należy zapewnić bezpłatną pomoc prawną.</w:t>
      </w:r>
    </w:p>
    <w:p w:rsidR="004A409A" w:rsidRPr="00BB66BF" w:rsidRDefault="004A409A" w:rsidP="00BB66BF">
      <w:pPr>
        <w:pStyle w:val="Teksttreci0"/>
        <w:numPr>
          <w:ilvl w:val="0"/>
          <w:numId w:val="74"/>
        </w:numPr>
        <w:tabs>
          <w:tab w:val="left" w:pos="709"/>
        </w:tabs>
        <w:spacing w:before="120" w:line="240" w:lineRule="auto"/>
        <w:jc w:val="both"/>
        <w:rPr>
          <w:rFonts w:asciiTheme="minorHAnsi" w:hAnsiTheme="minorHAnsi"/>
          <w:sz w:val="24"/>
          <w:szCs w:val="24"/>
        </w:rPr>
      </w:pPr>
      <w:r w:rsidRPr="00BB66BF">
        <w:rPr>
          <w:rFonts w:asciiTheme="minorHAnsi" w:hAnsiTheme="minorHAnsi"/>
          <w:sz w:val="24"/>
          <w:szCs w:val="24"/>
          <w:lang w:val="pl"/>
        </w:rPr>
        <w:t>Jeżeli wobec wątpliwości co do wieku cudzoziemca przeprowadza się ocenę wieku (i zachodzi podejrzenie, że jest on małoletnim bez opiekuna), cudzoziemiec powinien w trakcie tych czynności być traktowany jak małoletni, a na czas ich trwania należy wyznaczyć dla niego opiekuna.</w:t>
      </w:r>
    </w:p>
    <w:p w:rsidR="004A409A" w:rsidRPr="00BB66BF" w:rsidRDefault="004A409A" w:rsidP="00BB66BF">
      <w:pPr>
        <w:pStyle w:val="Teksttreci0"/>
        <w:numPr>
          <w:ilvl w:val="0"/>
          <w:numId w:val="39"/>
        </w:numPr>
        <w:tabs>
          <w:tab w:val="left" w:pos="289"/>
        </w:tabs>
        <w:spacing w:before="120" w:line="240" w:lineRule="auto"/>
        <w:ind w:firstLine="0"/>
        <w:jc w:val="both"/>
        <w:rPr>
          <w:rFonts w:asciiTheme="minorHAnsi" w:hAnsiTheme="minorHAnsi"/>
          <w:sz w:val="24"/>
          <w:szCs w:val="24"/>
        </w:rPr>
      </w:pPr>
      <w:r w:rsidRPr="00BB66BF">
        <w:rPr>
          <w:rFonts w:asciiTheme="minorHAnsi" w:hAnsiTheme="minorHAnsi"/>
          <w:sz w:val="24"/>
          <w:szCs w:val="24"/>
          <w:lang w:val="pl"/>
        </w:rPr>
        <w:t>Procedury dotyczące dzieci powinny być traktowane priorytetowo.</w:t>
      </w:r>
    </w:p>
    <w:p w:rsidR="004A409A" w:rsidRPr="00BB66BF" w:rsidRDefault="004A409A" w:rsidP="00BB66BF">
      <w:pPr>
        <w:pStyle w:val="Teksttreci0"/>
        <w:numPr>
          <w:ilvl w:val="0"/>
          <w:numId w:val="74"/>
        </w:numPr>
        <w:tabs>
          <w:tab w:val="left" w:pos="709"/>
        </w:tabs>
        <w:spacing w:before="120" w:line="240" w:lineRule="auto"/>
        <w:jc w:val="both"/>
        <w:rPr>
          <w:rFonts w:asciiTheme="minorHAnsi" w:hAnsiTheme="minorHAnsi"/>
          <w:sz w:val="24"/>
          <w:szCs w:val="24"/>
        </w:rPr>
      </w:pPr>
      <w:r w:rsidRPr="00BB66BF">
        <w:rPr>
          <w:rFonts w:asciiTheme="minorHAnsi" w:hAnsiTheme="minorHAnsi"/>
          <w:sz w:val="24"/>
          <w:szCs w:val="24"/>
          <w:lang w:val="pl"/>
        </w:rPr>
        <w:t>Dotyczy to zarówno do postępowań administracyjnych (postępowanie o udzielenie ochrony międzynarodowej, postępowanie o zobowiązanie cudzoziemca do powrotu), jak i postępowań o umieszczenie w strzeżonym ośrodku.</w:t>
      </w:r>
    </w:p>
    <w:p w:rsidR="004A409A" w:rsidRPr="00BB66BF" w:rsidRDefault="004A409A" w:rsidP="00BB66BF">
      <w:pPr>
        <w:pStyle w:val="Teksttreci0"/>
        <w:numPr>
          <w:ilvl w:val="0"/>
          <w:numId w:val="74"/>
        </w:numPr>
        <w:tabs>
          <w:tab w:val="left" w:pos="709"/>
        </w:tabs>
        <w:spacing w:before="120" w:line="240" w:lineRule="auto"/>
        <w:jc w:val="both"/>
        <w:rPr>
          <w:rFonts w:asciiTheme="minorHAnsi" w:hAnsiTheme="minorHAnsi"/>
          <w:sz w:val="24"/>
          <w:szCs w:val="24"/>
        </w:rPr>
      </w:pPr>
      <w:r w:rsidRPr="00BB66BF">
        <w:rPr>
          <w:rFonts w:asciiTheme="minorHAnsi" w:hAnsiTheme="minorHAnsi"/>
          <w:sz w:val="24"/>
          <w:szCs w:val="24"/>
          <w:lang w:val="pl"/>
        </w:rPr>
        <w:t>Szybkość postępowania nie powinna negatywnie wpływać na inne prawa proceduralne, w tym na obowiązek starannego zbadania wszystkich okoliczności sprawy itd.</w:t>
      </w:r>
    </w:p>
    <w:p w:rsidR="004A409A" w:rsidRPr="00BB66BF" w:rsidRDefault="004A409A" w:rsidP="00BB66BF">
      <w:pPr>
        <w:pStyle w:val="Teksttreci0"/>
        <w:numPr>
          <w:ilvl w:val="0"/>
          <w:numId w:val="39"/>
        </w:numPr>
        <w:tabs>
          <w:tab w:val="left" w:pos="298"/>
        </w:tabs>
        <w:spacing w:before="120" w:line="240" w:lineRule="auto"/>
        <w:ind w:firstLine="0"/>
        <w:jc w:val="both"/>
        <w:rPr>
          <w:rFonts w:asciiTheme="minorHAnsi" w:hAnsiTheme="minorHAnsi"/>
          <w:sz w:val="24"/>
          <w:szCs w:val="24"/>
        </w:rPr>
      </w:pPr>
      <w:r w:rsidRPr="00BB66BF">
        <w:rPr>
          <w:rFonts w:asciiTheme="minorHAnsi" w:hAnsiTheme="minorHAnsi"/>
          <w:sz w:val="24"/>
          <w:szCs w:val="24"/>
          <w:lang w:val="pl"/>
        </w:rPr>
        <w:t>Uzasadnienie postanowienia o umieszczeniu w strzeżonym ośrodku powinno odnosić się do indywidualnej sytuacji dziecka i zawierać wyniki oceny jego najlepszego interesu.</w:t>
      </w:r>
    </w:p>
    <w:p w:rsidR="004A409A" w:rsidRPr="00BB66BF" w:rsidRDefault="004A409A" w:rsidP="00BB66BF">
      <w:pPr>
        <w:pStyle w:val="Teksttreci0"/>
        <w:numPr>
          <w:ilvl w:val="0"/>
          <w:numId w:val="74"/>
        </w:numPr>
        <w:tabs>
          <w:tab w:val="left" w:pos="709"/>
        </w:tabs>
        <w:spacing w:before="120" w:line="240" w:lineRule="auto"/>
        <w:jc w:val="both"/>
        <w:rPr>
          <w:rFonts w:asciiTheme="minorHAnsi" w:hAnsiTheme="minorHAnsi"/>
          <w:sz w:val="24"/>
          <w:szCs w:val="24"/>
        </w:rPr>
      </w:pPr>
      <w:r w:rsidRPr="00BB66BF">
        <w:rPr>
          <w:rFonts w:asciiTheme="minorHAnsi" w:hAnsiTheme="minorHAnsi"/>
          <w:sz w:val="24"/>
          <w:szCs w:val="24"/>
          <w:lang w:val="pl"/>
        </w:rPr>
        <w:t xml:space="preserve">Uzasadnienie powinno zawierać </w:t>
      </w:r>
      <w:r w:rsidRPr="00BB66BF">
        <w:rPr>
          <w:rFonts w:asciiTheme="minorHAnsi" w:hAnsiTheme="minorHAnsi"/>
          <w:i/>
          <w:iCs/>
          <w:sz w:val="24"/>
          <w:szCs w:val="24"/>
          <w:lang w:val="pl"/>
        </w:rPr>
        <w:t xml:space="preserve">explicite </w:t>
      </w:r>
      <w:r w:rsidRPr="00BB66BF">
        <w:rPr>
          <w:rFonts w:asciiTheme="minorHAnsi" w:hAnsiTheme="minorHAnsi"/>
          <w:sz w:val="24"/>
          <w:szCs w:val="24"/>
          <w:lang w:val="pl"/>
        </w:rPr>
        <w:t>wszelkie okoliczności faktyczne dotyczące dziecka oraz wskazanie, jakie elementy uznano za istotne przy ocenie najlepszego interesu dziecka i jak je wyważano, określając najlepszy interes dziecka; wskazywać, w jaki sposób zapewniono priorytetowy charakter najlepszych interesów dziecka w kontekście pozostałych okoliczności sprawy.</w:t>
      </w:r>
    </w:p>
    <w:p w:rsidR="004A409A" w:rsidRPr="00BB66BF" w:rsidRDefault="004A409A" w:rsidP="00BB66BF">
      <w:pPr>
        <w:pStyle w:val="Teksttreci0"/>
        <w:numPr>
          <w:ilvl w:val="0"/>
          <w:numId w:val="74"/>
        </w:numPr>
        <w:tabs>
          <w:tab w:val="left" w:pos="709"/>
        </w:tabs>
        <w:spacing w:before="120" w:line="240" w:lineRule="auto"/>
        <w:jc w:val="both"/>
        <w:rPr>
          <w:rFonts w:asciiTheme="minorHAnsi" w:hAnsiTheme="minorHAnsi"/>
          <w:sz w:val="24"/>
          <w:szCs w:val="24"/>
        </w:rPr>
      </w:pPr>
      <w:r w:rsidRPr="00BB66BF">
        <w:rPr>
          <w:rFonts w:asciiTheme="minorHAnsi" w:hAnsiTheme="minorHAnsi"/>
          <w:sz w:val="24"/>
          <w:szCs w:val="24"/>
          <w:lang w:val="pl"/>
        </w:rPr>
        <w:t>Wskazywać, jakie informacje pozyskano od dziecka i jakie stanowisko ono samo zajęło oraz w jakim zakresie zostały one uwzględnione, jak również opinie specjalistów na temat dziecka i jakim zakresie zostały one uwzględnione.</w:t>
      </w:r>
    </w:p>
    <w:p w:rsidR="004A409A" w:rsidRPr="00BB66BF" w:rsidRDefault="004A409A" w:rsidP="00BB66BF">
      <w:pPr>
        <w:pStyle w:val="Teksttreci0"/>
        <w:numPr>
          <w:ilvl w:val="0"/>
          <w:numId w:val="74"/>
        </w:numPr>
        <w:tabs>
          <w:tab w:val="left" w:pos="709"/>
        </w:tabs>
        <w:spacing w:before="120" w:line="240" w:lineRule="auto"/>
        <w:jc w:val="both"/>
        <w:rPr>
          <w:rFonts w:asciiTheme="minorHAnsi" w:hAnsiTheme="minorHAnsi"/>
          <w:sz w:val="24"/>
          <w:szCs w:val="24"/>
        </w:rPr>
      </w:pPr>
      <w:r w:rsidRPr="00BB66BF">
        <w:rPr>
          <w:rFonts w:asciiTheme="minorHAnsi" w:hAnsiTheme="minorHAnsi"/>
          <w:sz w:val="24"/>
          <w:szCs w:val="24"/>
          <w:lang w:val="pl"/>
        </w:rPr>
        <w:t>Jeżeli postanowienie różni się od opinii dziecka, należy precyzyjnie wskazać przyczyny rozbieżności. Jeżeli ze względu na nadzwyczajne okoliczności wydano postanowienie, które nie leży w najlepszym interesie dziecka, przyczyna takiej decyzji winna zostać podana w celu wykazania, że - mimo ostatecznego rozstrzygnięcia - najlepszy interes dziecka był szczególnie brany pod uwagę.</w:t>
      </w:r>
    </w:p>
    <w:p w:rsidR="004A409A" w:rsidRPr="00BB66BF" w:rsidRDefault="004A409A" w:rsidP="00BB66BF">
      <w:pPr>
        <w:pStyle w:val="Teksttreci0"/>
        <w:spacing w:before="120" w:line="240" w:lineRule="auto"/>
        <w:ind w:firstLine="0"/>
        <w:jc w:val="both"/>
        <w:rPr>
          <w:rFonts w:asciiTheme="minorHAnsi" w:hAnsiTheme="minorHAnsi"/>
          <w:sz w:val="24"/>
          <w:szCs w:val="24"/>
        </w:rPr>
      </w:pPr>
      <w:r w:rsidRPr="00BB66BF">
        <w:rPr>
          <w:rFonts w:asciiTheme="minorHAnsi" w:hAnsiTheme="minorHAnsi"/>
          <w:sz w:val="24"/>
          <w:szCs w:val="24"/>
          <w:lang w:val="pl"/>
        </w:rPr>
        <w:t>W przypadku gdy sąd postanowi o umieszczeniu dziecka w strzeżonym ośrodku, należy wskazać, że taką decyzję podjęto w ostateczności i że niemożliwym było zastosowanie innych, mniej represyjnych środków. Tego rodzaju ograniczenie wolności winno być stosowane przez możliwie najkrótszy czas.</w:t>
      </w:r>
    </w:p>
    <w:p w:rsidR="004A409A" w:rsidRPr="00BB66BF" w:rsidRDefault="004A409A" w:rsidP="00BB66BF">
      <w:pPr>
        <w:pStyle w:val="Teksttreci0"/>
        <w:numPr>
          <w:ilvl w:val="0"/>
          <w:numId w:val="39"/>
        </w:numPr>
        <w:tabs>
          <w:tab w:val="left" w:pos="284"/>
        </w:tabs>
        <w:spacing w:before="120" w:line="240" w:lineRule="auto"/>
        <w:ind w:firstLine="0"/>
        <w:rPr>
          <w:rFonts w:asciiTheme="minorHAnsi" w:hAnsiTheme="minorHAnsi"/>
          <w:sz w:val="24"/>
          <w:szCs w:val="24"/>
        </w:rPr>
      </w:pPr>
      <w:r w:rsidRPr="00BB66BF">
        <w:rPr>
          <w:rFonts w:asciiTheme="minorHAnsi" w:hAnsiTheme="minorHAnsi"/>
          <w:sz w:val="24"/>
          <w:szCs w:val="24"/>
          <w:lang w:val="pl"/>
        </w:rPr>
        <w:lastRenderedPageBreak/>
        <w:t>Wymóg niepozbawiania dziecka wolności rozszerza się na jego rodzinę.</w:t>
      </w:r>
    </w:p>
    <w:p w:rsidR="004A409A" w:rsidRPr="00BB66BF" w:rsidRDefault="004A409A" w:rsidP="00BB66BF">
      <w:pPr>
        <w:pStyle w:val="Teksttreci0"/>
        <w:numPr>
          <w:ilvl w:val="0"/>
          <w:numId w:val="74"/>
        </w:numPr>
        <w:tabs>
          <w:tab w:val="left" w:pos="709"/>
        </w:tabs>
        <w:spacing w:before="120" w:line="240" w:lineRule="auto"/>
        <w:jc w:val="both"/>
        <w:rPr>
          <w:rFonts w:asciiTheme="minorHAnsi" w:hAnsiTheme="minorHAnsi"/>
          <w:sz w:val="24"/>
          <w:szCs w:val="24"/>
        </w:rPr>
      </w:pPr>
      <w:r w:rsidRPr="00BB66BF">
        <w:rPr>
          <w:rFonts w:asciiTheme="minorHAnsi" w:hAnsiTheme="minorHAnsi"/>
          <w:sz w:val="24"/>
          <w:szCs w:val="24"/>
          <w:lang w:val="pl"/>
        </w:rPr>
        <w:t>Jeśli najlepszy interes dziecka wymaga nieumieszczania go w strzeżonym ośrodku (lub przemawiają za tym inne przesłanki), to wymóg taki stosuje się do całej rodziny dziecka.</w:t>
      </w:r>
    </w:p>
    <w:p w:rsidR="004A409A" w:rsidRPr="00BB66BF" w:rsidRDefault="004A409A" w:rsidP="00BB66BF">
      <w:pPr>
        <w:pStyle w:val="Teksttreci0"/>
        <w:numPr>
          <w:ilvl w:val="0"/>
          <w:numId w:val="74"/>
        </w:numPr>
        <w:tabs>
          <w:tab w:val="left" w:pos="709"/>
        </w:tabs>
        <w:spacing w:before="120" w:line="240" w:lineRule="auto"/>
        <w:jc w:val="both"/>
        <w:rPr>
          <w:rFonts w:asciiTheme="minorHAnsi" w:hAnsiTheme="minorHAnsi"/>
          <w:sz w:val="24"/>
          <w:szCs w:val="24"/>
        </w:rPr>
      </w:pPr>
      <w:r w:rsidRPr="00BB66BF">
        <w:rPr>
          <w:rFonts w:asciiTheme="minorHAnsi" w:hAnsiTheme="minorHAnsi"/>
          <w:sz w:val="24"/>
          <w:szCs w:val="24"/>
          <w:lang w:val="pl"/>
        </w:rPr>
        <w:t>Wyjątki od powyższej zasady należy dopuszczać wyłącznie w przypadkach, gdy odłączenie dziecka od rodziców/rodziny ma służyć zabezpieczeniu jego najlepszego interesu (np. w sytuacji, gdy rodzic stosuje przemoc względem dziecka, należy tego rodzica umieścić w strzeżonym ośrodku; w sytuacji gdy sąd decyduje o umieszczeniu w strzeżonym ośrodku całej rodziny, a jeden z rodziców stosuje przemoc, rodzica tego należy umieścić w innym ośrodku niż pozostałą część rodziny).</w:t>
      </w:r>
    </w:p>
    <w:p w:rsidR="004A409A" w:rsidRPr="00BB66BF" w:rsidRDefault="004A409A" w:rsidP="00BB66BF">
      <w:pPr>
        <w:pStyle w:val="Teksttreci0"/>
        <w:numPr>
          <w:ilvl w:val="0"/>
          <w:numId w:val="74"/>
        </w:numPr>
        <w:tabs>
          <w:tab w:val="left" w:pos="709"/>
        </w:tabs>
        <w:spacing w:before="120" w:line="240" w:lineRule="auto"/>
        <w:jc w:val="both"/>
        <w:rPr>
          <w:rFonts w:asciiTheme="minorHAnsi" w:hAnsiTheme="minorHAnsi"/>
          <w:sz w:val="24"/>
          <w:szCs w:val="24"/>
        </w:rPr>
      </w:pPr>
      <w:r w:rsidRPr="00BB66BF">
        <w:rPr>
          <w:rFonts w:asciiTheme="minorHAnsi" w:hAnsiTheme="minorHAnsi"/>
          <w:sz w:val="24"/>
          <w:szCs w:val="24"/>
          <w:lang w:val="pl"/>
        </w:rPr>
        <w:t>Potrzeba utrzymania rodziny w całości nie stanowi wystarczającej przesłanki do legitymizacji ani uzasadnienia pozbawienia wolności dziecka; badanie najlepszego interesu dziecka nie może ograniczać się do zachowania integralności rodziny; detencji rodziny nie można uzasadniać wyłącznie statusem imigracyjnym rodziców/opiekunów prawnych.</w:t>
      </w:r>
    </w:p>
    <w:p w:rsidR="00221AE5" w:rsidRPr="00BB66BF" w:rsidRDefault="00221AE5" w:rsidP="00BB66BF">
      <w:pPr>
        <w:pStyle w:val="Teksttreci0"/>
        <w:tabs>
          <w:tab w:val="left" w:pos="666"/>
        </w:tabs>
        <w:spacing w:before="120" w:line="240" w:lineRule="auto"/>
        <w:ind w:firstLine="0"/>
        <w:jc w:val="both"/>
        <w:rPr>
          <w:rFonts w:asciiTheme="minorHAnsi" w:hAnsiTheme="minorHAnsi"/>
          <w:i/>
          <w:sz w:val="24"/>
          <w:szCs w:val="24"/>
          <w:lang w:val="pl"/>
        </w:rPr>
      </w:pPr>
      <w:r w:rsidRPr="00BB66BF">
        <w:rPr>
          <w:rFonts w:asciiTheme="minorHAnsi" w:hAnsiTheme="minorHAnsi"/>
          <w:i/>
          <w:sz w:val="24"/>
          <w:szCs w:val="24"/>
          <w:lang w:val="pl"/>
        </w:rPr>
        <w:t xml:space="preserve">Do komunikacji HFPC dołączony został również dokument „Badanie dobra dziecka w postępowaniach detencyjnych. </w:t>
      </w:r>
      <w:r w:rsidRPr="00BB66BF">
        <w:rPr>
          <w:rFonts w:asciiTheme="minorHAnsi" w:hAnsiTheme="minorHAnsi"/>
          <w:i/>
          <w:sz w:val="24"/>
          <w:szCs w:val="24"/>
        </w:rPr>
        <w:t>Standardy międzynarodowe i krajowe oraz propozycja procedury badania dobra dziecka w postępowaniach dotyczących umieszczania cudzoziemców w ośrodkach strzeżonych w Polsce.”</w:t>
      </w:r>
      <w:r w:rsidRPr="00BB66BF">
        <w:rPr>
          <w:rFonts w:asciiTheme="minorHAnsi" w:hAnsiTheme="minorHAnsi"/>
          <w:i/>
          <w:sz w:val="24"/>
          <w:szCs w:val="24"/>
          <w:lang w:val="pl"/>
        </w:rPr>
        <w:t xml:space="preserve"> dostępny na </w:t>
      </w:r>
      <w:hyperlink r:id="rId15" w:history="1">
        <w:r w:rsidRPr="00BB66BF">
          <w:rPr>
            <w:rStyle w:val="Hipercze"/>
            <w:rFonts w:asciiTheme="minorHAnsi" w:hAnsiTheme="minorHAnsi"/>
            <w:i/>
            <w:color w:val="auto"/>
            <w:sz w:val="24"/>
            <w:szCs w:val="24"/>
            <w:lang w:val="pl"/>
          </w:rPr>
          <w:t>https://www.hfhr.pl/wp-content/uploads/2020/06/BADANIE-DOBRA-DZIECKA-W-POSTE%CC%A8POWANIACH-DETENCYJNYCH_FINAL.pdf</w:t>
        </w:r>
      </w:hyperlink>
      <w:r w:rsidRPr="00BB66BF">
        <w:rPr>
          <w:rFonts w:asciiTheme="minorHAnsi" w:hAnsiTheme="minorHAnsi"/>
          <w:i/>
          <w:sz w:val="24"/>
          <w:szCs w:val="24"/>
          <w:lang w:val="pl"/>
        </w:rPr>
        <w:t xml:space="preserve"> (dostęp 31.03.2021 r.)</w:t>
      </w:r>
    </w:p>
    <w:p w:rsidR="005538ED" w:rsidRDefault="005538ED" w:rsidP="005538ED">
      <w:pPr>
        <w:pStyle w:val="Teksttreci0"/>
        <w:tabs>
          <w:tab w:val="left" w:pos="666"/>
        </w:tabs>
        <w:spacing w:after="120" w:line="240" w:lineRule="auto"/>
        <w:ind w:firstLine="0"/>
        <w:jc w:val="both"/>
        <w:rPr>
          <w:rFonts w:ascii="Calibri" w:hAnsi="Calibri"/>
          <w:sz w:val="24"/>
          <w:szCs w:val="24"/>
          <w:u w:val="single"/>
        </w:rPr>
      </w:pPr>
    </w:p>
    <w:p w:rsidR="004A409A" w:rsidRPr="005538ED" w:rsidRDefault="004A409A" w:rsidP="005538ED">
      <w:pPr>
        <w:pStyle w:val="Teksttreci0"/>
        <w:tabs>
          <w:tab w:val="left" w:pos="666"/>
        </w:tabs>
        <w:spacing w:after="120" w:line="240" w:lineRule="auto"/>
        <w:ind w:firstLine="0"/>
        <w:jc w:val="both"/>
        <w:rPr>
          <w:rFonts w:ascii="Calibri" w:hAnsi="Calibri"/>
          <w:sz w:val="24"/>
          <w:szCs w:val="24"/>
          <w:u w:val="single"/>
        </w:rPr>
      </w:pPr>
      <w:r w:rsidRPr="005538ED">
        <w:rPr>
          <w:rFonts w:ascii="Calibri" w:hAnsi="Calibri"/>
          <w:sz w:val="24"/>
          <w:szCs w:val="24"/>
          <w:u w:val="single"/>
        </w:rPr>
        <w:t xml:space="preserve">Odpowiedź rządu z dnia 8 lipca 2020 r. </w:t>
      </w:r>
    </w:p>
    <w:p w:rsidR="004A409A" w:rsidRPr="005538ED" w:rsidRDefault="004A409A" w:rsidP="005538ED">
      <w:pPr>
        <w:spacing w:after="120" w:line="240" w:lineRule="auto"/>
        <w:jc w:val="both"/>
        <w:rPr>
          <w:rStyle w:val="sb8d990e2"/>
          <w:rFonts w:ascii="Calibri" w:hAnsi="Calibri"/>
          <w:sz w:val="24"/>
          <w:szCs w:val="24"/>
        </w:rPr>
      </w:pPr>
      <w:r w:rsidRPr="005538ED">
        <w:rPr>
          <w:rFonts w:ascii="Calibri" w:hAnsi="Calibri"/>
          <w:sz w:val="24"/>
          <w:szCs w:val="24"/>
        </w:rPr>
        <w:t>W odpowiedzi na komunikację Helsińskiej Fundacji Praw Człowieka (dalej: HFPC) z dnia 5 czerwca 2020 r. dotyczącą wykonanie wyorku Europejskiego Trybunału Praw Człowieka w sprawie B</w:t>
      </w:r>
      <w:r w:rsidRPr="005538ED">
        <w:rPr>
          <w:rFonts w:ascii="Calibri" w:hAnsi="Calibri"/>
          <w:i/>
          <w:sz w:val="24"/>
          <w:szCs w:val="24"/>
        </w:rPr>
        <w:t xml:space="preserve">istieva  i inni p. Polsce </w:t>
      </w:r>
      <w:r w:rsidRPr="005538ED">
        <w:rPr>
          <w:rFonts w:ascii="Calibri" w:hAnsi="Calibri"/>
          <w:sz w:val="24"/>
          <w:szCs w:val="24"/>
        </w:rPr>
        <w:t>(75157/14)</w:t>
      </w:r>
      <w:r w:rsidRPr="005538ED">
        <w:rPr>
          <w:rStyle w:val="sb8d990e2"/>
          <w:rFonts w:ascii="Calibri" w:hAnsi="Calibri"/>
          <w:sz w:val="24"/>
          <w:szCs w:val="24"/>
        </w:rPr>
        <w:t xml:space="preserve">, rzad RP chciałby przedłozyć następujące uwagi. </w:t>
      </w:r>
    </w:p>
    <w:p w:rsidR="004A409A" w:rsidRPr="005538ED" w:rsidRDefault="004A409A" w:rsidP="005538ED">
      <w:pPr>
        <w:spacing w:after="120" w:line="240" w:lineRule="auto"/>
        <w:jc w:val="both"/>
        <w:rPr>
          <w:rFonts w:ascii="Calibri" w:hAnsi="Calibri"/>
          <w:sz w:val="24"/>
          <w:szCs w:val="24"/>
        </w:rPr>
      </w:pPr>
      <w:r w:rsidRPr="005538ED">
        <w:rPr>
          <w:rFonts w:ascii="Calibri" w:hAnsi="Calibri"/>
          <w:sz w:val="24"/>
          <w:szCs w:val="24"/>
        </w:rPr>
        <w:t>Na wstępie, mając na uwadze fakt, że niniejsza komunikacja HFPC stanowi kontynuację komunikacji HFPC z dnia 20 sierpnia 2019 r., rząd pragnie podkreślić, że informacje zawarte w odpowiedzi rządu z dnia 6 września 2019 r. na tę komunikację, dotyczące w szczególności ustalenia dobra dziecka i zastosowania środków alternatywnych wobec detencji oraz kwestii właściwej oceny pojęcia najlepiej pojętego interesu dziecka i jego indywidualnej sytuacji, pozostają aktualne.</w:t>
      </w:r>
    </w:p>
    <w:p w:rsidR="004A409A" w:rsidRPr="005538ED" w:rsidRDefault="004A409A" w:rsidP="005538ED">
      <w:pPr>
        <w:spacing w:after="120" w:line="240" w:lineRule="auto"/>
        <w:jc w:val="both"/>
        <w:rPr>
          <w:rFonts w:ascii="Calibri" w:hAnsi="Calibri"/>
          <w:sz w:val="24"/>
          <w:szCs w:val="24"/>
        </w:rPr>
      </w:pPr>
      <w:r w:rsidRPr="005538ED">
        <w:rPr>
          <w:rFonts w:ascii="Calibri" w:hAnsi="Calibri"/>
          <w:sz w:val="24"/>
          <w:szCs w:val="24"/>
        </w:rPr>
        <w:t>Dalej, rząd pragnie podkreślić, że mając na uwadze dobro dziecka, a także jego szczególną wrażliwość, Straż Graniczna już od wielu lat podejmuje szereg działań, których celem jest poprawa sytuacji związanych z funkcjonowaniem małoletnich migrantów w prowadzonych przez SG postępowaniach administracyjnych . i dokłada wszelkich starań, aby narzędzia, którymi dysponuje, spełniały swoją rolę w procesie zabezpieczenia dobra dziecka.</w:t>
      </w:r>
    </w:p>
    <w:p w:rsidR="004A409A" w:rsidRPr="005538ED" w:rsidRDefault="004A409A" w:rsidP="005538ED">
      <w:pPr>
        <w:spacing w:after="120" w:line="240" w:lineRule="auto"/>
        <w:jc w:val="both"/>
        <w:rPr>
          <w:rFonts w:ascii="Calibri" w:hAnsi="Calibri"/>
          <w:bCs/>
          <w:sz w:val="24"/>
          <w:szCs w:val="24"/>
        </w:rPr>
      </w:pPr>
      <w:r w:rsidRPr="005538ED">
        <w:rPr>
          <w:rFonts w:ascii="Calibri" w:hAnsi="Calibri"/>
          <w:sz w:val="24"/>
          <w:szCs w:val="24"/>
        </w:rPr>
        <w:t xml:space="preserve">Należy również podkreślić, że Ministerstwo Sprawiedliwości podejmuje liczne działania uświadamiające, w tym upowszechnia standardy Trybunału i jego orzecznictwo dotyczące zagadnień związanych z zatrzymaniami migrantów, w szczególności dzieci. Wyroki Trybunału są tłumaczone na język polski, zamieszczane na stronie internetowej Ministerstwa Sprawiedliwości i przekazywane podmiotom orzekającym w sprawach. </w:t>
      </w:r>
      <w:r w:rsidRPr="005538ED">
        <w:rPr>
          <w:rFonts w:ascii="Calibri" w:hAnsi="Calibri"/>
          <w:bCs/>
          <w:sz w:val="24"/>
          <w:szCs w:val="24"/>
        </w:rPr>
        <w:t xml:space="preserve">Ponadto na stronie </w:t>
      </w:r>
      <w:r w:rsidRPr="005538ED">
        <w:rPr>
          <w:rFonts w:ascii="Calibri" w:hAnsi="Calibri"/>
          <w:bCs/>
          <w:sz w:val="24"/>
          <w:szCs w:val="24"/>
        </w:rPr>
        <w:lastRenderedPageBreak/>
        <w:t xml:space="preserve">internetowej Ministerstwa Sprawiedliwości dostępne są streszczenia tematyczne zawierające informacje o wyrokach Trybunału dotyczących zatrzymania małoletnich pozostających pod opieką, wraz z ugruntowanym orzecznictwem Trybunału w dziedzinie zatrzymywania dzieci i standardami Trybunału w tej dziedzinie. Obecnie trwają prace nad aktualizacją ww. streszczenia. </w:t>
      </w:r>
    </w:p>
    <w:p w:rsidR="004A409A" w:rsidRPr="005538ED" w:rsidRDefault="004A409A" w:rsidP="005538ED">
      <w:pPr>
        <w:spacing w:after="120" w:line="240" w:lineRule="auto"/>
        <w:jc w:val="both"/>
        <w:rPr>
          <w:rFonts w:ascii="Calibri" w:hAnsi="Calibri"/>
          <w:bCs/>
          <w:sz w:val="24"/>
          <w:szCs w:val="24"/>
        </w:rPr>
      </w:pPr>
      <w:r w:rsidRPr="005538ED">
        <w:rPr>
          <w:rFonts w:ascii="Calibri" w:hAnsi="Calibri"/>
          <w:bCs/>
          <w:sz w:val="24"/>
          <w:szCs w:val="24"/>
        </w:rPr>
        <w:t>Ponadto rząd pragnie przypomnieć, że jeśli chodzi o sposoby prowadzenia postępowania z udziałem dziecka, kwestie przesłuchania małoletniego były wielokrotnie omawiane podczas warsztatów. Ponadto rozpowszechniono wytyczne dyrektora Zarządu ds. Cudzoziemców Komendy Głównej Straży Granicznej z dnia 20 czerwca 2018 r.</w:t>
      </w:r>
    </w:p>
    <w:p w:rsidR="004A409A" w:rsidRPr="005538ED" w:rsidRDefault="004A409A" w:rsidP="005538ED">
      <w:pPr>
        <w:spacing w:after="120" w:line="240" w:lineRule="auto"/>
        <w:jc w:val="both"/>
        <w:rPr>
          <w:rFonts w:ascii="Calibri" w:hAnsi="Calibri"/>
          <w:sz w:val="24"/>
          <w:szCs w:val="24"/>
        </w:rPr>
      </w:pPr>
      <w:r w:rsidRPr="005538ED">
        <w:rPr>
          <w:rFonts w:ascii="Calibri" w:hAnsi="Calibri"/>
          <w:bCs/>
          <w:sz w:val="24"/>
          <w:szCs w:val="24"/>
        </w:rPr>
        <w:t xml:space="preserve">Należy zauważyć, że kwestia podwyższenia standardów panujących w strzeżonych ośrodkach już od kilku lat jest jednym z priorytetowych celów Straży Granicznej. Dzięki temu standardy te są obecnie na bardzo wysokim poziomie i z pewnością spełniają normy przytaczane w przekazanym przez HFPC dokumencie (warunki pobytu, prawo do opieki zdrowotnej, prawo do edukacji, prawo do jedności </w:t>
      </w:r>
      <w:r w:rsidRPr="005538ED">
        <w:rPr>
          <w:rFonts w:ascii="Calibri" w:hAnsi="Calibri"/>
          <w:sz w:val="24"/>
          <w:szCs w:val="24"/>
        </w:rPr>
        <w:t>rodziny), co niejednokrotnie potwierdzały wizytujące je ciała monitorujące takie jak Europejski Komitet ds. Zapobiegania Torturom oraz Nieludzkiemu lub Poniżającemu Traktowaniu albo Karaniu (CPT) lub Podkomitet ds. Zapobiegania Torturom i Innemu Okrutnemu, Nieludzkiemu lub Poniżającemu Traktowaniu albo Karaniu (SPT).</w:t>
      </w:r>
    </w:p>
    <w:p w:rsidR="004A409A" w:rsidRPr="005538ED" w:rsidRDefault="004A409A" w:rsidP="005538ED">
      <w:pPr>
        <w:spacing w:after="120" w:line="240" w:lineRule="auto"/>
        <w:jc w:val="both"/>
        <w:rPr>
          <w:rFonts w:ascii="Calibri" w:hAnsi="Calibri"/>
          <w:sz w:val="24"/>
          <w:szCs w:val="24"/>
        </w:rPr>
      </w:pPr>
      <w:r w:rsidRPr="005538ED">
        <w:rPr>
          <w:rFonts w:ascii="Calibri" w:hAnsi="Calibri"/>
          <w:sz w:val="24"/>
          <w:szCs w:val="24"/>
        </w:rPr>
        <w:t>Należy także przypomnieć, że już od 2013 r. strzeżone ośrodki są sprofilowane ze względu na kategorie osób tam umieszczanych (samotni mężczyźni, samotne kobiety, małoletni bez opieki, rodziny, w tym rodziny z dziećmi), umożliwiając tym samym dostosowanie warunków w projektowanym obiekcie do szczególnych potrzeb danej kategorii osób. W konsekwencji ośrodkami, w których można umieszczać dzieci, są Strzeżony Ośrodek w Białej Podlaskiej, Strzeżony Ośrodek w Kętrzynie oraz Strzeżony Ośrodek w Przemyślu.</w:t>
      </w:r>
    </w:p>
    <w:p w:rsidR="004A409A" w:rsidRPr="005538ED" w:rsidRDefault="004A409A" w:rsidP="005538ED">
      <w:pPr>
        <w:spacing w:after="120" w:line="240" w:lineRule="auto"/>
        <w:jc w:val="both"/>
        <w:rPr>
          <w:rFonts w:ascii="Calibri" w:hAnsi="Calibri"/>
          <w:sz w:val="24"/>
          <w:szCs w:val="24"/>
        </w:rPr>
      </w:pPr>
      <w:r w:rsidRPr="005538ED">
        <w:rPr>
          <w:rFonts w:ascii="Calibri" w:hAnsi="Calibri"/>
          <w:sz w:val="24"/>
          <w:szCs w:val="24"/>
        </w:rPr>
        <w:t xml:space="preserve">Ponadto w 2015 r. w KGSG przyjęto „Zasady postępowania Straży Granicznej z cudzoziemcami wymagającymi szczególnego traktowania,” w celu zdefiniowania i zidentyfikowania osób, którym należy zapewnić szczególne traktowanie. Zasady te zostały zaktualizowane w 2019 r. Do kategorii osób wrażliwych zaliczają się małoletni, małoletni bez opieki, niepełnosprawni, osoby starsze, kobiety w ciąży, osoby samotnie wychowujące małoletnie dzieci, ofiary tortur, zgwałcenia lub innych poważnych form przemocy fizycznej, psychicznej lub seksualnej, a także ofiary przemocy seksualnej w konfliktach zbrojnych, ofiary lub świadkowie handlu ludźmi oraz osoby wymagające wsparcia z uwagi na stan zdrowia lub szczególną sytuację osobistą. Zasady te określają nie tylko algorytm postępowania w przypadku zidentyfikowania osoby o szczególnych potrzebach (oparty na pomocy psychologicznej i lekarskiej, w tym pomocy specjalistów), ale również ustanawiają system, w oparciu o który taka identyfikacja jest przeprowadzana. Podstawą takiego systemu jest wprowadzenie funkcji „opiekunów socjalnych” i „opiekunów powrotowych” dla każdego umieszczanego w strzeżonym ośrodku cudzoziemca („opiekun socjalny” odpowiedzialny za zapoznanie cudzoziemca z zasadami funkcjonowania strzeżonego ośrodka, a następnie za bezpośredni kontakt z cudzoziemcem i monitorowanie jego zachowań i nastrojów; „opiekun powrotowy” odpowiedzialny za bieżące i rzetelne przekazywanie cudzoziemcowi informacji na temat toczących się w jego sprawie postępowań administracyjnych). </w:t>
      </w:r>
    </w:p>
    <w:p w:rsidR="004A409A" w:rsidRPr="005538ED" w:rsidRDefault="004A409A" w:rsidP="005538ED">
      <w:pPr>
        <w:spacing w:after="120" w:line="240" w:lineRule="auto"/>
        <w:jc w:val="both"/>
        <w:rPr>
          <w:rFonts w:ascii="Calibri" w:hAnsi="Calibri"/>
          <w:sz w:val="24"/>
          <w:szCs w:val="24"/>
        </w:rPr>
      </w:pPr>
      <w:r w:rsidRPr="005538ED">
        <w:rPr>
          <w:rFonts w:ascii="Calibri" w:hAnsi="Calibri"/>
          <w:sz w:val="24"/>
          <w:szCs w:val="24"/>
        </w:rPr>
        <w:t xml:space="preserve">Zasady te nie tylko określają procedurę, jaką należy zastosować w przypadku identyfikacji osoby o specjalnych potrzebach, ale także ustanawiają system, na którym opiera się taka identyfikacja. Podstawą takiego systemu jest wprowadzenie tzw. opiekunów socjalnych i </w:t>
      </w:r>
      <w:r w:rsidRPr="005538ED">
        <w:rPr>
          <w:rFonts w:ascii="Calibri" w:hAnsi="Calibri"/>
          <w:sz w:val="24"/>
          <w:szCs w:val="24"/>
        </w:rPr>
        <w:lastRenderedPageBreak/>
        <w:t>opiekunów powrotnych. Pierwsi są odpowiedzialni za monitorowanie stanu zdrowia psychicznego cudzoziemców, w szczególności w świetle możliwych przyczyn uniemożliwiających umieszczenie cudzoziemców w ośrodkach. Drudzy są odpowiedzialne za stałe informowanie cudzoziemców o stanie postępowań administracyjnych prowadzonych w ich sprawach.</w:t>
      </w:r>
    </w:p>
    <w:p w:rsidR="004A409A" w:rsidRPr="005538ED" w:rsidRDefault="004A409A" w:rsidP="005538ED">
      <w:pPr>
        <w:spacing w:after="120" w:line="240" w:lineRule="auto"/>
        <w:jc w:val="both"/>
        <w:rPr>
          <w:rFonts w:ascii="Calibri" w:hAnsi="Calibri"/>
          <w:sz w:val="24"/>
          <w:szCs w:val="24"/>
        </w:rPr>
      </w:pPr>
      <w:r w:rsidRPr="005538ED">
        <w:rPr>
          <w:rFonts w:ascii="Calibri" w:hAnsi="Calibri"/>
          <w:sz w:val="24"/>
          <w:szCs w:val="24"/>
        </w:rPr>
        <w:t xml:space="preserve">Do powyższych zasad dołączono jesienią 2017 r. kolejne narzędzie w postaci arkuszy obserwacyjnych, w których swoje uwagi i spostrzeżenia na temat cudzoziemca może wpisać zarówno opiekun socjalny, jak i wartownik, czy też personel medyczny. Celem arkuszy jest możliwość zebrania informacji mogących pomóc w identyfikacji potrzeb cudzoziemca w jednym miejscu od różnych obserwatorów. </w:t>
      </w:r>
    </w:p>
    <w:p w:rsidR="004A409A" w:rsidRPr="005538ED" w:rsidRDefault="004A409A" w:rsidP="005538ED">
      <w:pPr>
        <w:spacing w:after="120" w:line="240" w:lineRule="auto"/>
        <w:jc w:val="both"/>
        <w:rPr>
          <w:rFonts w:ascii="Calibri" w:hAnsi="Calibri"/>
          <w:sz w:val="24"/>
          <w:szCs w:val="24"/>
        </w:rPr>
      </w:pPr>
      <w:r w:rsidRPr="005538ED">
        <w:rPr>
          <w:rFonts w:ascii="Calibri" w:hAnsi="Calibri"/>
          <w:sz w:val="24"/>
          <w:szCs w:val="24"/>
        </w:rPr>
        <w:t xml:space="preserve">Ponadto, Komenda Główna Straży Granicznej wraz z organizacją pozarządową „Dajemy Dzieciom Siłę” podjęła działania mające na celu wprowadzenie w strzeżonych ośrodkach polityki zapobiegania i przeciwdziałania krzywdzeniu dzieci cudzoziemskich, przebywających w takich ośrodkach. Opracowano dokument pod nazwą „Chronimy dzieci w strzeżonych ośrodkach” zawierający „Procedury interwencji w przypadku krzywdzenia dzieci w strzeżonych ośrodkach”. Jednocześnie przeszkolono funkcjonariuszy i pracowników ośrodków strzeżonych w zakresie rozpoznawania przypadków krzywdzenia dzieci i reagowania na nie z zastosowaniem przyjętych procedur. </w:t>
      </w:r>
    </w:p>
    <w:p w:rsidR="004A409A" w:rsidRPr="005538ED" w:rsidRDefault="004A409A" w:rsidP="005538ED">
      <w:pPr>
        <w:spacing w:after="120" w:line="240" w:lineRule="auto"/>
        <w:jc w:val="both"/>
        <w:rPr>
          <w:sz w:val="24"/>
          <w:szCs w:val="24"/>
        </w:rPr>
      </w:pPr>
      <w:r w:rsidRPr="005538ED">
        <w:rPr>
          <w:rFonts w:ascii="Calibri" w:hAnsi="Calibri"/>
          <w:sz w:val="24"/>
          <w:szCs w:val="24"/>
        </w:rPr>
        <w:t>W odniesieniu do dokumentów przygotowanych przez HFPC i załączonych do niniejszego komunika</w:t>
      </w:r>
      <w:r w:rsidR="008E6740">
        <w:rPr>
          <w:rFonts w:ascii="Calibri" w:hAnsi="Calibri"/>
          <w:sz w:val="24"/>
          <w:szCs w:val="24"/>
        </w:rPr>
        <w:t>cji,</w:t>
      </w:r>
      <w:r w:rsidRPr="005538ED">
        <w:rPr>
          <w:rFonts w:ascii="Calibri" w:hAnsi="Calibri"/>
          <w:sz w:val="24"/>
          <w:szCs w:val="24"/>
        </w:rPr>
        <w:t xml:space="preserve"> zawierających podsumowanie odpowiednich norm międzynarodowych i krajowych związanych z oceną nadrzędnego interesu dziecka oraz praktyczne wskazówki dotyczące konkretnych czynności, które należy wykonać w ramach badania dobra dziecka w postępowaniu o zatrzymanie migrantów, należy zauważyć, że opracowanie takich dokumentów jest niewątpliwie cenną inicjatywą w zakresie podnoszenia świadomości organów krajowych prowadzących działania w tzw. „postępowaniach detencyjnych” dotyczących dzieci migrantów oraz władz krajowych orzekających o umieszczeniu migranta i jego dzieci w ośrodkach strzeżonych w Polsce. Komenda Główna Straży Granicznej zamierza przekazać te dokumenty do Ośrodka Szkoleń Specjalistycznych Straży Granicznej w celu wykorzystania ich podczas szkoleń i warsztatów, podczas których omawiane są kwestie związane z udziałem małoletnich w postępowaniu administracyjnym oraz zamieścić je na intranetowej stronie internetowej Straży Granicznej do użytku podczas wykonywania obowiązków służbowych.</w:t>
      </w:r>
    </w:p>
    <w:p w:rsidR="006165C6" w:rsidRPr="00B708A0" w:rsidRDefault="006165C6" w:rsidP="006165C6">
      <w:pPr>
        <w:pStyle w:val="Nagwek1"/>
        <w:jc w:val="both"/>
        <w:rPr>
          <w:rFonts w:asciiTheme="minorHAnsi" w:hAnsiTheme="minorHAnsi"/>
          <w:sz w:val="28"/>
          <w:szCs w:val="28"/>
        </w:rPr>
      </w:pPr>
      <w:bookmarkStart w:id="107" w:name="_Toc69124157"/>
      <w:r w:rsidRPr="00B708A0">
        <w:rPr>
          <w:rFonts w:asciiTheme="minorHAnsi" w:hAnsiTheme="minorHAnsi"/>
          <w:sz w:val="28"/>
          <w:szCs w:val="28"/>
        </w:rPr>
        <w:t>Komunikacja Helsińskiej Fundacji Praw Człowieka w sprawie wykonania wyrok</w:t>
      </w:r>
      <w:r>
        <w:rPr>
          <w:rFonts w:asciiTheme="minorHAnsi" w:hAnsiTheme="minorHAnsi"/>
          <w:sz w:val="28"/>
          <w:szCs w:val="28"/>
        </w:rPr>
        <w:t>ów</w:t>
      </w:r>
      <w:r w:rsidRPr="00B708A0">
        <w:rPr>
          <w:rFonts w:asciiTheme="minorHAnsi" w:hAnsiTheme="minorHAnsi"/>
          <w:sz w:val="28"/>
          <w:szCs w:val="28"/>
        </w:rPr>
        <w:t xml:space="preserve"> Europejskiego Trybunału Praw Człowieka </w:t>
      </w:r>
      <w:r w:rsidRPr="004A409A">
        <w:rPr>
          <w:rFonts w:asciiTheme="minorHAnsi" w:hAnsiTheme="minorHAnsi"/>
          <w:i/>
          <w:sz w:val="28"/>
          <w:szCs w:val="28"/>
        </w:rPr>
        <w:t>Parol p. Polsce</w:t>
      </w:r>
      <w:r w:rsidRPr="00B708A0">
        <w:rPr>
          <w:rFonts w:asciiTheme="minorHAnsi" w:hAnsiTheme="minorHAnsi"/>
          <w:sz w:val="28"/>
          <w:szCs w:val="28"/>
        </w:rPr>
        <w:t xml:space="preserve"> </w:t>
      </w:r>
      <w:r>
        <w:rPr>
          <w:rFonts w:asciiTheme="minorHAnsi" w:hAnsiTheme="minorHAnsi"/>
          <w:sz w:val="28"/>
          <w:szCs w:val="28"/>
        </w:rPr>
        <w:t xml:space="preserve">i </w:t>
      </w:r>
      <w:r w:rsidRPr="004A409A">
        <w:rPr>
          <w:rFonts w:asciiTheme="minorHAnsi" w:hAnsiTheme="minorHAnsi"/>
          <w:i/>
          <w:sz w:val="28"/>
          <w:szCs w:val="28"/>
        </w:rPr>
        <w:t>Adamkowski p. Polsce</w:t>
      </w:r>
      <w:r>
        <w:rPr>
          <w:rFonts w:asciiTheme="minorHAnsi" w:hAnsiTheme="minorHAnsi"/>
          <w:sz w:val="28"/>
          <w:szCs w:val="28"/>
        </w:rPr>
        <w:t xml:space="preserve"> </w:t>
      </w:r>
      <w:r w:rsidRPr="00B708A0">
        <w:rPr>
          <w:rFonts w:asciiTheme="minorHAnsi" w:hAnsiTheme="minorHAnsi"/>
          <w:sz w:val="28"/>
          <w:szCs w:val="28"/>
        </w:rPr>
        <w:t>z dnia</w:t>
      </w:r>
      <w:r w:rsidR="004A409A">
        <w:rPr>
          <w:rFonts w:asciiTheme="minorHAnsi" w:hAnsiTheme="minorHAnsi"/>
          <w:sz w:val="28"/>
          <w:szCs w:val="28"/>
        </w:rPr>
        <w:t xml:space="preserve"> 2 września </w:t>
      </w:r>
      <w:r w:rsidRPr="00B708A0">
        <w:rPr>
          <w:rFonts w:asciiTheme="minorHAnsi" w:hAnsiTheme="minorHAnsi"/>
          <w:sz w:val="28"/>
          <w:szCs w:val="28"/>
        </w:rPr>
        <w:t>2020 r.</w:t>
      </w:r>
      <w:bookmarkEnd w:id="107"/>
      <w:r w:rsidRPr="00B708A0">
        <w:rPr>
          <w:rFonts w:asciiTheme="minorHAnsi" w:hAnsiTheme="minorHAnsi"/>
          <w:sz w:val="28"/>
          <w:szCs w:val="28"/>
        </w:rPr>
        <w:t xml:space="preserve">   </w:t>
      </w:r>
    </w:p>
    <w:p w:rsidR="006165C6" w:rsidRDefault="006165C6" w:rsidP="00384ADB">
      <w:pPr>
        <w:spacing w:before="120" w:after="0" w:line="240" w:lineRule="auto"/>
        <w:jc w:val="both"/>
        <w:rPr>
          <w:sz w:val="24"/>
          <w:szCs w:val="24"/>
        </w:rPr>
      </w:pPr>
    </w:p>
    <w:p w:rsidR="004A409A" w:rsidRPr="005538ED" w:rsidRDefault="004A409A" w:rsidP="00384ADB">
      <w:pPr>
        <w:spacing w:before="120" w:after="0" w:line="240" w:lineRule="auto"/>
        <w:jc w:val="both"/>
        <w:rPr>
          <w:sz w:val="24"/>
          <w:szCs w:val="24"/>
          <w:u w:val="single"/>
        </w:rPr>
      </w:pPr>
      <w:r w:rsidRPr="005538ED">
        <w:rPr>
          <w:sz w:val="24"/>
          <w:szCs w:val="24"/>
          <w:u w:val="single"/>
        </w:rPr>
        <w:t>Treść komunikacji</w:t>
      </w:r>
    </w:p>
    <w:p w:rsidR="00221AE5" w:rsidRPr="005538ED" w:rsidRDefault="00221AE5" w:rsidP="00987EB2">
      <w:pPr>
        <w:pStyle w:val="Akapitzlist"/>
        <w:numPr>
          <w:ilvl w:val="0"/>
          <w:numId w:val="42"/>
        </w:numPr>
        <w:spacing w:before="120" w:after="0" w:line="240" w:lineRule="auto"/>
        <w:contextualSpacing w:val="0"/>
        <w:rPr>
          <w:rFonts w:eastAsia="Times New Roman" w:cs="Times New Roman"/>
          <w:b/>
          <w:bCs/>
          <w:sz w:val="24"/>
          <w:szCs w:val="24"/>
          <w:lang w:eastAsia="pl-PL" w:bidi="pl-PL"/>
        </w:rPr>
      </w:pPr>
      <w:r w:rsidRPr="005538ED">
        <w:rPr>
          <w:rFonts w:eastAsia="Times New Roman" w:cs="Times New Roman"/>
          <w:b/>
          <w:bCs/>
          <w:sz w:val="24"/>
          <w:szCs w:val="24"/>
          <w:lang w:val="pl" w:eastAsia="pl-PL" w:bidi="pl-PL"/>
        </w:rPr>
        <w:t>Wstęp</w:t>
      </w:r>
    </w:p>
    <w:p w:rsidR="00221AE5" w:rsidRPr="005538ED" w:rsidRDefault="00221AE5" w:rsidP="00987EB2">
      <w:pPr>
        <w:widowControl w:val="0"/>
        <w:numPr>
          <w:ilvl w:val="0"/>
          <w:numId w:val="41"/>
        </w:numPr>
        <w:tabs>
          <w:tab w:val="left" w:pos="294"/>
        </w:tabs>
        <w:spacing w:before="120" w:after="0" w:line="240" w:lineRule="auto"/>
        <w:jc w:val="both"/>
        <w:rPr>
          <w:rFonts w:eastAsia="Times New Roman" w:cs="Times New Roman"/>
          <w:sz w:val="24"/>
          <w:szCs w:val="24"/>
          <w:lang w:eastAsia="pl-PL" w:bidi="pl-PL"/>
        </w:rPr>
      </w:pPr>
      <w:r w:rsidRPr="005538ED">
        <w:rPr>
          <w:rFonts w:eastAsia="Times New Roman" w:cs="Times New Roman"/>
          <w:sz w:val="24"/>
          <w:szCs w:val="24"/>
          <w:lang w:val="pl" w:eastAsia="pl-PL" w:bidi="pl-PL"/>
        </w:rPr>
        <w:t xml:space="preserve">Helsińska Fundacja Praw Człowieka („HFPC” lub „Fundacja”) pragnie przedstawić zaktualizowaną opinię dotyczącą wykonania wyroków Europejskiego Trybunału Praw Człowieka („ETPCz”, „Trybunał”) z 28 marca 2019 roku w sprawie </w:t>
      </w:r>
      <w:r w:rsidRPr="005538ED">
        <w:rPr>
          <w:rFonts w:eastAsia="Times New Roman" w:cs="Times New Roman"/>
          <w:i/>
          <w:iCs/>
          <w:sz w:val="24"/>
          <w:szCs w:val="24"/>
          <w:lang w:val="pl" w:eastAsia="pl-PL" w:bidi="pl-PL"/>
        </w:rPr>
        <w:t xml:space="preserve">Adamkowski p. Polsce </w:t>
      </w:r>
      <w:r w:rsidRPr="005538ED">
        <w:rPr>
          <w:rFonts w:eastAsia="Times New Roman" w:cs="Times New Roman"/>
          <w:sz w:val="24"/>
          <w:szCs w:val="24"/>
          <w:lang w:val="pl" w:eastAsia="pl-PL" w:bidi="pl-PL"/>
        </w:rPr>
        <w:t xml:space="preserve">(skarga nr 57814/12) i z 11 października 2018 roku w sprawie </w:t>
      </w:r>
      <w:r w:rsidRPr="005538ED">
        <w:rPr>
          <w:rFonts w:eastAsia="Times New Roman" w:cs="Times New Roman"/>
          <w:i/>
          <w:iCs/>
          <w:sz w:val="24"/>
          <w:szCs w:val="24"/>
          <w:lang w:val="pl" w:eastAsia="pl-PL" w:bidi="pl-PL"/>
        </w:rPr>
        <w:t>Parol</w:t>
      </w:r>
      <w:r w:rsidRPr="005538ED">
        <w:rPr>
          <w:rFonts w:eastAsia="Times New Roman" w:cs="Times New Roman"/>
          <w:sz w:val="24"/>
          <w:szCs w:val="24"/>
          <w:lang w:val="pl" w:eastAsia="pl-PL" w:bidi="pl-PL"/>
        </w:rPr>
        <w:t xml:space="preserve"> </w:t>
      </w:r>
      <w:r w:rsidRPr="005538ED">
        <w:rPr>
          <w:rFonts w:eastAsia="Times New Roman" w:cs="Times New Roman"/>
          <w:i/>
          <w:iCs/>
          <w:sz w:val="24"/>
          <w:szCs w:val="24"/>
          <w:lang w:val="pl" w:eastAsia="pl-PL" w:bidi="pl-PL"/>
        </w:rPr>
        <w:t>p. Polsce</w:t>
      </w:r>
      <w:r w:rsidRPr="005538ED">
        <w:rPr>
          <w:rFonts w:eastAsia="Times New Roman" w:cs="Times New Roman"/>
          <w:sz w:val="24"/>
          <w:szCs w:val="24"/>
          <w:lang w:val="pl" w:eastAsia="pl-PL" w:bidi="pl-PL"/>
        </w:rPr>
        <w:t xml:space="preserve"> (skarga nr </w:t>
      </w:r>
      <w:r w:rsidRPr="005538ED">
        <w:rPr>
          <w:rFonts w:eastAsia="Times New Roman" w:cs="Times New Roman"/>
          <w:sz w:val="24"/>
          <w:szCs w:val="24"/>
          <w:lang w:val="pl" w:eastAsia="pl-PL" w:bidi="pl-PL"/>
        </w:rPr>
        <w:lastRenderedPageBreak/>
        <w:t>65379/13). Przedstawiamy niniejszą aktualizację w związku z ostatnimi nowelizacjami Kodeksu postępowania cywilnego („k.p.c”).</w:t>
      </w:r>
    </w:p>
    <w:p w:rsidR="00221AE5" w:rsidRPr="00833628" w:rsidRDefault="00221AE5" w:rsidP="00987EB2">
      <w:pPr>
        <w:widowControl w:val="0"/>
        <w:numPr>
          <w:ilvl w:val="0"/>
          <w:numId w:val="41"/>
        </w:numPr>
        <w:tabs>
          <w:tab w:val="left" w:pos="294"/>
        </w:tabs>
        <w:spacing w:before="120" w:after="0" w:line="240" w:lineRule="auto"/>
        <w:jc w:val="both"/>
        <w:rPr>
          <w:rFonts w:eastAsia="Times New Roman" w:cs="Times New Roman"/>
          <w:sz w:val="24"/>
          <w:szCs w:val="24"/>
          <w:lang w:eastAsia="pl-PL" w:bidi="pl-PL"/>
        </w:rPr>
      </w:pPr>
      <w:r w:rsidRPr="005538ED">
        <w:rPr>
          <w:rFonts w:eastAsia="Times New Roman" w:cs="Times New Roman"/>
          <w:sz w:val="24"/>
          <w:szCs w:val="24"/>
          <w:lang w:val="pl" w:eastAsia="pl-PL" w:bidi="pl-PL"/>
        </w:rPr>
        <w:t>HFPC pragnie również odnieść się do</w:t>
      </w:r>
      <w:r w:rsidR="00BD3249">
        <w:rPr>
          <w:rFonts w:eastAsia="Times New Roman" w:cs="Times New Roman"/>
          <w:sz w:val="24"/>
          <w:szCs w:val="24"/>
          <w:lang w:val="pl" w:eastAsia="pl-PL" w:bidi="pl-PL"/>
        </w:rPr>
        <w:t xml:space="preserve"> odpowiedzi r</w:t>
      </w:r>
      <w:r w:rsidRPr="005538ED">
        <w:rPr>
          <w:rFonts w:eastAsia="Times New Roman" w:cs="Times New Roman"/>
          <w:sz w:val="24"/>
          <w:szCs w:val="24"/>
          <w:lang w:val="pl" w:eastAsia="pl-PL" w:bidi="pl-PL"/>
        </w:rPr>
        <w:t xml:space="preserve">ządu na ostatnią komunikację Fundacji z dnia 12 września 2019 roku oraz do Zaktualizowanego Raportu z Wykonania z dnia 6 lutego </w:t>
      </w:r>
      <w:r w:rsidRPr="00833628">
        <w:rPr>
          <w:rFonts w:eastAsia="Times New Roman" w:cs="Times New Roman"/>
          <w:sz w:val="24"/>
          <w:szCs w:val="24"/>
          <w:lang w:val="pl" w:eastAsia="pl-PL" w:bidi="pl-PL"/>
        </w:rPr>
        <w:t>2020 roku. W swojej odpowiedzi Rząd zauważył, że „</w:t>
      </w:r>
      <w:r w:rsidRPr="00833628">
        <w:rPr>
          <w:rFonts w:eastAsia="Times New Roman" w:cs="Times New Roman"/>
          <w:iCs/>
          <w:sz w:val="24"/>
          <w:szCs w:val="24"/>
          <w:lang w:val="pl" w:eastAsia="pl-PL" w:bidi="pl-PL"/>
        </w:rPr>
        <w:t>(…) ze względu na ramy czasowe określone w art. 9 § 1 (2) nowelizacji Kodeksu postępowania cywilnego z dnia 4 lipca 2019 r., który przewiduje, że przepisy obligujące Ministra Sprawiedliwości do wydania przedmiotowego rozporządzenia wejdą w życie po upływie 12 miesięcy od dnia ogłoszenia nowelizacji, co miało miejsce 8 sierpnia 2019 roku, prace legislacyjne nad rozporządzeniem są obecnie na początkowym etapie. W związku z tym obecnie jest zbyt wcześnie, aby przedstawić szczegółowe informacje dotyczące istotnych elementów poszczególnych wzorów pouczeń.”</w:t>
      </w:r>
      <w:r w:rsidRPr="00833628">
        <w:rPr>
          <w:rFonts w:eastAsia="Times New Roman" w:cs="Times New Roman"/>
          <w:iCs/>
          <w:sz w:val="24"/>
          <w:szCs w:val="24"/>
          <w:vertAlign w:val="superscript"/>
          <w:lang w:val="pl" w:eastAsia="pl-PL" w:bidi="pl-PL"/>
        </w:rPr>
        <w:footnoteReference w:id="309"/>
      </w:r>
    </w:p>
    <w:p w:rsidR="00221AE5" w:rsidRPr="005538ED" w:rsidRDefault="00221AE5" w:rsidP="00987EB2">
      <w:pPr>
        <w:widowControl w:val="0"/>
        <w:numPr>
          <w:ilvl w:val="0"/>
          <w:numId w:val="41"/>
        </w:numPr>
        <w:tabs>
          <w:tab w:val="left" w:pos="289"/>
        </w:tabs>
        <w:spacing w:before="120" w:after="0" w:line="240" w:lineRule="auto"/>
        <w:jc w:val="both"/>
        <w:rPr>
          <w:rFonts w:eastAsia="Times New Roman" w:cs="Times New Roman"/>
          <w:sz w:val="24"/>
          <w:szCs w:val="24"/>
          <w:lang w:eastAsia="pl-PL" w:bidi="pl-PL"/>
        </w:rPr>
      </w:pPr>
      <w:r w:rsidRPr="00833628">
        <w:rPr>
          <w:rFonts w:eastAsia="Times New Roman" w:cs="Times New Roman"/>
          <w:sz w:val="24"/>
          <w:szCs w:val="24"/>
          <w:lang w:val="pl" w:eastAsia="pl-PL" w:bidi="pl-PL"/>
        </w:rPr>
        <w:t>Jednocześnie HFPC pragnie podkreślić, że w pełni podtrzymuje wszystkie stwierdzenia i</w:t>
      </w:r>
      <w:r w:rsidRPr="005538ED">
        <w:rPr>
          <w:rFonts w:eastAsia="Times New Roman" w:cs="Times New Roman"/>
          <w:sz w:val="24"/>
          <w:szCs w:val="24"/>
          <w:lang w:val="pl" w:eastAsia="pl-PL" w:bidi="pl-PL"/>
        </w:rPr>
        <w:t xml:space="preserve"> wnioski wyrażone w komunikacji z dnia 12 września 2019 r.</w:t>
      </w:r>
    </w:p>
    <w:p w:rsidR="00221AE5" w:rsidRPr="005538ED" w:rsidRDefault="00221AE5" w:rsidP="00987EB2">
      <w:pPr>
        <w:pStyle w:val="Akapitzlist"/>
        <w:numPr>
          <w:ilvl w:val="0"/>
          <w:numId w:val="42"/>
        </w:numPr>
        <w:spacing w:before="120" w:after="0" w:line="240" w:lineRule="auto"/>
        <w:contextualSpacing w:val="0"/>
        <w:rPr>
          <w:rFonts w:eastAsia="Times New Roman" w:cs="Times New Roman"/>
          <w:b/>
          <w:bCs/>
          <w:sz w:val="24"/>
          <w:szCs w:val="24"/>
          <w:lang w:val="pl" w:eastAsia="pl-PL" w:bidi="pl-PL"/>
        </w:rPr>
      </w:pPr>
      <w:r w:rsidRPr="005538ED">
        <w:rPr>
          <w:rFonts w:eastAsia="Times New Roman" w:cs="Times New Roman"/>
          <w:b/>
          <w:bCs/>
          <w:sz w:val="24"/>
          <w:szCs w:val="24"/>
          <w:lang w:val="pl" w:eastAsia="pl-PL" w:bidi="pl-PL"/>
        </w:rPr>
        <w:t>Najnowsza nowelizacja k.p.c.</w:t>
      </w:r>
    </w:p>
    <w:p w:rsidR="00221AE5" w:rsidRPr="00833628" w:rsidRDefault="00221AE5" w:rsidP="00987EB2">
      <w:pPr>
        <w:widowControl w:val="0"/>
        <w:numPr>
          <w:ilvl w:val="0"/>
          <w:numId w:val="41"/>
        </w:numPr>
        <w:tabs>
          <w:tab w:val="left" w:pos="308"/>
        </w:tabs>
        <w:spacing w:before="120" w:after="0" w:line="240" w:lineRule="auto"/>
        <w:jc w:val="both"/>
        <w:rPr>
          <w:rFonts w:eastAsia="Times New Roman" w:cs="Times New Roman"/>
          <w:sz w:val="24"/>
          <w:szCs w:val="24"/>
          <w:lang w:eastAsia="pl-PL" w:bidi="pl-PL"/>
        </w:rPr>
      </w:pPr>
      <w:r w:rsidRPr="00833628">
        <w:rPr>
          <w:rFonts w:eastAsia="Times New Roman" w:cs="Times New Roman"/>
          <w:sz w:val="24"/>
          <w:szCs w:val="24"/>
          <w:lang w:val="pl" w:eastAsia="pl-PL" w:bidi="pl-PL"/>
        </w:rPr>
        <w:t>Jak wskazano w punkcie 8 komunikacji Funda</w:t>
      </w:r>
      <w:r w:rsidR="00833628" w:rsidRPr="00833628">
        <w:rPr>
          <w:rFonts w:eastAsia="Times New Roman" w:cs="Times New Roman"/>
          <w:sz w:val="24"/>
          <w:szCs w:val="24"/>
          <w:lang w:val="pl" w:eastAsia="pl-PL" w:bidi="pl-PL"/>
        </w:rPr>
        <w:t>cji z dnia 12 września 2019 r.</w:t>
      </w:r>
      <w:r w:rsidRPr="00833628">
        <w:rPr>
          <w:rFonts w:eastAsia="Times New Roman" w:cs="Times New Roman"/>
          <w:sz w:val="24"/>
          <w:szCs w:val="24"/>
          <w:lang w:val="pl" w:eastAsia="pl-PL" w:bidi="pl-PL"/>
        </w:rPr>
        <w:t xml:space="preserve"> „</w:t>
      </w:r>
      <w:r w:rsidR="00BD3249">
        <w:rPr>
          <w:rFonts w:eastAsia="Times New Roman" w:cs="Times New Roman"/>
          <w:iCs/>
          <w:sz w:val="24"/>
          <w:szCs w:val="24"/>
          <w:lang w:val="pl" w:eastAsia="pl-PL" w:bidi="pl-PL"/>
        </w:rPr>
        <w:t>HFPC podziela stanowisko r</w:t>
      </w:r>
      <w:r w:rsidRPr="00833628">
        <w:rPr>
          <w:rFonts w:eastAsia="Times New Roman" w:cs="Times New Roman"/>
          <w:iCs/>
          <w:sz w:val="24"/>
          <w:szCs w:val="24"/>
          <w:lang w:val="pl" w:eastAsia="pl-PL" w:bidi="pl-PL"/>
        </w:rPr>
        <w:t>ządu, że w celu wykonania wyroków ETPCz będących przedmiotem analizy nie jest konieczna zmiana „istniejących przepisów prawnych nakładających wymóg składania licznych odpisów pism procesowych w celu doręczania ich sądowi i innym stronom postępowania (art. 128 § 1, art. 368 § 1 i art. 370 Kodeksu postepowania cywilnego – w odniesieniu do postępowań apelacyjnych) ani ustalonej praktyki nakazującej by odpisy pism procesowych wiernie odzwierciedlały treść oryginalnego pisma procesowego, jako że tylko wtedy mogą być uznane za prawdziwe.”</w:t>
      </w:r>
      <w:r w:rsidRPr="00833628">
        <w:rPr>
          <w:rFonts w:eastAsia="Times New Roman" w:cs="Times New Roman"/>
          <w:iCs/>
          <w:sz w:val="24"/>
          <w:szCs w:val="24"/>
          <w:vertAlign w:val="superscript"/>
          <w:lang w:val="pl" w:eastAsia="pl-PL" w:bidi="pl-PL"/>
        </w:rPr>
        <w:footnoteReference w:id="310"/>
      </w:r>
      <w:r w:rsidRPr="00833628">
        <w:rPr>
          <w:rFonts w:eastAsia="Times New Roman" w:cs="Times New Roman"/>
          <w:iCs/>
          <w:sz w:val="24"/>
          <w:szCs w:val="24"/>
          <w:lang w:val="pl" w:eastAsia="pl-PL" w:bidi="pl-PL"/>
        </w:rPr>
        <w:t xml:space="preserve"> W naszej opinii niezbędne jest jednak podjęcie działań o charakterze ogólnym, aby strony postępowania cywilnego, które nie są reprezentowane przez profesjonalnych pełnomocników były odpowiednio i w sposób zrozumiały pouczone przez sąd co do ich praw i obowiązków proceduralnych.”</w:t>
      </w:r>
    </w:p>
    <w:p w:rsidR="00221AE5" w:rsidRPr="005538ED" w:rsidRDefault="00221AE5" w:rsidP="00987EB2">
      <w:pPr>
        <w:widowControl w:val="0"/>
        <w:numPr>
          <w:ilvl w:val="0"/>
          <w:numId w:val="41"/>
        </w:numPr>
        <w:tabs>
          <w:tab w:val="left" w:pos="318"/>
        </w:tabs>
        <w:spacing w:before="120" w:after="0" w:line="240" w:lineRule="auto"/>
        <w:jc w:val="both"/>
        <w:rPr>
          <w:rFonts w:eastAsia="Times New Roman" w:cs="Times New Roman"/>
          <w:sz w:val="24"/>
          <w:szCs w:val="24"/>
          <w:lang w:eastAsia="pl-PL" w:bidi="pl-PL"/>
        </w:rPr>
      </w:pPr>
      <w:r w:rsidRPr="005538ED">
        <w:rPr>
          <w:rFonts w:eastAsia="Times New Roman" w:cs="Times New Roman"/>
          <w:sz w:val="24"/>
          <w:szCs w:val="24"/>
          <w:lang w:val="pl" w:eastAsia="pl-PL" w:bidi="pl-PL"/>
        </w:rPr>
        <w:t>W tym miejscu należy zauważyć, że art. 1 ust. 2 Ustawy z dnia 4 lipca 2019 r. o zmianie ustawy – Kodeks postępowania cywilnego oraz niektórych innych ustaw</w:t>
      </w:r>
      <w:r w:rsidRPr="005538ED">
        <w:rPr>
          <w:rFonts w:eastAsia="Times New Roman" w:cs="Times New Roman"/>
          <w:sz w:val="24"/>
          <w:szCs w:val="24"/>
          <w:vertAlign w:val="superscript"/>
          <w:lang w:val="pl" w:eastAsia="pl-PL" w:bidi="pl-PL"/>
        </w:rPr>
        <w:footnoteReference w:id="311"/>
      </w:r>
      <w:r w:rsidRPr="005538ED">
        <w:rPr>
          <w:rFonts w:eastAsia="Times New Roman" w:cs="Times New Roman"/>
          <w:sz w:val="24"/>
          <w:szCs w:val="24"/>
          <w:lang w:val="pl" w:eastAsia="pl-PL" w:bidi="pl-PL"/>
        </w:rPr>
        <w:t xml:space="preserve"> („nowelizacja </w:t>
      </w:r>
      <w:r w:rsidRPr="00833628">
        <w:rPr>
          <w:rFonts w:eastAsia="Times New Roman" w:cs="Times New Roman"/>
          <w:sz w:val="24"/>
          <w:szCs w:val="24"/>
          <w:lang w:val="pl" w:eastAsia="pl-PL" w:bidi="pl-PL"/>
        </w:rPr>
        <w:t xml:space="preserve">k.p.c.”) miał w zamierzeniu zmienić brzmienie art. 5 k.p.c. Zmieniony art. 5 k.p.c. miał otrzymać następujące brzmienie: </w:t>
      </w:r>
      <w:r w:rsidRPr="00833628">
        <w:rPr>
          <w:rFonts w:eastAsia="Times New Roman" w:cs="Times New Roman"/>
          <w:iCs/>
          <w:sz w:val="24"/>
          <w:szCs w:val="24"/>
          <w:lang w:val="pl" w:eastAsia="pl-PL" w:bidi="pl-PL"/>
        </w:rPr>
        <w:t>„§1 W razie uzasadnionej potrzeby sąd może udzielić stronom i uczestnikom postępowania niezastępowanym przez adwokata, radcę prawnego, rzecznika patentowego lub Prokuratorię Generalną Rzeczypospolitej Polskiej niezbędnych pouczeń co do czynności procesowych. § 2 Minister Sprawiedliwości określi, w drodze rozporządzenia, wzory pouczeń, których udzielania na piśmie wymaga kodeks, mając na względzie konieczność zapewnienia komunikatywności przekazu. § 3 Wzory pouczeń, o których mowa w § 2, wraz z ich tłumaczeniami na języki obce najczęściej wykorzystywane w obrocie z zagranicą Minister</w:t>
      </w:r>
      <w:r w:rsidRPr="005538ED">
        <w:rPr>
          <w:rFonts w:eastAsia="Times New Roman" w:cs="Times New Roman"/>
          <w:i/>
          <w:iCs/>
          <w:sz w:val="24"/>
          <w:szCs w:val="24"/>
          <w:lang w:val="pl" w:eastAsia="pl-PL" w:bidi="pl-PL"/>
        </w:rPr>
        <w:t xml:space="preserve"> </w:t>
      </w:r>
      <w:r w:rsidRPr="00833628">
        <w:rPr>
          <w:rFonts w:eastAsia="Times New Roman" w:cs="Times New Roman"/>
          <w:iCs/>
          <w:sz w:val="24"/>
          <w:szCs w:val="24"/>
          <w:lang w:val="pl" w:eastAsia="pl-PL" w:bidi="pl-PL"/>
        </w:rPr>
        <w:t>Sprawiedliwości udostępnia na stronie internetowej urzędu go obsługującego.”</w:t>
      </w:r>
      <w:r w:rsidRPr="00833628">
        <w:rPr>
          <w:rFonts w:eastAsia="Times New Roman" w:cs="Times New Roman"/>
          <w:sz w:val="24"/>
          <w:szCs w:val="24"/>
          <w:lang w:val="pl" w:eastAsia="pl-PL" w:bidi="pl-PL"/>
        </w:rPr>
        <w:t xml:space="preserve"> Tym samym</w:t>
      </w:r>
      <w:r w:rsidRPr="005538ED">
        <w:rPr>
          <w:rFonts w:eastAsia="Times New Roman" w:cs="Times New Roman"/>
          <w:sz w:val="24"/>
          <w:szCs w:val="24"/>
          <w:lang w:val="pl" w:eastAsia="pl-PL" w:bidi="pl-PL"/>
        </w:rPr>
        <w:t xml:space="preserve"> na Ministra Sprawiedliwości nałożono obowiązek przygotowania rozporządzenia wprowadzającego wzory pouczeń. Zgodnie z art. 17 ust. 2 nowelizacji k.p.c., nowe brzmienie </w:t>
      </w:r>
      <w:r w:rsidRPr="005538ED">
        <w:rPr>
          <w:rFonts w:eastAsia="Times New Roman" w:cs="Times New Roman"/>
          <w:sz w:val="24"/>
          <w:szCs w:val="24"/>
          <w:lang w:val="pl" w:eastAsia="pl-PL" w:bidi="pl-PL"/>
        </w:rPr>
        <w:lastRenderedPageBreak/>
        <w:t>art. 5 k.p.c. miało wejść w życie po upływie 12 miesięcy od dnia ogłoszenia nowelizacji k.p.c., tj. 8 sierpnia 2020 r.</w:t>
      </w:r>
    </w:p>
    <w:p w:rsidR="00221AE5" w:rsidRPr="00833628" w:rsidRDefault="00221AE5" w:rsidP="00987EB2">
      <w:pPr>
        <w:widowControl w:val="0"/>
        <w:numPr>
          <w:ilvl w:val="0"/>
          <w:numId w:val="41"/>
        </w:numPr>
        <w:tabs>
          <w:tab w:val="left" w:pos="289"/>
        </w:tabs>
        <w:spacing w:before="120" w:after="0" w:line="240" w:lineRule="auto"/>
        <w:jc w:val="both"/>
        <w:rPr>
          <w:rFonts w:eastAsia="Times New Roman" w:cs="Times New Roman"/>
          <w:sz w:val="24"/>
          <w:szCs w:val="24"/>
          <w:lang w:eastAsia="pl-PL" w:bidi="pl-PL"/>
        </w:rPr>
      </w:pPr>
      <w:r w:rsidRPr="005538ED">
        <w:rPr>
          <w:rFonts w:eastAsia="Times New Roman" w:cs="Times New Roman"/>
          <w:sz w:val="24"/>
          <w:szCs w:val="24"/>
          <w:lang w:val="pl" w:eastAsia="pl-PL" w:bidi="pl-PL"/>
        </w:rPr>
        <w:t xml:space="preserve">W piśmie do Ministra Sprawiedliwości z dnia 8 stycznia 2020 r., Rzecznik Praw Obywatelskich zauważył, że ostatnia istotna nowelizacja Kodeksu postępowania cywilnego, która weszła w życie w listopadzie 2019 r., sprawiła, że wielu uczestników postępowania cywilnego znalazło się w nowej rzeczywistości prawnej. Jednocześnie Rzecznik Praw </w:t>
      </w:r>
      <w:r w:rsidRPr="00833628">
        <w:rPr>
          <w:rFonts w:eastAsia="Times New Roman" w:cs="Times New Roman"/>
          <w:sz w:val="24"/>
          <w:szCs w:val="24"/>
          <w:lang w:val="pl" w:eastAsia="pl-PL" w:bidi="pl-PL"/>
        </w:rPr>
        <w:t xml:space="preserve">Obywatelskich podkreślił, iż przegląd procedury cywilnej oznacza, że nie otrzymali oni </w:t>
      </w:r>
      <w:r w:rsidRPr="00833628">
        <w:rPr>
          <w:rFonts w:eastAsia="Times New Roman" w:cs="Times New Roman"/>
          <w:iCs/>
          <w:sz w:val="24"/>
          <w:szCs w:val="24"/>
          <w:lang w:val="pl" w:eastAsia="pl-PL" w:bidi="pl-PL"/>
        </w:rPr>
        <w:t>„...pouczeń przewidzianych w założeniach nowelizacji, gwarantujących odpowiednią ochronę ich praw procesowych. Taki stan rzeczy oznacza, że treść, zakres oraz forma pouczeń w zakresie nowych przepisów k.p.c., do czasu wydania rozporządzenia</w:t>
      </w:r>
      <w:r w:rsidRPr="00833628">
        <w:rPr>
          <w:rFonts w:eastAsia="Times New Roman" w:cs="Times New Roman"/>
          <w:sz w:val="24"/>
          <w:szCs w:val="24"/>
          <w:lang w:val="pl" w:eastAsia="pl-PL" w:bidi="pl-PL"/>
        </w:rPr>
        <w:t xml:space="preserve"> [w sprawie pouczeń – przypis autora] </w:t>
      </w:r>
      <w:r w:rsidRPr="00833628">
        <w:rPr>
          <w:rFonts w:eastAsia="Times New Roman" w:cs="Times New Roman"/>
          <w:iCs/>
          <w:sz w:val="24"/>
          <w:szCs w:val="24"/>
          <w:lang w:val="pl" w:eastAsia="pl-PL" w:bidi="pl-PL"/>
        </w:rPr>
        <w:t>przez Ministerstwo Sprawiedliwości, uzależniona będzie od praktyki przyjętej w danym sądzie, co niestety wiąże się z powstawaniem istotnych rozbieżności i nie pozostaje bez negatywnego wpływu na sytuację procesową stron. Zakres i charakter nowelizacji oraz przyjęte rozwiązania intertemporalne skutkują bowiem niestety omyłkami w udzielanych stronom pouczeniach...</w:t>
      </w:r>
      <w:r w:rsidRPr="00833628">
        <w:rPr>
          <w:rFonts w:eastAsia="Times New Roman" w:cs="Times New Roman"/>
          <w:sz w:val="24"/>
          <w:szCs w:val="24"/>
          <w:lang w:val="pl" w:eastAsia="pl-PL" w:bidi="pl-PL"/>
        </w:rPr>
        <w:t>”</w:t>
      </w:r>
      <w:r w:rsidRPr="00833628">
        <w:rPr>
          <w:rFonts w:eastAsia="Times New Roman" w:cs="Times New Roman"/>
          <w:sz w:val="24"/>
          <w:szCs w:val="24"/>
          <w:vertAlign w:val="superscript"/>
          <w:lang w:val="pl" w:eastAsia="pl-PL" w:bidi="pl-PL"/>
        </w:rPr>
        <w:footnoteReference w:id="312"/>
      </w:r>
      <w:r w:rsidRPr="00833628">
        <w:rPr>
          <w:rFonts w:eastAsia="Times New Roman" w:cs="Times New Roman"/>
          <w:sz w:val="24"/>
          <w:szCs w:val="24"/>
          <w:lang w:val="pl" w:eastAsia="pl-PL" w:bidi="pl-PL"/>
        </w:rPr>
        <w:t xml:space="preserve">. W ten sposób Rzecznik Praw Obywatelskich wykazał w swoim oświadczeniu, że w sposób oczywisty największe trudności w stosowaniu nowego prawa uwidaczniają się w pierwszych miesiącach jego obowiązywania. Według Rzecznika Praw Obywatelskich, w tym właśnie okresie </w:t>
      </w:r>
      <w:r w:rsidRPr="00833628">
        <w:rPr>
          <w:rFonts w:eastAsia="Times New Roman" w:cs="Times New Roman"/>
          <w:iCs/>
          <w:sz w:val="24"/>
          <w:szCs w:val="24"/>
          <w:lang w:val="pl" w:eastAsia="pl-PL" w:bidi="pl-PL"/>
        </w:rPr>
        <w:t>„...odpowiednie pouczenia (bądź normatywne wytyczne dla ich sporządzenia) są więc najbardziej potrzebne. Biorąc zatem pod uwagę nowatorski charakter wielu zmian k.p.c., jak i cel w postaci standaryzacji pouczeń, wydaje się, że to przede wszystkim resort sprawiedliwości – jako inicjator nowych rozwiązań wypracowanych w toku wielomiesięcznych prac koncepcyjnych i legislacyjnych – jest szczególnie predestynowany do opracowania na czas stosownych wzorów pouczeń do wykorzystania przez sądy i samych obywateli. Realizacja tego obowiązku nie może polegać na oczekiwaniu, aż wzory pouczeń ukształtują się w praktyce poszczególnych sądów, a następnie dopiero – zostaną ujednolicone w oczekiwanym akcie normatywnym.”</w:t>
      </w:r>
      <w:r w:rsidRPr="00833628">
        <w:rPr>
          <w:rFonts w:eastAsia="Times New Roman" w:cs="Times New Roman"/>
          <w:iCs/>
          <w:sz w:val="24"/>
          <w:szCs w:val="24"/>
          <w:vertAlign w:val="superscript"/>
          <w:lang w:val="pl" w:eastAsia="pl-PL" w:bidi="pl-PL"/>
        </w:rPr>
        <w:footnoteReference w:id="313"/>
      </w:r>
      <w:r w:rsidRPr="00833628">
        <w:rPr>
          <w:rFonts w:eastAsia="Times New Roman" w:cs="Times New Roman"/>
          <w:sz w:val="24"/>
          <w:szCs w:val="24"/>
          <w:lang w:val="pl" w:eastAsia="pl-PL" w:bidi="pl-PL"/>
        </w:rPr>
        <w:t xml:space="preserve"> Odpowiedź na powyższe pismo Rzecznika Praw Obywatelskich, podpisana przez dr Annę Dalkowską, podsekretarz stanu w Ministerstwie Sprawiedliwości, sugerowała, że prace nad ustandaryzowaną treścią pouczeń były na zaawansowanym etapie</w:t>
      </w:r>
      <w:r w:rsidRPr="00833628">
        <w:rPr>
          <w:rFonts w:eastAsia="Times New Roman" w:cs="Times New Roman"/>
          <w:sz w:val="24"/>
          <w:szCs w:val="24"/>
          <w:vertAlign w:val="superscript"/>
          <w:lang w:val="pl" w:eastAsia="pl-PL" w:bidi="pl-PL"/>
        </w:rPr>
        <w:footnoteReference w:id="314"/>
      </w:r>
      <w:r w:rsidRPr="00833628">
        <w:rPr>
          <w:rFonts w:eastAsia="Times New Roman" w:cs="Times New Roman"/>
          <w:sz w:val="24"/>
          <w:szCs w:val="24"/>
          <w:lang w:val="pl" w:eastAsia="pl-PL" w:bidi="pl-PL"/>
        </w:rPr>
        <w:t xml:space="preserve">. W dalszej części odpowiedzi czytamy: </w:t>
      </w:r>
      <w:r w:rsidRPr="00833628">
        <w:rPr>
          <w:rFonts w:eastAsia="Times New Roman" w:cs="Times New Roman"/>
          <w:iCs/>
          <w:sz w:val="24"/>
          <w:szCs w:val="24"/>
          <w:lang w:val="pl" w:eastAsia="pl-PL" w:bidi="pl-PL"/>
        </w:rPr>
        <w:t>„...zarówno zakres jak i cel zamierzonych prac, sprzeciwiają się możliwości znaczącego przyspieszenia podejmowanych działań. Jak trafnie podkreślono w treści cytowanego na wstępie pisma, dokonana w ubiegłym roku nowelizacja procedury cywilnej jest obszerna, przy czym szczególne znaczenie przypisano kwestii realizacji gwarancji procesowych stron postępowania cywilnego. Wpisujące się w tak zakreśloną koncepcję działania zmierzające do opracowania przejrzystych, czytelnych, a zarazem zgodnych z intencją ustawodawcy pouczeń, wymagają znacznego nakładu pracy, związanego z zaangażowaniem ze strony Ministerstwa Sprawiedliwości, jak również wybranej</w:t>
      </w:r>
      <w:r w:rsidRPr="005538ED">
        <w:rPr>
          <w:rFonts w:eastAsia="Times New Roman" w:cs="Times New Roman"/>
          <w:i/>
          <w:iCs/>
          <w:sz w:val="24"/>
          <w:szCs w:val="24"/>
          <w:lang w:val="pl" w:eastAsia="pl-PL" w:bidi="pl-PL"/>
        </w:rPr>
        <w:t xml:space="preserve"> jednostki </w:t>
      </w:r>
      <w:r w:rsidRPr="00833628">
        <w:rPr>
          <w:rFonts w:eastAsia="Times New Roman" w:cs="Times New Roman"/>
          <w:iCs/>
          <w:sz w:val="24"/>
          <w:szCs w:val="24"/>
          <w:lang w:val="pl" w:eastAsia="pl-PL" w:bidi="pl-PL"/>
        </w:rPr>
        <w:t>badawczej z zewnątrz.</w:t>
      </w:r>
      <w:r w:rsidRPr="00833628">
        <w:rPr>
          <w:rFonts w:eastAsia="Times New Roman" w:cs="Times New Roman"/>
          <w:sz w:val="24"/>
          <w:szCs w:val="24"/>
          <w:lang w:val="pl" w:eastAsia="pl-PL" w:bidi="pl-PL"/>
        </w:rPr>
        <w:t>”</w:t>
      </w:r>
      <w:r w:rsidRPr="00833628">
        <w:rPr>
          <w:rFonts w:eastAsia="Times New Roman" w:cs="Times New Roman"/>
          <w:sz w:val="24"/>
          <w:szCs w:val="24"/>
          <w:vertAlign w:val="superscript"/>
          <w:lang w:val="pl" w:eastAsia="pl-PL" w:bidi="pl-PL"/>
        </w:rPr>
        <w:footnoteReference w:id="315"/>
      </w:r>
      <w:r w:rsidRPr="00833628">
        <w:rPr>
          <w:rFonts w:eastAsia="Times New Roman" w:cs="Times New Roman"/>
          <w:sz w:val="24"/>
          <w:szCs w:val="24"/>
          <w:lang w:val="pl" w:eastAsia="pl-PL" w:bidi="pl-PL"/>
        </w:rPr>
        <w:t xml:space="preserve"> W dalszej części pisma Ministerstwo Sprawiedliwości wykazało, że zgodnie z obecnym brzmieniem art. 5 k.p.c., sąd może udzielić pouczeń uczestnikom postępowania, którzy nie są reprezentowani przez profesjonalnych pełnomocników.</w:t>
      </w:r>
    </w:p>
    <w:p w:rsidR="00221AE5" w:rsidRPr="00833628" w:rsidRDefault="00BB66BF" w:rsidP="00987EB2">
      <w:pPr>
        <w:widowControl w:val="0"/>
        <w:numPr>
          <w:ilvl w:val="0"/>
          <w:numId w:val="41"/>
        </w:numPr>
        <w:tabs>
          <w:tab w:val="left" w:pos="284"/>
        </w:tabs>
        <w:spacing w:before="120" w:after="0" w:line="240" w:lineRule="auto"/>
        <w:jc w:val="both"/>
        <w:rPr>
          <w:rFonts w:eastAsia="Times New Roman" w:cs="Times New Roman"/>
          <w:sz w:val="24"/>
          <w:szCs w:val="24"/>
          <w:lang w:eastAsia="pl-PL" w:bidi="pl-PL"/>
        </w:rPr>
      </w:pPr>
      <w:r>
        <w:rPr>
          <w:rFonts w:eastAsia="Times New Roman" w:cs="Times New Roman"/>
          <w:sz w:val="24"/>
          <w:szCs w:val="24"/>
          <w:lang w:val="pl" w:eastAsia="pl-PL" w:bidi="pl-PL"/>
        </w:rPr>
        <w:lastRenderedPageBreak/>
        <w:t>Jednakże art. 71 (1) u</w:t>
      </w:r>
      <w:r w:rsidR="00221AE5" w:rsidRPr="00833628">
        <w:rPr>
          <w:rFonts w:eastAsia="Times New Roman" w:cs="Times New Roman"/>
          <w:sz w:val="24"/>
          <w:szCs w:val="24"/>
          <w:lang w:val="pl" w:eastAsia="pl-PL" w:bidi="pl-PL"/>
        </w:rPr>
        <w:t>stawy z dnia 19 czerwca 2020 r. o dopłatach do oprocentowania kredytów bankowych udzielanych przedsiębiorcom dotkniętym skutkami COVID-19 oraz o uproszczonym postępowaniu o zatwierdzenie układu w związku z wystąpieniem COVID-19</w:t>
      </w:r>
      <w:r w:rsidR="00221AE5" w:rsidRPr="00833628">
        <w:rPr>
          <w:rFonts w:eastAsia="Times New Roman" w:cs="Times New Roman"/>
          <w:sz w:val="24"/>
          <w:szCs w:val="24"/>
          <w:vertAlign w:val="superscript"/>
          <w:lang w:val="pl" w:eastAsia="pl-PL" w:bidi="pl-PL"/>
        </w:rPr>
        <w:footnoteReference w:id="316"/>
      </w:r>
      <w:r w:rsidR="00221AE5" w:rsidRPr="00833628">
        <w:rPr>
          <w:rFonts w:eastAsia="Times New Roman" w:cs="Times New Roman"/>
          <w:sz w:val="24"/>
          <w:szCs w:val="24"/>
          <w:lang w:val="pl" w:eastAsia="pl-PL" w:bidi="pl-PL"/>
        </w:rPr>
        <w:t xml:space="preserve"> („Ustawa Uchylająca”) uchyliła art. 1 (2) nowelizacji k.p.c. Oznacza to, że art. 5 k.p.c. nie zostanie znowelizowany w dniu 6 sierpnia. W związku z tym, ani Minister Sprawiedliwości, ani żaden inny organ nie przygotuje ustandaryzowanych wzorów pouczeń dla stron postępowania cywilnego.</w:t>
      </w:r>
    </w:p>
    <w:p w:rsidR="00221AE5" w:rsidRPr="00833628" w:rsidRDefault="00221AE5" w:rsidP="00987EB2">
      <w:pPr>
        <w:widowControl w:val="0"/>
        <w:numPr>
          <w:ilvl w:val="0"/>
          <w:numId w:val="41"/>
        </w:numPr>
        <w:tabs>
          <w:tab w:val="left" w:pos="294"/>
        </w:tabs>
        <w:spacing w:before="120" w:after="0" w:line="240" w:lineRule="auto"/>
        <w:jc w:val="both"/>
        <w:rPr>
          <w:rFonts w:eastAsia="Times New Roman" w:cs="Times New Roman"/>
          <w:sz w:val="24"/>
          <w:szCs w:val="24"/>
          <w:lang w:eastAsia="pl-PL" w:bidi="pl-PL"/>
        </w:rPr>
      </w:pPr>
      <w:r w:rsidRPr="00833628">
        <w:rPr>
          <w:rFonts w:eastAsia="Times New Roman" w:cs="Times New Roman"/>
          <w:sz w:val="24"/>
          <w:szCs w:val="24"/>
          <w:lang w:val="pl" w:eastAsia="pl-PL" w:bidi="pl-PL"/>
        </w:rPr>
        <w:t xml:space="preserve">Uzasadnienie projektu Ustawy z 19 czerwca 2020 r. zwraca uwagę, że </w:t>
      </w:r>
      <w:r w:rsidRPr="00833628">
        <w:rPr>
          <w:rFonts w:eastAsia="Times New Roman" w:cs="Times New Roman"/>
          <w:iCs/>
          <w:sz w:val="24"/>
          <w:szCs w:val="24"/>
          <w:lang w:val="pl" w:eastAsia="pl-PL" w:bidi="pl-PL"/>
        </w:rPr>
        <w:t>„...w trakcie prac legislacyjnych nad realizacją wskazanego obowiązku, zmierzających do opracowania stosownego rozporządzenia, stwierdzono, że liczba przypadków, w których Kodeks wymaga pouczenia strony lub uczestnika postępowania na piśmie, jest znaczna (kilkadziesiąt pouczeń). Dodatkowo wiele z tych sytuacji – nawet w odniesieniu do jednej instytucji procesowej – kształtuje się w sposób odmienny, w zależności od tego, komu doręczane ma być pouczenie. Powyższe sprawia, że ze względu na wielość sytuacji procesowych ich przewidzenie na poziomie aktu normatywnego jest bardzo trudne. Problem pogłębia fakt, że pouczenia wymagane przez niektóre z przepisów są bardzo rozbudowane.”</w:t>
      </w:r>
      <w:r w:rsidRPr="00833628">
        <w:rPr>
          <w:rFonts w:eastAsia="Times New Roman" w:cs="Times New Roman"/>
          <w:iCs/>
          <w:sz w:val="24"/>
          <w:szCs w:val="24"/>
          <w:vertAlign w:val="superscript"/>
          <w:lang w:val="pl" w:eastAsia="pl-PL" w:bidi="pl-PL"/>
        </w:rPr>
        <w:footnoteReference w:id="317"/>
      </w:r>
      <w:r w:rsidRPr="00833628">
        <w:rPr>
          <w:rFonts w:eastAsia="Times New Roman" w:cs="Times New Roman"/>
          <w:sz w:val="24"/>
          <w:szCs w:val="24"/>
          <w:lang w:val="pl" w:eastAsia="pl-PL" w:bidi="pl-PL"/>
        </w:rPr>
        <w:t xml:space="preserve"> Dla przykładu, projektodawcy nowelizacji odnieśli się do pouczeń wynikających z treści art. 805 k.p.c., które w ich opinii musiałyby liczyć 31 stron. Ich zdaniem poddaje to w wątpliwość znaczenie przedmiotowej regulacji jako środka do osiągnięcia zamierzonego celu.</w:t>
      </w:r>
      <w:r w:rsidRPr="00833628">
        <w:rPr>
          <w:rFonts w:eastAsia="Times New Roman" w:cs="Times New Roman"/>
          <w:sz w:val="24"/>
          <w:szCs w:val="24"/>
          <w:vertAlign w:val="superscript"/>
          <w:lang w:val="pl" w:eastAsia="pl-PL" w:bidi="pl-PL"/>
        </w:rPr>
        <w:footnoteReference w:id="318"/>
      </w:r>
      <w:r w:rsidRPr="00833628">
        <w:rPr>
          <w:rFonts w:eastAsia="Times New Roman" w:cs="Times New Roman"/>
          <w:sz w:val="24"/>
          <w:szCs w:val="24"/>
          <w:lang w:val="pl" w:eastAsia="pl-PL" w:bidi="pl-PL"/>
        </w:rPr>
        <w:t xml:space="preserve"> Jednocześnie uzasadnienie zauważa, że </w:t>
      </w:r>
      <w:r w:rsidRPr="00833628">
        <w:rPr>
          <w:rFonts w:eastAsia="Times New Roman" w:cs="Times New Roman"/>
          <w:iCs/>
          <w:sz w:val="24"/>
          <w:szCs w:val="24"/>
          <w:lang w:val="pl" w:eastAsia="pl-PL" w:bidi="pl-PL"/>
        </w:rPr>
        <w:t>„... poszczególne przepisy ustawy, które wymagają pouczenia na piśmie, zawierają odesłania do innych jednostek redakcyjnych. Fakt ten w pełni uzasadnia przypuszczenie o konieczności dokonywania w przyszłości częstych zmian treści pouczenia, zaprojektowanego na podstawie tej regulacji.”</w:t>
      </w:r>
      <w:r w:rsidRPr="00833628">
        <w:rPr>
          <w:rFonts w:eastAsia="Times New Roman" w:cs="Times New Roman"/>
          <w:sz w:val="24"/>
          <w:szCs w:val="24"/>
          <w:vertAlign w:val="superscript"/>
          <w:lang w:val="pl" w:eastAsia="pl-PL" w:bidi="pl-PL"/>
        </w:rPr>
        <w:footnoteReference w:id="319"/>
      </w:r>
      <w:r w:rsidRPr="00833628">
        <w:rPr>
          <w:rFonts w:eastAsia="Times New Roman" w:cs="Times New Roman"/>
          <w:iCs/>
          <w:sz w:val="24"/>
          <w:szCs w:val="24"/>
          <w:lang w:val="pl" w:eastAsia="pl-PL" w:bidi="pl-PL"/>
        </w:rPr>
        <w:t xml:space="preserve"> </w:t>
      </w:r>
      <w:r w:rsidRPr="00833628">
        <w:rPr>
          <w:rFonts w:eastAsia="Times New Roman" w:cs="Times New Roman"/>
          <w:sz w:val="24"/>
          <w:szCs w:val="24"/>
          <w:lang w:val="pl" w:eastAsia="pl-PL" w:bidi="pl-PL"/>
        </w:rPr>
        <w:t xml:space="preserve">W dalszej części uzasadnienia stwierdza się, że </w:t>
      </w:r>
      <w:r w:rsidRPr="00833628">
        <w:rPr>
          <w:rFonts w:eastAsia="Times New Roman" w:cs="Times New Roman"/>
          <w:iCs/>
          <w:sz w:val="24"/>
          <w:szCs w:val="24"/>
          <w:lang w:val="pl" w:eastAsia="pl-PL" w:bidi="pl-PL"/>
        </w:rPr>
        <w:t>„Postawione przed Ministrem Sprawiedliwości zadanie dodatkowo komplikuje fakt, że przepisy procedury cywilnej ulegają częstym zmianom, a w wielu przypadkach ustawodawca decyduje się skorzystać z intertemporalnej reguły kontynuacji, a zatem prowadzić postępowania wszczęte pod rządami starej ustawy na podstawie przepisów dotychczasowych. W naturalny sposób treść pouczeń opracowanych przez Ministra Sprawiedliwości musiałaby tę okoliczność uwzględniać.”</w:t>
      </w:r>
      <w:r w:rsidRPr="00833628">
        <w:rPr>
          <w:rFonts w:eastAsia="Times New Roman" w:cs="Times New Roman"/>
          <w:sz w:val="24"/>
          <w:szCs w:val="24"/>
          <w:vertAlign w:val="superscript"/>
          <w:lang w:val="pl" w:eastAsia="pl-PL" w:bidi="pl-PL"/>
        </w:rPr>
        <w:footnoteReference w:id="320"/>
      </w:r>
      <w:r w:rsidRPr="00833628">
        <w:rPr>
          <w:rFonts w:eastAsia="Times New Roman" w:cs="Times New Roman"/>
          <w:sz w:val="24"/>
          <w:szCs w:val="24"/>
          <w:lang w:val="pl" w:eastAsia="pl-PL" w:bidi="pl-PL"/>
        </w:rPr>
        <w:t xml:space="preserve"> Projektodawcy zwrócili też uwagę, że opracowanie pouczeń wymaga współpracy wielu podmiotów. Ponadto, jak okazało się w trakcie prac legislacyjnych, proponowane przepisy wymagają konsultacji z sędziami, innymi przedstawicielami zawodów prawniczych, a także specjalistami od komunikacji społecznej i językoznawstwa. W rezultacie,</w:t>
      </w:r>
      <w:r w:rsidRPr="005538ED">
        <w:rPr>
          <w:rFonts w:eastAsia="Times New Roman" w:cs="Times New Roman"/>
          <w:sz w:val="24"/>
          <w:szCs w:val="24"/>
          <w:lang w:val="pl" w:eastAsia="pl-PL" w:bidi="pl-PL"/>
        </w:rPr>
        <w:t xml:space="preserve"> jak zauważyli projektodawcy, biorąc pod uwagę czasochłonność wymaganych działań, jak również obecny stan pandemii COVID-19, praktycznie niemożliwe jest zakończenie prac nad </w:t>
      </w:r>
      <w:r w:rsidRPr="00833628">
        <w:rPr>
          <w:rFonts w:eastAsia="Times New Roman" w:cs="Times New Roman"/>
          <w:sz w:val="24"/>
          <w:szCs w:val="24"/>
          <w:lang w:val="pl" w:eastAsia="pl-PL" w:bidi="pl-PL"/>
        </w:rPr>
        <w:t>rozporządzeniem przed dniem 7 sierpnia 2020 r.</w:t>
      </w:r>
      <w:r w:rsidRPr="00833628">
        <w:rPr>
          <w:rFonts w:eastAsia="Times New Roman" w:cs="Times New Roman"/>
          <w:sz w:val="24"/>
          <w:szCs w:val="24"/>
          <w:vertAlign w:val="superscript"/>
          <w:lang w:val="pl" w:eastAsia="pl-PL" w:bidi="pl-PL"/>
        </w:rPr>
        <w:footnoteReference w:id="321"/>
      </w:r>
      <w:r w:rsidRPr="00833628">
        <w:rPr>
          <w:rFonts w:eastAsia="Times New Roman" w:cs="Times New Roman"/>
          <w:sz w:val="24"/>
          <w:szCs w:val="24"/>
          <w:lang w:val="pl" w:eastAsia="pl-PL" w:bidi="pl-PL"/>
        </w:rPr>
        <w:t xml:space="preserve"> Ponadto w uzasadnieniu czytamy: </w:t>
      </w:r>
      <w:r w:rsidRPr="00833628">
        <w:rPr>
          <w:rFonts w:eastAsia="Times New Roman" w:cs="Times New Roman"/>
          <w:iCs/>
          <w:sz w:val="24"/>
          <w:szCs w:val="24"/>
          <w:lang w:val="pl" w:eastAsia="pl-PL" w:bidi="pl-PL"/>
        </w:rPr>
        <w:t xml:space="preserve">„samo odroczenie wejścia w życie omawianego aktu wykonawczego nie rozwiąże wszystkich omawianych problemów. Drukowanie pouczeń przez sądy w każdym przypadku, gdy ustawa tego wymaga, wiązać się będzie ze znacznym nakładem pracy i kosztami materiałowymi, mimo </w:t>
      </w:r>
      <w:r w:rsidRPr="00833628">
        <w:rPr>
          <w:rFonts w:eastAsia="Times New Roman" w:cs="Times New Roman"/>
          <w:iCs/>
          <w:sz w:val="24"/>
          <w:szCs w:val="24"/>
          <w:lang w:val="pl" w:eastAsia="pl-PL" w:bidi="pl-PL"/>
        </w:rPr>
        <w:lastRenderedPageBreak/>
        <w:t>że mogą być one niedostosowane do realnej sytuacji procesowej stron. Warto zwrócić uwagę na fakt, że sam przepis art. 15zzs ustawy z dnia 2 marca 2020 r. o szczególnych rozwiązaniach związanych z zapobieganiem, przeciwdziałaniem i zwalczaniem COVID-19, innych chorób zakaźnych oraz wywołanych nimi sytuacji kryzysowych (Dz. U. poz. 374 i 567) w sposób daleko idący wpłynął na bieg milionów postępowań sądowych, co sądy powinny w sposób elastyczny uwzględniać pouczając strony czynności procesowych o ich znaczeniu i skutkach. Skutki te mogą trwać jeszcze przez wiele miesięcy, jeśli nie lat. Można przy tym przewidzieć, że na skutek stanu epidemii związanego z COVID-19 znacząco wzrosną wydatki budżetu państwa, a podejmowanie kolejnych działań, które potencjalnie mogą je jeszcze zwiększyć, jest niecelowe. Z uwagi na istotną objętość pouczeń znaczący mógłby też być koszt ich urzędowych tłumaczeń. Dokonanie tłumaczeń na kilka języków obcych wszystkich kilkudziesięciu pouczeń z pewnością wygeneruje znaczące koszty dla Skarbu Państwa, które w obecnej kryzysowej sytuacji, wywołanej epidemią COVID-19 – nie wydają się racjonalne i uzasadnione.”</w:t>
      </w:r>
      <w:r w:rsidRPr="00833628">
        <w:rPr>
          <w:rFonts w:eastAsia="Times New Roman" w:cs="Times New Roman"/>
          <w:sz w:val="24"/>
          <w:szCs w:val="24"/>
          <w:vertAlign w:val="superscript"/>
          <w:lang w:val="pl" w:eastAsia="pl-PL" w:bidi="pl-PL"/>
        </w:rPr>
        <w:footnoteReference w:id="322"/>
      </w:r>
      <w:r w:rsidRPr="00833628">
        <w:rPr>
          <w:rFonts w:eastAsia="Times New Roman" w:cs="Times New Roman"/>
          <w:sz w:val="24"/>
          <w:szCs w:val="24"/>
          <w:lang w:val="pl" w:eastAsia="pl-PL" w:bidi="pl-PL"/>
        </w:rPr>
        <w:t xml:space="preserve"> Jednocześnie w uzasadnieniu projektu ustawy podkreślono, że </w:t>
      </w:r>
      <w:r w:rsidRPr="00833628">
        <w:rPr>
          <w:rFonts w:eastAsia="Times New Roman" w:cs="Times New Roman"/>
          <w:iCs/>
          <w:sz w:val="24"/>
          <w:szCs w:val="24"/>
          <w:lang w:val="pl" w:eastAsia="pl-PL" w:bidi="pl-PL"/>
        </w:rPr>
        <w:t>„... Ministerstwo Sprawiedliwości będzie kontynuowało prace w przedmiotowym kierunku, czego skutkiem będzie publikowanie wzorów pouczeń wymaganych przez Kodeks na stronie internetowej MS, w najczęściej występujących sytuacjach procesowych. Umożliwi to Ministrowi Sprawiedliwości szybkie adaptowanie się do realnie występujących w sądach potrzeb i reagowanie na zmiany legislacyjne bez konieczności każdorazowej zmiany rozporządzenia.”</w:t>
      </w:r>
      <w:r w:rsidRPr="00833628">
        <w:rPr>
          <w:rFonts w:eastAsia="Times New Roman" w:cs="Times New Roman"/>
          <w:iCs/>
          <w:sz w:val="24"/>
          <w:szCs w:val="24"/>
          <w:vertAlign w:val="superscript"/>
          <w:lang w:val="pl" w:eastAsia="pl-PL" w:bidi="pl-PL"/>
        </w:rPr>
        <w:footnoteReference w:id="323"/>
      </w:r>
    </w:p>
    <w:p w:rsidR="00221AE5" w:rsidRPr="00833628" w:rsidRDefault="00221AE5" w:rsidP="00987EB2">
      <w:pPr>
        <w:widowControl w:val="0"/>
        <w:numPr>
          <w:ilvl w:val="0"/>
          <w:numId w:val="41"/>
        </w:numPr>
        <w:tabs>
          <w:tab w:val="left" w:pos="330"/>
        </w:tabs>
        <w:spacing w:before="120" w:after="0" w:line="240" w:lineRule="auto"/>
        <w:jc w:val="both"/>
        <w:rPr>
          <w:rFonts w:eastAsia="Times New Roman" w:cs="Times New Roman"/>
          <w:sz w:val="24"/>
          <w:szCs w:val="24"/>
          <w:lang w:eastAsia="pl-PL" w:bidi="pl-PL"/>
        </w:rPr>
      </w:pPr>
      <w:r w:rsidRPr="00833628">
        <w:rPr>
          <w:rFonts w:eastAsia="Times New Roman" w:cs="Times New Roman"/>
          <w:sz w:val="24"/>
          <w:szCs w:val="24"/>
          <w:lang w:val="pl" w:eastAsia="pl-PL" w:bidi="pl-PL"/>
        </w:rPr>
        <w:t xml:space="preserve">W opinii HFPC uchylenie nowelizacji art. 5 k.p.c. odsuwa w czasie perspektywę wykonania wyroków ETPCz w sprawach </w:t>
      </w:r>
      <w:r w:rsidRPr="00833628">
        <w:rPr>
          <w:rFonts w:eastAsia="Times New Roman" w:cs="Times New Roman"/>
          <w:iCs/>
          <w:sz w:val="24"/>
          <w:szCs w:val="24"/>
          <w:lang w:val="pl" w:eastAsia="pl-PL" w:bidi="pl-PL"/>
        </w:rPr>
        <w:t>Parol p. Polsce</w:t>
      </w:r>
      <w:r w:rsidRPr="00833628">
        <w:rPr>
          <w:rFonts w:eastAsia="Times New Roman" w:cs="Times New Roman"/>
          <w:sz w:val="24"/>
          <w:szCs w:val="24"/>
          <w:lang w:val="pl" w:eastAsia="pl-PL" w:bidi="pl-PL"/>
        </w:rPr>
        <w:t xml:space="preserve"> i </w:t>
      </w:r>
      <w:r w:rsidRPr="00833628">
        <w:rPr>
          <w:rFonts w:eastAsia="Times New Roman" w:cs="Times New Roman"/>
          <w:iCs/>
          <w:sz w:val="24"/>
          <w:szCs w:val="24"/>
          <w:lang w:val="pl" w:eastAsia="pl-PL" w:bidi="pl-PL"/>
        </w:rPr>
        <w:t>Adamkowski p. Polsce.</w:t>
      </w:r>
      <w:r w:rsidRPr="00833628">
        <w:rPr>
          <w:rFonts w:eastAsia="Times New Roman" w:cs="Times New Roman"/>
          <w:sz w:val="24"/>
          <w:szCs w:val="24"/>
          <w:lang w:val="pl" w:eastAsia="pl-PL" w:bidi="pl-PL"/>
        </w:rPr>
        <w:t xml:space="preserve"> Po raz kolejny obowiązek pouczenia stron postępowania w sprawach regulowanych przepisami k.p.c. nakłada się na sądy, które nie zostały do tego przygotowane, ani nie uzyskały żadnego wsparcia w tym zakresie. HFPC pragnie również zauważyć, że niezrozumiałe jest, dlaczego zmiana brzmienia wzorów pouczeń byłaby szybsza na stronie internetowej Ministerstwa Sprawiedliwości niż w omawianym rozporządzeniu. W szczególności, ranga pouczeń określonych w rozporządzeniu różni się od rangi pouczeń opartych na wzorze, jaki ma zostać opublikowany na stronie internetowej Ministerstwa Sprawiedliwości. Należy też zauważyć, że ilekroć sąd będzie chciał skorzystać z pouczeń dostępnych na stronie internetowej Ministerstwa, nadal będzie musiał je wydrukować, a następnie przekazać stronom postępowania. Dodatkowo uzasadnienie projektu Ustawy Uchylającej w żaden sposób nie kładzie nacisku na zagwarantowanie możliwości udzielania pouczeń stronom, ale zawiera obszerne omówienie trudności organizacyjnych i technicznych związanych z opracowaniem pouczeń. Co więcej, należy zauważyć, że pouczenia opublikowane jedynie w formie elektronicznej (jeśli nie są wydrukowane przez sąd ze strony internetowej Ministerstwa Sprawiedliwości) mogą być niedostępne dla osób, które nie mają dostępu do Internetu lub nie są w stanie z niego sprawnie korzystać.</w:t>
      </w:r>
    </w:p>
    <w:p w:rsidR="00221AE5" w:rsidRPr="00833628" w:rsidRDefault="00221AE5" w:rsidP="00987EB2">
      <w:pPr>
        <w:widowControl w:val="0"/>
        <w:numPr>
          <w:ilvl w:val="0"/>
          <w:numId w:val="41"/>
        </w:numPr>
        <w:tabs>
          <w:tab w:val="left" w:pos="399"/>
        </w:tabs>
        <w:spacing w:before="120" w:after="0" w:line="240" w:lineRule="auto"/>
        <w:jc w:val="both"/>
        <w:rPr>
          <w:rFonts w:eastAsia="Times New Roman" w:cs="Times New Roman"/>
          <w:sz w:val="24"/>
          <w:szCs w:val="24"/>
          <w:lang w:eastAsia="pl-PL" w:bidi="pl-PL"/>
        </w:rPr>
      </w:pPr>
      <w:r w:rsidRPr="00833628">
        <w:rPr>
          <w:rFonts w:eastAsia="Times New Roman" w:cs="Times New Roman"/>
          <w:sz w:val="24"/>
          <w:szCs w:val="24"/>
          <w:lang w:val="pl" w:eastAsia="pl-PL" w:bidi="pl-PL"/>
        </w:rPr>
        <w:t xml:space="preserve">Jednocześnie Fundacja pragnie wyraźnie podkreślić w swojej opinii, że uchylenie nowelizacji art. 5 k.p.c. w drodze ustawy wprowadzającej dopłaty do oprocentowania kredytów bankowych udzielanych przedsiębiorcom dotkniętym skutkami COVID-19 oraz o uproszczonym postępowaniu o zatwierdzenie układu w związku z wystąpieniem COVID-19 jest prawdopodobnie wątpliwym krokiem z punktu widzenia zasad dobrego ustawodawstwa. Szybkie przyjęcie Ustawy Uchylającej uniemożliwiło również przeprowadzenie konstruktywnej </w:t>
      </w:r>
      <w:r w:rsidRPr="00833628">
        <w:rPr>
          <w:rFonts w:eastAsia="Times New Roman" w:cs="Times New Roman"/>
          <w:sz w:val="24"/>
          <w:szCs w:val="24"/>
          <w:lang w:val="pl" w:eastAsia="pl-PL" w:bidi="pl-PL"/>
        </w:rPr>
        <w:lastRenderedPageBreak/>
        <w:t>dyskusji na temat wprowadzanych zmian. W szczególności, Ustawa Uchylająca nie miała związku z k.p.c., a uchylenie art. 5 k.p.c. nie miało związku z pandemią koronawirusa SARS-CoV-2, co zostało również wykazane w opinii Biura Legislacyjnego Kancelarii Senatu.</w:t>
      </w:r>
      <w:r w:rsidRPr="00833628">
        <w:rPr>
          <w:rFonts w:eastAsia="Times New Roman" w:cs="Times New Roman"/>
          <w:sz w:val="24"/>
          <w:szCs w:val="24"/>
          <w:vertAlign w:val="superscript"/>
          <w:lang w:val="pl" w:eastAsia="pl-PL" w:bidi="pl-PL"/>
        </w:rPr>
        <w:footnoteReference w:id="324"/>
      </w:r>
    </w:p>
    <w:p w:rsidR="00221AE5" w:rsidRPr="00833628" w:rsidRDefault="00221AE5" w:rsidP="00987EB2">
      <w:pPr>
        <w:widowControl w:val="0"/>
        <w:numPr>
          <w:ilvl w:val="0"/>
          <w:numId w:val="41"/>
        </w:numPr>
        <w:tabs>
          <w:tab w:val="left" w:pos="399"/>
        </w:tabs>
        <w:spacing w:before="120" w:after="0" w:line="240" w:lineRule="auto"/>
        <w:jc w:val="both"/>
        <w:rPr>
          <w:rFonts w:eastAsia="Times New Roman" w:cs="Times New Roman"/>
          <w:sz w:val="24"/>
          <w:szCs w:val="24"/>
          <w:lang w:eastAsia="pl-PL" w:bidi="pl-PL"/>
        </w:rPr>
      </w:pPr>
      <w:r w:rsidRPr="00833628">
        <w:rPr>
          <w:rFonts w:eastAsia="Times New Roman" w:cs="Times New Roman"/>
          <w:sz w:val="24"/>
          <w:szCs w:val="24"/>
          <w:lang w:val="pl" w:eastAsia="pl-PL" w:bidi="pl-PL"/>
        </w:rPr>
        <w:t>Należy też zauważyć, że w dniu 22 lipca 2020 r. HFPC złożyła w Ministerstwie Sprawiedliwości wniosek o dostęp do informacji publicznej z zapytaniem o postępy w opracowywaniu pouczeń, o których mowa w uzasadnieniu do Ustawy Uchylającej, oraz o termin opublikowania tych pouczeń na stronie internetowej Ministerstwa Sprawiedliwości.</w:t>
      </w:r>
      <w:r w:rsidRPr="00833628">
        <w:rPr>
          <w:rFonts w:eastAsia="Times New Roman" w:cs="Times New Roman"/>
          <w:sz w:val="24"/>
          <w:szCs w:val="24"/>
          <w:vertAlign w:val="superscript"/>
          <w:lang w:val="pl" w:eastAsia="pl-PL" w:bidi="pl-PL"/>
        </w:rPr>
        <w:footnoteReference w:id="325"/>
      </w:r>
      <w:r w:rsidRPr="00833628">
        <w:rPr>
          <w:rFonts w:eastAsia="Times New Roman" w:cs="Times New Roman"/>
          <w:sz w:val="24"/>
          <w:szCs w:val="24"/>
          <w:lang w:val="pl" w:eastAsia="pl-PL" w:bidi="pl-PL"/>
        </w:rPr>
        <w:t xml:space="preserve"> Odpowiedź Ministerstwa Sprawiedliwości z dnia 3 sierpnia 2020 r. pokazuje, że mimo iż Ustawa Uchylająca uchyliła nowelizację art. 5 k.p.c., </w:t>
      </w:r>
      <w:r w:rsidRPr="00833628">
        <w:rPr>
          <w:rFonts w:eastAsia="Times New Roman" w:cs="Times New Roman"/>
          <w:iCs/>
          <w:sz w:val="24"/>
          <w:szCs w:val="24"/>
          <w:lang w:val="pl" w:eastAsia="pl-PL" w:bidi="pl-PL"/>
        </w:rPr>
        <w:t>„...wciąż istnieje potrzeba stworzenia kompleksowych ram prawnych dla pouczeń udzielanych stronom i uczestnikom postępowania cywilnego, w tym pouczeń używanych w obrocie z zagranicą. Zgodnie z bieżącymi planami prac w tym obszarze, jedynie pouczenia najczęściej stosowane w postępowaniu cywilnym zostaną przedstawione i udostępnione na stronie internetowej Ministerstwa Sprawiedliwości. Tak zdefiniowany zestaw wzorów zostanie opracowany pod względem językowym, a następnie, w niezbędnym zakresie, przetłumaczony na języki obce najczęściej używane w obrocie z zagranicą.”</w:t>
      </w:r>
      <w:r w:rsidRPr="00833628">
        <w:rPr>
          <w:rFonts w:eastAsia="Times New Roman" w:cs="Times New Roman"/>
          <w:sz w:val="24"/>
          <w:szCs w:val="24"/>
          <w:vertAlign w:val="superscript"/>
          <w:lang w:val="pl" w:eastAsia="pl-PL" w:bidi="pl-PL"/>
        </w:rPr>
        <w:footnoteReference w:id="326"/>
      </w:r>
      <w:r w:rsidRPr="00833628">
        <w:rPr>
          <w:rFonts w:eastAsia="Times New Roman" w:cs="Times New Roman"/>
          <w:sz w:val="24"/>
          <w:szCs w:val="24"/>
          <w:lang w:val="pl" w:eastAsia="pl-PL" w:bidi="pl-PL"/>
        </w:rPr>
        <w:t xml:space="preserve"> Jednocześnie Ministerstwo Sprawiedliwości podkreśliło, że </w:t>
      </w:r>
      <w:r w:rsidRPr="00833628">
        <w:rPr>
          <w:rFonts w:eastAsia="Times New Roman" w:cs="Times New Roman"/>
          <w:iCs/>
          <w:sz w:val="24"/>
          <w:szCs w:val="24"/>
          <w:lang w:val="pl" w:eastAsia="pl-PL" w:bidi="pl-PL"/>
        </w:rPr>
        <w:t>„...Instytut Wymiaru Sprawiedliwości ma być aktywnie zaangażowany w omawiane prace i będzie odpowiedzialny zarówno za sporządzenie zestawu pouczeń, jak i za opracowanie ich pod kątem językowym</w:t>
      </w:r>
      <w:r w:rsidRPr="00833628">
        <w:rPr>
          <w:rFonts w:eastAsia="Times New Roman" w:cs="Times New Roman"/>
          <w:sz w:val="24"/>
          <w:szCs w:val="24"/>
          <w:lang w:val="pl" w:eastAsia="pl-PL" w:bidi="pl-PL"/>
        </w:rPr>
        <w:t>.</w:t>
      </w:r>
      <w:r w:rsidRPr="00833628">
        <w:rPr>
          <w:rFonts w:eastAsia="Times New Roman" w:cs="Times New Roman"/>
          <w:iCs/>
          <w:sz w:val="24"/>
          <w:szCs w:val="24"/>
          <w:lang w:val="pl" w:eastAsia="pl-PL" w:bidi="pl-PL"/>
        </w:rPr>
        <w:t xml:space="preserve"> Mimo iż projektowi opracowania pouczeń nadano priorytet, obecnie nie można przewidzieć tempa prac ani terminu ich ukończenia. Biorąc pod uwagę konieczność przeprowadzenia badań akt spraw i opracowania wyników takich badań, szacuje się, że prace te będą trwały kilka miesięcy. Tempo realizacji projektu w dużej mierze zależy od nasilenia innych pilnych prac badawczych jakie będą równocześnie zlecone Instytutowi.”</w:t>
      </w:r>
      <w:r w:rsidRPr="00833628">
        <w:rPr>
          <w:rFonts w:eastAsia="Times New Roman" w:cs="Times New Roman"/>
          <w:iCs/>
          <w:sz w:val="24"/>
          <w:szCs w:val="24"/>
          <w:vertAlign w:val="superscript"/>
          <w:lang w:val="pl" w:eastAsia="pl-PL" w:bidi="pl-PL"/>
        </w:rPr>
        <w:footnoteReference w:id="327"/>
      </w:r>
    </w:p>
    <w:p w:rsidR="00221AE5" w:rsidRPr="005538ED" w:rsidRDefault="00221AE5" w:rsidP="00987EB2">
      <w:pPr>
        <w:widowControl w:val="0"/>
        <w:numPr>
          <w:ilvl w:val="0"/>
          <w:numId w:val="41"/>
        </w:numPr>
        <w:tabs>
          <w:tab w:val="left" w:pos="399"/>
        </w:tabs>
        <w:spacing w:before="120" w:after="0" w:line="240" w:lineRule="auto"/>
        <w:jc w:val="both"/>
        <w:rPr>
          <w:rFonts w:eastAsia="Times New Roman" w:cs="Times New Roman"/>
          <w:sz w:val="24"/>
          <w:szCs w:val="24"/>
          <w:lang w:eastAsia="pl-PL" w:bidi="pl-PL"/>
        </w:rPr>
      </w:pPr>
      <w:r w:rsidRPr="00833628">
        <w:rPr>
          <w:rFonts w:eastAsia="Times New Roman" w:cs="Times New Roman"/>
          <w:sz w:val="24"/>
          <w:szCs w:val="24"/>
          <w:lang w:val="pl" w:eastAsia="pl-PL" w:bidi="pl-PL"/>
        </w:rPr>
        <w:t>Podsu</w:t>
      </w:r>
      <w:r w:rsidR="00384ADB">
        <w:rPr>
          <w:rFonts w:eastAsia="Times New Roman" w:cs="Times New Roman"/>
          <w:sz w:val="24"/>
          <w:szCs w:val="24"/>
          <w:lang w:val="pl" w:eastAsia="pl-PL" w:bidi="pl-PL"/>
        </w:rPr>
        <w:t>mowując, HFPC uważa, że Ustawa u</w:t>
      </w:r>
      <w:r w:rsidRPr="00833628">
        <w:rPr>
          <w:rFonts w:eastAsia="Times New Roman" w:cs="Times New Roman"/>
          <w:sz w:val="24"/>
          <w:szCs w:val="24"/>
          <w:lang w:val="pl" w:eastAsia="pl-PL" w:bidi="pl-PL"/>
        </w:rPr>
        <w:t xml:space="preserve">chylająca w rzeczywistości położyła kres dalszym działaniom zmierzającym do opracowania pouczeń, mimo że </w:t>
      </w:r>
      <w:r w:rsidRPr="00833628">
        <w:rPr>
          <w:rFonts w:eastAsia="Times New Roman" w:cs="Times New Roman"/>
          <w:iCs/>
          <w:sz w:val="24"/>
          <w:szCs w:val="24"/>
          <w:lang w:val="pl" w:eastAsia="pl-PL" w:bidi="pl-PL"/>
        </w:rPr>
        <w:t>–</w:t>
      </w:r>
      <w:r w:rsidRPr="00833628">
        <w:rPr>
          <w:rFonts w:eastAsia="Times New Roman" w:cs="Times New Roman"/>
          <w:sz w:val="24"/>
          <w:szCs w:val="24"/>
          <w:lang w:val="pl" w:eastAsia="pl-PL" w:bidi="pl-PL"/>
        </w:rPr>
        <w:t xml:space="preserve"> jak zdaje się sugerować odpowiedź Ministerstwa Sprawiedliwości na pismo Rzecznika Praw Obywatelskich </w:t>
      </w:r>
      <w:r w:rsidRPr="00833628">
        <w:rPr>
          <w:rFonts w:eastAsia="Times New Roman" w:cs="Times New Roman"/>
          <w:iCs/>
          <w:sz w:val="24"/>
          <w:szCs w:val="24"/>
          <w:lang w:val="pl" w:eastAsia="pl-PL" w:bidi="pl-PL"/>
        </w:rPr>
        <w:t>–</w:t>
      </w:r>
      <w:r w:rsidRPr="00833628">
        <w:rPr>
          <w:rFonts w:eastAsia="Times New Roman" w:cs="Times New Roman"/>
          <w:sz w:val="24"/>
          <w:szCs w:val="24"/>
          <w:lang w:val="pl" w:eastAsia="pl-PL" w:bidi="pl-PL"/>
        </w:rPr>
        <w:t xml:space="preserve"> prace nad pouczeniami były na zaawansowanym etapie. Ponadto działania zmierzające do opracowania pouczeń zostały anulowane ustawą, która nie miała żadnego związku z Kodeksem postępowania cywilnego. Jednocześnie zamieszczenie pouczeń na stronie internetowej Ministerstwa Sprawiedliwości w żaden sposób nie rozwiązuje kwestii związanych z nieskuteczną procedurą udzielania pouczeń stronom postępowania cywilnego. Mając na uwadze powyższe, HFPC stwierdza, że taki środek jest niewystarczający aby uznać, że wyroki</w:t>
      </w:r>
      <w:r w:rsidRPr="005538ED">
        <w:rPr>
          <w:rFonts w:eastAsia="Times New Roman" w:cs="Times New Roman"/>
          <w:sz w:val="24"/>
          <w:szCs w:val="24"/>
          <w:lang w:val="pl" w:eastAsia="pl-PL" w:bidi="pl-PL"/>
        </w:rPr>
        <w:t xml:space="preserve"> w sprawach </w:t>
      </w:r>
      <w:r w:rsidRPr="005538ED">
        <w:rPr>
          <w:rFonts w:eastAsia="Times New Roman" w:cs="Times New Roman"/>
          <w:i/>
          <w:iCs/>
          <w:sz w:val="24"/>
          <w:szCs w:val="24"/>
          <w:lang w:val="pl" w:eastAsia="pl-PL" w:bidi="pl-PL"/>
        </w:rPr>
        <w:t>Parol p. Polsce</w:t>
      </w:r>
      <w:r w:rsidRPr="005538ED">
        <w:rPr>
          <w:rFonts w:eastAsia="Times New Roman" w:cs="Times New Roman"/>
          <w:sz w:val="24"/>
          <w:szCs w:val="24"/>
          <w:lang w:val="pl" w:eastAsia="pl-PL" w:bidi="pl-PL"/>
        </w:rPr>
        <w:t xml:space="preserve"> i </w:t>
      </w:r>
      <w:r w:rsidRPr="005538ED">
        <w:rPr>
          <w:rFonts w:eastAsia="Times New Roman" w:cs="Times New Roman"/>
          <w:i/>
          <w:iCs/>
          <w:sz w:val="24"/>
          <w:szCs w:val="24"/>
          <w:lang w:val="pl" w:eastAsia="pl-PL" w:bidi="pl-PL"/>
        </w:rPr>
        <w:t xml:space="preserve">Adamkowski p. Polsce </w:t>
      </w:r>
      <w:r w:rsidRPr="005538ED">
        <w:rPr>
          <w:rFonts w:eastAsia="Times New Roman" w:cs="Times New Roman"/>
          <w:sz w:val="24"/>
          <w:szCs w:val="24"/>
          <w:lang w:val="pl" w:eastAsia="pl-PL" w:bidi="pl-PL"/>
        </w:rPr>
        <w:t>zostaną należycie wykonane.</w:t>
      </w:r>
    </w:p>
    <w:p w:rsidR="00221AE5" w:rsidRPr="005538ED" w:rsidRDefault="00221AE5" w:rsidP="00987EB2">
      <w:pPr>
        <w:pStyle w:val="Akapitzlist"/>
        <w:numPr>
          <w:ilvl w:val="0"/>
          <w:numId w:val="42"/>
        </w:numPr>
        <w:spacing w:before="120" w:after="0" w:line="240" w:lineRule="auto"/>
        <w:contextualSpacing w:val="0"/>
        <w:rPr>
          <w:rFonts w:eastAsia="Times New Roman" w:cs="Times New Roman"/>
          <w:b/>
          <w:bCs/>
          <w:sz w:val="24"/>
          <w:szCs w:val="24"/>
          <w:lang w:val="pl" w:eastAsia="pl-PL" w:bidi="pl-PL"/>
        </w:rPr>
      </w:pPr>
      <w:r w:rsidRPr="005538ED">
        <w:rPr>
          <w:rFonts w:eastAsia="Times New Roman" w:cs="Times New Roman"/>
          <w:b/>
          <w:bCs/>
          <w:sz w:val="24"/>
          <w:szCs w:val="24"/>
          <w:lang w:val="pl" w:eastAsia="pl-PL" w:bidi="pl-PL"/>
        </w:rPr>
        <w:t>Zalecenia</w:t>
      </w:r>
    </w:p>
    <w:p w:rsidR="00221AE5" w:rsidRPr="005538ED" w:rsidRDefault="00221AE5" w:rsidP="00987EB2">
      <w:pPr>
        <w:widowControl w:val="0"/>
        <w:numPr>
          <w:ilvl w:val="0"/>
          <w:numId w:val="41"/>
        </w:numPr>
        <w:tabs>
          <w:tab w:val="left" w:pos="380"/>
        </w:tabs>
        <w:spacing w:before="120" w:after="0" w:line="240" w:lineRule="auto"/>
        <w:rPr>
          <w:rFonts w:eastAsia="Times New Roman" w:cs="Times New Roman"/>
          <w:sz w:val="24"/>
          <w:szCs w:val="24"/>
          <w:lang w:eastAsia="pl-PL" w:bidi="pl-PL"/>
        </w:rPr>
      </w:pPr>
      <w:r w:rsidRPr="005538ED">
        <w:rPr>
          <w:rFonts w:eastAsia="Times New Roman" w:cs="Times New Roman"/>
          <w:sz w:val="24"/>
          <w:szCs w:val="24"/>
          <w:lang w:val="pl" w:eastAsia="pl-PL" w:bidi="pl-PL"/>
        </w:rPr>
        <w:t>W związku z powyższym HFPC pragnie przedstawić następujące zalecenia:</w:t>
      </w:r>
    </w:p>
    <w:p w:rsidR="00221AE5" w:rsidRPr="005538ED" w:rsidRDefault="00384ADB" w:rsidP="00384ADB">
      <w:pPr>
        <w:widowControl w:val="0"/>
        <w:spacing w:before="120" w:after="0" w:line="240" w:lineRule="auto"/>
        <w:ind w:left="708"/>
        <w:jc w:val="both"/>
        <w:rPr>
          <w:rFonts w:eastAsia="Times New Roman" w:cs="Times New Roman"/>
          <w:sz w:val="24"/>
          <w:szCs w:val="24"/>
          <w:lang w:eastAsia="pl-PL" w:bidi="pl-PL"/>
        </w:rPr>
      </w:pPr>
      <w:r>
        <w:rPr>
          <w:rFonts w:eastAsia="Times New Roman" w:cs="Times New Roman"/>
          <w:sz w:val="24"/>
          <w:szCs w:val="24"/>
          <w:lang w:val="pl" w:eastAsia="pl-PL" w:bidi="pl-PL"/>
        </w:rPr>
        <w:t xml:space="preserve">1). </w:t>
      </w:r>
      <w:r w:rsidR="00221AE5" w:rsidRPr="005538ED">
        <w:rPr>
          <w:rFonts w:eastAsia="Times New Roman" w:cs="Times New Roman"/>
          <w:sz w:val="24"/>
          <w:szCs w:val="24"/>
          <w:lang w:val="pl" w:eastAsia="pl-PL" w:bidi="pl-PL"/>
        </w:rPr>
        <w:t>Minister Sprawiedliwości powinien przyjąć rozporzą</w:t>
      </w:r>
      <w:r>
        <w:rPr>
          <w:rFonts w:eastAsia="Times New Roman" w:cs="Times New Roman"/>
          <w:sz w:val="24"/>
          <w:szCs w:val="24"/>
          <w:lang w:val="pl" w:eastAsia="pl-PL" w:bidi="pl-PL"/>
        </w:rPr>
        <w:t xml:space="preserve">dzenie zawierające ujednolicony </w:t>
      </w:r>
      <w:r w:rsidR="00221AE5" w:rsidRPr="005538ED">
        <w:rPr>
          <w:rFonts w:eastAsia="Times New Roman" w:cs="Times New Roman"/>
          <w:sz w:val="24"/>
          <w:szCs w:val="24"/>
          <w:lang w:val="pl" w:eastAsia="pl-PL" w:bidi="pl-PL"/>
        </w:rPr>
        <w:t xml:space="preserve">wzór pouczeń uwzględniający wymóg przekazania stronom postępowania wszystkich niezbędnych informacji w sposób zrozumiały, w tym informacji o obowiązku złożenia wszystkich pism procesowych w wymaganej liczbie </w:t>
      </w:r>
      <w:r w:rsidR="00221AE5" w:rsidRPr="005538ED">
        <w:rPr>
          <w:rFonts w:eastAsia="Times New Roman" w:cs="Times New Roman"/>
          <w:sz w:val="24"/>
          <w:szCs w:val="24"/>
          <w:lang w:val="pl" w:eastAsia="pl-PL" w:bidi="pl-PL"/>
        </w:rPr>
        <w:lastRenderedPageBreak/>
        <w:t>egzemplarzy.</w:t>
      </w:r>
    </w:p>
    <w:p w:rsidR="00221AE5" w:rsidRPr="005538ED" w:rsidRDefault="00384ADB" w:rsidP="00384ADB">
      <w:pPr>
        <w:widowControl w:val="0"/>
        <w:spacing w:before="120" w:after="0" w:line="240" w:lineRule="auto"/>
        <w:ind w:left="708"/>
        <w:jc w:val="both"/>
        <w:rPr>
          <w:rFonts w:eastAsia="Times New Roman" w:cs="Times New Roman"/>
          <w:sz w:val="24"/>
          <w:szCs w:val="24"/>
          <w:lang w:eastAsia="pl-PL" w:bidi="pl-PL"/>
        </w:rPr>
      </w:pPr>
      <w:r>
        <w:rPr>
          <w:rFonts w:eastAsia="Times New Roman" w:cs="Times New Roman"/>
          <w:sz w:val="24"/>
          <w:szCs w:val="24"/>
          <w:lang w:val="pl" w:eastAsia="pl-PL" w:bidi="pl-PL"/>
        </w:rPr>
        <w:t>2). Komitet powinien wezwać r</w:t>
      </w:r>
      <w:r w:rsidR="00221AE5" w:rsidRPr="005538ED">
        <w:rPr>
          <w:rFonts w:eastAsia="Times New Roman" w:cs="Times New Roman"/>
          <w:sz w:val="24"/>
          <w:szCs w:val="24"/>
          <w:lang w:val="pl" w:eastAsia="pl-PL" w:bidi="pl-PL"/>
        </w:rPr>
        <w:t>ząd polski do regularnego przedstawiania informacji na temat stanu prac nad rozporządzeniem Ministra Sprawiedliwości dotyczącym ujednoliconego wzoru pouczeń udzielanych stronom postępowania cywilnego oraz ocenić zgodność zakresu i sformułowania pouczeń ze standardami art. 6 ust. 1 Konwencji.</w:t>
      </w:r>
    </w:p>
    <w:p w:rsidR="00221AE5" w:rsidRPr="005538ED" w:rsidRDefault="00221AE5" w:rsidP="00987EB2">
      <w:pPr>
        <w:widowControl w:val="0"/>
        <w:numPr>
          <w:ilvl w:val="0"/>
          <w:numId w:val="41"/>
        </w:numPr>
        <w:tabs>
          <w:tab w:val="left" w:pos="404"/>
        </w:tabs>
        <w:spacing w:before="120" w:after="0" w:line="240" w:lineRule="auto"/>
        <w:jc w:val="both"/>
        <w:rPr>
          <w:rFonts w:eastAsia="Times New Roman" w:cs="Times New Roman"/>
          <w:sz w:val="24"/>
          <w:szCs w:val="24"/>
          <w:lang w:eastAsia="pl-PL" w:bidi="pl-PL"/>
        </w:rPr>
      </w:pPr>
      <w:r w:rsidRPr="005538ED">
        <w:rPr>
          <w:rFonts w:eastAsia="Times New Roman" w:cs="Times New Roman"/>
          <w:sz w:val="24"/>
          <w:szCs w:val="24"/>
          <w:lang w:val="pl" w:eastAsia="pl-PL" w:bidi="pl-PL"/>
        </w:rPr>
        <w:t xml:space="preserve">Helsińska Fundacja Praw Człowieka pragnie wyrazić gotowość do dalszego wspierania Komitetu Ministrów Rady Europy w zakresie monitorowania właściwego wykonywania wyroków Europejskiego Trybunału Praw Człowieka w sprawach </w:t>
      </w:r>
      <w:r w:rsidRPr="005538ED">
        <w:rPr>
          <w:rFonts w:eastAsia="Times New Roman" w:cs="Times New Roman"/>
          <w:i/>
          <w:iCs/>
          <w:sz w:val="24"/>
          <w:szCs w:val="24"/>
          <w:lang w:val="pl" w:eastAsia="pl-PL" w:bidi="pl-PL"/>
        </w:rPr>
        <w:t>Adamkowski p. Polsce</w:t>
      </w:r>
      <w:r w:rsidRPr="005538ED">
        <w:rPr>
          <w:rFonts w:eastAsia="Times New Roman" w:cs="Times New Roman"/>
          <w:sz w:val="24"/>
          <w:szCs w:val="24"/>
          <w:lang w:val="pl" w:eastAsia="pl-PL" w:bidi="pl-PL"/>
        </w:rPr>
        <w:t xml:space="preserve"> i </w:t>
      </w:r>
      <w:r w:rsidRPr="005538ED">
        <w:rPr>
          <w:rFonts w:eastAsia="Times New Roman" w:cs="Times New Roman"/>
          <w:i/>
          <w:iCs/>
          <w:sz w:val="24"/>
          <w:szCs w:val="24"/>
          <w:lang w:val="pl" w:eastAsia="pl-PL" w:bidi="pl-PL"/>
        </w:rPr>
        <w:t>Parol p. Polsce</w:t>
      </w:r>
      <w:r w:rsidRPr="005538ED">
        <w:rPr>
          <w:rFonts w:eastAsia="Times New Roman" w:cs="Times New Roman"/>
          <w:sz w:val="24"/>
          <w:szCs w:val="24"/>
          <w:lang w:val="pl" w:eastAsia="pl-PL" w:bidi="pl-PL"/>
        </w:rPr>
        <w:t>.</w:t>
      </w:r>
    </w:p>
    <w:p w:rsidR="004A409A" w:rsidRPr="004A409A" w:rsidRDefault="004A409A" w:rsidP="004E1166">
      <w:pPr>
        <w:spacing w:after="120" w:line="240" w:lineRule="auto"/>
        <w:jc w:val="both"/>
        <w:rPr>
          <w:sz w:val="24"/>
          <w:szCs w:val="24"/>
        </w:rPr>
      </w:pPr>
    </w:p>
    <w:p w:rsidR="004A409A" w:rsidRPr="004A409A" w:rsidRDefault="004A409A" w:rsidP="004E1166">
      <w:pPr>
        <w:spacing w:after="120" w:line="240" w:lineRule="auto"/>
        <w:jc w:val="both"/>
        <w:rPr>
          <w:sz w:val="24"/>
          <w:szCs w:val="24"/>
          <w:u w:val="single"/>
        </w:rPr>
      </w:pPr>
      <w:r w:rsidRPr="004A409A">
        <w:rPr>
          <w:sz w:val="24"/>
          <w:szCs w:val="24"/>
          <w:u w:val="single"/>
        </w:rPr>
        <w:t>Odpowiedź rządu z dnia</w:t>
      </w:r>
      <w:r>
        <w:rPr>
          <w:sz w:val="24"/>
          <w:szCs w:val="24"/>
          <w:u w:val="single"/>
        </w:rPr>
        <w:t xml:space="preserve"> 23 grudnia 2020 r.</w:t>
      </w:r>
    </w:p>
    <w:p w:rsidR="004A409A" w:rsidRPr="00377446" w:rsidRDefault="004A409A" w:rsidP="004A409A">
      <w:pPr>
        <w:spacing w:after="120" w:line="240" w:lineRule="auto"/>
        <w:jc w:val="both"/>
        <w:rPr>
          <w:sz w:val="24"/>
          <w:szCs w:val="24"/>
        </w:rPr>
      </w:pPr>
      <w:r w:rsidRPr="00377446">
        <w:rPr>
          <w:sz w:val="24"/>
          <w:szCs w:val="24"/>
        </w:rPr>
        <w:t xml:space="preserve">W odpowiedzi na komunikację Helsińskiej Fundacji Praw Człowieka (dalej: HFPC) z dnia 2 września 2020 r. dotyczącą wykonania wyroków Europejskiego Trybunału Praw Człowieka w sprawach </w:t>
      </w:r>
      <w:r w:rsidRPr="00377446">
        <w:rPr>
          <w:i/>
          <w:sz w:val="24"/>
          <w:szCs w:val="24"/>
        </w:rPr>
        <w:t>Parol p. Polsce</w:t>
      </w:r>
      <w:r w:rsidRPr="00377446">
        <w:rPr>
          <w:sz w:val="24"/>
          <w:szCs w:val="24"/>
        </w:rPr>
        <w:t xml:space="preserve"> (skarga nr 65379 / 13) oraz </w:t>
      </w:r>
      <w:r w:rsidRPr="00377446">
        <w:rPr>
          <w:i/>
          <w:sz w:val="24"/>
          <w:szCs w:val="24"/>
        </w:rPr>
        <w:t>Adamkowski p. Polsce</w:t>
      </w:r>
      <w:r w:rsidRPr="00377446">
        <w:rPr>
          <w:sz w:val="24"/>
          <w:szCs w:val="24"/>
        </w:rPr>
        <w:t xml:space="preserve"> (skarga nr 57814/12), rząd RP pragnie zgłosić następujące uwagi.</w:t>
      </w:r>
    </w:p>
    <w:p w:rsidR="004A409A" w:rsidRPr="00377446" w:rsidRDefault="004A409A" w:rsidP="004A409A">
      <w:pPr>
        <w:spacing w:after="120" w:line="240" w:lineRule="auto"/>
        <w:jc w:val="both"/>
        <w:rPr>
          <w:sz w:val="24"/>
          <w:szCs w:val="24"/>
        </w:rPr>
      </w:pPr>
      <w:r w:rsidRPr="00377446">
        <w:rPr>
          <w:sz w:val="24"/>
          <w:szCs w:val="24"/>
        </w:rPr>
        <w:t>W odniesieniu do uwag HFPC, że nowelizacja art. 5 k.p.c. odsuwa perspektywę wykonania wyroków Trybunału w wyżej wymienionych sprawach, należy podkreślić, że taka sytuacja nie będzie miała miejsca w niniejszej sprawie.</w:t>
      </w:r>
    </w:p>
    <w:p w:rsidR="004A409A" w:rsidRPr="00377446" w:rsidRDefault="004A409A" w:rsidP="004A409A">
      <w:pPr>
        <w:spacing w:after="120" w:line="240" w:lineRule="auto"/>
        <w:jc w:val="both"/>
        <w:rPr>
          <w:sz w:val="24"/>
          <w:szCs w:val="24"/>
        </w:rPr>
      </w:pPr>
      <w:r w:rsidRPr="00377446">
        <w:rPr>
          <w:sz w:val="24"/>
          <w:szCs w:val="24"/>
        </w:rPr>
        <w:t>Należy podkreślić, że w toku wcześniej prowadzonych prac opracowano koncepcję pracy nad treścią modelów pouczeń. W tym celu podjęto szereg działań, m.in. spotkania z przedstawicielami Instytutu Wymiaru Sprawiedliwości. Ponadto prezesi wszystkich sądów krajowych zostali poproszeni o wskazanie (z uwzględnieniem opinii koordynatorów ds. współpracy międzynarodowej i praw człowieka), z którymi państwami sądy te (a także podległe im jednostki) współpracują najintensywniej. Zgromadzone informacje będą teraz wykorzystywane w toku prowadzonych prac.</w:t>
      </w:r>
    </w:p>
    <w:p w:rsidR="004A409A" w:rsidRPr="00377446" w:rsidRDefault="004A409A" w:rsidP="004A409A">
      <w:pPr>
        <w:spacing w:after="120" w:line="240" w:lineRule="auto"/>
        <w:jc w:val="both"/>
        <w:rPr>
          <w:sz w:val="24"/>
          <w:szCs w:val="24"/>
        </w:rPr>
      </w:pPr>
      <w:r w:rsidRPr="00377446">
        <w:rPr>
          <w:sz w:val="24"/>
          <w:szCs w:val="24"/>
        </w:rPr>
        <w:t>Należy również zwrócić uwagę, że w lipcu 2020 r., bezpośrednio po wejściu w życie ustawy z 19 czerwca 2020 r., podjęto działania mające na celu kontynuację prac nad opracowaniem wzorów pouczeń w sprawach cywilnych. W tym celu zwrócono się do Instytutu Wymiaru Sprawiedliwości o przeprowadzenie niezbędnych analiz mających na celu wyłonienie puli najczęściej wykorzystywanych pouczeń, aby wyeliminować te, które są tylko marginalnie wykorzystywane przez sądy i mają niewielkie znaczenie dla stron postępowania. Instytut Wymiaru Sprawiedliwości zapowiedział przedstawienie wyników do końca marca 2021 r.</w:t>
      </w:r>
    </w:p>
    <w:p w:rsidR="004A409A" w:rsidRPr="00377446" w:rsidRDefault="004A409A" w:rsidP="004A409A">
      <w:pPr>
        <w:spacing w:after="120" w:line="240" w:lineRule="auto"/>
        <w:jc w:val="both"/>
        <w:rPr>
          <w:sz w:val="24"/>
          <w:szCs w:val="24"/>
        </w:rPr>
      </w:pPr>
      <w:r w:rsidRPr="00377446">
        <w:rPr>
          <w:sz w:val="24"/>
          <w:szCs w:val="24"/>
        </w:rPr>
        <w:t>Mając na uwadze powyższe należy zaznaczyć, że Instytut Wymiaru Sprawiedliwości aktywnie uczestniczył w opisywanych pracach. Zatem spowolnienie tempa prac nad opracowaniem wzorów instrukcji nie wynika ze zmiany koncepcji prac, ale z czasochłonności badań i stanu pandemii, który ograniczył działalność wielu instytucji do niezbędnego minimum.</w:t>
      </w:r>
    </w:p>
    <w:p w:rsidR="004A409A" w:rsidRPr="00377446" w:rsidRDefault="004A409A" w:rsidP="004A409A">
      <w:pPr>
        <w:spacing w:after="120" w:line="240" w:lineRule="auto"/>
        <w:jc w:val="both"/>
        <w:rPr>
          <w:sz w:val="24"/>
          <w:szCs w:val="24"/>
        </w:rPr>
      </w:pPr>
      <w:r w:rsidRPr="00377446">
        <w:rPr>
          <w:sz w:val="24"/>
          <w:szCs w:val="24"/>
        </w:rPr>
        <w:t xml:space="preserve">Ponadto jest oczywiste, opracowanie formuły pouczeń w postaci odnośników na stronie internetowej Ministerstwa Sprawiedliwości znacząco przyspieszy ewentualne dokonywanie zmian w ich treści. Należy zauważyć, że każdorazowa zmiana rozporządzenia pociąga za sobą konieczność uruchomienia rozciągniętej w czasie ścieżki legislacyjnej. Natomiast nanoszenie poprawek w treści pouczeń zamieszczonych na stronie internetowej  w zasadzie będzie </w:t>
      </w:r>
      <w:r w:rsidRPr="00377446">
        <w:rPr>
          <w:sz w:val="24"/>
          <w:szCs w:val="24"/>
        </w:rPr>
        <w:lastRenderedPageBreak/>
        <w:t xml:space="preserve">ograniczało się do wykonania czynności technicznej, pozwalającej na sprawną i adekwatną reakcję w sytuacji zmiany przepisów prawnych, mających wpływ na kształt pouczeń. </w:t>
      </w:r>
    </w:p>
    <w:p w:rsidR="004A409A" w:rsidRPr="00377446" w:rsidRDefault="004A409A" w:rsidP="004A409A">
      <w:pPr>
        <w:spacing w:after="120" w:line="240" w:lineRule="auto"/>
        <w:jc w:val="both"/>
        <w:rPr>
          <w:sz w:val="24"/>
          <w:szCs w:val="24"/>
        </w:rPr>
      </w:pPr>
      <w:r w:rsidRPr="00377446">
        <w:rPr>
          <w:sz w:val="24"/>
          <w:szCs w:val="24"/>
        </w:rPr>
        <w:t>Jeśli chodzi o wątpliwości HFPC, że pouczenia widniejące wyłącznie online mogą być niedostępne dla stron, które nie mają dostępu do internetu lub nie mogą z niego efektywnie korzystać, należy wskazać, że koncepcja prac prowadzonych w Ministerstwie Sprawiedliwości zakłada, że pouczenia zamieszczone na stronie internetowej Ministerstwa Sprawiedliwości zostaną wydrukowane przez sądy i rozesłane do stron w danych sprawach. Tym samym strona postępowania nie będzie zobowiązana do samodzielnego uzyskania treści pouczenia ani do poszukiwania go w Internecie.</w:t>
      </w:r>
    </w:p>
    <w:p w:rsidR="004A409A" w:rsidRPr="00377446" w:rsidRDefault="004A409A" w:rsidP="004A409A">
      <w:pPr>
        <w:spacing w:after="120" w:line="240" w:lineRule="auto"/>
        <w:jc w:val="both"/>
        <w:rPr>
          <w:sz w:val="24"/>
          <w:szCs w:val="24"/>
        </w:rPr>
      </w:pPr>
      <w:r w:rsidRPr="00377446">
        <w:rPr>
          <w:sz w:val="24"/>
          <w:szCs w:val="24"/>
        </w:rPr>
        <w:t>Niemniej jednak należy podkreślić, że sędziowie i komornicy sądowi mają do dyspozycji aktualną treść pouczeń, dostosowaną do sytuacji procesowej stron postępowania sądowego i egzekucyjnego. W związku z tym nie ma to negatywnego wpływu na prawa procesowe stron i uczestników postępowania cywilnego.</w:t>
      </w:r>
    </w:p>
    <w:p w:rsidR="004A409A" w:rsidRPr="00377446" w:rsidRDefault="004A409A" w:rsidP="004A409A">
      <w:pPr>
        <w:spacing w:after="120" w:line="240" w:lineRule="auto"/>
        <w:jc w:val="both"/>
        <w:rPr>
          <w:sz w:val="24"/>
          <w:szCs w:val="24"/>
        </w:rPr>
      </w:pPr>
      <w:r w:rsidRPr="00377446">
        <w:rPr>
          <w:sz w:val="24"/>
          <w:szCs w:val="24"/>
        </w:rPr>
        <w:t>Prace mają na celu ujednolicenie treści tych pouczeń i ich opracowanie pod względem językowym, tak aby były bardziej zrozumiałe dla obywateli. Planowane działania obejmują również niezbędne tłumaczenie instrukcji na wybrane języki obce, aby sądy nie musiały ich tłumaczyć w każdej indywidualnej sprawie, co niewątpliwie generuje dodatkowe koszty.</w:t>
      </w:r>
    </w:p>
    <w:p w:rsidR="004A409A" w:rsidRPr="00377446" w:rsidRDefault="004A409A" w:rsidP="004A409A">
      <w:pPr>
        <w:spacing w:after="120" w:line="240" w:lineRule="auto"/>
        <w:jc w:val="both"/>
        <w:rPr>
          <w:sz w:val="24"/>
          <w:szCs w:val="24"/>
        </w:rPr>
      </w:pPr>
      <w:r w:rsidRPr="00377446">
        <w:rPr>
          <w:sz w:val="24"/>
          <w:szCs w:val="24"/>
        </w:rPr>
        <w:t>Podsumowując, należy zaznaczyć, że w najbliższym czasie nie planuje się prowadzenia prac nad opracowaniem wzorów pouczeń w ramach ustawy.</w:t>
      </w:r>
    </w:p>
    <w:p w:rsidR="004A409A" w:rsidRDefault="004A409A" w:rsidP="004E1166">
      <w:pPr>
        <w:spacing w:after="120" w:line="240" w:lineRule="auto"/>
        <w:jc w:val="both"/>
        <w:rPr>
          <w:sz w:val="24"/>
          <w:szCs w:val="24"/>
        </w:rPr>
      </w:pPr>
      <w:r>
        <w:rPr>
          <w:sz w:val="24"/>
          <w:szCs w:val="24"/>
        </w:rPr>
        <w:t xml:space="preserve"> </w:t>
      </w:r>
    </w:p>
    <w:p w:rsidR="006165C6" w:rsidRPr="00B708A0" w:rsidRDefault="006165C6" w:rsidP="006165C6">
      <w:pPr>
        <w:pStyle w:val="Nagwek1"/>
        <w:jc w:val="both"/>
        <w:rPr>
          <w:rFonts w:asciiTheme="minorHAnsi" w:hAnsiTheme="minorHAnsi"/>
          <w:sz w:val="28"/>
          <w:szCs w:val="28"/>
        </w:rPr>
      </w:pPr>
      <w:bookmarkStart w:id="108" w:name="_Toc69124158"/>
      <w:r w:rsidRPr="00B708A0">
        <w:rPr>
          <w:rFonts w:asciiTheme="minorHAnsi" w:hAnsiTheme="minorHAnsi"/>
          <w:sz w:val="28"/>
          <w:szCs w:val="28"/>
        </w:rPr>
        <w:t xml:space="preserve">Komunikacja </w:t>
      </w:r>
      <w:r>
        <w:rPr>
          <w:rFonts w:asciiTheme="minorHAnsi" w:hAnsiTheme="minorHAnsi"/>
          <w:sz w:val="28"/>
          <w:szCs w:val="28"/>
        </w:rPr>
        <w:t>Open Society Justice Initiative</w:t>
      </w:r>
      <w:r w:rsidRPr="00B708A0">
        <w:rPr>
          <w:rFonts w:asciiTheme="minorHAnsi" w:hAnsiTheme="minorHAnsi"/>
          <w:sz w:val="28"/>
          <w:szCs w:val="28"/>
        </w:rPr>
        <w:t xml:space="preserve"> w sprawie wykonania wyrok</w:t>
      </w:r>
      <w:r>
        <w:rPr>
          <w:rFonts w:asciiTheme="minorHAnsi" w:hAnsiTheme="minorHAnsi"/>
          <w:sz w:val="28"/>
          <w:szCs w:val="28"/>
        </w:rPr>
        <w:t>u</w:t>
      </w:r>
      <w:r w:rsidRPr="00B708A0">
        <w:rPr>
          <w:rFonts w:asciiTheme="minorHAnsi" w:hAnsiTheme="minorHAnsi"/>
          <w:sz w:val="28"/>
          <w:szCs w:val="28"/>
        </w:rPr>
        <w:t xml:space="preserve"> Europejskiego Trybunału Praw Człowieka </w:t>
      </w:r>
      <w:r w:rsidRPr="0015304C">
        <w:rPr>
          <w:rFonts w:asciiTheme="minorHAnsi" w:hAnsiTheme="minorHAnsi"/>
          <w:i/>
          <w:sz w:val="28"/>
          <w:szCs w:val="28"/>
        </w:rPr>
        <w:t>Al Nashiri p. Polsce</w:t>
      </w:r>
      <w:r>
        <w:rPr>
          <w:rFonts w:asciiTheme="minorHAnsi" w:hAnsiTheme="minorHAnsi"/>
          <w:i/>
          <w:sz w:val="28"/>
          <w:szCs w:val="28"/>
        </w:rPr>
        <w:t xml:space="preserve"> </w:t>
      </w:r>
      <w:r w:rsidRPr="00B708A0">
        <w:rPr>
          <w:rFonts w:asciiTheme="minorHAnsi" w:hAnsiTheme="minorHAnsi"/>
          <w:sz w:val="28"/>
          <w:szCs w:val="28"/>
        </w:rPr>
        <w:t>z dnia</w:t>
      </w:r>
      <w:r w:rsidR="0015304C">
        <w:rPr>
          <w:rFonts w:asciiTheme="minorHAnsi" w:hAnsiTheme="minorHAnsi"/>
          <w:sz w:val="28"/>
          <w:szCs w:val="28"/>
        </w:rPr>
        <w:t xml:space="preserve"> 23 października </w:t>
      </w:r>
      <w:r w:rsidRPr="00B708A0">
        <w:rPr>
          <w:rFonts w:asciiTheme="minorHAnsi" w:hAnsiTheme="minorHAnsi"/>
          <w:sz w:val="28"/>
          <w:szCs w:val="28"/>
        </w:rPr>
        <w:t>2020 r.</w:t>
      </w:r>
      <w:bookmarkEnd w:id="108"/>
      <w:r w:rsidRPr="00B708A0">
        <w:rPr>
          <w:rFonts w:asciiTheme="minorHAnsi" w:hAnsiTheme="minorHAnsi"/>
          <w:sz w:val="28"/>
          <w:szCs w:val="28"/>
        </w:rPr>
        <w:t xml:space="preserve">   </w:t>
      </w:r>
    </w:p>
    <w:p w:rsidR="006165C6" w:rsidRDefault="006165C6" w:rsidP="004E1166">
      <w:pPr>
        <w:spacing w:after="120" w:line="240" w:lineRule="auto"/>
        <w:jc w:val="both"/>
        <w:rPr>
          <w:sz w:val="24"/>
          <w:szCs w:val="24"/>
        </w:rPr>
      </w:pPr>
    </w:p>
    <w:p w:rsidR="006165C6" w:rsidRDefault="006165C6" w:rsidP="00833628">
      <w:pPr>
        <w:spacing w:before="120" w:after="0" w:line="240" w:lineRule="auto"/>
        <w:jc w:val="both"/>
        <w:rPr>
          <w:sz w:val="24"/>
          <w:szCs w:val="24"/>
          <w:u w:val="single"/>
        </w:rPr>
      </w:pPr>
      <w:r w:rsidRPr="0015304C">
        <w:rPr>
          <w:sz w:val="24"/>
          <w:szCs w:val="24"/>
          <w:u w:val="single"/>
        </w:rPr>
        <w:t>Treść komunikacji</w:t>
      </w:r>
    </w:p>
    <w:p w:rsidR="0015304C" w:rsidRPr="0015304C" w:rsidRDefault="0015304C" w:rsidP="00833628">
      <w:pPr>
        <w:spacing w:before="120" w:after="0" w:line="240" w:lineRule="auto"/>
        <w:jc w:val="both"/>
        <w:rPr>
          <w:b/>
          <w:sz w:val="24"/>
          <w:szCs w:val="24"/>
        </w:rPr>
      </w:pPr>
      <w:r w:rsidRPr="0015304C">
        <w:rPr>
          <w:b/>
          <w:sz w:val="24"/>
          <w:szCs w:val="24"/>
        </w:rPr>
        <w:t>Streszczenie i zalecenia</w:t>
      </w:r>
    </w:p>
    <w:p w:rsidR="0015304C" w:rsidRPr="0015304C" w:rsidRDefault="0015304C" w:rsidP="00833628">
      <w:pPr>
        <w:spacing w:before="120" w:after="0" w:line="240" w:lineRule="auto"/>
        <w:jc w:val="both"/>
        <w:rPr>
          <w:sz w:val="24"/>
          <w:szCs w:val="24"/>
        </w:rPr>
      </w:pPr>
      <w:r w:rsidRPr="0015304C">
        <w:rPr>
          <w:sz w:val="24"/>
          <w:szCs w:val="24"/>
        </w:rPr>
        <w:t xml:space="preserve">Niniejsze stanowisko zawiera opis utrzymującego się niewykonania przez rząd polski wyroku w sprawie </w:t>
      </w:r>
      <w:r w:rsidRPr="006F039D">
        <w:rPr>
          <w:i/>
          <w:sz w:val="24"/>
          <w:szCs w:val="24"/>
        </w:rPr>
        <w:t>Al Nashiri p. Polsce</w:t>
      </w:r>
      <w:r w:rsidRPr="0015304C">
        <w:rPr>
          <w:sz w:val="24"/>
          <w:szCs w:val="24"/>
        </w:rPr>
        <w:t xml:space="preserve"> wydanego przez Europejski Trybunał Praw Człowieka („Trybunał”) 24 lipca 2014 r. oraz odpowiedź na stanowisko rządu z 15 października 2020 r. przedstawione Departamentowi Wykonywania Wyroków ETPCz.</w:t>
      </w:r>
      <w:r w:rsidR="006F039D">
        <w:rPr>
          <w:rStyle w:val="Odwoanieprzypisudolnego"/>
          <w:sz w:val="24"/>
          <w:szCs w:val="24"/>
        </w:rPr>
        <w:footnoteReference w:id="328"/>
      </w:r>
      <w:r w:rsidRPr="0015304C">
        <w:rPr>
          <w:sz w:val="24"/>
          <w:szCs w:val="24"/>
        </w:rPr>
        <w:t xml:space="preserve"> Jak wyjaśniono w dalszej części niniejszego dokumentu oraz w stanowisku Justice Initiative z lutego 2020 r. (dołączonego do niniejszego stanowiska), polskie władze nie poczyniły żadnego postępu od czasu, kiedy Komitet Ministrów ostatnio zbadał tę sprawę. W związku z tym w dalszym ciągu wzywamy Komitet do wydania rezolucji tymczasowej, a także do jak najszybszego przeprowadzenia debaty nad tym wyrokiem. Rezolucja taka powinna upomnieć rząd polski za niezastosowanie się do nakazu Trybunału oraz powinna zalecić władzom polskim:</w:t>
      </w:r>
    </w:p>
    <w:p w:rsidR="0015304C" w:rsidRPr="0015304C" w:rsidRDefault="00833628" w:rsidP="00833628">
      <w:pPr>
        <w:spacing w:before="120" w:after="0" w:line="240" w:lineRule="auto"/>
        <w:jc w:val="both"/>
        <w:rPr>
          <w:sz w:val="24"/>
          <w:szCs w:val="24"/>
        </w:rPr>
      </w:pPr>
      <w:r>
        <w:rPr>
          <w:sz w:val="24"/>
          <w:szCs w:val="24"/>
        </w:rPr>
        <w:lastRenderedPageBreak/>
        <w:t xml:space="preserve">(I) </w:t>
      </w:r>
      <w:r w:rsidR="0015304C" w:rsidRPr="0015304C">
        <w:rPr>
          <w:sz w:val="24"/>
          <w:szCs w:val="24"/>
        </w:rPr>
        <w:t>Przeprowadzenie skutecznego i transparentnego śledztwa w sprawie roli Polski w programie wydawania w trybie nadzwyczajnym i tajnego przetrzymywania więźniów CIA oraz naruszenia praw pana Al Nashiriego. Obejmuje to m.in.:</w:t>
      </w:r>
    </w:p>
    <w:p w:rsidR="0015304C" w:rsidRPr="00833628" w:rsidRDefault="0015304C" w:rsidP="00987EB2">
      <w:pPr>
        <w:pStyle w:val="Akapitzlist"/>
        <w:numPr>
          <w:ilvl w:val="0"/>
          <w:numId w:val="64"/>
        </w:numPr>
        <w:spacing w:before="120" w:after="0" w:line="240" w:lineRule="auto"/>
        <w:contextualSpacing w:val="0"/>
        <w:jc w:val="both"/>
        <w:rPr>
          <w:sz w:val="24"/>
          <w:szCs w:val="24"/>
        </w:rPr>
      </w:pPr>
      <w:r w:rsidRPr="00833628">
        <w:rPr>
          <w:sz w:val="24"/>
          <w:szCs w:val="24"/>
        </w:rPr>
        <w:t>określenie jednoznacznych i konkretnych ram czasowych oraz terminu zakończenia śledztwa;</w:t>
      </w:r>
    </w:p>
    <w:p w:rsidR="0015304C" w:rsidRPr="00833628" w:rsidRDefault="0015304C" w:rsidP="00987EB2">
      <w:pPr>
        <w:pStyle w:val="Akapitzlist"/>
        <w:numPr>
          <w:ilvl w:val="0"/>
          <w:numId w:val="64"/>
        </w:numPr>
        <w:spacing w:before="120" w:after="0" w:line="240" w:lineRule="auto"/>
        <w:contextualSpacing w:val="0"/>
        <w:jc w:val="both"/>
        <w:rPr>
          <w:sz w:val="24"/>
          <w:szCs w:val="24"/>
        </w:rPr>
      </w:pPr>
      <w:r w:rsidRPr="00833628">
        <w:rPr>
          <w:sz w:val="24"/>
          <w:szCs w:val="24"/>
        </w:rPr>
        <w:t>podanie do wiadomości publicznej w określonych ramach czasowych informacji o jawnych materiałach śledztwa;</w:t>
      </w:r>
    </w:p>
    <w:p w:rsidR="0015304C" w:rsidRPr="00833628" w:rsidRDefault="0015304C" w:rsidP="00987EB2">
      <w:pPr>
        <w:pStyle w:val="Akapitzlist"/>
        <w:numPr>
          <w:ilvl w:val="0"/>
          <w:numId w:val="64"/>
        </w:numPr>
        <w:spacing w:before="120" w:after="0" w:line="240" w:lineRule="auto"/>
        <w:contextualSpacing w:val="0"/>
        <w:jc w:val="both"/>
        <w:rPr>
          <w:sz w:val="24"/>
          <w:szCs w:val="24"/>
        </w:rPr>
      </w:pPr>
      <w:r w:rsidRPr="00833628">
        <w:rPr>
          <w:sz w:val="24"/>
          <w:szCs w:val="24"/>
        </w:rPr>
        <w:t>odtajnienie materiałów śledztwa w możliwie najszerszym zakresie, w szczególności w odniesieniu do wszelkich decyzji procesowych podejmowanych przez prokuratora;</w:t>
      </w:r>
    </w:p>
    <w:p w:rsidR="0015304C" w:rsidRPr="00833628" w:rsidRDefault="0015304C" w:rsidP="00987EB2">
      <w:pPr>
        <w:pStyle w:val="Akapitzlist"/>
        <w:numPr>
          <w:ilvl w:val="0"/>
          <w:numId w:val="64"/>
        </w:numPr>
        <w:spacing w:before="120" w:after="0" w:line="240" w:lineRule="auto"/>
        <w:contextualSpacing w:val="0"/>
        <w:jc w:val="both"/>
        <w:rPr>
          <w:sz w:val="24"/>
          <w:szCs w:val="24"/>
        </w:rPr>
      </w:pPr>
      <w:r w:rsidRPr="00833628">
        <w:rPr>
          <w:sz w:val="24"/>
          <w:szCs w:val="24"/>
        </w:rPr>
        <w:t>wzmożenie działań w ramach śledztwa krajowego, poprzez skierowanie dodatkowych zasobów do prokuratury prowadzącej te sprawy;</w:t>
      </w:r>
    </w:p>
    <w:p w:rsidR="0015304C" w:rsidRPr="00833628" w:rsidRDefault="0015304C" w:rsidP="00987EB2">
      <w:pPr>
        <w:pStyle w:val="Akapitzlist"/>
        <w:numPr>
          <w:ilvl w:val="0"/>
          <w:numId w:val="64"/>
        </w:numPr>
        <w:spacing w:before="120" w:after="0" w:line="240" w:lineRule="auto"/>
        <w:contextualSpacing w:val="0"/>
        <w:jc w:val="both"/>
        <w:rPr>
          <w:sz w:val="24"/>
          <w:szCs w:val="24"/>
        </w:rPr>
      </w:pPr>
      <w:r w:rsidRPr="00833628">
        <w:rPr>
          <w:sz w:val="24"/>
          <w:szCs w:val="24"/>
        </w:rPr>
        <w:t>regularne informowanie pełnomocnika pana Al Nashiriego o stanie śledztwa.</w:t>
      </w:r>
    </w:p>
    <w:p w:rsidR="0015304C" w:rsidRPr="0015304C" w:rsidRDefault="0015304C" w:rsidP="00833628">
      <w:pPr>
        <w:spacing w:before="120" w:after="0" w:line="240" w:lineRule="auto"/>
        <w:jc w:val="both"/>
        <w:rPr>
          <w:sz w:val="24"/>
          <w:szCs w:val="24"/>
        </w:rPr>
      </w:pPr>
      <w:r w:rsidRPr="0015304C">
        <w:rPr>
          <w:sz w:val="24"/>
          <w:szCs w:val="24"/>
        </w:rPr>
        <w:t>(II)</w:t>
      </w:r>
      <w:r w:rsidR="00833628">
        <w:rPr>
          <w:sz w:val="24"/>
          <w:szCs w:val="24"/>
        </w:rPr>
        <w:t xml:space="preserve"> </w:t>
      </w:r>
      <w:r w:rsidRPr="0015304C">
        <w:rPr>
          <w:sz w:val="24"/>
          <w:szCs w:val="24"/>
        </w:rPr>
        <w:t>Oficjalne uznanie, na najwyższym szczeblu rządowym, że w 2002 i 2003 r. Polska udostępniła swoje terytorium na tajne więzienie CIA.</w:t>
      </w:r>
    </w:p>
    <w:p w:rsidR="0015304C" w:rsidRPr="0015304C" w:rsidRDefault="00833628" w:rsidP="00833628">
      <w:pPr>
        <w:spacing w:before="120" w:after="0" w:line="240" w:lineRule="auto"/>
        <w:jc w:val="both"/>
        <w:rPr>
          <w:sz w:val="24"/>
          <w:szCs w:val="24"/>
        </w:rPr>
      </w:pPr>
      <w:r>
        <w:rPr>
          <w:sz w:val="24"/>
          <w:szCs w:val="24"/>
        </w:rPr>
        <w:t xml:space="preserve">(III) </w:t>
      </w:r>
      <w:r w:rsidR="0015304C" w:rsidRPr="0015304C">
        <w:rPr>
          <w:sz w:val="24"/>
          <w:szCs w:val="24"/>
        </w:rPr>
        <w:t>Kontynuowanie i wznowienie działań prowadzących do uzyskania gwarancji dyplomatycznych na najwyższych szczeblach w celu zapewnienia, że pan Al Nashiri nie będzie już poddawany traktowaniu sprzecznemu z Konwencją, które to działania obejmują między innymi:</w:t>
      </w:r>
    </w:p>
    <w:p w:rsidR="0015304C" w:rsidRPr="0015304C" w:rsidRDefault="0015304C" w:rsidP="00987EB2">
      <w:pPr>
        <w:pStyle w:val="Akapitzlist"/>
        <w:numPr>
          <w:ilvl w:val="0"/>
          <w:numId w:val="64"/>
        </w:numPr>
        <w:spacing w:before="120" w:after="0" w:line="240" w:lineRule="auto"/>
        <w:contextualSpacing w:val="0"/>
        <w:jc w:val="both"/>
        <w:rPr>
          <w:sz w:val="24"/>
          <w:szCs w:val="24"/>
        </w:rPr>
      </w:pPr>
      <w:r w:rsidRPr="0015304C">
        <w:rPr>
          <w:sz w:val="24"/>
          <w:szCs w:val="24"/>
        </w:rPr>
        <w:t>uzyskanie gwarancji dyplomatycznych, że pan Al Nashiri nie będzie podlegał karze śmierci oraz że nie będzie nadal w sposób rażący pozbawiony ochrony prawnej;</w:t>
      </w:r>
    </w:p>
    <w:p w:rsidR="0015304C" w:rsidRPr="0015304C" w:rsidRDefault="0015304C" w:rsidP="00987EB2">
      <w:pPr>
        <w:pStyle w:val="Akapitzlist"/>
        <w:numPr>
          <w:ilvl w:val="0"/>
          <w:numId w:val="64"/>
        </w:numPr>
        <w:spacing w:before="120" w:after="0" w:line="240" w:lineRule="auto"/>
        <w:contextualSpacing w:val="0"/>
        <w:jc w:val="both"/>
        <w:rPr>
          <w:sz w:val="24"/>
          <w:szCs w:val="24"/>
        </w:rPr>
      </w:pPr>
      <w:r w:rsidRPr="0015304C">
        <w:rPr>
          <w:sz w:val="24"/>
          <w:szCs w:val="24"/>
        </w:rPr>
        <w:t>ujawnienie – co najmniej pełnomocnikom pana Al Nashiriego – korespondencji między władzami polskimi i amerykańskimi w sprawie gwarancji dotyczących kary śmierci i rażącej odmowy ochrony prawnej.</w:t>
      </w:r>
    </w:p>
    <w:p w:rsidR="0015304C" w:rsidRPr="0015304C" w:rsidRDefault="00833628" w:rsidP="00833628">
      <w:pPr>
        <w:spacing w:before="120" w:after="0" w:line="240" w:lineRule="auto"/>
        <w:jc w:val="both"/>
        <w:rPr>
          <w:sz w:val="24"/>
          <w:szCs w:val="24"/>
        </w:rPr>
      </w:pPr>
      <w:r>
        <w:rPr>
          <w:sz w:val="24"/>
          <w:szCs w:val="24"/>
        </w:rPr>
        <w:t xml:space="preserve">(IV) </w:t>
      </w:r>
      <w:r w:rsidR="0015304C" w:rsidRPr="0015304C">
        <w:rPr>
          <w:sz w:val="24"/>
          <w:szCs w:val="24"/>
        </w:rPr>
        <w:t>Wzmocnienie nadzoru nad źródłami wywiadowczymi, co obejmuje między innymi:</w:t>
      </w:r>
    </w:p>
    <w:p w:rsidR="0015304C" w:rsidRPr="00833628" w:rsidRDefault="0015304C" w:rsidP="00987EB2">
      <w:pPr>
        <w:pStyle w:val="Akapitzlist"/>
        <w:numPr>
          <w:ilvl w:val="0"/>
          <w:numId w:val="65"/>
        </w:numPr>
        <w:spacing w:before="120" w:after="0" w:line="240" w:lineRule="auto"/>
        <w:contextualSpacing w:val="0"/>
        <w:jc w:val="both"/>
        <w:rPr>
          <w:sz w:val="24"/>
          <w:szCs w:val="24"/>
        </w:rPr>
      </w:pPr>
      <w:r w:rsidRPr="00833628">
        <w:rPr>
          <w:sz w:val="24"/>
          <w:szCs w:val="24"/>
        </w:rPr>
        <w:t>poinformowanie Komitetu Ministrów o działaniach podejmowanych w tym zakresie, w tym przekazanie informacji na temat planowanych propozycji legislacyjnych;</w:t>
      </w:r>
    </w:p>
    <w:p w:rsidR="0015304C" w:rsidRPr="00833628" w:rsidRDefault="0015304C" w:rsidP="00987EB2">
      <w:pPr>
        <w:pStyle w:val="Akapitzlist"/>
        <w:numPr>
          <w:ilvl w:val="0"/>
          <w:numId w:val="65"/>
        </w:numPr>
        <w:spacing w:before="120" w:after="0" w:line="240" w:lineRule="auto"/>
        <w:contextualSpacing w:val="0"/>
        <w:jc w:val="both"/>
        <w:rPr>
          <w:sz w:val="24"/>
          <w:szCs w:val="24"/>
        </w:rPr>
      </w:pPr>
      <w:r w:rsidRPr="00833628">
        <w:rPr>
          <w:sz w:val="24"/>
          <w:szCs w:val="24"/>
        </w:rPr>
        <w:t>wyjaśnienie jaki konkretnie wpływ na wzmocnienie nadzoru nad służbami wywiadowczymi ma mieć nowo utworzona Rada ds. Bezpieczeństwa Narodowego i Obrony Komitetu Ministrów, i w jakim terminie. Rząd w swoim kolejnym stanowisku przedstawionym Departamentowi Wykonywania Wyroków powinien poinformować o konkretnych zaleceniach dotyczących służb wywiadowczych i zmianach przez nie wprowadzonych w związku z ustanowieniem nowej Rady;</w:t>
      </w:r>
    </w:p>
    <w:p w:rsidR="0015304C" w:rsidRPr="0015304C" w:rsidRDefault="0015304C" w:rsidP="00987EB2">
      <w:pPr>
        <w:pStyle w:val="Akapitzlist"/>
        <w:numPr>
          <w:ilvl w:val="0"/>
          <w:numId w:val="65"/>
        </w:numPr>
        <w:spacing w:before="120" w:after="0" w:line="240" w:lineRule="auto"/>
        <w:contextualSpacing w:val="0"/>
        <w:jc w:val="both"/>
        <w:rPr>
          <w:sz w:val="24"/>
          <w:szCs w:val="24"/>
        </w:rPr>
      </w:pPr>
      <w:r w:rsidRPr="0015304C">
        <w:rPr>
          <w:sz w:val="24"/>
          <w:szCs w:val="24"/>
        </w:rPr>
        <w:t>wysłanie przez najwyższe władze państwowe wyraźnego komunikatu służbom wywiadowczym i służbom bezpieczeństwa na temat niedopuszczalności i braku tolerancji dla arbitralnych zatrzymań, tortur i tajnych operacji wydawania podejrzanych.</w:t>
      </w:r>
    </w:p>
    <w:p w:rsidR="0015304C" w:rsidRPr="00833628" w:rsidRDefault="0015304C" w:rsidP="00833628">
      <w:pPr>
        <w:spacing w:before="120" w:after="0" w:line="240" w:lineRule="auto"/>
        <w:jc w:val="both"/>
        <w:rPr>
          <w:b/>
          <w:sz w:val="24"/>
          <w:szCs w:val="24"/>
        </w:rPr>
      </w:pPr>
      <w:r w:rsidRPr="00833628">
        <w:rPr>
          <w:b/>
          <w:sz w:val="24"/>
          <w:szCs w:val="24"/>
        </w:rPr>
        <w:t>Status postępowania przeciwko panu Al Nashiriemu przed komisją wojskową</w:t>
      </w:r>
    </w:p>
    <w:p w:rsidR="0015304C" w:rsidRPr="0015304C" w:rsidRDefault="0015304C" w:rsidP="00833628">
      <w:pPr>
        <w:spacing w:before="120" w:after="0" w:line="240" w:lineRule="auto"/>
        <w:jc w:val="both"/>
        <w:rPr>
          <w:sz w:val="24"/>
          <w:szCs w:val="24"/>
        </w:rPr>
      </w:pPr>
      <w:r w:rsidRPr="0015304C">
        <w:rPr>
          <w:sz w:val="24"/>
          <w:szCs w:val="24"/>
        </w:rPr>
        <w:t xml:space="preserve">Po pojmaniu przez siły amerykańskie w 2002 r. pan Al Nashiri pozostaje uwięziony w Guantanamo, daleko od rodziny, cierpiąc na ostry zespół stresu pourazowego spowodowany torturami i złym traktowaniem oraz spotęgowany niekończącym się cyklem pism, wniosków, </w:t>
      </w:r>
      <w:r w:rsidRPr="0015304C">
        <w:rPr>
          <w:sz w:val="24"/>
          <w:szCs w:val="24"/>
        </w:rPr>
        <w:lastRenderedPageBreak/>
        <w:t>przesłuchań i nakazów, które wydają się prowadzić donikąd. Justice Initiative odnotowuje następujące wydarzenia od czasu poprzednio przedstawionego stanowiska:</w:t>
      </w:r>
    </w:p>
    <w:p w:rsidR="0015304C" w:rsidRPr="00833628" w:rsidRDefault="0015304C" w:rsidP="00987EB2">
      <w:pPr>
        <w:pStyle w:val="Akapitzlist"/>
        <w:numPr>
          <w:ilvl w:val="0"/>
          <w:numId w:val="66"/>
        </w:numPr>
        <w:spacing w:before="120" w:after="0" w:line="240" w:lineRule="auto"/>
        <w:contextualSpacing w:val="0"/>
        <w:jc w:val="both"/>
        <w:rPr>
          <w:sz w:val="24"/>
          <w:szCs w:val="24"/>
        </w:rPr>
      </w:pPr>
      <w:r w:rsidRPr="00833628">
        <w:rPr>
          <w:sz w:val="24"/>
          <w:szCs w:val="24"/>
        </w:rPr>
        <w:t>Jak zauważono wcześniej, orzeczenie Sądu Apelacyjnego dla Okręgu Dystryktu Kolumbii z kwietnia 2019 r. utorowało drogę wznowieniu sprawy pana Al Nashiriego. Wyznaczono nowego sędziego wojskowego, pułkownika Lanny'ego Acostę, a do reprezentowania pana Al Nashiriego wyznaczono nowego, profesjonalnego obrońcę. Należy jednak zwrócić uwagę, że przesłuchanie, które zaplanowano na 6-10 kwietnia 2020 r., nie odbyło się. Wiele z setek wniosków i postanowień uchylonych przez Sąd Apelacyjny dla Okręgu Dystryktu Kolumbii będzie musiało zostać ponownie rozpatrzonych. Nie ustalono żadnego terminu rozprawy ani też nie oczekuje się takiego terminu w najbliższej przyszłości.</w:t>
      </w:r>
    </w:p>
    <w:p w:rsidR="0015304C" w:rsidRPr="00833628" w:rsidRDefault="0015304C" w:rsidP="00987EB2">
      <w:pPr>
        <w:pStyle w:val="Akapitzlist"/>
        <w:numPr>
          <w:ilvl w:val="0"/>
          <w:numId w:val="66"/>
        </w:numPr>
        <w:spacing w:before="120" w:after="0" w:line="240" w:lineRule="auto"/>
        <w:contextualSpacing w:val="0"/>
        <w:jc w:val="both"/>
        <w:rPr>
          <w:sz w:val="24"/>
          <w:szCs w:val="24"/>
        </w:rPr>
      </w:pPr>
      <w:r w:rsidRPr="00833628">
        <w:rPr>
          <w:sz w:val="24"/>
          <w:szCs w:val="24"/>
        </w:rPr>
        <w:t>Do tej pory w USA nie zaplanowano rozpraw w tym ani w przyszłym roku, a od lutego 2020 r. nikt nie był w stanie odwiedzić pana Al Nashiriego. W więzieniu w Zatoce Guantanamo pan Al Nashiri nie ma dostępu do poufnych rozmów telefonicznych, w związku z czym on i jego pełnomocnik mogą porozumiewać się wyłącznie listownie.</w:t>
      </w:r>
    </w:p>
    <w:p w:rsidR="0015304C" w:rsidRPr="0015304C" w:rsidRDefault="0015304C" w:rsidP="00833628">
      <w:pPr>
        <w:spacing w:before="120" w:after="0" w:line="240" w:lineRule="auto"/>
        <w:jc w:val="both"/>
        <w:rPr>
          <w:sz w:val="24"/>
          <w:szCs w:val="24"/>
        </w:rPr>
      </w:pPr>
      <w:r w:rsidRPr="0015304C">
        <w:rPr>
          <w:sz w:val="24"/>
          <w:szCs w:val="24"/>
        </w:rPr>
        <w:t>W odniesieniu do komunikacji rządu polskiego z 15 października (s. 3) Justice Initiative pragnie skorygować kilka nieścisłości dotyczących statusu postępowania przeciwko panu Al Nashiriemu, w szczególności:</w:t>
      </w:r>
    </w:p>
    <w:p w:rsidR="0015304C" w:rsidRPr="00833628" w:rsidRDefault="0015304C" w:rsidP="00987EB2">
      <w:pPr>
        <w:pStyle w:val="Akapitzlist"/>
        <w:numPr>
          <w:ilvl w:val="0"/>
          <w:numId w:val="67"/>
        </w:numPr>
        <w:spacing w:before="120" w:after="0" w:line="240" w:lineRule="auto"/>
        <w:contextualSpacing w:val="0"/>
        <w:jc w:val="both"/>
        <w:rPr>
          <w:sz w:val="24"/>
          <w:szCs w:val="24"/>
        </w:rPr>
      </w:pPr>
      <w:r w:rsidRPr="00833628">
        <w:rPr>
          <w:sz w:val="24"/>
          <w:szCs w:val="24"/>
        </w:rPr>
        <w:t>Pan Al Nashiri kontaktował się ze swoimi pełnomocnikami od stycznia 2020 r., ale jak wspomniano powyżej, był to kontakt listowny. Nie udało się go odwiedzić żadnemu adwokatowi i nie miał on możliwości korzystania z rozmów telefonicznych ani połączeń wideo.</w:t>
      </w:r>
    </w:p>
    <w:p w:rsidR="0015304C" w:rsidRPr="00833628" w:rsidRDefault="0015304C" w:rsidP="00987EB2">
      <w:pPr>
        <w:pStyle w:val="Akapitzlist"/>
        <w:numPr>
          <w:ilvl w:val="0"/>
          <w:numId w:val="67"/>
        </w:numPr>
        <w:spacing w:before="120" w:after="0" w:line="240" w:lineRule="auto"/>
        <w:contextualSpacing w:val="0"/>
        <w:jc w:val="both"/>
        <w:rPr>
          <w:sz w:val="24"/>
          <w:szCs w:val="24"/>
        </w:rPr>
      </w:pPr>
      <w:r w:rsidRPr="00833628">
        <w:rPr>
          <w:sz w:val="24"/>
          <w:szCs w:val="24"/>
        </w:rPr>
        <w:t>Pan Libretto nigdy nie był sędzią w sprawie pana Al Nashiriego.</w:t>
      </w:r>
    </w:p>
    <w:p w:rsidR="0015304C" w:rsidRPr="00833628" w:rsidRDefault="0015304C" w:rsidP="00987EB2">
      <w:pPr>
        <w:pStyle w:val="Akapitzlist"/>
        <w:numPr>
          <w:ilvl w:val="0"/>
          <w:numId w:val="67"/>
        </w:numPr>
        <w:spacing w:before="120" w:after="0" w:line="240" w:lineRule="auto"/>
        <w:contextualSpacing w:val="0"/>
        <w:jc w:val="both"/>
        <w:rPr>
          <w:sz w:val="24"/>
          <w:szCs w:val="24"/>
        </w:rPr>
      </w:pPr>
      <w:r w:rsidRPr="00833628">
        <w:rPr>
          <w:sz w:val="24"/>
          <w:szCs w:val="24"/>
        </w:rPr>
        <w:t>Kpt. (a nie pan) Brian L. Mizer rzeczywiście złożył wniosek o rezygnację z funkcji obrońcy pana Al Nashiriego, ale z powodu zbliżającej się demobilizacji z czynnej służby, a nie przejścia na emeryturę.</w:t>
      </w:r>
    </w:p>
    <w:p w:rsidR="0015304C" w:rsidRPr="00833628" w:rsidRDefault="0015304C" w:rsidP="00987EB2">
      <w:pPr>
        <w:pStyle w:val="Akapitzlist"/>
        <w:numPr>
          <w:ilvl w:val="0"/>
          <w:numId w:val="67"/>
        </w:numPr>
        <w:spacing w:before="120" w:after="0" w:line="240" w:lineRule="auto"/>
        <w:contextualSpacing w:val="0"/>
        <w:jc w:val="both"/>
        <w:rPr>
          <w:sz w:val="24"/>
          <w:szCs w:val="24"/>
        </w:rPr>
      </w:pPr>
      <w:r w:rsidRPr="00833628">
        <w:rPr>
          <w:sz w:val="24"/>
          <w:szCs w:val="24"/>
        </w:rPr>
        <w:t>W dniu 29 stycznia 2020 r. komisja wojskowa rzeczywiście odrzuciła wniosek obrony o oddalenie zarzutów wobec pana Al Nashiriego, ale nie z powodu „trudności w kontaktach” z jego adwokatem, ale raczej z powodu nieprawidłowych doręczeń, działań poprzedniego sędziego, a także ze względu na to, że prokurator rozwiązał stosunek między adwokatem a klientem.</w:t>
      </w:r>
    </w:p>
    <w:p w:rsidR="0015304C" w:rsidRPr="00833628" w:rsidRDefault="0015304C" w:rsidP="00987EB2">
      <w:pPr>
        <w:pStyle w:val="Akapitzlist"/>
        <w:numPr>
          <w:ilvl w:val="0"/>
          <w:numId w:val="67"/>
        </w:numPr>
        <w:spacing w:before="120" w:after="0" w:line="240" w:lineRule="auto"/>
        <w:contextualSpacing w:val="0"/>
        <w:jc w:val="both"/>
        <w:rPr>
          <w:sz w:val="24"/>
          <w:szCs w:val="24"/>
        </w:rPr>
      </w:pPr>
      <w:r w:rsidRPr="00833628">
        <w:rPr>
          <w:sz w:val="24"/>
          <w:szCs w:val="24"/>
        </w:rPr>
        <w:t>W dniach 19 grudnia 2019 r. i 19 marca 2020 r. komisja wojskowa odrzuciła wnioski obrony o uchylenie kary śmierci żądanej przez prokuratora. Obrona wielokrotnie zwracała się o uchylenie kary śmierci jako środka „alternatywnego”. W postanowieniu z 19 grudnia 2019 r. odrzucono wniosek obrony o wyłączenie sędziego Spath z postępowania i uchylenie wszystkich wydanych przez niego orzeczeń, a nie tylko orzeczeń uchylonych wcześniej przez Sąd Apelacyjny dla Okręgu Dystryktu Kolumbii. Podstawą wniosku był fakt, że sędzia Spath zataił swoje intensywne związki z rodziną ofiary w sprawie obejmującej karę śmierci, którą wcześniej prowadził jako prokurator.</w:t>
      </w:r>
    </w:p>
    <w:p w:rsidR="0015304C" w:rsidRPr="0015304C" w:rsidRDefault="0015304C" w:rsidP="00833628">
      <w:pPr>
        <w:spacing w:before="120" w:after="0" w:line="240" w:lineRule="auto"/>
        <w:jc w:val="both"/>
        <w:rPr>
          <w:sz w:val="24"/>
          <w:szCs w:val="24"/>
        </w:rPr>
      </w:pPr>
      <w:r w:rsidRPr="0015304C">
        <w:rPr>
          <w:sz w:val="24"/>
          <w:szCs w:val="24"/>
        </w:rPr>
        <w:t>W związku z powyższym postępowanie przeciwko panu Al Nashiriemu przed komisją wojskową pokazuje, że grozi mu rażąca odmowa ochrony prawnej. Ponadto:</w:t>
      </w:r>
    </w:p>
    <w:p w:rsidR="0015304C" w:rsidRPr="00833628" w:rsidRDefault="00833628" w:rsidP="00833628">
      <w:pPr>
        <w:spacing w:before="120" w:after="0" w:line="240" w:lineRule="auto"/>
        <w:jc w:val="both"/>
        <w:rPr>
          <w:b/>
          <w:sz w:val="24"/>
          <w:szCs w:val="24"/>
        </w:rPr>
      </w:pPr>
      <w:r w:rsidRPr="00833628">
        <w:rPr>
          <w:b/>
          <w:sz w:val="24"/>
          <w:szCs w:val="24"/>
        </w:rPr>
        <w:t xml:space="preserve">(1) </w:t>
      </w:r>
      <w:r w:rsidR="0015304C" w:rsidRPr="00833628">
        <w:rPr>
          <w:b/>
          <w:sz w:val="24"/>
          <w:szCs w:val="24"/>
        </w:rPr>
        <w:t>Polska musi przeprowadzić skuteczne śledztwo</w:t>
      </w:r>
    </w:p>
    <w:p w:rsidR="0015304C" w:rsidRPr="0015304C" w:rsidRDefault="0015304C" w:rsidP="00833628">
      <w:pPr>
        <w:spacing w:before="120" w:after="0" w:line="240" w:lineRule="auto"/>
        <w:jc w:val="both"/>
        <w:rPr>
          <w:sz w:val="24"/>
          <w:szCs w:val="24"/>
        </w:rPr>
      </w:pPr>
      <w:r w:rsidRPr="0015304C">
        <w:rPr>
          <w:sz w:val="24"/>
          <w:szCs w:val="24"/>
        </w:rPr>
        <w:lastRenderedPageBreak/>
        <w:t>Od czasu stanowiska Open Society Justice Initiative przedstawionego w lutym 2020 r. nie poczyniono żadnych poważnych postępów w śledztwie w sprawie udostępnienia przez Polskę tajnego więzienia, w którym pan Al Nashiri był przetrzymywany i torturowany. W istocie ocena Trybunału w wyroku z 2014 r. w dużej mierze pozostaje aktualna: nie osiągnięto znaczących postępów w śledztwie. Sześć lat po opublikowaniu wyroku Trybunału podano do wiadomości publicznej niewiele informacji na temat postępów lub wyników śledztwa w sprawie Al Nashiri.</w:t>
      </w:r>
    </w:p>
    <w:p w:rsidR="0015304C" w:rsidRPr="0015304C" w:rsidRDefault="0015304C" w:rsidP="00833628">
      <w:pPr>
        <w:spacing w:before="120" w:after="0" w:line="240" w:lineRule="auto"/>
        <w:jc w:val="both"/>
        <w:rPr>
          <w:sz w:val="24"/>
          <w:szCs w:val="24"/>
        </w:rPr>
      </w:pPr>
      <w:r w:rsidRPr="0015304C">
        <w:rPr>
          <w:sz w:val="24"/>
          <w:szCs w:val="24"/>
        </w:rPr>
        <w:t>Według komunikacji rządu śledztwo ponownie przedłużono do 31 października 2020 r (s. 2). Niestety ani ta komunikacja, ani zaktualizowany plan działań rządu polskiego nie wyjaśniają, dlaczego te powtarzające się przedłużenia śledztwa były konieczne. W szczególności pełnomocnik pana Al Nashiriego nie został poinformowany o żadnych działaniach w ramach śledztwa planowanych przez władze w 2020 r.</w:t>
      </w:r>
    </w:p>
    <w:p w:rsidR="0015304C" w:rsidRPr="0015304C" w:rsidRDefault="0015304C" w:rsidP="00833628">
      <w:pPr>
        <w:spacing w:before="120" w:after="0" w:line="240" w:lineRule="auto"/>
        <w:jc w:val="both"/>
        <w:rPr>
          <w:sz w:val="24"/>
          <w:szCs w:val="24"/>
        </w:rPr>
      </w:pPr>
      <w:r w:rsidRPr="0015304C">
        <w:rPr>
          <w:sz w:val="24"/>
          <w:szCs w:val="24"/>
        </w:rPr>
        <w:t>Ponadto w komunikacji rządu błędnie proponuje się, by ciężar prowadzenia czynności dowodowych spoczywał na pełnomocnikach skarżącego (s. 2). Błędnie sugeruje ona na przykład, że przedłużenie śledztwa można przypisać pełnomocnikom skarżącego, zauważając, że „prokuratura regionalna w Krakowie nie otrzymała od przedstawicieli skarżących żadnych informacji na temat wyników ich działań za granicą, których celem było pozyskanie dowodów na terytorium Stanów Zjednoczonych”.</w:t>
      </w:r>
      <w:r w:rsidR="006F039D">
        <w:rPr>
          <w:rStyle w:val="Odwoanieprzypisudolnego"/>
          <w:sz w:val="24"/>
          <w:szCs w:val="24"/>
        </w:rPr>
        <w:footnoteReference w:id="329"/>
      </w:r>
      <w:r w:rsidRPr="0015304C">
        <w:rPr>
          <w:sz w:val="24"/>
          <w:szCs w:val="24"/>
        </w:rPr>
        <w:t xml:space="preserve"> Pełnomocnik pana Al Nashiriego poinformował prokuratora regionalnego, że ani on, ani jego współpracownicy nie podjęli takich działań i podkreślił, że w jego opinii dowody uzyskane w toku śledztwa umożliwiają już prokuratorowi podjęcie stosownej decyzji proceduralnej o zamknięciu dochodzenia.</w:t>
      </w:r>
    </w:p>
    <w:p w:rsidR="0015304C" w:rsidRPr="0015304C" w:rsidRDefault="0015304C" w:rsidP="00833628">
      <w:pPr>
        <w:spacing w:before="120" w:after="0" w:line="240" w:lineRule="auto"/>
        <w:jc w:val="both"/>
        <w:rPr>
          <w:sz w:val="24"/>
          <w:szCs w:val="24"/>
        </w:rPr>
      </w:pPr>
      <w:r w:rsidRPr="0015304C">
        <w:rPr>
          <w:sz w:val="24"/>
          <w:szCs w:val="24"/>
        </w:rPr>
        <w:t>Chociaż władze polskie oświadczyły, że nie mogą informować o działaniach o charakterze niejawnym, k</w:t>
      </w:r>
      <w:r w:rsidR="006F039D">
        <w:rPr>
          <w:sz w:val="24"/>
          <w:szCs w:val="24"/>
        </w:rPr>
        <w:t>tóre podjęły lub planują podjąć</w:t>
      </w:r>
      <w:r w:rsidR="006F039D">
        <w:rPr>
          <w:rStyle w:val="Odwoanieprzypisudolnego"/>
          <w:sz w:val="24"/>
          <w:szCs w:val="24"/>
        </w:rPr>
        <w:footnoteReference w:id="330"/>
      </w:r>
      <w:r w:rsidRPr="0015304C">
        <w:rPr>
          <w:sz w:val="24"/>
          <w:szCs w:val="24"/>
        </w:rPr>
        <w:t>, to nie wykazały, że uwzględniły apele Komitetu Ministrów o wzmożenie działań w ramach śledztwa krajowego ani o przekazanie dodatkowych zasobów prokuraturze odpowiedzialnej za te sprawy.</w:t>
      </w:r>
      <w:r w:rsidR="006F039D">
        <w:rPr>
          <w:rStyle w:val="Odwoanieprzypisudolnego"/>
          <w:sz w:val="24"/>
          <w:szCs w:val="24"/>
        </w:rPr>
        <w:footnoteReference w:id="331"/>
      </w:r>
      <w:r w:rsidR="006F039D">
        <w:rPr>
          <w:sz w:val="24"/>
          <w:szCs w:val="24"/>
        </w:rPr>
        <w:t xml:space="preserve"> </w:t>
      </w:r>
      <w:r w:rsidRPr="0015304C">
        <w:rPr>
          <w:sz w:val="24"/>
          <w:szCs w:val="24"/>
        </w:rPr>
        <w:t>Justice Initiative ponownie stwierdza, że udzielenie takich informacji byłoby pożądanym sygnałem determinacji władz polskich do pełnego wykonania przedmiotowego wyroku.</w:t>
      </w:r>
    </w:p>
    <w:p w:rsidR="0015304C" w:rsidRPr="00833628" w:rsidRDefault="00833628" w:rsidP="00833628">
      <w:pPr>
        <w:spacing w:before="120" w:after="0" w:line="240" w:lineRule="auto"/>
        <w:jc w:val="both"/>
        <w:rPr>
          <w:b/>
          <w:sz w:val="24"/>
          <w:szCs w:val="24"/>
        </w:rPr>
      </w:pPr>
      <w:r w:rsidRPr="00833628">
        <w:rPr>
          <w:b/>
          <w:sz w:val="24"/>
          <w:szCs w:val="24"/>
        </w:rPr>
        <w:t xml:space="preserve">(2) </w:t>
      </w:r>
      <w:r w:rsidR="0015304C" w:rsidRPr="00833628">
        <w:rPr>
          <w:b/>
          <w:sz w:val="24"/>
          <w:szCs w:val="24"/>
        </w:rPr>
        <w:t>Polska musi kontynuować starania w zakresie uzyskania gwarancji dotyczących kary śmierci oraz rażącej odmowy ochrony prawnej</w:t>
      </w:r>
    </w:p>
    <w:p w:rsidR="0015304C" w:rsidRPr="0015304C" w:rsidRDefault="0015304C" w:rsidP="00833628">
      <w:pPr>
        <w:spacing w:before="120" w:after="0" w:line="240" w:lineRule="auto"/>
        <w:jc w:val="both"/>
        <w:rPr>
          <w:sz w:val="24"/>
          <w:szCs w:val="24"/>
        </w:rPr>
      </w:pPr>
      <w:r w:rsidRPr="0015304C">
        <w:rPr>
          <w:sz w:val="24"/>
          <w:szCs w:val="24"/>
        </w:rPr>
        <w:t>Ważne jest, aby polski rząd nadal dążył do uzyskania gwarancji dyplomatycznych w związku z rażącą odmową ochrony prawnej dotykającą p. Al Nashiriego oraz grożącą mu karą śmierci.</w:t>
      </w:r>
      <w:r w:rsidR="006F039D">
        <w:rPr>
          <w:rStyle w:val="Odwoanieprzypisudolnego"/>
          <w:sz w:val="24"/>
          <w:szCs w:val="24"/>
        </w:rPr>
        <w:footnoteReference w:id="332"/>
      </w:r>
      <w:r w:rsidRPr="0015304C">
        <w:rPr>
          <w:sz w:val="24"/>
          <w:szCs w:val="24"/>
        </w:rPr>
        <w:t xml:space="preserve">  W stanowisku rządu z 15 października odnotowano, że 24 lutego 2020 r. władze polskie przekazały ambasadzie Stanów Zjednoczonych w Warszawie notę dyplomatyczną, w odpowiedzi na którą z dnia 19 maja 2020 r. władze amerykańskie ponownie stwierdziły, że prośby władz polskich „nie mogą zostać </w:t>
      </w:r>
      <w:r w:rsidR="006F039D">
        <w:rPr>
          <w:sz w:val="24"/>
          <w:szCs w:val="24"/>
        </w:rPr>
        <w:t>rozpatrzone pozytywnie” (s. 1).</w:t>
      </w:r>
      <w:r w:rsidR="006F039D">
        <w:rPr>
          <w:rStyle w:val="Odwoanieprzypisudolnego"/>
          <w:sz w:val="24"/>
          <w:szCs w:val="24"/>
        </w:rPr>
        <w:footnoteReference w:id="333"/>
      </w:r>
      <w:r w:rsidRPr="0015304C">
        <w:rPr>
          <w:sz w:val="24"/>
          <w:szCs w:val="24"/>
        </w:rPr>
        <w:t xml:space="preserve"> Jak wyjaśniono w komunikacji rządu, od maja 2020 r. rząd nie podjął żadnych działań dotyczących gwarancji dyplomatycznych „ze względu na sytuację spowodowaną pandemią COVID-19” (s. 2); rząd nie </w:t>
      </w:r>
      <w:r w:rsidRPr="0015304C">
        <w:rPr>
          <w:sz w:val="24"/>
          <w:szCs w:val="24"/>
        </w:rPr>
        <w:lastRenderedPageBreak/>
        <w:t>wyjaśnia jednak, w jaki sposób pandemia rzeczywiście ograniczyła jego zdolność do kontynuowania tych działań ani dlaczego nie można było podjąć żadnych nowych działań.</w:t>
      </w:r>
    </w:p>
    <w:p w:rsidR="0015304C" w:rsidRPr="0015304C" w:rsidRDefault="0015304C" w:rsidP="00833628">
      <w:pPr>
        <w:spacing w:before="120" w:after="0" w:line="240" w:lineRule="auto"/>
        <w:jc w:val="both"/>
        <w:rPr>
          <w:sz w:val="24"/>
          <w:szCs w:val="24"/>
        </w:rPr>
      </w:pPr>
      <w:r w:rsidRPr="0015304C">
        <w:rPr>
          <w:sz w:val="24"/>
          <w:szCs w:val="24"/>
        </w:rPr>
        <w:t>Justice Initiative ponawia swoją prośbę o ujawnienie – co najmniej obrońcom pana Al Nashiriego – całej korespondencji między władzami polskimi i amerykańskimi w sprawie kary śmierci i rażącej odmowy ochrony prawnej.</w:t>
      </w:r>
    </w:p>
    <w:p w:rsidR="0015304C" w:rsidRPr="00833628" w:rsidRDefault="00833628" w:rsidP="00833628">
      <w:pPr>
        <w:spacing w:before="120" w:after="0" w:line="240" w:lineRule="auto"/>
        <w:jc w:val="both"/>
        <w:rPr>
          <w:b/>
          <w:sz w:val="24"/>
          <w:szCs w:val="24"/>
        </w:rPr>
      </w:pPr>
      <w:r w:rsidRPr="00833628">
        <w:rPr>
          <w:b/>
          <w:sz w:val="24"/>
          <w:szCs w:val="24"/>
        </w:rPr>
        <w:t xml:space="preserve">(3) </w:t>
      </w:r>
      <w:r w:rsidR="0015304C" w:rsidRPr="00833628">
        <w:rPr>
          <w:b/>
          <w:sz w:val="24"/>
          <w:szCs w:val="24"/>
        </w:rPr>
        <w:t>Polska musi wzmocnić nadzór nad służbami wywiadowczymi</w:t>
      </w:r>
    </w:p>
    <w:p w:rsidR="0015304C" w:rsidRPr="0015304C" w:rsidRDefault="0015304C" w:rsidP="00833628">
      <w:pPr>
        <w:spacing w:before="120" w:after="0" w:line="240" w:lineRule="auto"/>
        <w:jc w:val="both"/>
        <w:rPr>
          <w:sz w:val="24"/>
          <w:szCs w:val="24"/>
        </w:rPr>
      </w:pPr>
      <w:r w:rsidRPr="0015304C">
        <w:rPr>
          <w:sz w:val="24"/>
          <w:szCs w:val="24"/>
        </w:rPr>
        <w:t>Jak zauważono w stanowisku Justice Initiative przedstawionym w lutym 2020 r. polskie służby wywiadowcze nadal uzyskują szersze uprawnienia w zakresie nadzoru bez kompleksowego, niezależnego nadzoru nad ich wykorzystaniem.</w:t>
      </w:r>
      <w:r w:rsidR="006F039D">
        <w:rPr>
          <w:rStyle w:val="Odwoanieprzypisudolnego"/>
          <w:sz w:val="24"/>
          <w:szCs w:val="24"/>
        </w:rPr>
        <w:footnoteReference w:id="334"/>
      </w:r>
      <w:r w:rsidRPr="0015304C">
        <w:rPr>
          <w:sz w:val="24"/>
          <w:szCs w:val="24"/>
        </w:rPr>
        <w:t xml:space="preserve"> W komunikacji rządu z 15 października odnotowano, że 9 października premier wydał zarządzenie nr 162 ustanawiające „Komitet Rady Ministrów do spraw Bezpieczeństwa Narodowego i spraw Obronnych”, którego zadaniem jest „zapewnienie koordynacji przygotowań, działań oraz sprawnego podejmowania decyzji w sprawach bezpieczeństwa i obrony państwa” (s. 3-4). Rząd zapewnia, że Komitet ten „znacznie wzmocni nadzór demokratyczny nad służbami specjalnymi odpowiedzialnymi za bezpieczeństwo narodowe”.</w:t>
      </w:r>
    </w:p>
    <w:p w:rsidR="0015304C" w:rsidRPr="0015304C" w:rsidRDefault="0015304C" w:rsidP="00833628">
      <w:pPr>
        <w:spacing w:before="120" w:after="0" w:line="240" w:lineRule="auto"/>
        <w:jc w:val="both"/>
        <w:rPr>
          <w:sz w:val="24"/>
          <w:szCs w:val="24"/>
        </w:rPr>
      </w:pPr>
      <w:r w:rsidRPr="0015304C">
        <w:rPr>
          <w:sz w:val="24"/>
          <w:szCs w:val="24"/>
        </w:rPr>
        <w:t>W opinii Justice Initiative utworzenie Komitetu nie jest odpowiednim środkiem do rzeczywistego wzmocnienia niezależnego nadzoru nad polskimi służbami wywiadowczymi i służbami bezpieczeństwa. Zadania i tryb funkcjonowania Komitetu wydają się być uregulowane w zarządzeniu nr 162 jedynie ogólnikowo, a samo zarządzenie ma niewiele więcej niż stronę objętości i bardzo ogólny charakter.</w:t>
      </w:r>
      <w:r w:rsidR="006F039D">
        <w:rPr>
          <w:rStyle w:val="Odwoanieprzypisudolnego"/>
          <w:sz w:val="24"/>
          <w:szCs w:val="24"/>
        </w:rPr>
        <w:footnoteReference w:id="335"/>
      </w:r>
      <w:r w:rsidRPr="0015304C">
        <w:rPr>
          <w:sz w:val="24"/>
          <w:szCs w:val="24"/>
        </w:rPr>
        <w:t xml:space="preserve"> Sam skład Komitetu pokazuje również, że nie jest on organem niezale</w:t>
      </w:r>
      <w:r w:rsidR="006F039D">
        <w:rPr>
          <w:sz w:val="24"/>
          <w:szCs w:val="24"/>
        </w:rPr>
        <w:t>żnym, lecz raczej politycznym.</w:t>
      </w:r>
      <w:r w:rsidR="006F039D">
        <w:rPr>
          <w:rStyle w:val="Odwoanieprzypisudolnego"/>
          <w:sz w:val="24"/>
          <w:szCs w:val="24"/>
        </w:rPr>
        <w:footnoteReference w:id="336"/>
      </w:r>
      <w:r w:rsidR="006F039D">
        <w:rPr>
          <w:sz w:val="24"/>
          <w:szCs w:val="24"/>
        </w:rPr>
        <w:t xml:space="preserve"> </w:t>
      </w:r>
      <w:r w:rsidRPr="0015304C">
        <w:rPr>
          <w:sz w:val="24"/>
          <w:szCs w:val="24"/>
        </w:rPr>
        <w:t xml:space="preserve"> Wydaje się wreszcie, że został on ustanowiony przy okazji reorganizacji rządu, a nie w odpowiedzi na przedmiotowy wyrok. W komunikacji rządu nie wyjaśniono, w jaki sposób utworzenie Komitetu rozwiałoby konkretne obawy wyrażone w wyroku Trybunału z 2014 r. dotyczące braku nadzoru nad służbami wywiadowczymi i służbami bezpieczeństwa.</w:t>
      </w:r>
    </w:p>
    <w:p w:rsidR="0015304C" w:rsidRPr="0015304C" w:rsidRDefault="0015304C" w:rsidP="00833628">
      <w:pPr>
        <w:spacing w:before="120" w:after="0" w:line="240" w:lineRule="auto"/>
        <w:jc w:val="both"/>
        <w:rPr>
          <w:sz w:val="24"/>
          <w:szCs w:val="24"/>
        </w:rPr>
      </w:pPr>
      <w:r w:rsidRPr="0015304C">
        <w:rPr>
          <w:sz w:val="24"/>
          <w:szCs w:val="24"/>
        </w:rPr>
        <w:t>Justice Initiative podkreśla niezmienną potrzebę wystosowania przez polskie władze oficjalnego komunikatu na najwyższym szczeblu adresowanego do służb wywiadowczych i służb bezpieczeństwa, głoszącego, że nie będzie tolerancji dla współudziału w tajnych więzieniach oraz torturach i wydawaniu więźniów w trybie nadzwyczajnym. Ubolewamy również, że nie dostarczono żadnych konkretnych informacji na temat reform legislacyjnych, które wzmocniłyby nadzór nad służbami wywiadowczymi i służbami bezpieczeństwa.</w:t>
      </w:r>
    </w:p>
    <w:p w:rsidR="0015304C" w:rsidRPr="00833628" w:rsidRDefault="0015304C" w:rsidP="00833628">
      <w:pPr>
        <w:spacing w:before="120" w:after="0" w:line="240" w:lineRule="auto"/>
        <w:jc w:val="both"/>
        <w:rPr>
          <w:b/>
          <w:sz w:val="24"/>
          <w:szCs w:val="24"/>
        </w:rPr>
      </w:pPr>
      <w:r w:rsidRPr="00833628">
        <w:rPr>
          <w:b/>
          <w:sz w:val="24"/>
          <w:szCs w:val="24"/>
        </w:rPr>
        <w:t>Podsumowanie</w:t>
      </w:r>
    </w:p>
    <w:p w:rsidR="0015304C" w:rsidRPr="0015304C" w:rsidRDefault="0015304C" w:rsidP="00833628">
      <w:pPr>
        <w:spacing w:before="120" w:after="0" w:line="240" w:lineRule="auto"/>
        <w:jc w:val="both"/>
        <w:rPr>
          <w:sz w:val="24"/>
          <w:szCs w:val="24"/>
        </w:rPr>
      </w:pPr>
      <w:r w:rsidRPr="0015304C">
        <w:rPr>
          <w:sz w:val="24"/>
          <w:szCs w:val="24"/>
        </w:rPr>
        <w:lastRenderedPageBreak/>
        <w:t>Władze polskie wielokrotnie nie przedstawiły aktualnych informacji odzwierciedlających istotne i wymierne postępy w wykonaniu wyroku, pomimo apeli o takie informacje ponawianych przez Komitet w ostatnich latach. W związku z tym Justice Initiative zwraca się z uprzejmą prośbą do Komitetu Ministrów o kontynuowanie ścisłego nadzoru nad tą sprawą i wydanie rezolucji tymczasowej nakazującej władzom polskim (1) przeprowadzenie skutecznego i transparentnego śledztwa; (2) przyznanie, że Polska udostępniła swoje terytorium na tajne więzienie CIA; oraz (3) przyjęcie rzeczywistych reform legislacyjnych, które wzmocnią nadzór cywilny nad służbami wywiadowczymi i służbami bezpieczeństwa. Wzywamy ponadto Komitet do jak najszybszego przeprowadzenia debaty na tym wyrokiem.</w:t>
      </w:r>
    </w:p>
    <w:p w:rsidR="0015304C" w:rsidRDefault="0015304C" w:rsidP="004E1166">
      <w:pPr>
        <w:spacing w:after="120" w:line="240" w:lineRule="auto"/>
        <w:jc w:val="both"/>
        <w:rPr>
          <w:sz w:val="24"/>
          <w:szCs w:val="24"/>
          <w:u w:val="single"/>
        </w:rPr>
      </w:pPr>
    </w:p>
    <w:p w:rsidR="006165C6" w:rsidRDefault="006165C6" w:rsidP="004E1166">
      <w:pPr>
        <w:spacing w:after="120" w:line="240" w:lineRule="auto"/>
        <w:jc w:val="both"/>
        <w:rPr>
          <w:sz w:val="24"/>
          <w:szCs w:val="24"/>
          <w:u w:val="single"/>
        </w:rPr>
      </w:pPr>
      <w:r w:rsidRPr="0015304C">
        <w:rPr>
          <w:sz w:val="24"/>
          <w:szCs w:val="24"/>
          <w:u w:val="single"/>
        </w:rPr>
        <w:t xml:space="preserve">Odpowiedź rządu z dnia </w:t>
      </w:r>
      <w:r w:rsidR="0015304C">
        <w:rPr>
          <w:sz w:val="24"/>
          <w:szCs w:val="24"/>
          <w:u w:val="single"/>
        </w:rPr>
        <w:t>6 listopada 2020 r.</w:t>
      </w:r>
    </w:p>
    <w:p w:rsidR="00904B2C" w:rsidRPr="00F25B6C" w:rsidRDefault="00904B2C" w:rsidP="00904B2C">
      <w:pPr>
        <w:spacing w:after="120" w:line="240" w:lineRule="auto"/>
        <w:rPr>
          <w:rFonts w:cs="Calibri"/>
          <w:sz w:val="24"/>
          <w:szCs w:val="24"/>
        </w:rPr>
      </w:pPr>
      <w:r w:rsidRPr="00F25B6C">
        <w:rPr>
          <w:rFonts w:cs="Calibri"/>
          <w:sz w:val="24"/>
          <w:szCs w:val="24"/>
        </w:rPr>
        <w:t xml:space="preserve">W odpowiedzi na komunikację z dnia 23 października 2020 r. Open Society Justice Initiative dotyczącą wykonania wyroku Europejskiego Trybunału Praw Człowieka w sprawie </w:t>
      </w:r>
      <w:r w:rsidRPr="00F25B6C">
        <w:rPr>
          <w:rFonts w:cs="Calibri,Italic"/>
          <w:i/>
          <w:iCs/>
          <w:sz w:val="24"/>
          <w:szCs w:val="24"/>
        </w:rPr>
        <w:t>Al Nashiri p. Polsce</w:t>
      </w:r>
      <w:r w:rsidRPr="00F25B6C">
        <w:rPr>
          <w:rFonts w:cs="Calibri"/>
          <w:sz w:val="24"/>
          <w:szCs w:val="24"/>
        </w:rPr>
        <w:t xml:space="preserve">, rząd Polski chciałby przedstawić następujące uwagi. </w:t>
      </w:r>
    </w:p>
    <w:p w:rsidR="00904B2C" w:rsidRPr="00F25B6C" w:rsidRDefault="00904B2C" w:rsidP="00904B2C">
      <w:pPr>
        <w:spacing w:after="120" w:line="240" w:lineRule="auto"/>
        <w:jc w:val="both"/>
        <w:rPr>
          <w:rFonts w:cs="Calibri"/>
          <w:sz w:val="24"/>
          <w:szCs w:val="24"/>
        </w:rPr>
      </w:pPr>
      <w:r w:rsidRPr="00F25B6C">
        <w:rPr>
          <w:rFonts w:cs="Calibri"/>
          <w:sz w:val="24"/>
          <w:szCs w:val="24"/>
        </w:rPr>
        <w:t>Po pierwsze, w odniesieniu do sprawy śledztwa krajowego i realizacji środków generalnych (reforma demokratycznego nadzoru nad służbami specjalnymi) rząd chciałby zwrócić uwagę na informacje przedstawione w jego wcześniejszych informacjach przedłożonych Komitetowi Ministrów, w tym m.in. ostatniej z 15 października 2020 r. (por. dokument DH(2020)900). W szczególności, rząd chciałby ponownie przypomnieć że organy prokuratury utrzymują, że ze względu na rzetelność śledztwa przedstawione informacje nie mogą zawierać oceny podjętych działań o charakterze niejawnym ani szczegółowo wskazywać planowanych działań.</w:t>
      </w:r>
    </w:p>
    <w:p w:rsidR="00904B2C" w:rsidRPr="00F25B6C" w:rsidRDefault="00904B2C" w:rsidP="00904B2C">
      <w:pPr>
        <w:spacing w:after="120" w:line="240" w:lineRule="auto"/>
        <w:jc w:val="both"/>
        <w:rPr>
          <w:rFonts w:cs="Calibri"/>
          <w:sz w:val="24"/>
          <w:szCs w:val="24"/>
        </w:rPr>
      </w:pPr>
      <w:r w:rsidRPr="00F25B6C">
        <w:rPr>
          <w:rFonts w:cs="Calibri"/>
          <w:sz w:val="24"/>
          <w:szCs w:val="24"/>
        </w:rPr>
        <w:t>Tym samym nie jest możliwe upublicznienie tzw. mapy drogowej śledztwa i jednocześnie wskazanie ogólnego kierunku prowadzonego postępowania i zakresu podjętych działań. Jeśli chodzi o demokratyczny nadzór nad służbami specjalnymi, rząd pragnie powtórzyć, że wdrożenie rozwiązania legislacyjno-organizacyjnego, jakim jest powołanie Komitetu Rady Ministrów do spraw Bezpieczeństwa Narodowego i spraw Obronnych, któremu przewodniczy wiceprezes Rady Ministrów, stanowi znaczące wzmocnienie demokratycznego nadzoru nad służbami specjalnymi odpowiedzialnymi za bezpieczeństwo narodowe.</w:t>
      </w:r>
    </w:p>
    <w:p w:rsidR="00904B2C" w:rsidRPr="00F25B6C" w:rsidRDefault="00904B2C" w:rsidP="00904B2C">
      <w:pPr>
        <w:spacing w:after="120" w:line="240" w:lineRule="auto"/>
        <w:jc w:val="both"/>
        <w:rPr>
          <w:rFonts w:cs="Calibri"/>
          <w:sz w:val="24"/>
          <w:szCs w:val="24"/>
        </w:rPr>
      </w:pPr>
      <w:r w:rsidRPr="00F25B6C">
        <w:rPr>
          <w:rFonts w:cs="Calibri"/>
          <w:sz w:val="24"/>
          <w:szCs w:val="24"/>
        </w:rPr>
        <w:t>Po drugie, w kwestii kontynuacji działań o uzyskanie gwarancji dyplomatycznych rząd w swojej ostatniej informacji (dokument DD(2020)900) zapewnił Komitet Ministrów, że rozważone zostaną dalsze działania w tym zakresie. Odnośnie do rekomendacji Open Society Justice Initiative, aby ujawnić przynajmniej pełnomocnikowi pana Al Nashiri informacje pomiędzy władzami polskimi a władzami USA rząd chciałby się odwołać w tym zakresie do swojej odpowiedzi z dnia 20 lutego 2020 r. na komunikację Open Society Justice Initiative z dnia 12 lutego 2020. Należy powtórzyć, że bardziej szczegółowe informacje na temat treści wniosków każdego rządu o uzyskanie gwarancji dyplomatycznych w sprawie skarżącego zostały przedstawione przez rząd Polski w jego poprzednich planach działania i komunikacjach przedłożonych Komitetowi Ministrów i dostępnych na stronie Hudoc-Exec.</w:t>
      </w:r>
    </w:p>
    <w:p w:rsidR="00904B2C" w:rsidRPr="00F25B6C" w:rsidRDefault="00904B2C" w:rsidP="00904B2C">
      <w:pPr>
        <w:spacing w:after="120" w:line="240" w:lineRule="auto"/>
        <w:jc w:val="both"/>
        <w:rPr>
          <w:rFonts w:cs="Calibri"/>
          <w:sz w:val="24"/>
          <w:szCs w:val="24"/>
        </w:rPr>
      </w:pPr>
      <w:r w:rsidRPr="00F25B6C">
        <w:rPr>
          <w:rFonts w:cs="Calibri"/>
          <w:sz w:val="24"/>
          <w:szCs w:val="24"/>
        </w:rPr>
        <w:t xml:space="preserve">Końcowo, odnosząc się do rekomendacji Open Society Justice Initiative, że w niniejszej sprawie powinna zostać przyjęta przez Komitet Ministrów rezolucja tymczasowa, rząd jest zdania, że tego rodzaju środek jest przedwczesny. Liczne działania podjęte przez rząd w procesie wykonania wyroku Europejskiego Trybunału Praw Człowieka w niniejszej sprawie, szczegółowo przedstawione w jego wcześniejszych planach działania i innych komunikacjach przekazywanych regularnie Komitetowi Ministrów, wskazują, że polskie władze przywiązują </w:t>
      </w:r>
      <w:r w:rsidRPr="00F25B6C">
        <w:rPr>
          <w:rFonts w:cs="Calibri"/>
          <w:sz w:val="24"/>
          <w:szCs w:val="24"/>
        </w:rPr>
        <w:lastRenderedPageBreak/>
        <w:t>największą wagę do swoich zobowiązań wynikających z Artykułu 46 ust. 1 Konwencji. Dlatego podjęcie decyzji o rezolucji tymczasowej w niniejszej sprawie byłoby nie tylko zbyt wczesne, ale także nieuzasadnione.</w:t>
      </w:r>
    </w:p>
    <w:p w:rsidR="0015304C" w:rsidRPr="0015304C" w:rsidRDefault="0015304C" w:rsidP="004E1166">
      <w:pPr>
        <w:spacing w:after="120" w:line="240" w:lineRule="auto"/>
        <w:jc w:val="both"/>
        <w:rPr>
          <w:sz w:val="24"/>
          <w:szCs w:val="24"/>
          <w:u w:val="single"/>
        </w:rPr>
      </w:pPr>
    </w:p>
    <w:sectPr w:rsidR="0015304C" w:rsidRPr="0015304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472" w:rsidRDefault="007F0472" w:rsidP="006B2CF8">
      <w:pPr>
        <w:spacing w:after="0" w:line="240" w:lineRule="auto"/>
      </w:pPr>
      <w:r>
        <w:separator/>
      </w:r>
    </w:p>
  </w:endnote>
  <w:endnote w:type="continuationSeparator" w:id="0">
    <w:p w:rsidR="007F0472" w:rsidRDefault="007F0472" w:rsidP="006B2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Arial"/>
    <w:panose1 w:val="00000000000000000000"/>
    <w:charset w:val="00"/>
    <w:family w:val="swiss"/>
    <w:notTrueType/>
    <w:pitch w:val="default"/>
    <w:sig w:usb0="00000007" w:usb1="00000000" w:usb2="00000000" w:usb3="00000000" w:csb0="00000003" w:csb1="00000000"/>
  </w:font>
  <w:font w:name="Arial-BoldMT">
    <w:altName w:val="Arial"/>
    <w:panose1 w:val="00000000000000000000"/>
    <w:charset w:val="00"/>
    <w:family w:val="swiss"/>
    <w:notTrueType/>
    <w:pitch w:val="default"/>
    <w:sig w:usb0="00000001" w:usb1="00000000" w:usb2="00000000" w:usb3="00000000" w:csb0="00000003" w:csb1="00000000"/>
  </w:font>
  <w:font w:name="Calibri,Italic">
    <w:altName w:val="Arial"/>
    <w:panose1 w:val="00000000000000000000"/>
    <w:charset w:val="00"/>
    <w:family w:val="swiss"/>
    <w:notTrueType/>
    <w:pitch w:val="default"/>
    <w:sig w:usb0="00000007" w:usb1="00000000" w:usb2="00000000" w:usb3="00000000" w:csb0="00000003" w:csb1="00000000"/>
  </w:font>
  <w:font w:name="Calibri,Bold">
    <w:panose1 w:val="00000000000000000000"/>
    <w:charset w:val="EE"/>
    <w:family w:val="auto"/>
    <w:notTrueType/>
    <w:pitch w:val="default"/>
    <w:sig w:usb0="00000005" w:usb1="00000000" w:usb2="00000000" w:usb3="00000000" w:csb0="00000002"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861" w:rsidRDefault="00AB6861">
    <w:pPr>
      <w:pStyle w:val="Stopka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675436"/>
      <w:docPartObj>
        <w:docPartGallery w:val="Page Numbers (Bottom of Page)"/>
        <w:docPartUnique/>
      </w:docPartObj>
    </w:sdtPr>
    <w:sdtEndPr/>
    <w:sdtContent>
      <w:p w:rsidR="00B4606C" w:rsidRDefault="00B4606C">
        <w:pPr>
          <w:pStyle w:val="Stopka0"/>
          <w:jc w:val="right"/>
        </w:pPr>
        <w:r>
          <w:fldChar w:fldCharType="begin"/>
        </w:r>
        <w:r>
          <w:instrText>PAGE   \* MERGEFORMAT</w:instrText>
        </w:r>
        <w:r>
          <w:fldChar w:fldCharType="separate"/>
        </w:r>
        <w:r w:rsidR="00DC1AE2">
          <w:rPr>
            <w:noProof/>
          </w:rPr>
          <w:t>2</w:t>
        </w:r>
        <w:r>
          <w:fldChar w:fldCharType="end"/>
        </w:r>
      </w:p>
    </w:sdtContent>
  </w:sdt>
  <w:p w:rsidR="00B4606C" w:rsidRDefault="00B4606C">
    <w:pPr>
      <w:pStyle w:val="Stopka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861" w:rsidRDefault="00AB6861">
    <w:pPr>
      <w:pStyle w:val="Stopka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472" w:rsidRDefault="007F0472" w:rsidP="006B2CF8">
      <w:pPr>
        <w:spacing w:after="0" w:line="240" w:lineRule="auto"/>
      </w:pPr>
      <w:r>
        <w:separator/>
      </w:r>
    </w:p>
  </w:footnote>
  <w:footnote w:type="continuationSeparator" w:id="0">
    <w:p w:rsidR="007F0472" w:rsidRDefault="007F0472" w:rsidP="006B2CF8">
      <w:pPr>
        <w:spacing w:after="0" w:line="240" w:lineRule="auto"/>
      </w:pPr>
      <w:r>
        <w:continuationSeparator/>
      </w:r>
    </w:p>
  </w:footnote>
  <w:footnote w:id="1">
    <w:p w:rsidR="00B4606C" w:rsidRPr="008D6043" w:rsidRDefault="00B4606C" w:rsidP="008D6043">
      <w:pPr>
        <w:pStyle w:val="Stopka1"/>
        <w:tabs>
          <w:tab w:val="left" w:pos="139"/>
        </w:tabs>
        <w:rPr>
          <w:rFonts w:asciiTheme="minorHAnsi" w:hAnsiTheme="minorHAnsi"/>
        </w:rPr>
      </w:pPr>
      <w:r w:rsidRPr="008D6043">
        <w:rPr>
          <w:rFonts w:asciiTheme="minorHAnsi" w:hAnsiTheme="minorHAnsi"/>
          <w:vertAlign w:val="superscript"/>
        </w:rPr>
        <w:footnoteRef/>
      </w:r>
      <w:r w:rsidRPr="008D6043">
        <w:rPr>
          <w:rFonts w:asciiTheme="minorHAnsi" w:hAnsiTheme="minorHAnsi"/>
        </w:rPr>
        <w:tab/>
        <w:t>Komunikacja Helsińskiej Fundacji Praw Człowieka w sprawie wykonania wyroku ETPCz w sprawie</w:t>
      </w:r>
    </w:p>
    <w:p w:rsidR="00B4606C" w:rsidRPr="00947CDD" w:rsidRDefault="00B4606C" w:rsidP="008D6043">
      <w:pPr>
        <w:pStyle w:val="Stopka1"/>
        <w:tabs>
          <w:tab w:val="left" w:pos="5160"/>
        </w:tabs>
      </w:pPr>
      <w:r w:rsidRPr="008D6043">
        <w:rPr>
          <w:rFonts w:asciiTheme="minorHAnsi" w:hAnsiTheme="minorHAnsi"/>
          <w:i/>
          <w:iCs/>
        </w:rPr>
        <w:t>Burża p. Polsce,</w:t>
      </w:r>
      <w:r w:rsidRPr="008D6043">
        <w:rPr>
          <w:rFonts w:asciiTheme="minorHAnsi" w:hAnsiTheme="minorHAnsi"/>
        </w:rPr>
        <w:t xml:space="preserve"> skarga nr 15333/15, 21 sierpnia 2019 r., tekst dostępny pod adresem: </w:t>
      </w:r>
      <w:hyperlink r:id="rId1" w:history="1">
        <w:r w:rsidRPr="008D6043">
          <w:rPr>
            <w:rStyle w:val="Hipercze"/>
            <w:rFonts w:asciiTheme="minorHAnsi" w:hAnsiTheme="minorHAnsi"/>
          </w:rPr>
          <w:t>https://www.hfhr.pl/wp-content/uploads/20l9/09/HFHR_Submission_Burza_Poland.pdf</w:t>
        </w:r>
      </w:hyperlink>
      <w:r>
        <w:rPr>
          <w:rStyle w:val="Hipercze"/>
          <w:rFonts w:asciiTheme="minorHAnsi" w:hAnsiTheme="minorHAnsi"/>
        </w:rPr>
        <w:t>.</w:t>
      </w:r>
    </w:p>
  </w:footnote>
  <w:footnote w:id="2">
    <w:p w:rsidR="00B4606C" w:rsidRPr="008D6043" w:rsidRDefault="00B4606C" w:rsidP="008D6043">
      <w:pPr>
        <w:pStyle w:val="Stopka1"/>
        <w:tabs>
          <w:tab w:val="left" w:pos="178"/>
        </w:tabs>
        <w:rPr>
          <w:rFonts w:asciiTheme="minorHAnsi" w:hAnsiTheme="minorHAnsi"/>
          <w:sz w:val="18"/>
          <w:szCs w:val="18"/>
        </w:rPr>
      </w:pPr>
      <w:r w:rsidRPr="008D6043">
        <w:rPr>
          <w:rFonts w:asciiTheme="minorHAnsi" w:hAnsiTheme="minorHAnsi"/>
          <w:sz w:val="18"/>
          <w:szCs w:val="18"/>
          <w:shd w:val="clear" w:color="auto" w:fill="FFFFFF"/>
          <w:vertAlign w:val="superscript"/>
        </w:rPr>
        <w:footnoteRef/>
      </w:r>
      <w:r w:rsidRPr="008D6043">
        <w:rPr>
          <w:rFonts w:asciiTheme="minorHAnsi" w:hAnsiTheme="minorHAnsi"/>
          <w:sz w:val="18"/>
          <w:szCs w:val="18"/>
          <w:shd w:val="clear" w:color="auto" w:fill="FFFFFF"/>
        </w:rPr>
        <w:tab/>
        <w:t xml:space="preserve">Komunikacja </w:t>
      </w:r>
      <w:r w:rsidR="00BD3249">
        <w:rPr>
          <w:rFonts w:asciiTheme="minorHAnsi" w:hAnsiTheme="minorHAnsi"/>
          <w:sz w:val="18"/>
          <w:szCs w:val="18"/>
          <w:shd w:val="clear" w:color="auto" w:fill="FFFFFF"/>
        </w:rPr>
        <w:t>r</w:t>
      </w:r>
      <w:r w:rsidRPr="008D6043">
        <w:rPr>
          <w:rFonts w:asciiTheme="minorHAnsi" w:hAnsiTheme="minorHAnsi"/>
          <w:sz w:val="18"/>
          <w:szCs w:val="18"/>
          <w:shd w:val="clear" w:color="auto" w:fill="FFFFFF"/>
        </w:rPr>
        <w:t>ządu Rzeczypospolitej Polskiej z dnia 19 grudnia 2019 r., tekst dostępny pod adresem: https://search.coe.int/cm/Pages/result_details.aspx?ObjectId=090000168000606a</w:t>
      </w:r>
      <w:r>
        <w:rPr>
          <w:rFonts w:asciiTheme="minorHAnsi" w:hAnsiTheme="minorHAnsi"/>
          <w:sz w:val="18"/>
          <w:szCs w:val="18"/>
          <w:shd w:val="clear" w:color="auto" w:fill="FFFFFF"/>
        </w:rPr>
        <w:t>.</w:t>
      </w:r>
    </w:p>
  </w:footnote>
  <w:footnote w:id="3">
    <w:p w:rsidR="00B4606C" w:rsidRPr="008D6043" w:rsidRDefault="00B4606C" w:rsidP="008D6043">
      <w:pPr>
        <w:pStyle w:val="Tekstprzypisudolnego"/>
        <w:rPr>
          <w:rFonts w:asciiTheme="minorHAnsi" w:hAnsiTheme="minorHAnsi"/>
          <w:sz w:val="18"/>
          <w:szCs w:val="18"/>
        </w:rPr>
      </w:pPr>
      <w:r w:rsidRPr="008D6043">
        <w:rPr>
          <w:rStyle w:val="Odwoanieprzypisudolnego"/>
          <w:rFonts w:asciiTheme="minorHAnsi" w:hAnsiTheme="minorHAnsi"/>
          <w:sz w:val="18"/>
          <w:szCs w:val="18"/>
        </w:rPr>
        <w:footnoteRef/>
      </w:r>
      <w:r>
        <w:rPr>
          <w:rFonts w:asciiTheme="minorHAnsi" w:hAnsiTheme="minorHAnsi"/>
          <w:sz w:val="18"/>
          <w:szCs w:val="18"/>
        </w:rPr>
        <w:t xml:space="preserve"> (brak rozwinięcia przypisu w oryginalnej komunikacji HFPC - przyp. MSZ)</w:t>
      </w:r>
    </w:p>
  </w:footnote>
  <w:footnote w:id="4">
    <w:p w:rsidR="00B4606C" w:rsidRPr="008D6043" w:rsidRDefault="00B4606C" w:rsidP="008D6043">
      <w:pPr>
        <w:pStyle w:val="Stopka1"/>
        <w:tabs>
          <w:tab w:val="left" w:pos="149"/>
        </w:tabs>
        <w:spacing w:line="252" w:lineRule="auto"/>
        <w:rPr>
          <w:rFonts w:asciiTheme="minorHAnsi" w:hAnsiTheme="minorHAnsi"/>
          <w:sz w:val="18"/>
          <w:szCs w:val="18"/>
        </w:rPr>
      </w:pPr>
      <w:r w:rsidRPr="008D6043">
        <w:rPr>
          <w:rFonts w:asciiTheme="minorHAnsi" w:hAnsiTheme="minorHAnsi"/>
          <w:sz w:val="18"/>
          <w:szCs w:val="18"/>
          <w:vertAlign w:val="superscript"/>
        </w:rPr>
        <w:footnoteRef/>
      </w:r>
      <w:r w:rsidRPr="008D6043">
        <w:rPr>
          <w:rFonts w:asciiTheme="minorHAnsi" w:hAnsiTheme="minorHAnsi"/>
          <w:sz w:val="18"/>
          <w:szCs w:val="18"/>
        </w:rPr>
        <w:tab/>
        <w:t xml:space="preserve">Końcowe uwagi Komitetu przeciwko Torturom przyjęte przez Komitet na jego 67. posiedzeniu (22 lipca – 9 sierpnia 2019 r.), dostępne pod adresem: </w:t>
      </w:r>
      <w:hyperlink r:id="rId2" w:history="1">
        <w:r w:rsidRPr="008D6043">
          <w:rPr>
            <w:rStyle w:val="Hipercze"/>
            <w:rFonts w:asciiTheme="minorHAnsi" w:hAnsiTheme="minorHAnsi"/>
            <w:sz w:val="18"/>
            <w:szCs w:val="18"/>
          </w:rPr>
          <w:t>https://tbinternet.ohchr.org/Treaties/CAT/Shared%20Documents/POL/CAT_C_POL_CO_7_35715_E.pdf</w:t>
        </w:r>
      </w:hyperlink>
    </w:p>
  </w:footnote>
  <w:footnote w:id="5">
    <w:p w:rsidR="00B4606C" w:rsidRPr="008D6043" w:rsidRDefault="00B4606C" w:rsidP="008D6043">
      <w:pPr>
        <w:pStyle w:val="Stopka1"/>
        <w:tabs>
          <w:tab w:val="left" w:pos="182"/>
        </w:tabs>
        <w:spacing w:line="252" w:lineRule="auto"/>
        <w:rPr>
          <w:rFonts w:asciiTheme="minorHAnsi" w:hAnsiTheme="minorHAnsi"/>
          <w:sz w:val="18"/>
          <w:szCs w:val="18"/>
        </w:rPr>
      </w:pPr>
      <w:r w:rsidRPr="008D6043">
        <w:rPr>
          <w:rFonts w:asciiTheme="minorHAnsi" w:hAnsiTheme="minorHAnsi"/>
          <w:sz w:val="18"/>
          <w:szCs w:val="18"/>
          <w:vertAlign w:val="superscript"/>
        </w:rPr>
        <w:footnoteRef/>
      </w:r>
      <w:r w:rsidRPr="008D6043">
        <w:rPr>
          <w:rFonts w:asciiTheme="minorHAnsi" w:hAnsiTheme="minorHAnsi"/>
          <w:sz w:val="18"/>
          <w:szCs w:val="18"/>
        </w:rPr>
        <w:tab/>
        <w:t xml:space="preserve">B. Pilitowski, </w:t>
      </w:r>
      <w:r w:rsidRPr="008D6043">
        <w:rPr>
          <w:rFonts w:asciiTheme="minorHAnsi" w:hAnsiTheme="minorHAnsi"/>
          <w:i/>
          <w:iCs/>
          <w:sz w:val="18"/>
          <w:szCs w:val="18"/>
        </w:rPr>
        <w:t>Aktualna praktyka stosowania tymczasowego aresztowania</w:t>
      </w:r>
      <w:r w:rsidRPr="008D6043">
        <w:rPr>
          <w:rFonts w:asciiTheme="minorHAnsi" w:hAnsiTheme="minorHAnsi"/>
          <w:sz w:val="18"/>
          <w:szCs w:val="18"/>
        </w:rPr>
        <w:t xml:space="preserve"> w </w:t>
      </w:r>
      <w:r w:rsidRPr="008D6043">
        <w:rPr>
          <w:rFonts w:asciiTheme="minorHAnsi" w:hAnsiTheme="minorHAnsi"/>
          <w:i/>
          <w:iCs/>
          <w:sz w:val="18"/>
          <w:szCs w:val="18"/>
        </w:rPr>
        <w:t>Polsce. Raport z badań</w:t>
      </w:r>
    </w:p>
    <w:p w:rsidR="00B4606C" w:rsidRPr="008D6043" w:rsidRDefault="00B4606C" w:rsidP="008D6043">
      <w:pPr>
        <w:pStyle w:val="Stopka1"/>
        <w:tabs>
          <w:tab w:val="left" w:pos="2554"/>
          <w:tab w:val="left" w:pos="4474"/>
          <w:tab w:val="left" w:pos="6341"/>
          <w:tab w:val="left" w:pos="8496"/>
        </w:tabs>
        <w:spacing w:line="252" w:lineRule="auto"/>
        <w:rPr>
          <w:rFonts w:asciiTheme="minorHAnsi" w:hAnsiTheme="minorHAnsi"/>
          <w:sz w:val="18"/>
          <w:szCs w:val="18"/>
        </w:rPr>
      </w:pPr>
      <w:r w:rsidRPr="008D6043">
        <w:rPr>
          <w:rFonts w:asciiTheme="minorHAnsi" w:hAnsiTheme="minorHAnsi"/>
          <w:i/>
          <w:iCs/>
          <w:sz w:val="18"/>
          <w:szCs w:val="18"/>
        </w:rPr>
        <w:t>empirycznych,</w:t>
      </w:r>
      <w:r w:rsidRPr="008D6043">
        <w:rPr>
          <w:rFonts w:asciiTheme="minorHAnsi" w:hAnsiTheme="minorHAnsi"/>
          <w:sz w:val="18"/>
          <w:szCs w:val="18"/>
        </w:rPr>
        <w:t xml:space="preserve"> Toruń 2019, tekst dostępny pod adresem: </w:t>
      </w:r>
      <w:hyperlink r:id="rId3" w:history="1">
        <w:r w:rsidRPr="008D6043">
          <w:rPr>
            <w:rStyle w:val="Hipercze"/>
            <w:rFonts w:asciiTheme="minorHAnsi" w:hAnsiTheme="minorHAnsi"/>
            <w:sz w:val="18"/>
            <w:szCs w:val="18"/>
          </w:rPr>
          <w:t>https://courtwatch.pl/wp-content/uploads/2019/12/tymczasowe_aresztowania_FCWP.pdf</w:t>
        </w:r>
      </w:hyperlink>
      <w:r w:rsidRPr="008D6043">
        <w:rPr>
          <w:rFonts w:asciiTheme="minorHAnsi" w:hAnsiTheme="minorHAnsi"/>
          <w:sz w:val="18"/>
          <w:szCs w:val="18"/>
        </w:rPr>
        <w:t>.</w:t>
      </w:r>
    </w:p>
  </w:footnote>
  <w:footnote w:id="6">
    <w:p w:rsidR="00B4606C" w:rsidRPr="008D6043" w:rsidRDefault="00B4606C" w:rsidP="008D6043">
      <w:pPr>
        <w:pStyle w:val="Stopka1"/>
        <w:tabs>
          <w:tab w:val="left" w:pos="168"/>
        </w:tabs>
        <w:spacing w:line="252" w:lineRule="auto"/>
        <w:rPr>
          <w:rFonts w:asciiTheme="minorHAnsi" w:hAnsiTheme="minorHAnsi"/>
          <w:sz w:val="18"/>
          <w:szCs w:val="18"/>
        </w:rPr>
      </w:pPr>
      <w:r w:rsidRPr="008D6043">
        <w:rPr>
          <w:rFonts w:asciiTheme="minorHAnsi" w:hAnsiTheme="minorHAnsi"/>
          <w:i/>
          <w:iCs/>
          <w:sz w:val="18"/>
          <w:szCs w:val="18"/>
          <w:vertAlign w:val="superscript"/>
        </w:rPr>
        <w:footnoteRef/>
      </w:r>
      <w:r w:rsidRPr="008D6043">
        <w:rPr>
          <w:rFonts w:asciiTheme="minorHAnsi" w:hAnsiTheme="minorHAnsi"/>
          <w:i/>
          <w:iCs/>
          <w:sz w:val="18"/>
          <w:szCs w:val="18"/>
        </w:rPr>
        <w:tab/>
        <w:t>Ibidem,</w:t>
      </w:r>
      <w:r w:rsidRPr="008D6043">
        <w:rPr>
          <w:rFonts w:asciiTheme="minorHAnsi" w:hAnsiTheme="minorHAnsi"/>
          <w:sz w:val="18"/>
          <w:szCs w:val="18"/>
        </w:rPr>
        <w:t xml:space="preserve"> s. 2.</w:t>
      </w:r>
    </w:p>
  </w:footnote>
  <w:footnote w:id="7">
    <w:p w:rsidR="00B4606C" w:rsidRPr="00AB13E6" w:rsidRDefault="00B4606C" w:rsidP="00AB13E6">
      <w:pPr>
        <w:pStyle w:val="Stopka1"/>
        <w:tabs>
          <w:tab w:val="left" w:pos="173"/>
        </w:tabs>
        <w:spacing w:line="252" w:lineRule="auto"/>
        <w:rPr>
          <w:rFonts w:asciiTheme="minorHAnsi" w:hAnsiTheme="minorHAnsi"/>
          <w:sz w:val="18"/>
          <w:szCs w:val="18"/>
        </w:rPr>
      </w:pPr>
      <w:r w:rsidRPr="008D6043">
        <w:rPr>
          <w:rFonts w:asciiTheme="minorHAnsi" w:hAnsiTheme="minorHAnsi"/>
          <w:sz w:val="18"/>
          <w:szCs w:val="18"/>
          <w:vertAlign w:val="superscript"/>
        </w:rPr>
        <w:footnoteRef/>
      </w:r>
      <w:r w:rsidRPr="008D6043">
        <w:rPr>
          <w:rFonts w:asciiTheme="minorHAnsi" w:hAnsiTheme="minorHAnsi"/>
          <w:sz w:val="18"/>
          <w:szCs w:val="18"/>
        </w:rPr>
        <w:tab/>
        <w:t xml:space="preserve">A. Klepczyński, P. Kładoczny, K. Wiśniewska, </w:t>
      </w:r>
      <w:r w:rsidRPr="008D6043">
        <w:rPr>
          <w:rFonts w:asciiTheme="minorHAnsi" w:hAnsiTheme="minorHAnsi"/>
          <w:i/>
          <w:iCs/>
          <w:sz w:val="18"/>
          <w:szCs w:val="18"/>
        </w:rPr>
        <w:t>Tymczasowe aresztowanie – (nie)tymczasowy problem. Analiza aktualnej praktyki stosowania tymczasowego aresztowania,</w:t>
      </w:r>
      <w:r w:rsidRPr="008D6043">
        <w:rPr>
          <w:rFonts w:asciiTheme="minorHAnsi" w:hAnsiTheme="minorHAnsi"/>
          <w:sz w:val="18"/>
          <w:szCs w:val="18"/>
        </w:rPr>
        <w:t xml:space="preserve"> lipiec 2019 r., tekst dostępny pod adresem: </w:t>
      </w:r>
      <w:hyperlink r:id="rId4" w:history="1">
        <w:r w:rsidRPr="00AB13E6">
          <w:rPr>
            <w:rStyle w:val="Hipercze"/>
            <w:rFonts w:asciiTheme="minorHAnsi" w:hAnsiTheme="minorHAnsi"/>
            <w:sz w:val="18"/>
            <w:szCs w:val="18"/>
          </w:rPr>
          <w:t>http://www.hfhr.pl/wp-content/uploads/2019/07/HFPC_Raport_-Tymczasowe-aresztowanie-nietymczasowy-problem-EN.pdf</w:t>
        </w:r>
      </w:hyperlink>
      <w:r w:rsidRPr="00AB13E6">
        <w:rPr>
          <w:rFonts w:asciiTheme="minorHAnsi" w:hAnsiTheme="minorHAnsi"/>
          <w:sz w:val="18"/>
          <w:szCs w:val="18"/>
        </w:rPr>
        <w:t xml:space="preserve"> </w:t>
      </w:r>
    </w:p>
  </w:footnote>
  <w:footnote w:id="8">
    <w:p w:rsidR="00B4606C" w:rsidRPr="00AB13E6" w:rsidRDefault="00B4606C" w:rsidP="00AB13E6">
      <w:pPr>
        <w:pStyle w:val="Stopka1"/>
        <w:tabs>
          <w:tab w:val="left" w:pos="314"/>
        </w:tabs>
        <w:rPr>
          <w:rFonts w:asciiTheme="minorHAnsi" w:hAnsiTheme="minorHAnsi"/>
          <w:sz w:val="18"/>
          <w:szCs w:val="18"/>
        </w:rPr>
      </w:pPr>
      <w:r w:rsidRPr="00AB13E6">
        <w:rPr>
          <w:rFonts w:asciiTheme="minorHAnsi" w:hAnsiTheme="minorHAnsi"/>
          <w:sz w:val="18"/>
          <w:szCs w:val="18"/>
          <w:shd w:val="clear" w:color="auto" w:fill="FFFFFF"/>
          <w:vertAlign w:val="superscript"/>
        </w:rPr>
        <w:footnoteRef/>
      </w:r>
      <w:r w:rsidRPr="00AB13E6">
        <w:rPr>
          <w:rFonts w:asciiTheme="minorHAnsi" w:hAnsiTheme="minorHAnsi"/>
          <w:sz w:val="18"/>
          <w:szCs w:val="18"/>
        </w:rPr>
        <w:tab/>
        <w:t xml:space="preserve">Tabela została opracowana na podstawie sprawozdań z działalności powszechnych jednostek organizacyjnych prokuratury w sprawach karnych za lata 2009-2018 opublikowanych przez Prokuraturę Krajową pod adresem: </w:t>
      </w:r>
      <w:hyperlink r:id="rId5" w:history="1">
        <w:r w:rsidRPr="00AB13E6">
          <w:rPr>
            <w:rStyle w:val="Hipercze"/>
            <w:rFonts w:asciiTheme="minorHAnsi" w:hAnsiTheme="minorHAnsi"/>
            <w:sz w:val="18"/>
            <w:szCs w:val="18"/>
          </w:rPr>
          <w:t>https://pk.gov.pl/dzialalnosc/sprawozdania-i-statystyki/</w:t>
        </w:r>
      </w:hyperlink>
      <w:r w:rsidRPr="00AB13E6">
        <w:rPr>
          <w:rFonts w:asciiTheme="minorHAnsi" w:hAnsiTheme="minorHAnsi"/>
          <w:sz w:val="18"/>
          <w:szCs w:val="18"/>
        </w:rPr>
        <w:t xml:space="preserve"> .</w:t>
      </w:r>
    </w:p>
  </w:footnote>
  <w:footnote w:id="9">
    <w:p w:rsidR="00B4606C" w:rsidRPr="007532E9" w:rsidRDefault="00B4606C" w:rsidP="007532E9">
      <w:pPr>
        <w:pStyle w:val="Podpistabeli0"/>
        <w:tabs>
          <w:tab w:val="left" w:pos="240"/>
        </w:tabs>
        <w:rPr>
          <w:rFonts w:asciiTheme="minorHAnsi" w:hAnsiTheme="minorHAnsi"/>
        </w:rPr>
      </w:pPr>
      <w:r w:rsidRPr="007532E9">
        <w:rPr>
          <w:rStyle w:val="Odwoanieprzypisudolnego"/>
          <w:rFonts w:asciiTheme="minorHAnsi" w:hAnsiTheme="minorHAnsi"/>
        </w:rPr>
        <w:footnoteRef/>
      </w:r>
      <w:r w:rsidRPr="007532E9">
        <w:rPr>
          <w:rFonts w:asciiTheme="minorHAnsi" w:hAnsiTheme="minorHAnsi"/>
        </w:rPr>
        <w:t xml:space="preserve"> Odpowiedź rządu RP na komunikację Helsińskiej Fundacji Praw Człowieka w przedmiocie wykonania wyroku ETPCz w sprawie </w:t>
      </w:r>
      <w:r>
        <w:rPr>
          <w:rFonts w:asciiTheme="minorHAnsi" w:hAnsiTheme="minorHAnsi"/>
          <w:i/>
        </w:rPr>
        <w:t>Burża p.</w:t>
      </w:r>
      <w:r w:rsidRPr="007532E9">
        <w:rPr>
          <w:rFonts w:asciiTheme="minorHAnsi" w:hAnsiTheme="minorHAnsi"/>
          <w:i/>
        </w:rPr>
        <w:t xml:space="preserve"> Polsce</w:t>
      </w:r>
      <w:r w:rsidRPr="007532E9">
        <w:rPr>
          <w:rFonts w:asciiTheme="minorHAnsi" w:hAnsiTheme="minorHAnsi"/>
        </w:rPr>
        <w:t xml:space="preserve">, skarga nr 15333/15, 6 września 2019 r., s. 2, tekst dostępny pod adresem: </w:t>
      </w:r>
      <w:hyperlink r:id="rId6" w:history="1">
        <w:r w:rsidRPr="007532E9">
          <w:rPr>
            <w:rStyle w:val="Hipercze"/>
            <w:rFonts w:asciiTheme="minorHAnsi" w:hAnsiTheme="minorHAnsi"/>
          </w:rPr>
          <w:t>https</w:t>
        </w:r>
        <w:r w:rsidRPr="007532E9">
          <w:rPr>
            <w:rStyle w:val="Hipercze"/>
            <w:rFonts w:asciiTheme="minorHAnsi" w:hAnsiTheme="minorHAnsi"/>
            <w:smallCaps/>
          </w:rPr>
          <w:t>://</w:t>
        </w:r>
        <w:r w:rsidRPr="007532E9">
          <w:rPr>
            <w:rStyle w:val="Hipercze"/>
            <w:rFonts w:asciiTheme="minorHAnsi" w:hAnsiTheme="minorHAnsi"/>
          </w:rPr>
          <w:t>search.coe.int/cm/Pages/result_details.aspx?ObjectId=0900001680973322</w:t>
        </w:r>
      </w:hyperlink>
    </w:p>
  </w:footnote>
  <w:footnote w:id="10">
    <w:p w:rsidR="00B4606C" w:rsidRPr="007532E9" w:rsidRDefault="00B4606C" w:rsidP="007532E9">
      <w:pPr>
        <w:pStyle w:val="Podpistabeli0"/>
        <w:tabs>
          <w:tab w:val="left" w:pos="240"/>
        </w:tabs>
        <w:rPr>
          <w:rFonts w:asciiTheme="minorHAnsi" w:hAnsiTheme="minorHAnsi"/>
        </w:rPr>
      </w:pPr>
      <w:r w:rsidRPr="007532E9">
        <w:rPr>
          <w:rStyle w:val="Odwoanieprzypisudolnego"/>
          <w:rFonts w:asciiTheme="minorHAnsi" w:hAnsiTheme="minorHAnsi"/>
        </w:rPr>
        <w:footnoteRef/>
      </w:r>
      <w:r w:rsidRPr="007532E9">
        <w:rPr>
          <w:rFonts w:asciiTheme="minorHAnsi" w:hAnsiTheme="minorHAnsi"/>
        </w:rPr>
        <w:t xml:space="preserve"> Komenda Główna Policji, </w:t>
      </w:r>
      <w:r w:rsidRPr="007532E9">
        <w:rPr>
          <w:rFonts w:asciiTheme="minorHAnsi" w:hAnsiTheme="minorHAnsi"/>
          <w:i/>
        </w:rPr>
        <w:t>Mniej Przestępstw w 2018 roku</w:t>
      </w:r>
      <w:r w:rsidRPr="007532E9">
        <w:rPr>
          <w:rFonts w:asciiTheme="minorHAnsi" w:hAnsiTheme="minorHAnsi"/>
        </w:rPr>
        <w:t xml:space="preserve">, komunikat prasowy z dnia 31 stycznia 2019 r., tekst dostępny pod adresem: </w:t>
      </w:r>
      <w:hyperlink r:id="rId7" w:history="1">
        <w:r w:rsidRPr="007532E9">
          <w:rPr>
            <w:rStyle w:val="Hipercze"/>
            <w:rFonts w:asciiTheme="minorHAnsi" w:hAnsiTheme="minorHAnsi"/>
          </w:rPr>
          <w:t>http://www.policja.pl/pol/aktualnosci/169053.Mniej-przestepstw-w-2018-roku.html</w:t>
        </w:r>
      </w:hyperlink>
      <w:r w:rsidRPr="007532E9">
        <w:rPr>
          <w:rFonts w:asciiTheme="minorHAnsi" w:hAnsiTheme="minorHAnsi"/>
        </w:rPr>
        <w:t xml:space="preserve"> .</w:t>
      </w:r>
    </w:p>
  </w:footnote>
  <w:footnote w:id="11">
    <w:p w:rsidR="00B4606C" w:rsidRPr="007532E9" w:rsidRDefault="00B4606C" w:rsidP="007532E9">
      <w:pPr>
        <w:pStyle w:val="Stopka1"/>
        <w:tabs>
          <w:tab w:val="left" w:pos="314"/>
        </w:tabs>
        <w:rPr>
          <w:rFonts w:asciiTheme="minorHAnsi" w:hAnsiTheme="minorHAnsi"/>
          <w:sz w:val="18"/>
          <w:szCs w:val="18"/>
        </w:rPr>
      </w:pPr>
      <w:r w:rsidRPr="007532E9">
        <w:rPr>
          <w:rFonts w:asciiTheme="minorHAnsi" w:hAnsiTheme="minorHAnsi"/>
          <w:sz w:val="18"/>
          <w:szCs w:val="18"/>
          <w:shd w:val="clear" w:color="auto" w:fill="FFFFFF"/>
          <w:vertAlign w:val="superscript"/>
        </w:rPr>
        <w:footnoteRef/>
      </w:r>
      <w:r w:rsidRPr="007532E9">
        <w:rPr>
          <w:rFonts w:asciiTheme="minorHAnsi" w:hAnsiTheme="minorHAnsi"/>
          <w:sz w:val="18"/>
          <w:szCs w:val="18"/>
        </w:rPr>
        <w:t>Tabela została opracowana na podstawie danych statystycznych opublikowanych przez Służbę Więzienną pod adresem:</w:t>
      </w:r>
      <w:r>
        <w:rPr>
          <w:rFonts w:asciiTheme="minorHAnsi" w:hAnsiTheme="minorHAnsi"/>
          <w:sz w:val="18"/>
          <w:szCs w:val="18"/>
        </w:rPr>
        <w:t xml:space="preserve"> </w:t>
      </w:r>
      <w:hyperlink r:id="rId8" w:history="1">
        <w:r w:rsidRPr="007532E9">
          <w:rPr>
            <w:rStyle w:val="Hipercze"/>
            <w:rFonts w:asciiTheme="minorHAnsi" w:hAnsiTheme="minorHAnsi"/>
            <w:sz w:val="18"/>
            <w:szCs w:val="18"/>
          </w:rPr>
          <w:t>https://www.sw.gov.pl/strona/statystyka-roczna</w:t>
        </w:r>
      </w:hyperlink>
      <w:r w:rsidRPr="007532E9">
        <w:rPr>
          <w:rFonts w:asciiTheme="minorHAnsi" w:hAnsiTheme="minorHAnsi"/>
          <w:sz w:val="18"/>
          <w:szCs w:val="18"/>
        </w:rPr>
        <w:t>.</w:t>
      </w:r>
    </w:p>
  </w:footnote>
  <w:footnote w:id="12">
    <w:p w:rsidR="00B4606C" w:rsidRPr="007532E9" w:rsidRDefault="00B4606C" w:rsidP="007532E9">
      <w:pPr>
        <w:pStyle w:val="Tekstprzypisudolnego"/>
        <w:rPr>
          <w:rFonts w:asciiTheme="minorHAnsi" w:eastAsia="Times New Roman" w:hAnsiTheme="minorHAnsi" w:cs="Times New Roman"/>
          <w:sz w:val="18"/>
          <w:szCs w:val="18"/>
          <w:shd w:val="clear" w:color="auto" w:fill="FFFFFF"/>
          <w:vertAlign w:val="superscript"/>
        </w:rPr>
      </w:pPr>
      <w:r w:rsidRPr="007532E9">
        <w:rPr>
          <w:rFonts w:asciiTheme="minorHAnsi" w:eastAsia="Times New Roman" w:hAnsiTheme="minorHAnsi" w:cs="Times New Roman"/>
          <w:sz w:val="18"/>
          <w:szCs w:val="18"/>
          <w:shd w:val="clear" w:color="auto" w:fill="FFFFFF"/>
          <w:vertAlign w:val="superscript"/>
        </w:rPr>
        <w:footnoteRef/>
      </w:r>
      <w:r w:rsidRPr="007532E9">
        <w:rPr>
          <w:rFonts w:asciiTheme="minorHAnsi" w:hAnsiTheme="minorHAnsi"/>
          <w:sz w:val="18"/>
          <w:szCs w:val="18"/>
        </w:rPr>
        <w:t xml:space="preserve"> Dane uzyskane ze strony internetowej Służby Więziennej, dostępne pod </w:t>
      </w:r>
      <w:r>
        <w:rPr>
          <w:rFonts w:asciiTheme="minorHAnsi" w:hAnsiTheme="minorHAnsi"/>
          <w:sz w:val="18"/>
          <w:szCs w:val="18"/>
        </w:rPr>
        <w:t>a</w:t>
      </w:r>
      <w:r w:rsidRPr="007532E9">
        <w:rPr>
          <w:rFonts w:asciiTheme="minorHAnsi" w:hAnsiTheme="minorHAnsi"/>
          <w:sz w:val="18"/>
          <w:szCs w:val="18"/>
        </w:rPr>
        <w:t>dresem:</w:t>
      </w:r>
      <w:r>
        <w:rPr>
          <w:rFonts w:asciiTheme="minorHAnsi" w:hAnsiTheme="minorHAnsi"/>
          <w:sz w:val="18"/>
          <w:szCs w:val="18"/>
        </w:rPr>
        <w:t xml:space="preserve"> </w:t>
      </w:r>
      <w:hyperlink r:id="rId9" w:history="1">
        <w:r w:rsidRPr="007532E9">
          <w:rPr>
            <w:rStyle w:val="Hipercze"/>
            <w:rFonts w:asciiTheme="minorHAnsi" w:hAnsiTheme="minorHAnsi"/>
            <w:sz w:val="18"/>
            <w:szCs w:val="18"/>
          </w:rPr>
          <w:t>https://www.sw.gov.pl/assets/50/86/16/fa8131bad0166d68585ccef75281d612deb0906.pdf</w:t>
        </w:r>
      </w:hyperlink>
    </w:p>
  </w:footnote>
  <w:footnote w:id="13">
    <w:p w:rsidR="00B4606C" w:rsidRPr="007532E9" w:rsidRDefault="00B4606C" w:rsidP="009C7E99">
      <w:pPr>
        <w:pStyle w:val="Tekstprzypisudolnego"/>
        <w:rPr>
          <w:rFonts w:asciiTheme="minorHAnsi" w:hAnsiTheme="minorHAnsi" w:cs="Times New Roman"/>
          <w:sz w:val="18"/>
          <w:szCs w:val="18"/>
        </w:rPr>
      </w:pPr>
      <w:r w:rsidRPr="007532E9">
        <w:rPr>
          <w:rStyle w:val="Odwoanieprzypisudolnego"/>
          <w:rFonts w:asciiTheme="minorHAnsi" w:hAnsiTheme="minorHAnsi" w:cs="Times New Roman"/>
          <w:sz w:val="18"/>
          <w:szCs w:val="18"/>
        </w:rPr>
        <w:footnoteRef/>
      </w:r>
      <w:r w:rsidRPr="007532E9">
        <w:rPr>
          <w:rFonts w:asciiTheme="minorHAnsi" w:hAnsiTheme="minorHAnsi"/>
          <w:sz w:val="18"/>
          <w:szCs w:val="18"/>
        </w:rPr>
        <w:t xml:space="preserve"> Tabela została opracowana na podstawie sprawozdań z działalności powszechnych jednostek organizacyjnych prokuratury w sprawach karnych za lata 2009–2018 opublikowanych przez Prokuraturę Krajową pod adresem: </w:t>
      </w:r>
      <w:hyperlink r:id="rId10" w:history="1">
        <w:r w:rsidRPr="007532E9">
          <w:rPr>
            <w:rStyle w:val="Hipercze"/>
            <w:rFonts w:asciiTheme="minorHAnsi" w:hAnsiTheme="minorHAnsi"/>
            <w:sz w:val="18"/>
            <w:szCs w:val="18"/>
          </w:rPr>
          <w:t>https://pk.gov.pl/dzialalnosc/sprawozdania-i-statystyki/</w:t>
        </w:r>
      </w:hyperlink>
      <w:r w:rsidRPr="007532E9">
        <w:rPr>
          <w:rFonts w:asciiTheme="minorHAnsi" w:hAnsiTheme="minorHAnsi"/>
          <w:sz w:val="18"/>
          <w:szCs w:val="18"/>
        </w:rPr>
        <w:t>.</w:t>
      </w:r>
    </w:p>
  </w:footnote>
  <w:footnote w:id="14">
    <w:p w:rsidR="00B4606C" w:rsidRPr="0045422F" w:rsidRDefault="00B4606C" w:rsidP="00AB13E6">
      <w:pPr>
        <w:pStyle w:val="Tekstprzypisudolnego"/>
        <w:spacing w:before="120"/>
        <w:rPr>
          <w:rFonts w:asciiTheme="minorHAnsi" w:hAnsiTheme="minorHAnsi" w:cs="Times New Roman"/>
          <w:color w:val="auto"/>
          <w:sz w:val="18"/>
          <w:szCs w:val="18"/>
        </w:rPr>
      </w:pPr>
      <w:r w:rsidRPr="0045422F">
        <w:rPr>
          <w:rStyle w:val="Odwoanieprzypisudolnego"/>
          <w:rFonts w:asciiTheme="minorHAnsi" w:hAnsiTheme="minorHAnsi" w:cs="Times New Roman"/>
          <w:sz w:val="18"/>
          <w:szCs w:val="18"/>
        </w:rPr>
        <w:footnoteRef/>
      </w:r>
      <w:r w:rsidRPr="0045422F">
        <w:rPr>
          <w:rFonts w:asciiTheme="minorHAnsi" w:hAnsiTheme="minorHAnsi"/>
          <w:sz w:val="18"/>
          <w:szCs w:val="18"/>
        </w:rPr>
        <w:t xml:space="preserve"> Tabela została opracowana na podstawie sprawozdań z działalności powszechnych jednostek organizacyjnych prokuratury w sprawach karnych za lata 2009–2018 opublikowanych przez Prokuraturę Krajową pod adresem: </w:t>
      </w:r>
      <w:hyperlink r:id="rId11" w:history="1">
        <w:r w:rsidRPr="0045422F">
          <w:rPr>
            <w:rStyle w:val="Hipercze"/>
            <w:rFonts w:asciiTheme="minorHAnsi" w:hAnsiTheme="minorHAnsi"/>
            <w:sz w:val="18"/>
            <w:szCs w:val="18"/>
          </w:rPr>
          <w:t>https://pk.gov.pl/dzialalnosc/sprawozdania-i-statystyki/_and_</w:t>
        </w:r>
      </w:hyperlink>
      <w:r w:rsidRPr="0045422F">
        <w:rPr>
          <w:rFonts w:asciiTheme="minorHAnsi" w:hAnsiTheme="minorHAnsi"/>
          <w:sz w:val="18"/>
          <w:szCs w:val="18"/>
        </w:rPr>
        <w:t xml:space="preserve">, na podstawie danych statystycznych pt. </w:t>
      </w:r>
      <w:r w:rsidRPr="0045422F">
        <w:rPr>
          <w:rFonts w:asciiTheme="minorHAnsi" w:hAnsiTheme="minorHAnsi"/>
          <w:i/>
          <w:iCs/>
          <w:sz w:val="18"/>
          <w:szCs w:val="18"/>
        </w:rPr>
        <w:t>Środki zapobiegawcze orzeczone przez sądy rejonowe i okręgowe</w:t>
      </w:r>
      <w:r w:rsidRPr="0045422F">
        <w:rPr>
          <w:rFonts w:asciiTheme="minorHAnsi" w:hAnsiTheme="minorHAnsi"/>
          <w:sz w:val="18"/>
          <w:szCs w:val="18"/>
        </w:rPr>
        <w:t xml:space="preserve"> w </w:t>
      </w:r>
      <w:r w:rsidRPr="0045422F">
        <w:rPr>
          <w:rFonts w:asciiTheme="minorHAnsi" w:hAnsiTheme="minorHAnsi"/>
          <w:i/>
          <w:iCs/>
          <w:sz w:val="18"/>
          <w:szCs w:val="18"/>
        </w:rPr>
        <w:t>latach 2005–2018</w:t>
      </w:r>
      <w:r w:rsidRPr="0045422F">
        <w:rPr>
          <w:rFonts w:asciiTheme="minorHAnsi" w:hAnsiTheme="minorHAnsi"/>
          <w:sz w:val="18"/>
          <w:szCs w:val="18"/>
        </w:rPr>
        <w:t xml:space="preserve">, opublikowanych przez Ministerstwo Sprawiedliwości pod adresem: </w:t>
      </w:r>
      <w:hyperlink r:id="rId12" w:history="1">
        <w:r w:rsidRPr="0045422F">
          <w:rPr>
            <w:rStyle w:val="Hipercze"/>
            <w:rFonts w:asciiTheme="minorHAnsi" w:hAnsiTheme="minorHAnsi"/>
            <w:sz w:val="18"/>
            <w:szCs w:val="18"/>
          </w:rPr>
          <w:t>https://isws.ms.gov.pl/pl/baza-statystyczna/opracowania-wieloletnie/download.2853.52.html</w:t>
        </w:r>
      </w:hyperlink>
    </w:p>
  </w:footnote>
  <w:footnote w:id="15">
    <w:p w:rsidR="00B4606C" w:rsidRPr="00AB13E6" w:rsidRDefault="00B4606C" w:rsidP="00AB13E6">
      <w:pPr>
        <w:pStyle w:val="Tekstprzypisudolnego"/>
        <w:spacing w:before="120"/>
        <w:rPr>
          <w:rFonts w:asciiTheme="minorHAnsi" w:hAnsiTheme="minorHAnsi" w:cs="Times New Roman"/>
          <w:sz w:val="18"/>
          <w:szCs w:val="18"/>
        </w:rPr>
      </w:pPr>
      <w:r w:rsidRPr="0045422F">
        <w:rPr>
          <w:rStyle w:val="Odwoanieprzypisudolnego"/>
          <w:rFonts w:asciiTheme="minorHAnsi" w:hAnsiTheme="minorHAnsi" w:cs="Times New Roman"/>
          <w:sz w:val="18"/>
          <w:szCs w:val="18"/>
        </w:rPr>
        <w:footnoteRef/>
      </w:r>
      <w:r>
        <w:rPr>
          <w:rFonts w:asciiTheme="minorHAnsi" w:hAnsiTheme="minorHAnsi"/>
          <w:sz w:val="18"/>
          <w:szCs w:val="18"/>
        </w:rPr>
        <w:t xml:space="preserve"> </w:t>
      </w:r>
      <w:r w:rsidRPr="0045422F">
        <w:rPr>
          <w:rFonts w:asciiTheme="minorHAnsi" w:hAnsiTheme="minorHAnsi"/>
          <w:sz w:val="18"/>
          <w:szCs w:val="18"/>
        </w:rPr>
        <w:t>Wykres został opracowany na podstawie sprawozdań z działalności powszechnych jednostek organizacyjnych prokuratury w sprawach karnych za lata 2009-2018 opublikowanych przez Prokuraturę Krajową pod adresem:</w:t>
      </w:r>
      <w:r>
        <w:rPr>
          <w:rFonts w:asciiTheme="minorHAnsi" w:hAnsiTheme="minorHAnsi"/>
          <w:sz w:val="18"/>
          <w:szCs w:val="18"/>
        </w:rPr>
        <w:t xml:space="preserve"> </w:t>
      </w:r>
      <w:hyperlink r:id="rId13" w:history="1">
        <w:r w:rsidRPr="00AB13E6">
          <w:rPr>
            <w:rStyle w:val="Hipercze"/>
            <w:rFonts w:asciiTheme="minorHAnsi" w:hAnsiTheme="minorHAnsi"/>
            <w:sz w:val="18"/>
            <w:szCs w:val="18"/>
          </w:rPr>
          <w:t>https://pk.gov.pl/dzialalnosc/sprawozdania-i-statystyki/</w:t>
        </w:r>
      </w:hyperlink>
      <w:r w:rsidRPr="00AB13E6">
        <w:rPr>
          <w:rFonts w:asciiTheme="minorHAnsi" w:hAnsiTheme="minorHAnsi"/>
          <w:sz w:val="18"/>
          <w:szCs w:val="18"/>
        </w:rPr>
        <w:t>.</w:t>
      </w:r>
    </w:p>
  </w:footnote>
  <w:footnote w:id="16">
    <w:p w:rsidR="00B4606C" w:rsidRPr="00AB13E6" w:rsidRDefault="00B4606C" w:rsidP="00AB13E6">
      <w:pPr>
        <w:pStyle w:val="Tekstprzypisudolnego"/>
        <w:rPr>
          <w:rFonts w:asciiTheme="minorHAnsi" w:hAnsiTheme="minorHAnsi"/>
          <w:sz w:val="18"/>
          <w:szCs w:val="18"/>
        </w:rPr>
      </w:pPr>
      <w:r w:rsidRPr="00AB13E6">
        <w:rPr>
          <w:rStyle w:val="Odwoanieprzypisudolnego"/>
          <w:rFonts w:asciiTheme="minorHAnsi" w:hAnsiTheme="minorHAnsi" w:cs="Times New Roman"/>
          <w:sz w:val="18"/>
          <w:szCs w:val="18"/>
        </w:rPr>
        <w:footnoteRef/>
      </w:r>
      <w:r w:rsidRPr="00AB13E6">
        <w:rPr>
          <w:rFonts w:asciiTheme="minorHAnsi" w:hAnsiTheme="minorHAnsi"/>
          <w:sz w:val="18"/>
          <w:szCs w:val="18"/>
        </w:rPr>
        <w:t xml:space="preserve"> Wykres został opracowany na podstawie danych statystycznych pt.: </w:t>
      </w:r>
      <w:r w:rsidRPr="00AB13E6">
        <w:rPr>
          <w:rFonts w:asciiTheme="minorHAnsi" w:hAnsiTheme="minorHAnsi"/>
          <w:i/>
          <w:iCs/>
          <w:sz w:val="18"/>
          <w:szCs w:val="18"/>
        </w:rPr>
        <w:t>Środki zapobiegawcze orzeczone przez sądy rejonowe i okręgowe</w:t>
      </w:r>
      <w:r w:rsidRPr="00AB13E6">
        <w:rPr>
          <w:rFonts w:asciiTheme="minorHAnsi" w:hAnsiTheme="minorHAnsi"/>
          <w:sz w:val="18"/>
          <w:szCs w:val="18"/>
        </w:rPr>
        <w:t xml:space="preserve"> w </w:t>
      </w:r>
      <w:r w:rsidRPr="00AB13E6">
        <w:rPr>
          <w:rFonts w:asciiTheme="minorHAnsi" w:hAnsiTheme="minorHAnsi"/>
          <w:i/>
          <w:iCs/>
          <w:sz w:val="18"/>
          <w:szCs w:val="18"/>
        </w:rPr>
        <w:t>latach 2005-2018</w:t>
      </w:r>
      <w:r w:rsidRPr="00AB13E6">
        <w:rPr>
          <w:rFonts w:asciiTheme="minorHAnsi" w:hAnsiTheme="minorHAnsi"/>
          <w:sz w:val="18"/>
          <w:szCs w:val="18"/>
        </w:rPr>
        <w:t xml:space="preserve">, opublikowanych przez Ministerstwo Sprawiedliwości pod adresem: </w:t>
      </w:r>
      <w:hyperlink r:id="rId14" w:history="1">
        <w:r w:rsidRPr="00AB13E6">
          <w:rPr>
            <w:rStyle w:val="Hipercze"/>
            <w:rFonts w:asciiTheme="minorHAnsi" w:hAnsiTheme="minorHAnsi"/>
            <w:sz w:val="18"/>
            <w:szCs w:val="18"/>
          </w:rPr>
          <w:t>https://isws.ms.gov.pl/pl/baza-statystyczna/opracowania-wieloletnie/download.2853.52.html</w:t>
        </w:r>
      </w:hyperlink>
      <w:r w:rsidRPr="00AB13E6">
        <w:rPr>
          <w:rFonts w:asciiTheme="minorHAnsi" w:hAnsiTheme="minorHAnsi"/>
          <w:color w:val="auto"/>
          <w:sz w:val="18"/>
          <w:szCs w:val="18"/>
        </w:rPr>
        <w:t>.</w:t>
      </w:r>
    </w:p>
  </w:footnote>
  <w:footnote w:id="17">
    <w:p w:rsidR="00B4606C" w:rsidRPr="00AB13E6" w:rsidRDefault="00B4606C" w:rsidP="00AB13E6">
      <w:pPr>
        <w:pStyle w:val="Tekstprzypisudolnego"/>
        <w:rPr>
          <w:rFonts w:asciiTheme="minorHAnsi" w:hAnsiTheme="minorHAnsi"/>
          <w:sz w:val="18"/>
          <w:szCs w:val="18"/>
        </w:rPr>
      </w:pPr>
      <w:r w:rsidRPr="00AB13E6">
        <w:rPr>
          <w:rStyle w:val="Odwoanieprzypisudolnego"/>
          <w:rFonts w:asciiTheme="minorHAnsi" w:hAnsiTheme="minorHAnsi" w:cs="Times New Roman"/>
          <w:sz w:val="18"/>
          <w:szCs w:val="18"/>
        </w:rPr>
        <w:footnoteRef/>
      </w:r>
      <w:r w:rsidRPr="00AB13E6">
        <w:rPr>
          <w:rFonts w:asciiTheme="minorHAnsi" w:hAnsiTheme="minorHAnsi"/>
          <w:sz w:val="18"/>
          <w:szCs w:val="18"/>
        </w:rPr>
        <w:t xml:space="preserve"> Wykres został opracowany na podstawie danych statystycznych pt.: </w:t>
      </w:r>
      <w:r w:rsidRPr="00AB13E6">
        <w:rPr>
          <w:rFonts w:asciiTheme="minorHAnsi" w:hAnsiTheme="minorHAnsi"/>
          <w:i/>
          <w:iCs/>
          <w:sz w:val="18"/>
          <w:szCs w:val="18"/>
        </w:rPr>
        <w:t>Środki zapobiegawcze orzeczone przez sądy rejonowe i okręgowe w latach 2005-2018</w:t>
      </w:r>
      <w:r w:rsidRPr="00AB13E6">
        <w:rPr>
          <w:rFonts w:asciiTheme="minorHAnsi" w:hAnsiTheme="minorHAnsi"/>
          <w:sz w:val="18"/>
          <w:szCs w:val="18"/>
        </w:rPr>
        <w:t>, opublikowanych przez Ministerstwo Sprawiedliwości pod adresem:</w:t>
      </w:r>
      <w:hyperlink r:id="rId15" w:history="1">
        <w:r w:rsidRPr="00AB13E6">
          <w:rPr>
            <w:rStyle w:val="Hipercze"/>
            <w:rFonts w:asciiTheme="minorHAnsi" w:hAnsiTheme="minorHAnsi"/>
            <w:sz w:val="18"/>
            <w:szCs w:val="18"/>
          </w:rPr>
          <w:t>https://isws.ms.gov.pl/pl/baza-statystyczna/opracowania-wieloletnie/download.2853.52.html</w:t>
        </w:r>
      </w:hyperlink>
    </w:p>
  </w:footnote>
  <w:footnote w:id="18">
    <w:p w:rsidR="00B4606C" w:rsidRPr="00AB13E6" w:rsidRDefault="00B4606C" w:rsidP="009C7E99">
      <w:pPr>
        <w:pStyle w:val="Tekstprzypisudolnego"/>
        <w:rPr>
          <w:rFonts w:asciiTheme="minorHAnsi" w:hAnsiTheme="minorHAnsi"/>
        </w:rPr>
      </w:pPr>
      <w:r w:rsidRPr="00AB13E6">
        <w:rPr>
          <w:rStyle w:val="Odwoanieprzypisudolnego"/>
          <w:rFonts w:asciiTheme="minorHAnsi" w:hAnsiTheme="minorHAnsi" w:cs="Times New Roman"/>
          <w:sz w:val="18"/>
          <w:szCs w:val="18"/>
        </w:rPr>
        <w:footnoteRef/>
      </w:r>
      <w:r w:rsidRPr="00AB13E6">
        <w:rPr>
          <w:rFonts w:asciiTheme="minorHAnsi" w:hAnsiTheme="minorHAnsi"/>
          <w:sz w:val="18"/>
          <w:szCs w:val="18"/>
        </w:rPr>
        <w:t xml:space="preserve"> Pilitowski, </w:t>
      </w:r>
      <w:r w:rsidRPr="00AB13E6">
        <w:rPr>
          <w:rFonts w:asciiTheme="minorHAnsi" w:hAnsiTheme="minorHAnsi"/>
          <w:i/>
          <w:iCs/>
          <w:sz w:val="18"/>
          <w:szCs w:val="18"/>
        </w:rPr>
        <w:t>Aktualna praktyka...</w:t>
      </w:r>
      <w:r w:rsidRPr="00AB13E6">
        <w:rPr>
          <w:rFonts w:asciiTheme="minorHAnsi" w:hAnsiTheme="minorHAnsi"/>
          <w:sz w:val="18"/>
          <w:szCs w:val="18"/>
        </w:rPr>
        <w:t xml:space="preserve"> , s. 18.</w:t>
      </w:r>
    </w:p>
  </w:footnote>
  <w:footnote w:id="19">
    <w:p w:rsidR="00B4606C" w:rsidRPr="00AB13E6" w:rsidRDefault="00B4606C" w:rsidP="009C7E99">
      <w:pPr>
        <w:pStyle w:val="Tekstprzypisudolnego"/>
        <w:rPr>
          <w:rFonts w:asciiTheme="minorHAnsi" w:hAnsiTheme="minorHAnsi" w:cs="Times New Roman"/>
          <w:sz w:val="18"/>
          <w:szCs w:val="18"/>
        </w:rPr>
      </w:pPr>
      <w:r w:rsidRPr="00AB13E6">
        <w:rPr>
          <w:rStyle w:val="Odwoanieprzypisudolnego"/>
          <w:rFonts w:asciiTheme="minorHAnsi" w:hAnsiTheme="minorHAnsi" w:cs="Times New Roman"/>
          <w:sz w:val="18"/>
          <w:szCs w:val="18"/>
        </w:rPr>
        <w:footnoteRef/>
      </w:r>
      <w:r w:rsidRPr="00AB13E6">
        <w:rPr>
          <w:rFonts w:asciiTheme="minorHAnsi" w:hAnsiTheme="minorHAnsi"/>
          <w:i/>
          <w:iCs/>
          <w:sz w:val="18"/>
          <w:szCs w:val="18"/>
        </w:rPr>
        <w:t>Ibidem.,</w:t>
      </w:r>
      <w:r w:rsidRPr="00AB13E6">
        <w:rPr>
          <w:rFonts w:asciiTheme="minorHAnsi" w:hAnsiTheme="minorHAnsi"/>
          <w:sz w:val="18"/>
          <w:szCs w:val="18"/>
        </w:rPr>
        <w:t xml:space="preserve"> s. 8</w:t>
      </w:r>
    </w:p>
  </w:footnote>
  <w:footnote w:id="20">
    <w:p w:rsidR="00B4606C" w:rsidRPr="005900CF" w:rsidRDefault="00B4606C" w:rsidP="00624593">
      <w:pPr>
        <w:pStyle w:val="Stopka1"/>
        <w:tabs>
          <w:tab w:val="left" w:pos="115"/>
        </w:tabs>
        <w:rPr>
          <w:rFonts w:asciiTheme="minorHAnsi" w:hAnsiTheme="minorHAnsi"/>
          <w:sz w:val="18"/>
          <w:szCs w:val="18"/>
        </w:rPr>
      </w:pPr>
      <w:r w:rsidRPr="005900CF">
        <w:rPr>
          <w:rFonts w:asciiTheme="minorHAnsi" w:hAnsiTheme="minorHAnsi"/>
          <w:sz w:val="18"/>
          <w:szCs w:val="18"/>
          <w:vertAlign w:val="superscript"/>
        </w:rPr>
        <w:footnoteRef/>
      </w:r>
      <w:r w:rsidRPr="005900CF">
        <w:rPr>
          <w:rFonts w:asciiTheme="minorHAnsi" w:hAnsiTheme="minorHAnsi"/>
          <w:sz w:val="18"/>
          <w:szCs w:val="18"/>
        </w:rPr>
        <w:t xml:space="preserve"> Centrum Praw Reprodukcyjnych jest międzynarodową organizacją pozarządową z siedzibą w Nowym Jorku, która zajmuje się promowaniem wolności reprodukcyjnej jako podstawowego prawa człowieka, które wszystkie rządy są prawnie zobowiązane chronić, szanować i realizować.</w:t>
      </w:r>
    </w:p>
  </w:footnote>
  <w:footnote w:id="21">
    <w:p w:rsidR="00B4606C" w:rsidRPr="005900CF" w:rsidRDefault="00B4606C" w:rsidP="00624593">
      <w:pPr>
        <w:pStyle w:val="Stopka1"/>
        <w:tabs>
          <w:tab w:val="left" w:pos="110"/>
        </w:tabs>
        <w:jc w:val="both"/>
        <w:rPr>
          <w:rFonts w:asciiTheme="minorHAnsi" w:hAnsiTheme="minorHAnsi"/>
          <w:sz w:val="18"/>
          <w:szCs w:val="18"/>
        </w:rPr>
      </w:pPr>
      <w:r w:rsidRPr="005900CF">
        <w:rPr>
          <w:rFonts w:asciiTheme="minorHAnsi" w:hAnsiTheme="minorHAnsi"/>
          <w:sz w:val="18"/>
          <w:szCs w:val="18"/>
          <w:vertAlign w:val="superscript"/>
        </w:rPr>
        <w:footnoteRef/>
      </w:r>
      <w:r w:rsidRPr="005900CF">
        <w:rPr>
          <w:rFonts w:asciiTheme="minorHAnsi" w:hAnsiTheme="minorHAnsi"/>
          <w:sz w:val="18"/>
          <w:szCs w:val="18"/>
        </w:rPr>
        <w:t xml:space="preserve"> Federacja na rzecz Kobiet i Planowania Rodziny jest organizacją pozarządową z siedzibą w Polsce, która prowadzi działalność na skalę lokalną, regionalną i międzynarodową na rzecz praw reprodukcyjnych kobiet poprzez monitoring,</w:t>
      </w:r>
      <w:r>
        <w:t xml:space="preserve"> rzecznictwo i </w:t>
      </w:r>
      <w:r w:rsidRPr="005900CF">
        <w:rPr>
          <w:rFonts w:asciiTheme="minorHAnsi" w:hAnsiTheme="minorHAnsi"/>
          <w:sz w:val="18"/>
          <w:szCs w:val="18"/>
        </w:rPr>
        <w:t>działania edukacyjne, a także strategiczne spory sądowe przed sądami krajowymi i międzynarodowymi.</w:t>
      </w:r>
    </w:p>
  </w:footnote>
  <w:footnote w:id="22">
    <w:p w:rsidR="00B4606C" w:rsidRPr="005900CF" w:rsidRDefault="00B4606C" w:rsidP="00624593">
      <w:pPr>
        <w:pStyle w:val="Stopka1"/>
        <w:tabs>
          <w:tab w:val="left" w:pos="110"/>
        </w:tabs>
        <w:rPr>
          <w:rFonts w:asciiTheme="minorHAnsi" w:hAnsiTheme="minorHAnsi"/>
          <w:sz w:val="18"/>
          <w:szCs w:val="18"/>
        </w:rPr>
      </w:pPr>
      <w:r w:rsidRPr="005900CF">
        <w:rPr>
          <w:rFonts w:asciiTheme="minorHAnsi" w:hAnsiTheme="minorHAnsi"/>
          <w:sz w:val="18"/>
          <w:szCs w:val="18"/>
          <w:vertAlign w:val="superscript"/>
        </w:rPr>
        <w:footnoteRef/>
      </w:r>
      <w:r w:rsidRPr="005900CF">
        <w:rPr>
          <w:rFonts w:asciiTheme="minorHAnsi" w:hAnsiTheme="minorHAnsi"/>
          <w:sz w:val="18"/>
          <w:szCs w:val="18"/>
        </w:rPr>
        <w:t xml:space="preserve"> </w:t>
      </w:r>
      <w:r w:rsidRPr="005900CF">
        <w:rPr>
          <w:rFonts w:asciiTheme="minorHAnsi" w:hAnsiTheme="minorHAnsi"/>
          <w:i/>
          <w:sz w:val="18"/>
          <w:szCs w:val="18"/>
        </w:rPr>
        <w:t>P i S. p. Polsce,</w:t>
      </w:r>
      <w:r w:rsidRPr="005900CF">
        <w:rPr>
          <w:rFonts w:asciiTheme="minorHAnsi" w:hAnsiTheme="minorHAnsi"/>
          <w:sz w:val="18"/>
          <w:szCs w:val="18"/>
        </w:rPr>
        <w:t xml:space="preserve"> skarga nr 57375/08, paragraf 108.</w:t>
      </w:r>
    </w:p>
  </w:footnote>
  <w:footnote w:id="23">
    <w:p w:rsidR="00B4606C" w:rsidRPr="00CC3534" w:rsidRDefault="00B4606C" w:rsidP="00CC3534">
      <w:pPr>
        <w:pStyle w:val="Stopka1"/>
        <w:tabs>
          <w:tab w:val="left" w:pos="115"/>
        </w:tabs>
        <w:rPr>
          <w:rFonts w:asciiTheme="minorHAnsi" w:hAnsiTheme="minorHAnsi"/>
          <w:sz w:val="18"/>
          <w:szCs w:val="18"/>
        </w:rPr>
      </w:pPr>
      <w:r w:rsidRPr="00CC3534">
        <w:rPr>
          <w:rFonts w:asciiTheme="minorHAnsi" w:hAnsiTheme="minorHAnsi"/>
          <w:sz w:val="18"/>
          <w:szCs w:val="18"/>
          <w:vertAlign w:val="superscript"/>
        </w:rPr>
        <w:footnoteRef/>
      </w:r>
      <w:r w:rsidRPr="00CC3534">
        <w:rPr>
          <w:rFonts w:asciiTheme="minorHAnsi" w:hAnsiTheme="minorHAnsi"/>
          <w:sz w:val="18"/>
          <w:szCs w:val="18"/>
        </w:rPr>
        <w:t xml:space="preserve"> Komunikacja na podstawie Reguły 9 ust. 2 dwóch organizacji pozarządowych (Centrum Praw Reprodukcyjnych i Federacji na rzecz Kobiet i Planowania Rodziny) (22.02.2019 r.) w sprawie </w:t>
      </w:r>
      <w:r w:rsidRPr="00CC3534">
        <w:rPr>
          <w:rFonts w:asciiTheme="minorHAnsi" w:hAnsiTheme="minorHAnsi"/>
          <w:i/>
          <w:iCs/>
          <w:sz w:val="18"/>
          <w:szCs w:val="18"/>
        </w:rPr>
        <w:t>P i S. p. Polsce</w:t>
      </w:r>
      <w:r w:rsidRPr="00CC3534">
        <w:rPr>
          <w:rFonts w:asciiTheme="minorHAnsi" w:hAnsiTheme="minorHAnsi"/>
          <w:sz w:val="18"/>
          <w:szCs w:val="18"/>
        </w:rPr>
        <w:t xml:space="preserve"> (skarga nr 57375/08), DH-DD(2019)235; Komunikacja Centrum Praw Reprodukcyjnych i Federacji na rzecz Kobiet i Planowania Rodziny w sprawach </w:t>
      </w:r>
      <w:r w:rsidRPr="00CC3534">
        <w:rPr>
          <w:rFonts w:asciiTheme="minorHAnsi" w:hAnsiTheme="minorHAnsi"/>
          <w:i/>
          <w:iCs/>
          <w:sz w:val="18"/>
          <w:szCs w:val="18"/>
        </w:rPr>
        <w:t>P i S., R.R. p. Polsce</w:t>
      </w:r>
      <w:r w:rsidRPr="00CC3534">
        <w:rPr>
          <w:rFonts w:asciiTheme="minorHAnsi" w:hAnsiTheme="minorHAnsi"/>
          <w:sz w:val="18"/>
          <w:szCs w:val="18"/>
        </w:rPr>
        <w:t xml:space="preserve">, (24.08.2018 r.), dostępne pod adresem </w:t>
      </w:r>
      <w:hyperlink r:id="rId16" w:history="1">
        <w:r w:rsidRPr="00CC3534">
          <w:rPr>
            <w:rFonts w:asciiTheme="minorHAnsi" w:hAnsiTheme="minorHAnsi"/>
            <w:sz w:val="18"/>
            <w:szCs w:val="18"/>
          </w:rPr>
          <w:t>https://rm.coe.int/native/09000016808d297d</w:t>
        </w:r>
      </w:hyperlink>
      <w:r w:rsidRPr="00CC3534">
        <w:rPr>
          <w:rFonts w:asciiTheme="minorHAnsi" w:hAnsiTheme="minorHAnsi"/>
          <w:sz w:val="18"/>
          <w:szCs w:val="18"/>
        </w:rPr>
        <w:t xml:space="preserve">; Komunikacja Centrum Praw Reprodukcyjnych w sprawie </w:t>
      </w:r>
      <w:r w:rsidRPr="00CC3534">
        <w:rPr>
          <w:rFonts w:asciiTheme="minorHAnsi" w:hAnsiTheme="minorHAnsi"/>
          <w:i/>
          <w:iCs/>
          <w:sz w:val="18"/>
          <w:szCs w:val="18"/>
        </w:rPr>
        <w:t>P i S. p. Polsce</w:t>
      </w:r>
      <w:r w:rsidRPr="00CC3534">
        <w:rPr>
          <w:rFonts w:asciiTheme="minorHAnsi" w:hAnsiTheme="minorHAnsi"/>
          <w:sz w:val="18"/>
          <w:szCs w:val="18"/>
        </w:rPr>
        <w:t xml:space="preserve">, (13.09.2017 r.), dostępna pod adresem </w:t>
      </w:r>
      <w:hyperlink r:id="rId17" w:history="1">
        <w:r w:rsidRPr="00CC3534">
          <w:rPr>
            <w:rFonts w:asciiTheme="minorHAnsi" w:hAnsiTheme="minorHAnsi"/>
            <w:sz w:val="18"/>
            <w:szCs w:val="18"/>
          </w:rPr>
          <w:t>https://rm.coe.int/native/0900001680751a47</w:t>
        </w:r>
      </w:hyperlink>
      <w:r w:rsidRPr="00CC3534">
        <w:rPr>
          <w:rFonts w:asciiTheme="minorHAnsi" w:hAnsiTheme="minorHAnsi"/>
          <w:sz w:val="18"/>
          <w:szCs w:val="18"/>
        </w:rPr>
        <w:t xml:space="preserve">; Komunikacja Centrum Praw Reprodukcyjnych w sprawie </w:t>
      </w:r>
      <w:r w:rsidRPr="00CC3534">
        <w:rPr>
          <w:rFonts w:asciiTheme="minorHAnsi" w:hAnsiTheme="minorHAnsi"/>
          <w:i/>
          <w:iCs/>
          <w:sz w:val="18"/>
          <w:szCs w:val="18"/>
        </w:rPr>
        <w:t>P i S. p. Polsce</w:t>
      </w:r>
      <w:r w:rsidRPr="00CC3534">
        <w:rPr>
          <w:rFonts w:asciiTheme="minorHAnsi" w:hAnsiTheme="minorHAnsi"/>
          <w:sz w:val="18"/>
          <w:szCs w:val="18"/>
        </w:rPr>
        <w:t xml:space="preserve">, (28.09.2017 r.), dostępna pod adresem </w:t>
      </w:r>
      <w:hyperlink r:id="rId18" w:history="1">
        <w:r w:rsidRPr="00CC3534">
          <w:rPr>
            <w:rFonts w:asciiTheme="minorHAnsi" w:hAnsiTheme="minorHAnsi"/>
            <w:sz w:val="18"/>
            <w:szCs w:val="18"/>
          </w:rPr>
          <w:t>https://rm.coe.int/native/0900001680751a47</w:t>
        </w:r>
      </w:hyperlink>
      <w:r w:rsidRPr="00CC3534">
        <w:rPr>
          <w:rFonts w:asciiTheme="minorHAnsi" w:hAnsiTheme="minorHAnsi"/>
          <w:sz w:val="18"/>
          <w:szCs w:val="18"/>
        </w:rPr>
        <w:t xml:space="preserve">; Komunikacja Centrum Praw Reprodukcyjnych w sprawie </w:t>
      </w:r>
      <w:r w:rsidRPr="00CC3534">
        <w:rPr>
          <w:rFonts w:asciiTheme="minorHAnsi" w:hAnsiTheme="minorHAnsi"/>
          <w:i/>
          <w:iCs/>
          <w:sz w:val="18"/>
          <w:szCs w:val="18"/>
        </w:rPr>
        <w:t>R.R. p. Polsce</w:t>
      </w:r>
      <w:r w:rsidRPr="00CC3534">
        <w:rPr>
          <w:rFonts w:asciiTheme="minorHAnsi" w:hAnsiTheme="minorHAnsi"/>
          <w:sz w:val="18"/>
          <w:szCs w:val="18"/>
        </w:rPr>
        <w:t xml:space="preserve">, (02.09.2016 r.), dostępna pod adresem </w:t>
      </w:r>
      <w:hyperlink r:id="rId19" w:history="1">
        <w:r w:rsidRPr="00CC3534">
          <w:rPr>
            <w:rFonts w:asciiTheme="minorHAnsi" w:hAnsiTheme="minorHAnsi"/>
            <w:sz w:val="18"/>
            <w:szCs w:val="18"/>
          </w:rPr>
          <w:t>https://rm.coe.int/16806a950f</w:t>
        </w:r>
      </w:hyperlink>
      <w:r w:rsidRPr="00CC3534">
        <w:rPr>
          <w:rFonts w:asciiTheme="minorHAnsi" w:hAnsiTheme="minorHAnsi"/>
          <w:sz w:val="18"/>
          <w:szCs w:val="18"/>
        </w:rPr>
        <w:t xml:space="preserve">; Komunikacja Centrum Praw Reprodukcyjnych i Federacji na rzecz Kobiet i Planowania Rodziny w sprawie </w:t>
      </w:r>
      <w:r w:rsidRPr="00CC3534">
        <w:rPr>
          <w:rFonts w:asciiTheme="minorHAnsi" w:hAnsiTheme="minorHAnsi"/>
          <w:i/>
          <w:iCs/>
          <w:sz w:val="18"/>
          <w:szCs w:val="18"/>
        </w:rPr>
        <w:t>P i S. p. Polsce</w:t>
      </w:r>
      <w:r w:rsidRPr="00CC3534">
        <w:rPr>
          <w:rFonts w:asciiTheme="minorHAnsi" w:hAnsiTheme="minorHAnsi"/>
          <w:sz w:val="18"/>
          <w:szCs w:val="18"/>
        </w:rPr>
        <w:t xml:space="preserve">, (06.10.2014 r.), dostępna pod adresem </w:t>
      </w:r>
      <w:hyperlink r:id="rId20" w:history="1">
        <w:r w:rsidRPr="00CC3534">
          <w:rPr>
            <w:rFonts w:asciiTheme="minorHAnsi" w:hAnsiTheme="minorHAnsi"/>
            <w:sz w:val="18"/>
            <w:szCs w:val="18"/>
          </w:rPr>
          <w:t>https://rm.coe.int/native/09000016804a96bf.</w:t>
        </w:r>
      </w:hyperlink>
    </w:p>
  </w:footnote>
  <w:footnote w:id="24">
    <w:p w:rsidR="00B4606C" w:rsidRPr="00CC3534" w:rsidRDefault="00B4606C" w:rsidP="00624593">
      <w:pPr>
        <w:pStyle w:val="Stopka1"/>
        <w:tabs>
          <w:tab w:val="left" w:pos="110"/>
        </w:tabs>
        <w:rPr>
          <w:rFonts w:asciiTheme="minorHAnsi" w:hAnsiTheme="minorHAnsi"/>
          <w:sz w:val="18"/>
          <w:szCs w:val="18"/>
          <w:lang w:val="de-DE"/>
        </w:rPr>
      </w:pPr>
      <w:r w:rsidRPr="00CC3534">
        <w:rPr>
          <w:rFonts w:asciiTheme="minorHAnsi" w:hAnsiTheme="minorHAnsi"/>
          <w:sz w:val="18"/>
          <w:szCs w:val="18"/>
          <w:vertAlign w:val="superscript"/>
        </w:rPr>
        <w:footnoteRef/>
      </w:r>
      <w:r w:rsidRPr="00CC3534">
        <w:rPr>
          <w:rFonts w:asciiTheme="minorHAnsi" w:hAnsiTheme="minorHAnsi"/>
          <w:sz w:val="18"/>
          <w:szCs w:val="18"/>
          <w:lang w:val="de-DE"/>
        </w:rPr>
        <w:t xml:space="preserve"> </w:t>
      </w:r>
      <w:r w:rsidRPr="00CC3534">
        <w:rPr>
          <w:rFonts w:asciiTheme="minorHAnsi" w:hAnsiTheme="minorHAnsi"/>
          <w:i/>
          <w:iCs/>
          <w:sz w:val="18"/>
          <w:szCs w:val="18"/>
          <w:lang w:val="de-DE"/>
        </w:rPr>
        <w:t>Zob.</w:t>
      </w:r>
      <w:r w:rsidRPr="00CC3534">
        <w:rPr>
          <w:rFonts w:asciiTheme="minorHAnsi" w:hAnsiTheme="minorHAnsi"/>
          <w:sz w:val="18"/>
          <w:szCs w:val="18"/>
          <w:lang w:val="de-DE"/>
        </w:rPr>
        <w:t>: CM/Del/Dec(2019), 1340/H46-13, 1340/H46-31; CM/Del/Dec(2018), 1324/H46-15; CM/Del/Dec(2017), 1294/H46-19.</w:t>
      </w:r>
    </w:p>
  </w:footnote>
  <w:footnote w:id="25">
    <w:p w:rsidR="00B4606C" w:rsidRPr="00CC3534" w:rsidRDefault="00B4606C" w:rsidP="00624593">
      <w:pPr>
        <w:pStyle w:val="Stopka1"/>
        <w:tabs>
          <w:tab w:val="left" w:pos="101"/>
        </w:tabs>
        <w:rPr>
          <w:rFonts w:asciiTheme="minorHAnsi" w:hAnsiTheme="minorHAnsi"/>
          <w:sz w:val="18"/>
          <w:szCs w:val="18"/>
        </w:rPr>
      </w:pPr>
      <w:r w:rsidRPr="00CC3534">
        <w:rPr>
          <w:rFonts w:asciiTheme="minorHAnsi" w:hAnsiTheme="minorHAnsi"/>
          <w:sz w:val="18"/>
          <w:szCs w:val="18"/>
          <w:shd w:val="clear" w:color="auto" w:fill="FFFFFF"/>
          <w:vertAlign w:val="superscript"/>
        </w:rPr>
        <w:footnoteRef/>
      </w:r>
      <w:r w:rsidRPr="00CC3534">
        <w:rPr>
          <w:rFonts w:asciiTheme="minorHAnsi" w:hAnsiTheme="minorHAnsi"/>
          <w:sz w:val="18"/>
          <w:szCs w:val="18"/>
        </w:rPr>
        <w:t xml:space="preserve"> Zaktualizowany raport z działań (20.12.2019 r.) – Komunikacja polskich władz dotycząca sprawy </w:t>
      </w:r>
      <w:r w:rsidRPr="00CC3534">
        <w:rPr>
          <w:rFonts w:asciiTheme="minorHAnsi" w:hAnsiTheme="minorHAnsi"/>
          <w:i/>
          <w:iCs/>
          <w:sz w:val="18"/>
          <w:szCs w:val="18"/>
        </w:rPr>
        <w:t>Tysiąc p. Polsce</w:t>
      </w:r>
      <w:r w:rsidRPr="00CC3534">
        <w:rPr>
          <w:rFonts w:asciiTheme="minorHAnsi" w:hAnsiTheme="minorHAnsi"/>
          <w:sz w:val="18"/>
          <w:szCs w:val="18"/>
        </w:rPr>
        <w:t xml:space="preserve"> (skarga nr 5410/03), DH-DD(2020)4; Zaktualizowany raport z działania (20/12/2019) – Komunikacja polskich władz dotycząca sprawy </w:t>
      </w:r>
      <w:r w:rsidRPr="00CC3534">
        <w:rPr>
          <w:rFonts w:asciiTheme="minorHAnsi" w:hAnsiTheme="minorHAnsi"/>
          <w:i/>
          <w:sz w:val="18"/>
          <w:szCs w:val="18"/>
        </w:rPr>
        <w:t>R.R. p. Polsce</w:t>
      </w:r>
      <w:r w:rsidRPr="00CC3534">
        <w:rPr>
          <w:rFonts w:asciiTheme="minorHAnsi" w:hAnsiTheme="minorHAnsi"/>
          <w:sz w:val="18"/>
          <w:szCs w:val="18"/>
        </w:rPr>
        <w:t xml:space="preserve"> (skarga nr 27617/04), DH-DD(2020)3; Komunikacja władz (20.12.2019 r.) w sprawie </w:t>
      </w:r>
      <w:r w:rsidRPr="00CC3534">
        <w:rPr>
          <w:rFonts w:asciiTheme="minorHAnsi" w:hAnsiTheme="minorHAnsi"/>
          <w:i/>
          <w:sz w:val="18"/>
          <w:szCs w:val="18"/>
        </w:rPr>
        <w:t>P. i S. p. Polsce</w:t>
      </w:r>
      <w:r w:rsidRPr="00CC3534">
        <w:rPr>
          <w:rFonts w:asciiTheme="minorHAnsi" w:hAnsiTheme="minorHAnsi"/>
          <w:sz w:val="18"/>
          <w:szCs w:val="18"/>
        </w:rPr>
        <w:t xml:space="preserve"> (skarga nr 57375/08), DH-DD(2020)5; Odpowiedź władz (09.12.2019 r.) na komunikację organizacji pozarządowej (Centrum Praw Reprodukcyjnych i Federacji na rzecz Kobiet i Planowania Rodziny) w sprawie </w:t>
      </w:r>
      <w:r w:rsidRPr="00CC3534">
        <w:rPr>
          <w:rFonts w:asciiTheme="minorHAnsi" w:hAnsiTheme="minorHAnsi"/>
          <w:i/>
          <w:sz w:val="18"/>
          <w:szCs w:val="18"/>
        </w:rPr>
        <w:t>P. i S. p. Polsce</w:t>
      </w:r>
      <w:r w:rsidRPr="00CC3534">
        <w:rPr>
          <w:rFonts w:asciiTheme="minorHAnsi" w:hAnsiTheme="minorHAnsi"/>
          <w:sz w:val="18"/>
          <w:szCs w:val="18"/>
        </w:rPr>
        <w:t xml:space="preserve"> (skarga nr 57375/08), DH-DD(2019)1492; 1369. posiedzenie (marzec 2020 r.) (DH) – Reguła 9.6 – Odpowiedź władz (09.12.2019 r.) na komunikację Biura Rzecznika Praw Obywatelskich RP w sprawie </w:t>
      </w:r>
      <w:r w:rsidRPr="00CC3534">
        <w:rPr>
          <w:rFonts w:asciiTheme="minorHAnsi" w:hAnsiTheme="minorHAnsi"/>
          <w:i/>
          <w:sz w:val="18"/>
          <w:szCs w:val="18"/>
        </w:rPr>
        <w:t>P. i S. p. Polsce</w:t>
      </w:r>
      <w:r w:rsidRPr="00CC3534">
        <w:rPr>
          <w:rFonts w:asciiTheme="minorHAnsi" w:hAnsiTheme="minorHAnsi"/>
          <w:sz w:val="18"/>
          <w:szCs w:val="18"/>
        </w:rPr>
        <w:t xml:space="preserve"> (skarga nr 57375/08), DH-DD(2019)1493.</w:t>
      </w:r>
    </w:p>
  </w:footnote>
  <w:footnote w:id="26">
    <w:p w:rsidR="00B4606C" w:rsidRPr="00CC3534" w:rsidRDefault="00B4606C" w:rsidP="00624593">
      <w:pPr>
        <w:pStyle w:val="Stopka1"/>
        <w:tabs>
          <w:tab w:val="left" w:pos="106"/>
        </w:tabs>
        <w:rPr>
          <w:rFonts w:asciiTheme="minorHAnsi" w:hAnsiTheme="minorHAnsi"/>
          <w:sz w:val="18"/>
          <w:szCs w:val="18"/>
        </w:rPr>
      </w:pPr>
      <w:r w:rsidRPr="00CC3534">
        <w:rPr>
          <w:rFonts w:asciiTheme="minorHAnsi" w:eastAsia="Calibri" w:hAnsiTheme="minorHAnsi" w:cs="Calibri"/>
          <w:sz w:val="18"/>
          <w:szCs w:val="18"/>
          <w:vertAlign w:val="superscript"/>
        </w:rPr>
        <w:footnoteRef/>
      </w:r>
      <w:r w:rsidRPr="00CC3534">
        <w:rPr>
          <w:rFonts w:asciiTheme="minorHAnsi" w:hAnsiTheme="minorHAnsi"/>
          <w:sz w:val="18"/>
          <w:szCs w:val="18"/>
        </w:rPr>
        <w:t xml:space="preserve"> Jak szerzej opisano poniżej, projekt ustawy „Stop pedofilii”, która przewiduje karę 3 lat pozbawienia wolności wobec wszystkich osób – lekarzy, wychowawców, nauczycieli, pracowników służby zdrowia – zajmujących się prowadzeniem jakiejkolwiek formy edukacji seksualnej młodzieży lub udzielaniem jej informacji na temat zdrowia seksualnego i reprodukcyjnego jest obecnie rozpatrywany przez Sejm.</w:t>
      </w:r>
    </w:p>
  </w:footnote>
  <w:footnote w:id="27">
    <w:p w:rsidR="00B4606C" w:rsidRPr="00CC3534" w:rsidRDefault="00B4606C" w:rsidP="00624593">
      <w:pPr>
        <w:pStyle w:val="Stopka1"/>
        <w:tabs>
          <w:tab w:val="left" w:pos="125"/>
        </w:tabs>
        <w:rPr>
          <w:rFonts w:asciiTheme="minorHAnsi" w:hAnsiTheme="minorHAnsi"/>
          <w:sz w:val="18"/>
          <w:szCs w:val="18"/>
        </w:rPr>
      </w:pPr>
      <w:r w:rsidRPr="00CC3534">
        <w:rPr>
          <w:rFonts w:asciiTheme="minorHAnsi" w:hAnsiTheme="minorHAnsi"/>
          <w:sz w:val="18"/>
          <w:szCs w:val="18"/>
          <w:vertAlign w:val="superscript"/>
        </w:rPr>
        <w:footnoteRef/>
      </w:r>
      <w:r w:rsidRPr="00CC3534">
        <w:rPr>
          <w:rFonts w:asciiTheme="minorHAnsi" w:hAnsiTheme="minorHAnsi"/>
          <w:sz w:val="18"/>
          <w:szCs w:val="18"/>
        </w:rPr>
        <w:t xml:space="preserve"> Komunikacja władz (20.12.2019 r.) w sprawie </w:t>
      </w:r>
      <w:r w:rsidR="00BD3249">
        <w:rPr>
          <w:rFonts w:asciiTheme="minorHAnsi" w:hAnsiTheme="minorHAnsi"/>
          <w:i/>
          <w:iCs/>
          <w:sz w:val="18"/>
          <w:szCs w:val="18"/>
        </w:rPr>
        <w:t>P. i S. p.</w:t>
      </w:r>
      <w:r w:rsidRPr="00CC3534">
        <w:rPr>
          <w:rFonts w:asciiTheme="minorHAnsi" w:hAnsiTheme="minorHAnsi"/>
          <w:i/>
          <w:iCs/>
          <w:sz w:val="18"/>
          <w:szCs w:val="18"/>
        </w:rPr>
        <w:t xml:space="preserve"> Polsce</w:t>
      </w:r>
      <w:r w:rsidRPr="00CC3534">
        <w:rPr>
          <w:rFonts w:asciiTheme="minorHAnsi" w:hAnsiTheme="minorHAnsi"/>
          <w:sz w:val="18"/>
          <w:szCs w:val="18"/>
        </w:rPr>
        <w:t xml:space="preserve"> (skarga nr 57375/08), DH-DD(2020)5, s. 5; Zaktualizowany raport z działań (20.12.2019 r.) – Komunikacja polskich władz dotycząca sprawy </w:t>
      </w:r>
      <w:r w:rsidR="00BD3249">
        <w:rPr>
          <w:rFonts w:asciiTheme="minorHAnsi" w:hAnsiTheme="minorHAnsi"/>
          <w:i/>
          <w:iCs/>
          <w:sz w:val="18"/>
          <w:szCs w:val="18"/>
        </w:rPr>
        <w:t>Tysiąc p.</w:t>
      </w:r>
      <w:r w:rsidRPr="00CC3534">
        <w:rPr>
          <w:rFonts w:asciiTheme="minorHAnsi" w:hAnsiTheme="minorHAnsi"/>
          <w:i/>
          <w:iCs/>
          <w:sz w:val="18"/>
          <w:szCs w:val="18"/>
        </w:rPr>
        <w:t xml:space="preserve"> Polsce</w:t>
      </w:r>
      <w:r w:rsidRPr="00CC3534">
        <w:rPr>
          <w:rFonts w:asciiTheme="minorHAnsi" w:hAnsiTheme="minorHAnsi"/>
          <w:sz w:val="18"/>
          <w:szCs w:val="18"/>
        </w:rPr>
        <w:t xml:space="preserve"> (skarga nr 5410/03), DH-DD(2020)4, s. 10; Zaktualizowany raport z działań (20.12.2019 r.) – Komunikacja polskich władz dotycząca sprawy </w:t>
      </w:r>
      <w:r w:rsidR="00BD3249">
        <w:rPr>
          <w:rFonts w:asciiTheme="minorHAnsi" w:hAnsiTheme="minorHAnsi"/>
          <w:i/>
          <w:iCs/>
          <w:sz w:val="18"/>
          <w:szCs w:val="18"/>
        </w:rPr>
        <w:t>R.R. p.</w:t>
      </w:r>
      <w:r w:rsidRPr="00CC3534">
        <w:rPr>
          <w:rFonts w:asciiTheme="minorHAnsi" w:hAnsiTheme="minorHAnsi"/>
          <w:i/>
          <w:iCs/>
          <w:sz w:val="18"/>
          <w:szCs w:val="18"/>
        </w:rPr>
        <w:t xml:space="preserve"> Polsce</w:t>
      </w:r>
      <w:r w:rsidRPr="00CC3534">
        <w:rPr>
          <w:rFonts w:asciiTheme="minorHAnsi" w:hAnsiTheme="minorHAnsi"/>
          <w:sz w:val="18"/>
          <w:szCs w:val="18"/>
        </w:rPr>
        <w:t xml:space="preserve"> (skarga nr 27617/04), DH-DD(2020)3, s. 12.</w:t>
      </w:r>
    </w:p>
  </w:footnote>
  <w:footnote w:id="28">
    <w:p w:rsidR="00B4606C" w:rsidRPr="00D47E45" w:rsidRDefault="00B4606C" w:rsidP="00624593">
      <w:pPr>
        <w:pStyle w:val="Stopka1"/>
        <w:tabs>
          <w:tab w:val="left" w:pos="91"/>
        </w:tabs>
        <w:rPr>
          <w:lang w:val="en-US"/>
        </w:rPr>
      </w:pPr>
      <w:r w:rsidRPr="00CC3534">
        <w:rPr>
          <w:rFonts w:asciiTheme="minorHAnsi" w:hAnsiTheme="minorHAnsi"/>
          <w:sz w:val="18"/>
          <w:szCs w:val="18"/>
          <w:vertAlign w:val="superscript"/>
        </w:rPr>
        <w:footnoteRef/>
      </w:r>
      <w:r w:rsidRPr="00CC3534">
        <w:rPr>
          <w:rFonts w:asciiTheme="minorHAnsi" w:hAnsiTheme="minorHAnsi"/>
          <w:sz w:val="18"/>
          <w:szCs w:val="18"/>
          <w:lang w:val="en-US"/>
        </w:rPr>
        <w:t xml:space="preserve"> </w:t>
      </w:r>
      <w:r w:rsidRPr="00CC3534">
        <w:rPr>
          <w:rFonts w:asciiTheme="minorHAnsi" w:hAnsiTheme="minorHAnsi"/>
          <w:i/>
          <w:iCs/>
          <w:sz w:val="18"/>
          <w:szCs w:val="18"/>
          <w:lang w:val="en-US"/>
        </w:rPr>
        <w:t xml:space="preserve">Abortions by reason of termination, duration of terminated pregnancy and number of previous live births, </w:t>
      </w:r>
      <w:r w:rsidRPr="00CC3534">
        <w:rPr>
          <w:rFonts w:asciiTheme="minorHAnsi" w:hAnsiTheme="minorHAnsi"/>
          <w:smallCaps/>
          <w:sz w:val="18"/>
          <w:szCs w:val="18"/>
          <w:lang w:val="en-US"/>
        </w:rPr>
        <w:t>Statistisches Bundesamt</w:t>
      </w:r>
      <w:r w:rsidRPr="00CC3534">
        <w:rPr>
          <w:rFonts w:asciiTheme="minorHAnsi" w:hAnsiTheme="minorHAnsi"/>
          <w:sz w:val="18"/>
          <w:szCs w:val="18"/>
          <w:lang w:val="en-US"/>
        </w:rPr>
        <w:t xml:space="preserve"> (27 lutego 2019 r.), </w:t>
      </w:r>
      <w:hyperlink r:id="rId21" w:history="1">
        <w:r w:rsidRPr="00CC3534">
          <w:rPr>
            <w:rFonts w:asciiTheme="minorHAnsi" w:hAnsiTheme="minorHAnsi"/>
            <w:sz w:val="18"/>
            <w:szCs w:val="18"/>
            <w:lang w:val="en-US"/>
          </w:rPr>
          <w:t>https://bit.ly/2rzTurO</w:t>
        </w:r>
      </w:hyperlink>
      <w:r w:rsidRPr="00CC3534">
        <w:rPr>
          <w:rFonts w:asciiTheme="minorHAnsi" w:hAnsiTheme="minorHAnsi"/>
          <w:sz w:val="18"/>
          <w:szCs w:val="18"/>
          <w:lang w:val="en-US"/>
        </w:rPr>
        <w:t>.</w:t>
      </w:r>
    </w:p>
  </w:footnote>
  <w:footnote w:id="29">
    <w:p w:rsidR="00B4606C" w:rsidRPr="00CC3534" w:rsidRDefault="00B4606C" w:rsidP="00624593">
      <w:pPr>
        <w:pStyle w:val="Stopka1"/>
        <w:tabs>
          <w:tab w:val="left" w:pos="178"/>
        </w:tabs>
        <w:rPr>
          <w:rFonts w:asciiTheme="minorHAnsi" w:hAnsiTheme="minorHAnsi"/>
          <w:sz w:val="18"/>
          <w:szCs w:val="18"/>
          <w:lang w:val="en-US"/>
        </w:rPr>
      </w:pPr>
      <w:r w:rsidRPr="00CC3534">
        <w:rPr>
          <w:rFonts w:asciiTheme="minorHAnsi" w:hAnsiTheme="minorHAnsi"/>
          <w:sz w:val="18"/>
          <w:szCs w:val="18"/>
          <w:vertAlign w:val="superscript"/>
        </w:rPr>
        <w:footnoteRef/>
      </w:r>
      <w:r w:rsidRPr="00CC3534">
        <w:rPr>
          <w:rFonts w:asciiTheme="minorHAnsi" w:hAnsiTheme="minorHAnsi"/>
          <w:sz w:val="18"/>
          <w:szCs w:val="18"/>
        </w:rPr>
        <w:tab/>
        <w:t xml:space="preserve">Pismo od międzynarodowej fundacji Women on Web w aktach Centrum Praw Reprodukcyjnych. Powyższe znajduje potwierdzenie w danych dotyczących Irlandii i Irlandii Północnej, gdzie 2% z 5650 kobiet, które uzyskały dostęp do wczesnej aborcji farmakologicznej za pośrednictwem Women on Web w latach 2010–2015, zgłosiło prośbę o wczesną aborcję farmakologiczną z powodu zgwałcenia, zob. </w:t>
      </w:r>
      <w:r w:rsidRPr="00CC3534">
        <w:rPr>
          <w:rFonts w:asciiTheme="minorHAnsi" w:hAnsiTheme="minorHAnsi"/>
          <w:sz w:val="18"/>
          <w:szCs w:val="18"/>
          <w:lang w:val="en-US"/>
        </w:rPr>
        <w:t xml:space="preserve">Abigail R.A. Aiken, </w:t>
      </w:r>
      <w:r w:rsidRPr="00CC3534">
        <w:rPr>
          <w:rFonts w:asciiTheme="minorHAnsi" w:hAnsiTheme="minorHAnsi"/>
          <w:i/>
          <w:iCs/>
          <w:sz w:val="18"/>
          <w:szCs w:val="18"/>
          <w:lang w:val="en-US"/>
        </w:rPr>
        <w:t>Opening Statement to the Joint Oireachtas Committee on the Eighth Amendment to the Constitution</w:t>
      </w:r>
      <w:r w:rsidRPr="00CC3534">
        <w:rPr>
          <w:rFonts w:asciiTheme="minorHAnsi" w:hAnsiTheme="minorHAnsi"/>
          <w:sz w:val="18"/>
          <w:szCs w:val="18"/>
          <w:lang w:val="en-US"/>
        </w:rPr>
        <w:t xml:space="preserve">, (2017), s. 3, tekst dostępny pod adresem </w:t>
      </w:r>
      <w:hyperlink r:id="rId22" w:history="1">
        <w:r w:rsidRPr="00CC3534">
          <w:rPr>
            <w:rFonts w:asciiTheme="minorHAnsi" w:hAnsiTheme="minorHAnsi"/>
            <w:sz w:val="18"/>
            <w:szCs w:val="18"/>
            <w:lang w:val="en-US"/>
          </w:rPr>
          <w:t>https://bit.ly/2shK1Fk</w:t>
        </w:r>
      </w:hyperlink>
      <w:r w:rsidRPr="00CC3534">
        <w:rPr>
          <w:rFonts w:asciiTheme="minorHAnsi" w:hAnsiTheme="minorHAnsi"/>
          <w:color w:val="0563C1"/>
          <w:sz w:val="18"/>
          <w:szCs w:val="18"/>
          <w:lang w:val="en-US"/>
        </w:rPr>
        <w:t>.</w:t>
      </w:r>
    </w:p>
  </w:footnote>
  <w:footnote w:id="30">
    <w:p w:rsidR="00B4606C" w:rsidRPr="00CC3534" w:rsidRDefault="00B4606C" w:rsidP="00624593">
      <w:pPr>
        <w:pStyle w:val="Stopka1"/>
        <w:tabs>
          <w:tab w:val="left" w:pos="173"/>
        </w:tabs>
        <w:rPr>
          <w:rFonts w:asciiTheme="minorHAnsi" w:hAnsiTheme="minorHAnsi"/>
          <w:sz w:val="18"/>
          <w:szCs w:val="18"/>
        </w:rPr>
      </w:pPr>
      <w:r w:rsidRPr="00CC3534">
        <w:rPr>
          <w:rFonts w:asciiTheme="minorHAnsi" w:hAnsiTheme="minorHAnsi"/>
          <w:sz w:val="18"/>
          <w:szCs w:val="18"/>
          <w:vertAlign w:val="superscript"/>
        </w:rPr>
        <w:footnoteRef/>
      </w:r>
      <w:r w:rsidRPr="00CC3534">
        <w:rPr>
          <w:rFonts w:asciiTheme="minorHAnsi" w:hAnsiTheme="minorHAnsi"/>
          <w:sz w:val="18"/>
          <w:szCs w:val="18"/>
        </w:rPr>
        <w:tab/>
        <w:t>Pismo od międzynarodowej fundacji Women on Web w aktach Centrum Praw Reprodukcyjnych.</w:t>
      </w:r>
    </w:p>
  </w:footnote>
  <w:footnote w:id="31">
    <w:p w:rsidR="00B4606C" w:rsidRPr="00CC3534" w:rsidRDefault="00B4606C" w:rsidP="00624593">
      <w:pPr>
        <w:pStyle w:val="Stopka1"/>
        <w:tabs>
          <w:tab w:val="left" w:pos="163"/>
        </w:tabs>
        <w:jc w:val="both"/>
        <w:rPr>
          <w:rFonts w:asciiTheme="minorHAnsi" w:hAnsiTheme="minorHAnsi"/>
          <w:sz w:val="18"/>
          <w:szCs w:val="18"/>
        </w:rPr>
      </w:pPr>
      <w:r w:rsidRPr="00CC3534">
        <w:rPr>
          <w:rFonts w:asciiTheme="minorHAnsi" w:hAnsiTheme="minorHAnsi"/>
          <w:sz w:val="18"/>
          <w:szCs w:val="18"/>
          <w:vertAlign w:val="superscript"/>
        </w:rPr>
        <w:footnoteRef/>
      </w:r>
      <w:r w:rsidRPr="00CC3534">
        <w:rPr>
          <w:rFonts w:asciiTheme="minorHAnsi" w:hAnsiTheme="minorHAnsi"/>
          <w:sz w:val="18"/>
          <w:szCs w:val="18"/>
        </w:rPr>
        <w:tab/>
      </w:r>
      <w:r w:rsidRPr="00CC3534">
        <w:rPr>
          <w:rFonts w:asciiTheme="minorHAnsi" w:hAnsiTheme="minorHAnsi"/>
          <w:i/>
          <w:iCs/>
          <w:sz w:val="18"/>
          <w:szCs w:val="18"/>
        </w:rPr>
        <w:t>Id.</w:t>
      </w:r>
    </w:p>
  </w:footnote>
  <w:footnote w:id="32">
    <w:p w:rsidR="00B4606C" w:rsidRPr="00CC3534" w:rsidRDefault="00B4606C" w:rsidP="00624593">
      <w:pPr>
        <w:pStyle w:val="Stopka1"/>
        <w:tabs>
          <w:tab w:val="left" w:pos="182"/>
        </w:tabs>
        <w:rPr>
          <w:rFonts w:asciiTheme="minorHAnsi" w:hAnsiTheme="minorHAnsi"/>
          <w:sz w:val="18"/>
          <w:szCs w:val="18"/>
        </w:rPr>
      </w:pPr>
      <w:r w:rsidRPr="00CC3534">
        <w:rPr>
          <w:rFonts w:asciiTheme="minorHAnsi" w:hAnsiTheme="minorHAnsi"/>
          <w:sz w:val="18"/>
          <w:szCs w:val="18"/>
          <w:vertAlign w:val="superscript"/>
        </w:rPr>
        <w:footnoteRef/>
      </w:r>
      <w:r w:rsidRPr="00CC3534">
        <w:rPr>
          <w:rFonts w:asciiTheme="minorHAnsi" w:hAnsiTheme="minorHAnsi"/>
          <w:sz w:val="18"/>
          <w:szCs w:val="18"/>
        </w:rPr>
        <w:tab/>
        <w:t xml:space="preserve">Odpowiedź władz (09.12.2019 r.) na komunikację organizacji pozarządowej (Centrum Praw Reprodukcyjnych i Federacji na rzecz Kobiet i Planowania Rodziny) w sprawie </w:t>
      </w:r>
      <w:r w:rsidR="008E32CB">
        <w:rPr>
          <w:rFonts w:asciiTheme="minorHAnsi" w:hAnsiTheme="minorHAnsi"/>
          <w:i/>
          <w:iCs/>
          <w:sz w:val="18"/>
          <w:szCs w:val="18"/>
        </w:rPr>
        <w:t>P. i S. p.</w:t>
      </w:r>
      <w:r w:rsidRPr="00CC3534">
        <w:rPr>
          <w:rFonts w:asciiTheme="minorHAnsi" w:hAnsiTheme="minorHAnsi"/>
          <w:i/>
          <w:iCs/>
          <w:sz w:val="18"/>
          <w:szCs w:val="18"/>
        </w:rPr>
        <w:t xml:space="preserve"> Polsce</w:t>
      </w:r>
      <w:r w:rsidRPr="00CC3534">
        <w:rPr>
          <w:rFonts w:asciiTheme="minorHAnsi" w:hAnsiTheme="minorHAnsi"/>
          <w:sz w:val="18"/>
          <w:szCs w:val="18"/>
        </w:rPr>
        <w:t xml:space="preserve"> (skarga nr 57375/08), DH- DD(2019)1492, s. 1</w:t>
      </w:r>
    </w:p>
  </w:footnote>
  <w:footnote w:id="33">
    <w:p w:rsidR="00B4606C" w:rsidRPr="00CC3534" w:rsidRDefault="00B4606C" w:rsidP="00624593">
      <w:pPr>
        <w:pStyle w:val="Stopka1"/>
        <w:tabs>
          <w:tab w:val="left" w:pos="178"/>
        </w:tabs>
        <w:rPr>
          <w:rFonts w:asciiTheme="minorHAnsi" w:hAnsiTheme="minorHAnsi"/>
          <w:sz w:val="18"/>
          <w:szCs w:val="18"/>
          <w:lang w:val="en-US"/>
        </w:rPr>
      </w:pPr>
      <w:r w:rsidRPr="00CC3534">
        <w:rPr>
          <w:rFonts w:asciiTheme="minorHAnsi" w:hAnsiTheme="minorHAnsi"/>
          <w:sz w:val="18"/>
          <w:szCs w:val="18"/>
          <w:vertAlign w:val="superscript"/>
        </w:rPr>
        <w:footnoteRef/>
      </w:r>
      <w:r w:rsidRPr="00CC3534">
        <w:rPr>
          <w:rFonts w:asciiTheme="minorHAnsi" w:hAnsiTheme="minorHAnsi"/>
          <w:sz w:val="18"/>
          <w:szCs w:val="18"/>
          <w:lang w:val="en-US"/>
        </w:rPr>
        <w:tab/>
        <w:t xml:space="preserve">Mette Lokeland </w:t>
      </w:r>
      <w:r w:rsidRPr="00CC3534">
        <w:rPr>
          <w:rFonts w:asciiTheme="minorHAnsi" w:hAnsiTheme="minorHAnsi"/>
          <w:smallCaps/>
          <w:sz w:val="18"/>
          <w:szCs w:val="18"/>
          <w:lang w:val="en-US"/>
        </w:rPr>
        <w:t>Et Al., Rapport om svangerskapsavbrot for</w:t>
      </w:r>
      <w:r w:rsidRPr="00CC3534">
        <w:rPr>
          <w:rFonts w:asciiTheme="minorHAnsi" w:hAnsiTheme="minorHAnsi"/>
          <w:sz w:val="18"/>
          <w:szCs w:val="18"/>
          <w:lang w:val="en-US"/>
        </w:rPr>
        <w:t xml:space="preserve"> 2018, </w:t>
      </w:r>
      <w:r w:rsidRPr="00CC3534">
        <w:rPr>
          <w:rFonts w:asciiTheme="minorHAnsi" w:hAnsiTheme="minorHAnsi"/>
          <w:smallCaps/>
          <w:sz w:val="18"/>
          <w:szCs w:val="18"/>
          <w:lang w:val="en-US"/>
        </w:rPr>
        <w:t>Folkehelseinstituttet</w:t>
      </w:r>
      <w:r w:rsidRPr="00CC3534">
        <w:rPr>
          <w:rFonts w:asciiTheme="minorHAnsi" w:hAnsiTheme="minorHAnsi"/>
          <w:sz w:val="18"/>
          <w:szCs w:val="18"/>
          <w:lang w:val="en-US"/>
        </w:rPr>
        <w:t xml:space="preserve"> (2019), tekst dostępny pod adresem </w:t>
      </w:r>
      <w:hyperlink r:id="rId23" w:history="1">
        <w:r w:rsidRPr="00CC3534">
          <w:rPr>
            <w:rFonts w:asciiTheme="minorHAnsi" w:hAnsiTheme="minorHAnsi"/>
            <w:sz w:val="18"/>
            <w:szCs w:val="18"/>
            <w:lang w:val="en-US"/>
          </w:rPr>
          <w:t>https://bit.ly/2EeUOTp</w:t>
        </w:r>
      </w:hyperlink>
      <w:r w:rsidRPr="00CC3534">
        <w:rPr>
          <w:rFonts w:asciiTheme="minorHAnsi" w:hAnsiTheme="minorHAnsi"/>
          <w:sz w:val="18"/>
          <w:szCs w:val="18"/>
          <w:lang w:val="en-US"/>
        </w:rPr>
        <w:t>.</w:t>
      </w:r>
    </w:p>
  </w:footnote>
  <w:footnote w:id="34">
    <w:p w:rsidR="00B4606C" w:rsidRPr="00CC3534" w:rsidRDefault="00B4606C" w:rsidP="00624593">
      <w:pPr>
        <w:pStyle w:val="Stopka1"/>
        <w:tabs>
          <w:tab w:val="left" w:pos="173"/>
        </w:tabs>
        <w:rPr>
          <w:rFonts w:asciiTheme="minorHAnsi" w:hAnsiTheme="minorHAnsi"/>
          <w:sz w:val="18"/>
          <w:szCs w:val="18"/>
        </w:rPr>
      </w:pPr>
      <w:r w:rsidRPr="00CC3534">
        <w:rPr>
          <w:rFonts w:asciiTheme="minorHAnsi" w:hAnsiTheme="minorHAnsi"/>
          <w:sz w:val="18"/>
          <w:szCs w:val="18"/>
          <w:vertAlign w:val="superscript"/>
        </w:rPr>
        <w:footnoteRef/>
      </w:r>
      <w:r w:rsidRPr="00CC3534">
        <w:rPr>
          <w:rFonts w:asciiTheme="minorHAnsi" w:hAnsiTheme="minorHAnsi"/>
          <w:sz w:val="18"/>
          <w:szCs w:val="18"/>
        </w:rPr>
        <w:tab/>
        <w:t>Zob. załącznik 2.</w:t>
      </w:r>
    </w:p>
  </w:footnote>
  <w:footnote w:id="35">
    <w:p w:rsidR="00B4606C" w:rsidRPr="00CC3534" w:rsidRDefault="00B4606C" w:rsidP="00624593">
      <w:pPr>
        <w:pStyle w:val="Stopka1"/>
        <w:tabs>
          <w:tab w:val="left" w:pos="178"/>
        </w:tabs>
        <w:rPr>
          <w:rFonts w:asciiTheme="minorHAnsi" w:hAnsiTheme="minorHAnsi"/>
          <w:sz w:val="18"/>
          <w:szCs w:val="18"/>
        </w:rPr>
      </w:pPr>
      <w:r w:rsidRPr="00CC3534">
        <w:rPr>
          <w:rFonts w:asciiTheme="minorHAnsi" w:hAnsiTheme="minorHAnsi"/>
          <w:sz w:val="18"/>
          <w:szCs w:val="18"/>
          <w:vertAlign w:val="superscript"/>
        </w:rPr>
        <w:footnoteRef/>
      </w:r>
      <w:r w:rsidRPr="00CC3534">
        <w:rPr>
          <w:rFonts w:asciiTheme="minorHAnsi" w:hAnsiTheme="minorHAnsi"/>
          <w:sz w:val="18"/>
          <w:szCs w:val="18"/>
        </w:rPr>
        <w:tab/>
        <w:t xml:space="preserve">Zaktualizowany raport z działań (20.12.2019 r.) – Komunikacja polskich władz dotycząca sprawy </w:t>
      </w:r>
      <w:r w:rsidRPr="00CC3534">
        <w:rPr>
          <w:rFonts w:asciiTheme="minorHAnsi" w:hAnsiTheme="minorHAnsi"/>
          <w:i/>
          <w:iCs/>
          <w:sz w:val="18"/>
          <w:szCs w:val="18"/>
        </w:rPr>
        <w:t>Tysiąc p</w:t>
      </w:r>
      <w:r>
        <w:rPr>
          <w:rFonts w:asciiTheme="minorHAnsi" w:hAnsiTheme="minorHAnsi"/>
          <w:i/>
          <w:iCs/>
          <w:sz w:val="18"/>
          <w:szCs w:val="18"/>
        </w:rPr>
        <w:t>.</w:t>
      </w:r>
      <w:r w:rsidRPr="00CC3534">
        <w:rPr>
          <w:rFonts w:asciiTheme="minorHAnsi" w:hAnsiTheme="minorHAnsi"/>
          <w:i/>
          <w:iCs/>
          <w:sz w:val="18"/>
          <w:szCs w:val="18"/>
        </w:rPr>
        <w:t xml:space="preserve"> Polsce</w:t>
      </w:r>
      <w:r w:rsidRPr="00CC3534">
        <w:rPr>
          <w:rFonts w:asciiTheme="minorHAnsi" w:hAnsiTheme="minorHAnsi"/>
          <w:sz w:val="18"/>
          <w:szCs w:val="18"/>
        </w:rPr>
        <w:t xml:space="preserve"> (skarga nr 5410/03), DH-DD(2020)4, s. 4; Zaktualizowany raport z działań (20.12.2019 r.) – Komunikacja polskich władz dotycząca sprawy </w:t>
      </w:r>
      <w:r>
        <w:rPr>
          <w:rFonts w:asciiTheme="minorHAnsi" w:hAnsiTheme="minorHAnsi"/>
          <w:i/>
          <w:iCs/>
          <w:sz w:val="18"/>
          <w:szCs w:val="18"/>
        </w:rPr>
        <w:t>R.R. p.</w:t>
      </w:r>
      <w:r w:rsidRPr="00CC3534">
        <w:rPr>
          <w:rFonts w:asciiTheme="minorHAnsi" w:hAnsiTheme="minorHAnsi"/>
          <w:i/>
          <w:iCs/>
          <w:sz w:val="18"/>
          <w:szCs w:val="18"/>
        </w:rPr>
        <w:t xml:space="preserve"> Polsce</w:t>
      </w:r>
      <w:r w:rsidRPr="00CC3534">
        <w:rPr>
          <w:rFonts w:asciiTheme="minorHAnsi" w:hAnsiTheme="minorHAnsi"/>
          <w:sz w:val="18"/>
          <w:szCs w:val="18"/>
        </w:rPr>
        <w:t xml:space="preserve"> (skarga nr 27617/04), DH-DD(2020)3, s. 5.</w:t>
      </w:r>
    </w:p>
  </w:footnote>
  <w:footnote w:id="36">
    <w:p w:rsidR="00B4606C" w:rsidRPr="00CC3534" w:rsidRDefault="00B4606C" w:rsidP="00624593">
      <w:pPr>
        <w:pStyle w:val="Stopka1"/>
        <w:tabs>
          <w:tab w:val="left" w:pos="182"/>
        </w:tabs>
        <w:rPr>
          <w:rFonts w:asciiTheme="minorHAnsi" w:hAnsiTheme="minorHAnsi"/>
          <w:sz w:val="18"/>
          <w:szCs w:val="18"/>
        </w:rPr>
      </w:pPr>
      <w:r w:rsidRPr="00CC3534">
        <w:rPr>
          <w:rFonts w:asciiTheme="minorHAnsi" w:hAnsiTheme="minorHAnsi"/>
          <w:sz w:val="18"/>
          <w:szCs w:val="18"/>
          <w:vertAlign w:val="superscript"/>
        </w:rPr>
        <w:footnoteRef/>
      </w:r>
      <w:r w:rsidRPr="00CC3534">
        <w:rPr>
          <w:rFonts w:asciiTheme="minorHAnsi" w:hAnsiTheme="minorHAnsi"/>
          <w:sz w:val="18"/>
          <w:szCs w:val="18"/>
        </w:rPr>
        <w:tab/>
        <w:t>Reguła 9 ust.2</w:t>
      </w:r>
      <w:r>
        <w:rPr>
          <w:rFonts w:asciiTheme="minorHAnsi" w:hAnsiTheme="minorHAnsi"/>
          <w:sz w:val="18"/>
          <w:szCs w:val="18"/>
        </w:rPr>
        <w:t xml:space="preserve"> -</w:t>
      </w:r>
      <w:r w:rsidRPr="00CC3534">
        <w:rPr>
          <w:rFonts w:asciiTheme="minorHAnsi" w:hAnsiTheme="minorHAnsi"/>
          <w:sz w:val="18"/>
          <w:szCs w:val="18"/>
        </w:rPr>
        <w:t xml:space="preserve"> Komunikacja dwóch organizacji pozarządowych (Centrum Praw Reprodukcyjnych oraz Federacji na rzecz Kobiet i Planowania Rodziny) (22.02.2019 r.) w sprawach </w:t>
      </w:r>
      <w:r>
        <w:rPr>
          <w:rFonts w:asciiTheme="minorHAnsi" w:hAnsiTheme="minorHAnsi"/>
          <w:i/>
          <w:iCs/>
          <w:sz w:val="18"/>
          <w:szCs w:val="18"/>
        </w:rPr>
        <w:t>P. i S. p.</w:t>
      </w:r>
      <w:r w:rsidRPr="00CC3534">
        <w:rPr>
          <w:rFonts w:asciiTheme="minorHAnsi" w:hAnsiTheme="minorHAnsi"/>
          <w:i/>
          <w:iCs/>
          <w:sz w:val="18"/>
          <w:szCs w:val="18"/>
        </w:rPr>
        <w:t xml:space="preserve"> Polsce</w:t>
      </w:r>
      <w:r w:rsidRPr="00CC3534">
        <w:rPr>
          <w:rFonts w:asciiTheme="minorHAnsi" w:hAnsiTheme="minorHAnsi"/>
          <w:sz w:val="18"/>
          <w:szCs w:val="18"/>
        </w:rPr>
        <w:t xml:space="preserve">, (skarga nr 57375/08), DH-DD(2019)235; komunikacja Centrum Praw Reprodukcyjnych oraz Federacji na rzecz Kobiet i Planowania Rodziny w sprawach </w:t>
      </w:r>
      <w:r>
        <w:rPr>
          <w:rFonts w:asciiTheme="minorHAnsi" w:hAnsiTheme="minorHAnsi"/>
          <w:i/>
          <w:sz w:val="18"/>
          <w:szCs w:val="18"/>
        </w:rPr>
        <w:t>P i S., R.R. p.</w:t>
      </w:r>
      <w:r w:rsidRPr="00A90CCD">
        <w:rPr>
          <w:rFonts w:asciiTheme="minorHAnsi" w:hAnsiTheme="minorHAnsi"/>
          <w:i/>
          <w:sz w:val="18"/>
          <w:szCs w:val="18"/>
        </w:rPr>
        <w:t xml:space="preserve"> Polsce</w:t>
      </w:r>
      <w:r w:rsidRPr="00CC3534">
        <w:rPr>
          <w:rFonts w:asciiTheme="minorHAnsi" w:hAnsiTheme="minorHAnsi"/>
          <w:sz w:val="18"/>
          <w:szCs w:val="18"/>
        </w:rPr>
        <w:t xml:space="preserve">, (24.08.2018 r.), dostępna pod adresem </w:t>
      </w:r>
      <w:hyperlink r:id="rId24" w:history="1">
        <w:r w:rsidRPr="00CC3534">
          <w:rPr>
            <w:rFonts w:asciiTheme="minorHAnsi" w:hAnsiTheme="minorHAnsi"/>
            <w:sz w:val="18"/>
            <w:szCs w:val="18"/>
          </w:rPr>
          <w:t>https://rm.coe.int/native/09000016808d297d</w:t>
        </w:r>
      </w:hyperlink>
      <w:r w:rsidRPr="00CC3534">
        <w:rPr>
          <w:rFonts w:asciiTheme="minorHAnsi" w:hAnsiTheme="minorHAnsi"/>
          <w:sz w:val="18"/>
          <w:szCs w:val="18"/>
        </w:rPr>
        <w:t>; Komunikacja Centrum Praw Reprodukcyjnych</w:t>
      </w:r>
      <w:r w:rsidRPr="00CC3534" w:rsidDel="00E05E3E">
        <w:rPr>
          <w:rFonts w:asciiTheme="minorHAnsi" w:hAnsiTheme="minorHAnsi"/>
          <w:sz w:val="18"/>
          <w:szCs w:val="18"/>
        </w:rPr>
        <w:t xml:space="preserve"> </w:t>
      </w:r>
      <w:r w:rsidRPr="00CC3534">
        <w:rPr>
          <w:rFonts w:asciiTheme="minorHAnsi" w:hAnsiTheme="minorHAnsi"/>
          <w:sz w:val="18"/>
          <w:szCs w:val="18"/>
        </w:rPr>
        <w:t xml:space="preserve">w sprawie </w:t>
      </w:r>
      <w:r w:rsidR="008E32CB">
        <w:rPr>
          <w:rFonts w:asciiTheme="minorHAnsi" w:hAnsiTheme="minorHAnsi"/>
          <w:i/>
          <w:iCs/>
          <w:sz w:val="18"/>
          <w:szCs w:val="18"/>
        </w:rPr>
        <w:t xml:space="preserve">P i S. p. </w:t>
      </w:r>
      <w:r w:rsidRPr="00CC3534">
        <w:rPr>
          <w:rFonts w:asciiTheme="minorHAnsi" w:hAnsiTheme="minorHAnsi"/>
          <w:i/>
          <w:iCs/>
          <w:sz w:val="18"/>
          <w:szCs w:val="18"/>
        </w:rPr>
        <w:t>Polsce</w:t>
      </w:r>
      <w:r w:rsidRPr="00CC3534">
        <w:rPr>
          <w:rFonts w:asciiTheme="minorHAnsi" w:hAnsiTheme="minorHAnsi"/>
          <w:sz w:val="18"/>
          <w:szCs w:val="18"/>
        </w:rPr>
        <w:t xml:space="preserve">, (13.09.2017 r.), dostępna pod adresem </w:t>
      </w:r>
      <w:hyperlink r:id="rId25" w:history="1">
        <w:r w:rsidRPr="001071CA">
          <w:rPr>
            <w:rStyle w:val="Hipercze"/>
            <w:rFonts w:asciiTheme="minorHAnsi" w:hAnsiTheme="minorHAnsi"/>
            <w:sz w:val="18"/>
            <w:szCs w:val="18"/>
          </w:rPr>
          <w:t>https://rm.coe.int/native/0900001680751a47</w:t>
        </w:r>
      </w:hyperlink>
      <w:r w:rsidRPr="00CC3534">
        <w:rPr>
          <w:rFonts w:asciiTheme="minorHAnsi" w:hAnsiTheme="minorHAnsi"/>
          <w:sz w:val="18"/>
          <w:szCs w:val="18"/>
        </w:rPr>
        <w:t xml:space="preserve">; Komunikacja Centrum Praw Reprodukcyjnych w sprawie </w:t>
      </w:r>
      <w:r>
        <w:rPr>
          <w:rFonts w:asciiTheme="minorHAnsi" w:hAnsiTheme="minorHAnsi"/>
          <w:i/>
          <w:iCs/>
          <w:sz w:val="18"/>
          <w:szCs w:val="18"/>
        </w:rPr>
        <w:t xml:space="preserve">P i S. p. </w:t>
      </w:r>
      <w:r w:rsidRPr="00CC3534">
        <w:rPr>
          <w:rFonts w:asciiTheme="minorHAnsi" w:hAnsiTheme="minorHAnsi"/>
          <w:i/>
          <w:iCs/>
          <w:sz w:val="18"/>
          <w:szCs w:val="18"/>
        </w:rPr>
        <w:t>Polsce</w:t>
      </w:r>
      <w:r w:rsidRPr="00CC3534">
        <w:rPr>
          <w:rFonts w:asciiTheme="minorHAnsi" w:hAnsiTheme="minorHAnsi"/>
          <w:sz w:val="18"/>
          <w:szCs w:val="18"/>
        </w:rPr>
        <w:t xml:space="preserve">, (28.09.2017 r.), dostępna pod adresem </w:t>
      </w:r>
      <w:hyperlink r:id="rId26" w:history="1">
        <w:r w:rsidRPr="00CC3534">
          <w:rPr>
            <w:rFonts w:asciiTheme="minorHAnsi" w:hAnsiTheme="minorHAnsi"/>
            <w:sz w:val="18"/>
            <w:szCs w:val="18"/>
          </w:rPr>
          <w:t>https://rm.coe.int/native/0900001680751a47</w:t>
        </w:r>
      </w:hyperlink>
      <w:r w:rsidRPr="00CC3534">
        <w:rPr>
          <w:rFonts w:asciiTheme="minorHAnsi" w:hAnsiTheme="minorHAnsi"/>
          <w:sz w:val="18"/>
          <w:szCs w:val="18"/>
        </w:rPr>
        <w:t xml:space="preserve">; Zob. Komunikacja Centrum Praw Reprodukcyjnych w sprawie </w:t>
      </w:r>
      <w:r>
        <w:rPr>
          <w:rFonts w:asciiTheme="minorHAnsi" w:hAnsiTheme="minorHAnsi"/>
          <w:i/>
          <w:iCs/>
          <w:sz w:val="18"/>
          <w:szCs w:val="18"/>
        </w:rPr>
        <w:t>R.R. p.</w:t>
      </w:r>
      <w:r w:rsidRPr="00CC3534">
        <w:rPr>
          <w:rFonts w:asciiTheme="minorHAnsi" w:hAnsiTheme="minorHAnsi"/>
          <w:i/>
          <w:iCs/>
          <w:sz w:val="18"/>
          <w:szCs w:val="18"/>
        </w:rPr>
        <w:t xml:space="preserve"> Polsce</w:t>
      </w:r>
      <w:r w:rsidRPr="00CC3534">
        <w:rPr>
          <w:rFonts w:asciiTheme="minorHAnsi" w:hAnsiTheme="minorHAnsi"/>
          <w:sz w:val="18"/>
          <w:szCs w:val="18"/>
        </w:rPr>
        <w:t xml:space="preserve">, (02.09.2016 r.), dostępna pod adresem </w:t>
      </w:r>
      <w:hyperlink r:id="rId27" w:history="1">
        <w:r w:rsidRPr="00CC3534">
          <w:rPr>
            <w:rFonts w:asciiTheme="minorHAnsi" w:hAnsiTheme="minorHAnsi"/>
            <w:sz w:val="18"/>
            <w:szCs w:val="18"/>
          </w:rPr>
          <w:t>https://rm.coe.int/16806a950f</w:t>
        </w:r>
      </w:hyperlink>
      <w:r w:rsidRPr="00CC3534">
        <w:rPr>
          <w:rFonts w:asciiTheme="minorHAnsi" w:hAnsiTheme="minorHAnsi"/>
          <w:sz w:val="18"/>
          <w:szCs w:val="18"/>
        </w:rPr>
        <w:t>.</w:t>
      </w:r>
    </w:p>
  </w:footnote>
  <w:footnote w:id="37">
    <w:p w:rsidR="00B4606C" w:rsidRPr="00305712" w:rsidRDefault="00B4606C" w:rsidP="00624593">
      <w:pPr>
        <w:pStyle w:val="Stopka1"/>
        <w:tabs>
          <w:tab w:val="left" w:pos="173"/>
        </w:tabs>
        <w:rPr>
          <w:lang w:val="de-DE"/>
        </w:rPr>
      </w:pPr>
      <w:r w:rsidRPr="00CC3534">
        <w:rPr>
          <w:rFonts w:asciiTheme="minorHAnsi" w:hAnsiTheme="minorHAnsi"/>
          <w:sz w:val="18"/>
          <w:szCs w:val="18"/>
          <w:vertAlign w:val="superscript"/>
        </w:rPr>
        <w:footnoteRef/>
      </w:r>
      <w:r w:rsidRPr="00CC3534">
        <w:rPr>
          <w:rFonts w:asciiTheme="minorHAnsi" w:hAnsiTheme="minorHAnsi"/>
          <w:sz w:val="18"/>
          <w:szCs w:val="18"/>
          <w:lang w:val="de-DE"/>
        </w:rPr>
        <w:tab/>
        <w:t>Zob. CM/Del/Dec(2019), 1340/H46-31.</w:t>
      </w:r>
    </w:p>
  </w:footnote>
  <w:footnote w:id="38">
    <w:p w:rsidR="00B4606C" w:rsidRPr="00A90CCD" w:rsidRDefault="00B4606C" w:rsidP="00624593">
      <w:pPr>
        <w:pStyle w:val="Stopka1"/>
        <w:tabs>
          <w:tab w:val="left" w:pos="182"/>
        </w:tabs>
        <w:rPr>
          <w:rFonts w:asciiTheme="minorHAnsi" w:hAnsiTheme="minorHAnsi"/>
          <w:sz w:val="18"/>
          <w:szCs w:val="18"/>
        </w:rPr>
      </w:pPr>
      <w:r w:rsidRPr="00A90CCD">
        <w:rPr>
          <w:rFonts w:asciiTheme="minorHAnsi" w:hAnsiTheme="minorHAnsi"/>
          <w:sz w:val="18"/>
          <w:szCs w:val="18"/>
          <w:vertAlign w:val="superscript"/>
        </w:rPr>
        <w:footnoteRef/>
      </w:r>
      <w:r w:rsidRPr="00A90CCD">
        <w:rPr>
          <w:rFonts w:asciiTheme="minorHAnsi" w:hAnsiTheme="minorHAnsi"/>
          <w:sz w:val="18"/>
          <w:szCs w:val="18"/>
        </w:rPr>
        <w:tab/>
        <w:t xml:space="preserve">Odpowiedź władz (09.12.2019 r.) na komunikację organizacji pozarządowej (Centrum Praw Reprodukcyjnych i Federacji na rzecz Kobiet i Planowania Rodziny) w sprawie </w:t>
      </w:r>
      <w:r w:rsidRPr="00A90CCD">
        <w:rPr>
          <w:rFonts w:asciiTheme="minorHAnsi" w:hAnsiTheme="minorHAnsi"/>
          <w:i/>
          <w:iCs/>
          <w:sz w:val="18"/>
          <w:szCs w:val="18"/>
        </w:rPr>
        <w:t>P. i S. p. Polsce</w:t>
      </w:r>
      <w:r w:rsidRPr="00A90CCD">
        <w:rPr>
          <w:rFonts w:asciiTheme="minorHAnsi" w:hAnsiTheme="minorHAnsi"/>
          <w:sz w:val="18"/>
          <w:szCs w:val="18"/>
        </w:rPr>
        <w:t xml:space="preserve"> (skarga nr 57375/08), DH- DD(2019)1492, s. 8</w:t>
      </w:r>
    </w:p>
  </w:footnote>
  <w:footnote w:id="39">
    <w:p w:rsidR="00B4606C" w:rsidRPr="00A90CCD" w:rsidRDefault="00B4606C" w:rsidP="00624593">
      <w:pPr>
        <w:pStyle w:val="Stopka1"/>
        <w:tabs>
          <w:tab w:val="left" w:pos="178"/>
        </w:tabs>
        <w:rPr>
          <w:rFonts w:asciiTheme="minorHAnsi" w:hAnsiTheme="minorHAnsi"/>
          <w:sz w:val="18"/>
          <w:szCs w:val="18"/>
        </w:rPr>
      </w:pPr>
      <w:r w:rsidRPr="00A90CCD">
        <w:rPr>
          <w:rFonts w:asciiTheme="minorHAnsi" w:hAnsiTheme="minorHAnsi"/>
          <w:sz w:val="18"/>
          <w:szCs w:val="18"/>
          <w:vertAlign w:val="superscript"/>
        </w:rPr>
        <w:footnoteRef/>
      </w:r>
      <w:r w:rsidRPr="00A90CCD">
        <w:rPr>
          <w:rFonts w:asciiTheme="minorHAnsi" w:hAnsiTheme="minorHAnsi"/>
          <w:sz w:val="18"/>
          <w:szCs w:val="18"/>
        </w:rPr>
        <w:tab/>
        <w:t>Odpowiedź Rzecznika Praw Pacjenta do Federacji na rzecz Kobiet i Planowania Rodziny z dnia 23 grudnia 2019 r., RzPP-DPR-WPL.0133.42.2019.KBI.</w:t>
      </w:r>
    </w:p>
  </w:footnote>
  <w:footnote w:id="40">
    <w:p w:rsidR="00B4606C" w:rsidRPr="00A90CCD" w:rsidRDefault="00B4606C" w:rsidP="00624593">
      <w:pPr>
        <w:pStyle w:val="Stopka1"/>
        <w:tabs>
          <w:tab w:val="left" w:pos="178"/>
        </w:tabs>
        <w:rPr>
          <w:rFonts w:asciiTheme="minorHAnsi" w:hAnsiTheme="minorHAnsi"/>
          <w:sz w:val="18"/>
          <w:szCs w:val="18"/>
        </w:rPr>
      </w:pPr>
      <w:r w:rsidRPr="00A90CCD">
        <w:rPr>
          <w:rFonts w:asciiTheme="minorHAnsi" w:hAnsiTheme="minorHAnsi"/>
          <w:sz w:val="18"/>
          <w:szCs w:val="18"/>
          <w:vertAlign w:val="superscript"/>
        </w:rPr>
        <w:footnoteRef/>
      </w:r>
      <w:r w:rsidRPr="00A90CCD">
        <w:rPr>
          <w:rFonts w:asciiTheme="minorHAnsi" w:hAnsiTheme="minorHAnsi"/>
          <w:sz w:val="18"/>
          <w:szCs w:val="18"/>
        </w:rPr>
        <w:tab/>
        <w:t>Dane osobowe znajdują się w aktach Federacji na rzecz Kobiet i Planowania Rodziny.</w:t>
      </w:r>
    </w:p>
  </w:footnote>
  <w:footnote w:id="41">
    <w:p w:rsidR="00B4606C" w:rsidRPr="00A90CCD" w:rsidRDefault="00B4606C" w:rsidP="00624593">
      <w:pPr>
        <w:pStyle w:val="Stopka1"/>
        <w:tabs>
          <w:tab w:val="left" w:pos="178"/>
        </w:tabs>
        <w:rPr>
          <w:rFonts w:asciiTheme="minorHAnsi" w:hAnsiTheme="minorHAnsi"/>
          <w:sz w:val="18"/>
          <w:szCs w:val="18"/>
        </w:rPr>
      </w:pPr>
      <w:r w:rsidRPr="00A90CCD">
        <w:rPr>
          <w:rFonts w:asciiTheme="minorHAnsi" w:hAnsiTheme="minorHAnsi"/>
          <w:sz w:val="18"/>
          <w:szCs w:val="18"/>
          <w:vertAlign w:val="superscript"/>
        </w:rPr>
        <w:footnoteRef/>
      </w:r>
      <w:r w:rsidRPr="00A90CCD">
        <w:rPr>
          <w:rFonts w:asciiTheme="minorHAnsi" w:hAnsiTheme="minorHAnsi"/>
          <w:sz w:val="18"/>
          <w:szCs w:val="18"/>
        </w:rPr>
        <w:tab/>
        <w:t xml:space="preserve">Zaktualizowany raport z działań (20.12.2019 r.) – Komunikacja polskich władz dotycząca sprawy </w:t>
      </w:r>
      <w:r w:rsidRPr="00A90CCD">
        <w:rPr>
          <w:rFonts w:asciiTheme="minorHAnsi" w:hAnsiTheme="minorHAnsi"/>
          <w:i/>
          <w:iCs/>
          <w:sz w:val="18"/>
          <w:szCs w:val="18"/>
        </w:rPr>
        <w:t>Tysiąc p. Polsce</w:t>
      </w:r>
      <w:r w:rsidRPr="00A90CCD">
        <w:rPr>
          <w:rFonts w:asciiTheme="minorHAnsi" w:hAnsiTheme="minorHAnsi"/>
          <w:sz w:val="18"/>
          <w:szCs w:val="18"/>
        </w:rPr>
        <w:t xml:space="preserve"> (skarga nr 5410/03), DH-DD(2020)4, s. 6–7; Zaktualizowany raport z działań (20.12.2019 r.) – Komunikacja polskich władz dotycząca sprawy </w:t>
      </w:r>
      <w:r w:rsidRPr="00A90CCD">
        <w:rPr>
          <w:rFonts w:asciiTheme="minorHAnsi" w:hAnsiTheme="minorHAnsi"/>
          <w:i/>
          <w:iCs/>
          <w:sz w:val="18"/>
          <w:szCs w:val="18"/>
        </w:rPr>
        <w:t>R.R. p. Polsce</w:t>
      </w:r>
      <w:r w:rsidRPr="00A90CCD">
        <w:rPr>
          <w:rFonts w:asciiTheme="minorHAnsi" w:hAnsiTheme="minorHAnsi"/>
          <w:sz w:val="18"/>
          <w:szCs w:val="18"/>
        </w:rPr>
        <w:t xml:space="preserve"> (skarga nr 27617/04), DH-DD(2020)3, s. 7-8; Komunikacja władz (20.12.2019 r.) w sprawie </w:t>
      </w:r>
      <w:r w:rsidRPr="00A90CCD">
        <w:rPr>
          <w:rFonts w:asciiTheme="minorHAnsi" w:hAnsiTheme="minorHAnsi"/>
          <w:i/>
          <w:iCs/>
          <w:sz w:val="18"/>
          <w:szCs w:val="18"/>
        </w:rPr>
        <w:t>P. i S. p. Polsce</w:t>
      </w:r>
      <w:r w:rsidRPr="00A90CCD">
        <w:rPr>
          <w:rFonts w:asciiTheme="minorHAnsi" w:hAnsiTheme="minorHAnsi"/>
          <w:sz w:val="18"/>
          <w:szCs w:val="18"/>
        </w:rPr>
        <w:t xml:space="preserve"> (skarga nr 57375/08), DH-DD(2020)5, s. 8.</w:t>
      </w:r>
    </w:p>
  </w:footnote>
  <w:footnote w:id="42">
    <w:p w:rsidR="00B4606C" w:rsidRDefault="00B4606C" w:rsidP="00624593">
      <w:pPr>
        <w:pStyle w:val="Stopka1"/>
        <w:tabs>
          <w:tab w:val="left" w:pos="182"/>
        </w:tabs>
      </w:pPr>
      <w:r w:rsidRPr="00A90CCD">
        <w:rPr>
          <w:rFonts w:asciiTheme="minorHAnsi" w:hAnsiTheme="minorHAnsi"/>
          <w:sz w:val="18"/>
          <w:szCs w:val="18"/>
          <w:vertAlign w:val="superscript"/>
        </w:rPr>
        <w:footnoteRef/>
      </w:r>
      <w:r w:rsidRPr="00A90CCD">
        <w:rPr>
          <w:rFonts w:asciiTheme="minorHAnsi" w:hAnsiTheme="minorHAnsi"/>
          <w:sz w:val="18"/>
          <w:szCs w:val="18"/>
        </w:rPr>
        <w:tab/>
        <w:t xml:space="preserve">Reguła 9 ust.2 Komunikacja dwóch organizacji pozarządowych (Centrum Praw Reprodukcyjnych i Federacji na rzecz Kobiet i Planowania Rodziny) (22.02.2019 r.) w sprawie </w:t>
      </w:r>
      <w:r w:rsidRPr="00A90CCD">
        <w:rPr>
          <w:rFonts w:asciiTheme="minorHAnsi" w:hAnsiTheme="minorHAnsi"/>
          <w:i/>
          <w:iCs/>
          <w:sz w:val="18"/>
          <w:szCs w:val="18"/>
        </w:rPr>
        <w:t>P. i S. p. Polsce</w:t>
      </w:r>
      <w:r w:rsidRPr="00A90CCD">
        <w:rPr>
          <w:rFonts w:asciiTheme="minorHAnsi" w:hAnsiTheme="minorHAnsi"/>
          <w:sz w:val="18"/>
          <w:szCs w:val="18"/>
        </w:rPr>
        <w:t xml:space="preserve"> (skarga nr 57375/08), DH-DD(2019)235; Reguła 9 ust.2 Komunikacja organizacji pozarządowej (Federacji na rzecz Kobiet i Planowania Rodziny, Centrum Praw Reprodukcyjnych) (24.08.2018 r.) w sprawach </w:t>
      </w:r>
      <w:r w:rsidRPr="00A90CCD">
        <w:rPr>
          <w:rFonts w:asciiTheme="minorHAnsi" w:hAnsiTheme="minorHAnsi"/>
          <w:i/>
          <w:iCs/>
          <w:sz w:val="18"/>
          <w:szCs w:val="18"/>
        </w:rPr>
        <w:t>P. i S., R.R. i Tysiąc p. Polsce</w:t>
      </w:r>
      <w:r w:rsidRPr="00A90CCD">
        <w:rPr>
          <w:rFonts w:asciiTheme="minorHAnsi" w:hAnsiTheme="minorHAnsi"/>
          <w:sz w:val="18"/>
          <w:szCs w:val="18"/>
        </w:rPr>
        <w:t xml:space="preserve"> (skargi nr 57375/08, 27617/04, 5410/03), DH- DD(2018)814; Komunikacja Centrum Praw Reprodukcyjnych w sprawie </w:t>
      </w:r>
      <w:r w:rsidRPr="00A90CCD">
        <w:rPr>
          <w:rFonts w:asciiTheme="minorHAnsi" w:hAnsiTheme="minorHAnsi"/>
          <w:i/>
          <w:iCs/>
          <w:sz w:val="18"/>
          <w:szCs w:val="18"/>
        </w:rPr>
        <w:t>R.R. p. Polsce</w:t>
      </w:r>
      <w:r w:rsidRPr="00A90CCD">
        <w:rPr>
          <w:rFonts w:asciiTheme="minorHAnsi" w:hAnsiTheme="minorHAnsi"/>
          <w:sz w:val="18"/>
          <w:szCs w:val="18"/>
        </w:rPr>
        <w:t xml:space="preserve">, (02.09.2016 r.) dostępna pod adresem </w:t>
      </w:r>
      <w:hyperlink r:id="rId28" w:history="1">
        <w:r w:rsidRPr="00A90CCD">
          <w:rPr>
            <w:rFonts w:asciiTheme="minorHAnsi" w:hAnsiTheme="minorHAnsi"/>
            <w:sz w:val="18"/>
            <w:szCs w:val="18"/>
          </w:rPr>
          <w:t>https://rm.coe.int/16806a950f</w:t>
        </w:r>
      </w:hyperlink>
      <w:r w:rsidRPr="00A90CCD">
        <w:rPr>
          <w:rFonts w:asciiTheme="minorHAnsi" w:hAnsiTheme="minorHAnsi"/>
          <w:sz w:val="18"/>
          <w:szCs w:val="18"/>
        </w:rPr>
        <w:t>.</w:t>
      </w:r>
    </w:p>
  </w:footnote>
  <w:footnote w:id="43">
    <w:p w:rsidR="00B4606C" w:rsidRPr="00A90CCD" w:rsidRDefault="00B4606C" w:rsidP="00624593">
      <w:pPr>
        <w:pStyle w:val="Stopka1"/>
        <w:tabs>
          <w:tab w:val="left" w:pos="182"/>
        </w:tabs>
        <w:rPr>
          <w:rFonts w:asciiTheme="minorHAnsi" w:hAnsiTheme="minorHAnsi"/>
          <w:sz w:val="18"/>
          <w:szCs w:val="18"/>
        </w:rPr>
      </w:pPr>
      <w:r w:rsidRPr="00A90CCD">
        <w:rPr>
          <w:rFonts w:asciiTheme="minorHAnsi" w:hAnsiTheme="minorHAnsi"/>
          <w:sz w:val="18"/>
          <w:szCs w:val="18"/>
          <w:vertAlign w:val="superscript"/>
        </w:rPr>
        <w:footnoteRef/>
      </w:r>
      <w:r w:rsidRPr="00A90CCD">
        <w:rPr>
          <w:rFonts w:asciiTheme="minorHAnsi" w:hAnsiTheme="minorHAnsi"/>
          <w:sz w:val="18"/>
          <w:szCs w:val="18"/>
        </w:rPr>
        <w:tab/>
        <w:t xml:space="preserve">Odpowiedź władz (09.12.2019 r.) na komunikację organizacji pozarządowej (Centrum Praw Reprodukcyjnych i Federacji na rzecz Kobiet i Planowania Rodziny) w sprawie </w:t>
      </w:r>
      <w:r w:rsidRPr="00A90CCD">
        <w:rPr>
          <w:rFonts w:asciiTheme="minorHAnsi" w:hAnsiTheme="minorHAnsi"/>
          <w:i/>
          <w:iCs/>
          <w:sz w:val="18"/>
          <w:szCs w:val="18"/>
        </w:rPr>
        <w:t>P. i S. p. Polsce</w:t>
      </w:r>
      <w:r w:rsidRPr="00A90CCD">
        <w:rPr>
          <w:rFonts w:asciiTheme="minorHAnsi" w:hAnsiTheme="minorHAnsi"/>
          <w:sz w:val="18"/>
          <w:szCs w:val="18"/>
        </w:rPr>
        <w:t xml:space="preserve"> (skarga nr 57375/08), DH- DD(2019)1492, s. 2</w:t>
      </w:r>
    </w:p>
  </w:footnote>
  <w:footnote w:id="44">
    <w:p w:rsidR="00B4606C" w:rsidRPr="00A90CCD" w:rsidRDefault="00B4606C" w:rsidP="00624593">
      <w:pPr>
        <w:pStyle w:val="Stopka1"/>
        <w:tabs>
          <w:tab w:val="left" w:pos="178"/>
        </w:tabs>
        <w:rPr>
          <w:rFonts w:asciiTheme="minorHAnsi" w:hAnsiTheme="minorHAnsi"/>
          <w:sz w:val="18"/>
          <w:szCs w:val="18"/>
          <w:lang w:val="en-US"/>
        </w:rPr>
      </w:pPr>
      <w:r w:rsidRPr="00A90CCD">
        <w:rPr>
          <w:rFonts w:asciiTheme="minorHAnsi" w:hAnsiTheme="minorHAnsi"/>
          <w:sz w:val="18"/>
          <w:szCs w:val="18"/>
          <w:vertAlign w:val="superscript"/>
        </w:rPr>
        <w:footnoteRef/>
      </w:r>
      <w:r w:rsidRPr="00A90CCD">
        <w:rPr>
          <w:rFonts w:asciiTheme="minorHAnsi" w:hAnsiTheme="minorHAnsi"/>
          <w:sz w:val="18"/>
          <w:szCs w:val="18"/>
          <w:lang w:val="en-US"/>
        </w:rPr>
        <w:tab/>
        <w:t xml:space="preserve">Madeline Roache, </w:t>
      </w:r>
      <w:r w:rsidRPr="00A90CCD">
        <w:rPr>
          <w:rFonts w:asciiTheme="minorHAnsi" w:hAnsiTheme="minorHAnsi"/>
          <w:i/>
          <w:iCs/>
          <w:sz w:val="18"/>
          <w:szCs w:val="18"/>
          <w:lang w:val="en-US"/>
        </w:rPr>
        <w:t>Poland Is Trying to Make Abortion Dangerous, Illegal, and Impossible</w:t>
      </w:r>
      <w:r w:rsidRPr="00A90CCD">
        <w:rPr>
          <w:rFonts w:asciiTheme="minorHAnsi" w:hAnsiTheme="minorHAnsi"/>
          <w:sz w:val="18"/>
          <w:szCs w:val="18"/>
          <w:lang w:val="en-US"/>
        </w:rPr>
        <w:t xml:space="preserve">, FOREIGN POLICY (8 stycznia 2019 r.), tekst dostępny pod adresem: </w:t>
      </w:r>
      <w:hyperlink r:id="rId29" w:history="1">
        <w:r w:rsidRPr="00A90CCD">
          <w:rPr>
            <w:rFonts w:asciiTheme="minorHAnsi" w:hAnsiTheme="minorHAnsi"/>
            <w:sz w:val="18"/>
            <w:szCs w:val="18"/>
            <w:u w:val="single"/>
            <w:lang w:val="en-US"/>
          </w:rPr>
          <w:t>https://bit.lv/2rzWvZa</w:t>
        </w:r>
        <w:r w:rsidRPr="00A90CCD">
          <w:rPr>
            <w:rFonts w:asciiTheme="minorHAnsi" w:hAnsiTheme="minorHAnsi"/>
            <w:sz w:val="18"/>
            <w:szCs w:val="18"/>
            <w:lang w:val="en-US"/>
          </w:rPr>
          <w:t>.</w:t>
        </w:r>
      </w:hyperlink>
    </w:p>
  </w:footnote>
  <w:footnote w:id="45">
    <w:p w:rsidR="00B4606C" w:rsidRPr="00A90CCD" w:rsidRDefault="00B4606C" w:rsidP="00624593">
      <w:pPr>
        <w:pStyle w:val="Stopka1"/>
        <w:tabs>
          <w:tab w:val="left" w:pos="178"/>
        </w:tabs>
        <w:rPr>
          <w:rFonts w:asciiTheme="minorHAnsi" w:hAnsiTheme="minorHAnsi"/>
          <w:sz w:val="18"/>
          <w:szCs w:val="18"/>
        </w:rPr>
      </w:pPr>
      <w:r w:rsidRPr="00A90CCD">
        <w:rPr>
          <w:rFonts w:asciiTheme="minorHAnsi" w:hAnsiTheme="minorHAnsi"/>
          <w:sz w:val="18"/>
          <w:szCs w:val="18"/>
          <w:vertAlign w:val="superscript"/>
        </w:rPr>
        <w:footnoteRef/>
      </w:r>
      <w:r w:rsidRPr="00A90CCD">
        <w:rPr>
          <w:rFonts w:asciiTheme="minorHAnsi" w:hAnsiTheme="minorHAnsi"/>
          <w:sz w:val="18"/>
          <w:szCs w:val="18"/>
        </w:rPr>
        <w:tab/>
        <w:t xml:space="preserve">Zob. wyniki monitoringu dostępności aborcji przeprowadzonego przez Federację na rzecz Kobiet i Planowania Rodziny, dostępne na stronie </w:t>
      </w:r>
      <w:hyperlink r:id="rId30" w:history="1">
        <w:r w:rsidRPr="00A90CCD">
          <w:rPr>
            <w:rFonts w:asciiTheme="minorHAnsi" w:hAnsiTheme="minorHAnsi"/>
            <w:color w:val="0563C1"/>
            <w:sz w:val="18"/>
            <w:szCs w:val="18"/>
            <w:u w:val="single"/>
          </w:rPr>
          <w:t>https://federa.org.pl/dostepnosc-aborcii-rzeszow/</w:t>
        </w:r>
        <w:r w:rsidRPr="00A90CCD">
          <w:rPr>
            <w:rFonts w:asciiTheme="minorHAnsi" w:hAnsiTheme="minorHAnsi"/>
            <w:color w:val="FF0000"/>
            <w:sz w:val="18"/>
            <w:szCs w:val="18"/>
          </w:rPr>
          <w:t>.</w:t>
        </w:r>
      </w:hyperlink>
    </w:p>
  </w:footnote>
  <w:footnote w:id="46">
    <w:p w:rsidR="00B4606C" w:rsidRPr="00A90CCD" w:rsidRDefault="00B4606C" w:rsidP="00624593">
      <w:pPr>
        <w:pStyle w:val="Stopka1"/>
        <w:tabs>
          <w:tab w:val="left" w:pos="182"/>
        </w:tabs>
        <w:rPr>
          <w:rFonts w:asciiTheme="minorHAnsi" w:hAnsiTheme="minorHAnsi"/>
          <w:sz w:val="18"/>
          <w:szCs w:val="18"/>
        </w:rPr>
      </w:pPr>
      <w:r w:rsidRPr="00A90CCD">
        <w:rPr>
          <w:rFonts w:asciiTheme="minorHAnsi" w:hAnsiTheme="minorHAnsi"/>
          <w:sz w:val="18"/>
          <w:szCs w:val="18"/>
          <w:vertAlign w:val="superscript"/>
        </w:rPr>
        <w:footnoteRef/>
      </w:r>
      <w:r w:rsidRPr="00A90CCD">
        <w:rPr>
          <w:rFonts w:asciiTheme="minorHAnsi" w:hAnsiTheme="minorHAnsi"/>
          <w:sz w:val="18"/>
          <w:szCs w:val="18"/>
        </w:rPr>
        <w:tab/>
        <w:t xml:space="preserve">Odpowiedź władz (09.12.2019 r.) na komunikację organizacji pozarządowej (Centrum Praw Reprodukcyjnych i Federacji na rzecz Kobiet i Planowania Rodziny) w sprawie </w:t>
      </w:r>
      <w:r>
        <w:rPr>
          <w:rFonts w:asciiTheme="minorHAnsi" w:hAnsiTheme="minorHAnsi"/>
          <w:i/>
          <w:iCs/>
          <w:sz w:val="18"/>
          <w:szCs w:val="18"/>
        </w:rPr>
        <w:t>P. i S. p.</w:t>
      </w:r>
      <w:r w:rsidRPr="00A90CCD">
        <w:rPr>
          <w:rFonts w:asciiTheme="minorHAnsi" w:hAnsiTheme="minorHAnsi"/>
          <w:i/>
          <w:iCs/>
          <w:sz w:val="18"/>
          <w:szCs w:val="18"/>
        </w:rPr>
        <w:t xml:space="preserve"> Polsce</w:t>
      </w:r>
      <w:r w:rsidRPr="00A90CCD">
        <w:rPr>
          <w:rFonts w:asciiTheme="minorHAnsi" w:hAnsiTheme="minorHAnsi"/>
          <w:sz w:val="18"/>
          <w:szCs w:val="18"/>
        </w:rPr>
        <w:t xml:space="preserve"> (skarga nr 57375/08), DH- DD(2019)1492, s. 2</w:t>
      </w:r>
    </w:p>
  </w:footnote>
  <w:footnote w:id="47">
    <w:p w:rsidR="00B4606C" w:rsidRPr="00A90CCD" w:rsidRDefault="00B4606C" w:rsidP="00624593">
      <w:pPr>
        <w:pStyle w:val="Stopka1"/>
        <w:tabs>
          <w:tab w:val="left" w:pos="182"/>
        </w:tabs>
        <w:rPr>
          <w:rFonts w:asciiTheme="minorHAnsi" w:hAnsiTheme="minorHAnsi"/>
          <w:sz w:val="18"/>
          <w:szCs w:val="18"/>
        </w:rPr>
      </w:pPr>
      <w:r w:rsidRPr="00A90CCD">
        <w:rPr>
          <w:rFonts w:asciiTheme="minorHAnsi" w:hAnsiTheme="minorHAnsi"/>
          <w:sz w:val="18"/>
          <w:szCs w:val="18"/>
          <w:vertAlign w:val="superscript"/>
        </w:rPr>
        <w:footnoteRef/>
      </w:r>
      <w:r w:rsidRPr="00A90CCD">
        <w:rPr>
          <w:rFonts w:asciiTheme="minorHAnsi" w:hAnsiTheme="minorHAnsi"/>
          <w:sz w:val="18"/>
          <w:szCs w:val="18"/>
        </w:rPr>
        <w:tab/>
        <w:t xml:space="preserve">Odpowiedź władz (09.12.2019 r.) na komunikację Biura RPO w sprawie </w:t>
      </w:r>
      <w:r w:rsidRPr="00A90CCD">
        <w:rPr>
          <w:rFonts w:asciiTheme="minorHAnsi" w:hAnsiTheme="minorHAnsi"/>
          <w:i/>
          <w:iCs/>
          <w:sz w:val="18"/>
          <w:szCs w:val="18"/>
        </w:rPr>
        <w:t>P. i S. p</w:t>
      </w:r>
      <w:r>
        <w:rPr>
          <w:rFonts w:asciiTheme="minorHAnsi" w:hAnsiTheme="minorHAnsi"/>
          <w:i/>
          <w:iCs/>
          <w:sz w:val="18"/>
          <w:szCs w:val="18"/>
        </w:rPr>
        <w:t>.</w:t>
      </w:r>
      <w:r w:rsidRPr="00A90CCD">
        <w:rPr>
          <w:rFonts w:asciiTheme="minorHAnsi" w:hAnsiTheme="minorHAnsi"/>
          <w:i/>
          <w:iCs/>
          <w:sz w:val="18"/>
          <w:szCs w:val="18"/>
        </w:rPr>
        <w:t xml:space="preserve"> Polsce</w:t>
      </w:r>
      <w:r w:rsidRPr="00A90CCD">
        <w:rPr>
          <w:rFonts w:asciiTheme="minorHAnsi" w:hAnsiTheme="minorHAnsi"/>
          <w:sz w:val="18"/>
          <w:szCs w:val="18"/>
        </w:rPr>
        <w:t xml:space="preserve"> (skarga nr 57375/08), DH- DD(2019)1493, s. 3</w:t>
      </w:r>
    </w:p>
  </w:footnote>
  <w:footnote w:id="48">
    <w:p w:rsidR="00B4606C" w:rsidRPr="00A90CCD" w:rsidRDefault="00B4606C" w:rsidP="00624593">
      <w:pPr>
        <w:pStyle w:val="Stopka1"/>
        <w:tabs>
          <w:tab w:val="left" w:pos="192"/>
        </w:tabs>
        <w:rPr>
          <w:rFonts w:asciiTheme="minorHAnsi" w:hAnsiTheme="minorHAnsi"/>
          <w:sz w:val="18"/>
          <w:szCs w:val="18"/>
        </w:rPr>
      </w:pPr>
      <w:r w:rsidRPr="00A90CCD">
        <w:rPr>
          <w:rFonts w:asciiTheme="minorHAnsi" w:hAnsiTheme="minorHAnsi"/>
          <w:sz w:val="18"/>
          <w:szCs w:val="18"/>
          <w:vertAlign w:val="superscript"/>
        </w:rPr>
        <w:footnoteRef/>
      </w:r>
      <w:r w:rsidRPr="00A90CCD">
        <w:rPr>
          <w:rFonts w:asciiTheme="minorHAnsi" w:hAnsiTheme="minorHAnsi"/>
          <w:sz w:val="18"/>
          <w:szCs w:val="18"/>
        </w:rPr>
        <w:tab/>
        <w:t xml:space="preserve">Zob. wystąpienie Centrum Praw Reprodukcyjnych i Federacji na rzecz Kobiet i Planowania Rodziny w sprawie </w:t>
      </w:r>
      <w:r>
        <w:rPr>
          <w:rFonts w:asciiTheme="minorHAnsi" w:hAnsiTheme="minorHAnsi"/>
          <w:i/>
          <w:iCs/>
          <w:sz w:val="18"/>
          <w:szCs w:val="18"/>
        </w:rPr>
        <w:t>R.R. p.</w:t>
      </w:r>
      <w:r w:rsidRPr="00A90CCD">
        <w:rPr>
          <w:rFonts w:asciiTheme="minorHAnsi" w:hAnsiTheme="minorHAnsi"/>
          <w:i/>
          <w:iCs/>
          <w:sz w:val="18"/>
          <w:szCs w:val="18"/>
        </w:rPr>
        <w:t xml:space="preserve"> Polsce</w:t>
      </w:r>
      <w:r w:rsidRPr="00A90CCD">
        <w:rPr>
          <w:rFonts w:asciiTheme="minorHAnsi" w:hAnsiTheme="minorHAnsi"/>
          <w:sz w:val="18"/>
          <w:szCs w:val="18"/>
        </w:rPr>
        <w:t xml:space="preserve">, (02.09.2016 r.), dostępna pod adresem </w:t>
      </w:r>
      <w:hyperlink r:id="rId31" w:history="1">
        <w:r w:rsidRPr="00A90CCD">
          <w:rPr>
            <w:rFonts w:asciiTheme="minorHAnsi" w:hAnsiTheme="minorHAnsi"/>
            <w:sz w:val="18"/>
            <w:szCs w:val="18"/>
          </w:rPr>
          <w:t>https://rm.coe.int/16806a950f</w:t>
        </w:r>
      </w:hyperlink>
      <w:r w:rsidRPr="00A90CCD">
        <w:rPr>
          <w:rFonts w:asciiTheme="minorHAnsi" w:hAnsiTheme="minorHAnsi"/>
          <w:color w:val="0563C1"/>
          <w:sz w:val="18"/>
          <w:szCs w:val="18"/>
          <w:u w:val="single"/>
        </w:rPr>
        <w:t>.</w:t>
      </w:r>
    </w:p>
  </w:footnote>
  <w:footnote w:id="49">
    <w:p w:rsidR="00B4606C" w:rsidRDefault="00B4606C" w:rsidP="00624593">
      <w:pPr>
        <w:pStyle w:val="Stopka1"/>
        <w:tabs>
          <w:tab w:val="left" w:pos="178"/>
        </w:tabs>
      </w:pPr>
      <w:r w:rsidRPr="00A90CCD">
        <w:rPr>
          <w:rFonts w:asciiTheme="minorHAnsi" w:hAnsiTheme="minorHAnsi"/>
          <w:sz w:val="18"/>
          <w:szCs w:val="18"/>
          <w:vertAlign w:val="superscript"/>
        </w:rPr>
        <w:footnoteRef/>
      </w:r>
      <w:r w:rsidRPr="00A90CCD">
        <w:rPr>
          <w:rFonts w:asciiTheme="minorHAnsi" w:hAnsiTheme="minorHAnsi"/>
          <w:sz w:val="18"/>
          <w:szCs w:val="18"/>
        </w:rPr>
        <w:tab/>
        <w:t xml:space="preserve">Zaktualizowany raport z działań (20.12.2019 r.) – Komunikacja polskich władz dotycząca sprawy </w:t>
      </w:r>
      <w:r>
        <w:rPr>
          <w:rFonts w:asciiTheme="minorHAnsi" w:hAnsiTheme="minorHAnsi"/>
          <w:i/>
          <w:iCs/>
          <w:sz w:val="18"/>
          <w:szCs w:val="18"/>
        </w:rPr>
        <w:t>Tysiąc p.</w:t>
      </w:r>
      <w:r w:rsidRPr="00A90CCD">
        <w:rPr>
          <w:rFonts w:asciiTheme="minorHAnsi" w:hAnsiTheme="minorHAnsi"/>
          <w:i/>
          <w:iCs/>
          <w:sz w:val="18"/>
          <w:szCs w:val="18"/>
        </w:rPr>
        <w:t xml:space="preserve"> Polsce</w:t>
      </w:r>
      <w:r w:rsidRPr="00A90CCD">
        <w:rPr>
          <w:rFonts w:asciiTheme="minorHAnsi" w:hAnsiTheme="minorHAnsi"/>
          <w:sz w:val="18"/>
          <w:szCs w:val="18"/>
        </w:rPr>
        <w:t xml:space="preserve"> (skarga nr 5410/03), DH-DD(2020)4, s. 4; Zaktualizowany raport z działań (20.12.2019 r.) –</w:t>
      </w:r>
      <w:r>
        <w:rPr>
          <w:rFonts w:asciiTheme="minorHAnsi" w:hAnsiTheme="minorHAnsi"/>
          <w:sz w:val="18"/>
          <w:szCs w:val="18"/>
        </w:rPr>
        <w:t xml:space="preserve"> </w:t>
      </w:r>
      <w:r w:rsidRPr="00A90CCD">
        <w:rPr>
          <w:rFonts w:asciiTheme="minorHAnsi" w:hAnsiTheme="minorHAnsi"/>
          <w:sz w:val="18"/>
          <w:szCs w:val="18"/>
        </w:rPr>
        <w:t xml:space="preserve">Komunikacja polskich władz dotycząca sprawy </w:t>
      </w:r>
      <w:r>
        <w:rPr>
          <w:rFonts w:asciiTheme="minorHAnsi" w:hAnsiTheme="minorHAnsi"/>
          <w:i/>
          <w:iCs/>
          <w:sz w:val="18"/>
          <w:szCs w:val="18"/>
        </w:rPr>
        <w:t>R.R. p.</w:t>
      </w:r>
      <w:r w:rsidRPr="00A90CCD">
        <w:rPr>
          <w:rFonts w:asciiTheme="minorHAnsi" w:hAnsiTheme="minorHAnsi"/>
          <w:i/>
          <w:iCs/>
          <w:sz w:val="18"/>
          <w:szCs w:val="18"/>
        </w:rPr>
        <w:t xml:space="preserve"> Polsce</w:t>
      </w:r>
      <w:r w:rsidRPr="00A90CCD">
        <w:rPr>
          <w:rFonts w:asciiTheme="minorHAnsi" w:hAnsiTheme="minorHAnsi"/>
          <w:sz w:val="18"/>
          <w:szCs w:val="18"/>
        </w:rPr>
        <w:t xml:space="preserve"> (skarga nr 27617/04), DH-DD(2020)3, s. 6.</w:t>
      </w:r>
    </w:p>
  </w:footnote>
  <w:footnote w:id="50">
    <w:p w:rsidR="00B4606C" w:rsidRPr="00A90CCD" w:rsidRDefault="00B4606C" w:rsidP="00624593">
      <w:pPr>
        <w:pStyle w:val="Stopka1"/>
        <w:tabs>
          <w:tab w:val="left" w:pos="178"/>
        </w:tabs>
        <w:rPr>
          <w:rFonts w:asciiTheme="minorHAnsi" w:hAnsiTheme="minorHAnsi"/>
          <w:sz w:val="18"/>
          <w:szCs w:val="18"/>
        </w:rPr>
      </w:pPr>
      <w:r w:rsidRPr="00A90CCD">
        <w:rPr>
          <w:rFonts w:asciiTheme="minorHAnsi" w:hAnsiTheme="minorHAnsi"/>
          <w:sz w:val="18"/>
          <w:szCs w:val="18"/>
          <w:vertAlign w:val="superscript"/>
        </w:rPr>
        <w:footnoteRef/>
      </w:r>
      <w:r w:rsidRPr="00A90CCD">
        <w:rPr>
          <w:rFonts w:asciiTheme="minorHAnsi" w:hAnsiTheme="minorHAnsi"/>
          <w:sz w:val="18"/>
          <w:szCs w:val="18"/>
        </w:rPr>
        <w:tab/>
        <w:t xml:space="preserve">Federacja na rzecz Kobiet i Planowania Rodziny, „Dzień dobry, chcę przerwać ciążę – o procedurach dostępu do legalnej aborcji w polskich szpitalach”, tekst dostępny pod adresem </w:t>
      </w:r>
      <w:hyperlink r:id="rId32" w:history="1">
        <w:r w:rsidRPr="00A90CCD">
          <w:rPr>
            <w:rFonts w:asciiTheme="minorHAnsi" w:hAnsiTheme="minorHAnsi"/>
            <w:sz w:val="18"/>
            <w:szCs w:val="18"/>
          </w:rPr>
          <w:t>https://federa.org.pl/raport-dzien-dobry-chce-przerwac-ciaze-o-procedurach- dostepu-do-legalnej-aborcji-w-polskich-szpitalach/</w:t>
        </w:r>
      </w:hyperlink>
      <w:r w:rsidRPr="00A90CCD">
        <w:rPr>
          <w:rFonts w:asciiTheme="minorHAnsi" w:hAnsiTheme="minorHAnsi"/>
          <w:sz w:val="18"/>
          <w:szCs w:val="18"/>
        </w:rPr>
        <w:t>.</w:t>
      </w:r>
    </w:p>
  </w:footnote>
  <w:footnote w:id="51">
    <w:p w:rsidR="00B4606C" w:rsidRPr="00A90CCD" w:rsidRDefault="00B4606C" w:rsidP="00624593">
      <w:pPr>
        <w:pStyle w:val="Stopka1"/>
        <w:tabs>
          <w:tab w:val="left" w:pos="264"/>
        </w:tabs>
        <w:rPr>
          <w:rFonts w:asciiTheme="minorHAnsi" w:hAnsiTheme="minorHAnsi"/>
          <w:sz w:val="18"/>
          <w:szCs w:val="18"/>
        </w:rPr>
      </w:pPr>
      <w:r w:rsidRPr="00A90CCD">
        <w:rPr>
          <w:rFonts w:asciiTheme="minorHAnsi" w:hAnsiTheme="minorHAnsi"/>
          <w:sz w:val="18"/>
          <w:szCs w:val="18"/>
          <w:vertAlign w:val="superscript"/>
        </w:rPr>
        <w:footnoteRef/>
      </w:r>
      <w:r w:rsidRPr="00A90CCD">
        <w:rPr>
          <w:rFonts w:asciiTheme="minorHAnsi" w:hAnsiTheme="minorHAnsi"/>
          <w:sz w:val="18"/>
          <w:szCs w:val="18"/>
        </w:rPr>
        <w:tab/>
        <w:t xml:space="preserve">Federacja na rzecz Kobiet i Planowania Rodziny, tekst dostępny pod adresem </w:t>
      </w:r>
      <w:hyperlink r:id="rId33" w:history="1">
        <w:r w:rsidRPr="00A90CCD">
          <w:rPr>
            <w:rFonts w:asciiTheme="minorHAnsi" w:hAnsiTheme="minorHAnsi"/>
            <w:sz w:val="18"/>
            <w:szCs w:val="18"/>
          </w:rPr>
          <w:t>https://federa.org.pl/dostepnosc-aborcji-warszawa/</w:t>
        </w:r>
      </w:hyperlink>
      <w:r w:rsidRPr="00A90CCD">
        <w:rPr>
          <w:rFonts w:asciiTheme="minorHAnsi" w:hAnsiTheme="minorHAnsi"/>
          <w:sz w:val="18"/>
          <w:szCs w:val="18"/>
        </w:rPr>
        <w:t xml:space="preserve">; </w:t>
      </w:r>
      <w:hyperlink r:id="rId34" w:history="1">
        <w:r w:rsidRPr="00A90CCD">
          <w:rPr>
            <w:rFonts w:asciiTheme="minorHAnsi" w:hAnsiTheme="minorHAnsi"/>
            <w:sz w:val="18"/>
            <w:szCs w:val="18"/>
          </w:rPr>
          <w:t>https://federa.org.pl/dostepnosc-terminacji-ciazy-olsztyn/</w:t>
        </w:r>
      </w:hyperlink>
      <w:r w:rsidRPr="00A90CCD">
        <w:rPr>
          <w:rFonts w:asciiTheme="minorHAnsi" w:hAnsiTheme="minorHAnsi"/>
          <w:sz w:val="18"/>
          <w:szCs w:val="18"/>
        </w:rPr>
        <w:t xml:space="preserve">; </w:t>
      </w:r>
      <w:hyperlink r:id="rId35" w:history="1">
        <w:r w:rsidRPr="00A90CCD">
          <w:rPr>
            <w:rFonts w:asciiTheme="minorHAnsi" w:hAnsiTheme="minorHAnsi"/>
            <w:sz w:val="18"/>
            <w:szCs w:val="18"/>
          </w:rPr>
          <w:t>https://federa.org.pl/dostepnosc-aborcji-rzeszow/</w:t>
        </w:r>
      </w:hyperlink>
      <w:r w:rsidRPr="00A90CCD">
        <w:rPr>
          <w:rFonts w:asciiTheme="minorHAnsi" w:hAnsiTheme="minorHAnsi"/>
          <w:sz w:val="18"/>
          <w:szCs w:val="18"/>
        </w:rPr>
        <w:t>.</w:t>
      </w:r>
    </w:p>
  </w:footnote>
  <w:footnote w:id="52">
    <w:p w:rsidR="00B4606C" w:rsidRPr="00A90CCD" w:rsidRDefault="00B4606C" w:rsidP="00624593">
      <w:pPr>
        <w:pStyle w:val="Stopka1"/>
        <w:tabs>
          <w:tab w:val="left" w:pos="178"/>
        </w:tabs>
        <w:rPr>
          <w:rFonts w:asciiTheme="minorHAnsi" w:hAnsiTheme="minorHAnsi"/>
          <w:sz w:val="18"/>
          <w:szCs w:val="18"/>
        </w:rPr>
      </w:pPr>
      <w:r w:rsidRPr="00A90CCD">
        <w:rPr>
          <w:rFonts w:asciiTheme="minorHAnsi" w:hAnsiTheme="minorHAnsi"/>
          <w:sz w:val="18"/>
          <w:szCs w:val="18"/>
          <w:vertAlign w:val="superscript"/>
        </w:rPr>
        <w:footnoteRef/>
      </w:r>
      <w:r w:rsidRPr="00A90CCD">
        <w:rPr>
          <w:rFonts w:asciiTheme="minorHAnsi" w:hAnsiTheme="minorHAnsi"/>
          <w:sz w:val="18"/>
          <w:szCs w:val="18"/>
        </w:rPr>
        <w:tab/>
        <w:t>Wojewódzki Sąd Administracyjny w Krakowie, wyrok z dnia 14 listopada 2019 r., sygn. akt II SAB/Kr 358/19.</w:t>
      </w:r>
    </w:p>
  </w:footnote>
  <w:footnote w:id="53">
    <w:p w:rsidR="00B4606C" w:rsidRPr="00A90CCD" w:rsidRDefault="00B4606C" w:rsidP="00624593">
      <w:pPr>
        <w:pStyle w:val="Stopka1"/>
        <w:tabs>
          <w:tab w:val="left" w:pos="178"/>
        </w:tabs>
        <w:rPr>
          <w:rFonts w:asciiTheme="minorHAnsi" w:hAnsiTheme="minorHAnsi"/>
          <w:sz w:val="18"/>
          <w:szCs w:val="18"/>
        </w:rPr>
      </w:pPr>
      <w:r w:rsidRPr="00A90CCD">
        <w:rPr>
          <w:rFonts w:asciiTheme="minorHAnsi" w:hAnsiTheme="minorHAnsi"/>
          <w:sz w:val="18"/>
          <w:szCs w:val="18"/>
          <w:vertAlign w:val="superscript"/>
        </w:rPr>
        <w:footnoteRef/>
      </w:r>
      <w:r w:rsidRPr="00A90CCD">
        <w:rPr>
          <w:rFonts w:asciiTheme="minorHAnsi" w:hAnsiTheme="minorHAnsi"/>
          <w:sz w:val="18"/>
          <w:szCs w:val="18"/>
        </w:rPr>
        <w:tab/>
        <w:t xml:space="preserve">Zaktualizowany raport z działań (20.12.2019 r.) – Komunikacja polskich władz dotycząca sprawy </w:t>
      </w:r>
      <w:r>
        <w:rPr>
          <w:rFonts w:asciiTheme="minorHAnsi" w:hAnsiTheme="minorHAnsi"/>
          <w:i/>
          <w:iCs/>
          <w:sz w:val="18"/>
          <w:szCs w:val="18"/>
        </w:rPr>
        <w:t>Tysiąc p.</w:t>
      </w:r>
      <w:r w:rsidRPr="00A90CCD">
        <w:rPr>
          <w:rFonts w:asciiTheme="minorHAnsi" w:hAnsiTheme="minorHAnsi"/>
          <w:i/>
          <w:iCs/>
          <w:sz w:val="18"/>
          <w:szCs w:val="18"/>
        </w:rPr>
        <w:t xml:space="preserve"> Polsce</w:t>
      </w:r>
      <w:r w:rsidRPr="00A90CCD">
        <w:rPr>
          <w:rFonts w:asciiTheme="minorHAnsi" w:hAnsiTheme="minorHAnsi"/>
          <w:sz w:val="18"/>
          <w:szCs w:val="18"/>
        </w:rPr>
        <w:t xml:space="preserve"> (skarga nr 5410/03), DH-DD(2020)4, s. 5; Zaktualizowany raport z działań (20.12.2019 r.) – Komunikacja polskich władz dotycząca sprawy </w:t>
      </w:r>
      <w:r>
        <w:rPr>
          <w:rFonts w:asciiTheme="minorHAnsi" w:hAnsiTheme="minorHAnsi"/>
          <w:i/>
          <w:iCs/>
          <w:sz w:val="18"/>
          <w:szCs w:val="18"/>
        </w:rPr>
        <w:t>R.R. p.</w:t>
      </w:r>
      <w:r w:rsidRPr="00A90CCD">
        <w:rPr>
          <w:rFonts w:asciiTheme="minorHAnsi" w:hAnsiTheme="minorHAnsi"/>
          <w:i/>
          <w:iCs/>
          <w:sz w:val="18"/>
          <w:szCs w:val="18"/>
        </w:rPr>
        <w:t xml:space="preserve"> Polsce</w:t>
      </w:r>
      <w:r w:rsidRPr="00A90CCD">
        <w:rPr>
          <w:rFonts w:asciiTheme="minorHAnsi" w:hAnsiTheme="minorHAnsi"/>
          <w:sz w:val="18"/>
          <w:szCs w:val="18"/>
        </w:rPr>
        <w:t xml:space="preserve"> (skarga nr 27617/04), DH-DD(2020)3, s. 6; Komunikacja władz (20.12.2019 r.) w sprawie </w:t>
      </w:r>
      <w:r>
        <w:rPr>
          <w:rFonts w:asciiTheme="minorHAnsi" w:hAnsiTheme="minorHAnsi"/>
          <w:i/>
          <w:iCs/>
          <w:sz w:val="18"/>
          <w:szCs w:val="18"/>
        </w:rPr>
        <w:t>P. i S. p.</w:t>
      </w:r>
      <w:r w:rsidRPr="00A90CCD">
        <w:rPr>
          <w:rFonts w:asciiTheme="minorHAnsi" w:hAnsiTheme="minorHAnsi"/>
          <w:i/>
          <w:iCs/>
          <w:sz w:val="18"/>
          <w:szCs w:val="18"/>
        </w:rPr>
        <w:t xml:space="preserve"> Polsce</w:t>
      </w:r>
      <w:r w:rsidRPr="00A90CCD">
        <w:rPr>
          <w:rFonts w:asciiTheme="minorHAnsi" w:hAnsiTheme="minorHAnsi"/>
          <w:sz w:val="18"/>
          <w:szCs w:val="18"/>
        </w:rPr>
        <w:t xml:space="preserve"> (skarga nr 57375/08), DH-DD(2020)5, s. 2.</w:t>
      </w:r>
    </w:p>
  </w:footnote>
  <w:footnote w:id="54">
    <w:p w:rsidR="00B4606C" w:rsidRPr="00A90CCD" w:rsidRDefault="00B4606C" w:rsidP="00624593">
      <w:pPr>
        <w:pStyle w:val="Stopka1"/>
        <w:tabs>
          <w:tab w:val="left" w:pos="182"/>
        </w:tabs>
        <w:rPr>
          <w:rFonts w:asciiTheme="minorHAnsi" w:hAnsiTheme="minorHAnsi"/>
          <w:sz w:val="18"/>
          <w:szCs w:val="18"/>
        </w:rPr>
      </w:pPr>
      <w:r w:rsidRPr="00A90CCD">
        <w:rPr>
          <w:rFonts w:asciiTheme="minorHAnsi" w:hAnsiTheme="minorHAnsi"/>
          <w:sz w:val="18"/>
          <w:szCs w:val="18"/>
          <w:vertAlign w:val="superscript"/>
        </w:rPr>
        <w:footnoteRef/>
      </w:r>
      <w:r w:rsidRPr="00A90CCD">
        <w:rPr>
          <w:rFonts w:asciiTheme="minorHAnsi" w:hAnsiTheme="minorHAnsi"/>
          <w:sz w:val="18"/>
          <w:szCs w:val="18"/>
        </w:rPr>
        <w:tab/>
        <w:t xml:space="preserve">Federacja Kobiet i Planowania Rodziny, „Przemoc instytucjonalna w Polsce. O systemowych naruszeniach praw reprodukcyjnych”, grudzień 2019 r., tekst dostępny pod adresem </w:t>
      </w:r>
      <w:hyperlink r:id="rId36" w:history="1">
        <w:r w:rsidRPr="00A90CCD">
          <w:rPr>
            <w:rFonts w:asciiTheme="minorHAnsi" w:hAnsiTheme="minorHAnsi"/>
            <w:sz w:val="18"/>
            <w:szCs w:val="18"/>
          </w:rPr>
          <w:t>https://federa.org.pl/przemoc-instytucjonalna/</w:t>
        </w:r>
      </w:hyperlink>
      <w:r w:rsidRPr="00A90CCD">
        <w:rPr>
          <w:rFonts w:asciiTheme="minorHAnsi" w:hAnsiTheme="minorHAnsi"/>
          <w:sz w:val="18"/>
          <w:szCs w:val="18"/>
        </w:rPr>
        <w:t>.</w:t>
      </w:r>
    </w:p>
  </w:footnote>
  <w:footnote w:id="55">
    <w:p w:rsidR="00B4606C" w:rsidRPr="00A90CCD" w:rsidRDefault="00B4606C" w:rsidP="00624593">
      <w:pPr>
        <w:pStyle w:val="Stopka1"/>
        <w:tabs>
          <w:tab w:val="left" w:pos="240"/>
        </w:tabs>
        <w:rPr>
          <w:rFonts w:asciiTheme="minorHAnsi" w:hAnsiTheme="minorHAnsi"/>
          <w:sz w:val="18"/>
          <w:szCs w:val="18"/>
        </w:rPr>
      </w:pPr>
      <w:r w:rsidRPr="00A90CCD">
        <w:rPr>
          <w:rFonts w:asciiTheme="minorHAnsi" w:hAnsiTheme="minorHAnsi"/>
          <w:sz w:val="18"/>
          <w:szCs w:val="18"/>
          <w:vertAlign w:val="superscript"/>
        </w:rPr>
        <w:footnoteRef/>
      </w:r>
      <w:r w:rsidRPr="00A90CCD">
        <w:rPr>
          <w:rFonts w:asciiTheme="minorHAnsi" w:hAnsiTheme="minorHAnsi"/>
          <w:sz w:val="18"/>
          <w:szCs w:val="18"/>
        </w:rPr>
        <w:tab/>
        <w:t>Odpowiedzi skierowane do Federacji na rzecz Kobiet i Planowania Rodziny od Narodowego Funduszu Zdrowia, DK-WŚ.401.1.2020, DK-WŚ.401.2.2020, DK-WŚ.401.3.2020, DK-WŚ.401.4.2020.</w:t>
      </w:r>
    </w:p>
  </w:footnote>
  <w:footnote w:id="56">
    <w:p w:rsidR="00B4606C" w:rsidRPr="00A90CCD" w:rsidRDefault="00B4606C" w:rsidP="00624593">
      <w:pPr>
        <w:pStyle w:val="Stopka1"/>
        <w:tabs>
          <w:tab w:val="left" w:pos="182"/>
        </w:tabs>
        <w:rPr>
          <w:rFonts w:asciiTheme="minorHAnsi" w:hAnsiTheme="minorHAnsi"/>
          <w:sz w:val="18"/>
          <w:szCs w:val="18"/>
        </w:rPr>
      </w:pPr>
      <w:r w:rsidRPr="00A90CCD">
        <w:rPr>
          <w:rFonts w:asciiTheme="minorHAnsi" w:hAnsiTheme="minorHAnsi"/>
          <w:sz w:val="18"/>
          <w:szCs w:val="18"/>
          <w:vertAlign w:val="superscript"/>
        </w:rPr>
        <w:footnoteRef/>
      </w:r>
      <w:r w:rsidRPr="00A90CCD">
        <w:rPr>
          <w:rFonts w:asciiTheme="minorHAnsi" w:hAnsiTheme="minorHAnsi"/>
          <w:sz w:val="18"/>
          <w:szCs w:val="18"/>
        </w:rPr>
        <w:tab/>
        <w:t xml:space="preserve">Reguła 9 ust. 2 Komunikacja dwóch organizacji pozarządowych (Centrum Praw Reprodukcyjnych oraz Federacji na rzecz Kobiet i Planowania Rodziny) (22.02.2019 r.) w sprawie </w:t>
      </w:r>
      <w:r>
        <w:rPr>
          <w:rFonts w:asciiTheme="minorHAnsi" w:hAnsiTheme="minorHAnsi"/>
          <w:i/>
          <w:iCs/>
          <w:sz w:val="18"/>
          <w:szCs w:val="18"/>
        </w:rPr>
        <w:t>P. S. p.</w:t>
      </w:r>
      <w:r w:rsidRPr="00A90CCD">
        <w:rPr>
          <w:rFonts w:asciiTheme="minorHAnsi" w:hAnsiTheme="minorHAnsi"/>
          <w:i/>
          <w:iCs/>
          <w:sz w:val="18"/>
          <w:szCs w:val="18"/>
        </w:rPr>
        <w:t xml:space="preserve"> Polsce</w:t>
      </w:r>
      <w:r w:rsidRPr="00A90CCD">
        <w:rPr>
          <w:rFonts w:asciiTheme="minorHAnsi" w:hAnsiTheme="minorHAnsi"/>
          <w:sz w:val="18"/>
          <w:szCs w:val="18"/>
        </w:rPr>
        <w:t xml:space="preserve"> (skarga nr 57375/08), DH-DD(2019)235.</w:t>
      </w:r>
    </w:p>
  </w:footnote>
  <w:footnote w:id="57">
    <w:p w:rsidR="00B4606C" w:rsidRPr="00A90CCD" w:rsidRDefault="00B4606C" w:rsidP="00624593">
      <w:pPr>
        <w:pStyle w:val="Stopka1"/>
        <w:tabs>
          <w:tab w:val="left" w:pos="192"/>
        </w:tabs>
        <w:rPr>
          <w:rFonts w:asciiTheme="minorHAnsi" w:hAnsiTheme="minorHAnsi"/>
          <w:sz w:val="18"/>
          <w:szCs w:val="18"/>
        </w:rPr>
      </w:pPr>
      <w:r w:rsidRPr="00A90CCD">
        <w:rPr>
          <w:rFonts w:asciiTheme="minorHAnsi" w:hAnsiTheme="minorHAnsi"/>
          <w:sz w:val="18"/>
          <w:szCs w:val="18"/>
          <w:vertAlign w:val="superscript"/>
        </w:rPr>
        <w:footnoteRef/>
      </w:r>
      <w:r w:rsidRPr="00A90CCD">
        <w:rPr>
          <w:rFonts w:asciiTheme="minorHAnsi" w:hAnsiTheme="minorHAnsi"/>
          <w:sz w:val="18"/>
          <w:szCs w:val="18"/>
        </w:rPr>
        <w:tab/>
      </w:r>
      <w:r w:rsidRPr="00A90CCD">
        <w:rPr>
          <w:rFonts w:asciiTheme="minorHAnsi" w:hAnsiTheme="minorHAnsi"/>
          <w:i/>
          <w:iCs/>
          <w:sz w:val="18"/>
          <w:szCs w:val="18"/>
        </w:rPr>
        <w:t>Tysiąc p. Polsce</w:t>
      </w:r>
      <w:r w:rsidRPr="00A90CCD">
        <w:rPr>
          <w:rFonts w:asciiTheme="minorHAnsi" w:hAnsiTheme="minorHAnsi"/>
          <w:sz w:val="18"/>
          <w:szCs w:val="18"/>
        </w:rPr>
        <w:t>, par. 118.</w:t>
      </w:r>
    </w:p>
  </w:footnote>
  <w:footnote w:id="58">
    <w:p w:rsidR="00B4606C" w:rsidRPr="00A90CCD" w:rsidRDefault="00B4606C" w:rsidP="00624593">
      <w:pPr>
        <w:pStyle w:val="Stopka1"/>
        <w:tabs>
          <w:tab w:val="left" w:pos="178"/>
        </w:tabs>
        <w:rPr>
          <w:rFonts w:asciiTheme="minorHAnsi" w:hAnsiTheme="minorHAnsi"/>
          <w:sz w:val="18"/>
          <w:szCs w:val="18"/>
        </w:rPr>
      </w:pPr>
      <w:r w:rsidRPr="00A90CCD">
        <w:rPr>
          <w:rFonts w:asciiTheme="minorHAnsi" w:hAnsiTheme="minorHAnsi"/>
          <w:sz w:val="18"/>
          <w:szCs w:val="18"/>
          <w:vertAlign w:val="superscript"/>
        </w:rPr>
        <w:footnoteRef/>
      </w:r>
      <w:r w:rsidRPr="00A90CCD">
        <w:rPr>
          <w:rFonts w:asciiTheme="minorHAnsi" w:hAnsiTheme="minorHAnsi"/>
          <w:sz w:val="18"/>
          <w:szCs w:val="18"/>
        </w:rPr>
        <w:tab/>
        <w:t xml:space="preserve">Zaktualizowany raport z działań (20.12.2019 r.) – Komunikacja polskich władz dotycząca sprawy </w:t>
      </w:r>
      <w:r w:rsidRPr="00A90CCD">
        <w:rPr>
          <w:rFonts w:asciiTheme="minorHAnsi" w:hAnsiTheme="minorHAnsi"/>
          <w:i/>
          <w:iCs/>
          <w:sz w:val="18"/>
          <w:szCs w:val="18"/>
        </w:rPr>
        <w:t>Tysiąc p. Polsce</w:t>
      </w:r>
      <w:r w:rsidRPr="00A90CCD">
        <w:rPr>
          <w:rFonts w:asciiTheme="minorHAnsi" w:hAnsiTheme="minorHAnsi"/>
          <w:sz w:val="18"/>
          <w:szCs w:val="18"/>
        </w:rPr>
        <w:t xml:space="preserve"> (skarga nr 5410/03), DH-DD(2020)4, s. 7-8; Zaktualizowany raport z działań (20.12.2019 r.) – Komunikacja polskich władz dotycząca sprawy </w:t>
      </w:r>
      <w:r w:rsidRPr="00A90CCD">
        <w:rPr>
          <w:rFonts w:asciiTheme="minorHAnsi" w:hAnsiTheme="minorHAnsi"/>
          <w:i/>
          <w:iCs/>
          <w:sz w:val="18"/>
          <w:szCs w:val="18"/>
        </w:rPr>
        <w:t>R.R. p. Polsce</w:t>
      </w:r>
      <w:r w:rsidRPr="00A90CCD">
        <w:rPr>
          <w:rFonts w:asciiTheme="minorHAnsi" w:hAnsiTheme="minorHAnsi"/>
          <w:sz w:val="18"/>
          <w:szCs w:val="18"/>
        </w:rPr>
        <w:t xml:space="preserve"> (skarga nr 27617/04), DH-DD(2020)3, s. 8-9; Komunikacja władz (20.12.2019 r.) w sprawie </w:t>
      </w:r>
      <w:r w:rsidRPr="00A90CCD">
        <w:rPr>
          <w:rFonts w:asciiTheme="minorHAnsi" w:hAnsiTheme="minorHAnsi"/>
          <w:i/>
          <w:iCs/>
          <w:sz w:val="18"/>
          <w:szCs w:val="18"/>
        </w:rPr>
        <w:t>P. i S. p. Polsce</w:t>
      </w:r>
      <w:r w:rsidRPr="00A90CCD">
        <w:rPr>
          <w:rFonts w:asciiTheme="minorHAnsi" w:hAnsiTheme="minorHAnsi"/>
          <w:sz w:val="18"/>
          <w:szCs w:val="18"/>
        </w:rPr>
        <w:t xml:space="preserve"> (skarga nr 57375/08), DH-DD(2020)5, s. 5-7.</w:t>
      </w:r>
    </w:p>
  </w:footnote>
  <w:footnote w:id="59">
    <w:p w:rsidR="00B4606C" w:rsidRPr="00A90CCD" w:rsidRDefault="00B4606C" w:rsidP="00624593">
      <w:pPr>
        <w:pStyle w:val="Stopka1"/>
        <w:tabs>
          <w:tab w:val="left" w:pos="192"/>
        </w:tabs>
        <w:rPr>
          <w:rFonts w:asciiTheme="minorHAnsi" w:hAnsiTheme="minorHAnsi"/>
          <w:sz w:val="18"/>
          <w:szCs w:val="18"/>
        </w:rPr>
      </w:pPr>
      <w:r w:rsidRPr="00A90CCD">
        <w:rPr>
          <w:rFonts w:asciiTheme="minorHAnsi" w:hAnsiTheme="minorHAnsi"/>
          <w:sz w:val="18"/>
          <w:szCs w:val="18"/>
          <w:vertAlign w:val="superscript"/>
        </w:rPr>
        <w:footnoteRef/>
      </w:r>
      <w:r w:rsidRPr="00A90CCD">
        <w:rPr>
          <w:rFonts w:asciiTheme="minorHAnsi" w:hAnsiTheme="minorHAnsi"/>
          <w:sz w:val="18"/>
          <w:szCs w:val="18"/>
        </w:rPr>
        <w:tab/>
        <w:t xml:space="preserve">Komunikacja władz (20.12.2019 r.) w sprawie </w:t>
      </w:r>
      <w:r w:rsidRPr="00A90CCD">
        <w:rPr>
          <w:rFonts w:asciiTheme="minorHAnsi" w:hAnsiTheme="minorHAnsi"/>
          <w:i/>
          <w:iCs/>
          <w:sz w:val="18"/>
          <w:szCs w:val="18"/>
        </w:rPr>
        <w:t>P. i S. p. Polsce</w:t>
      </w:r>
      <w:r w:rsidRPr="00A90CCD">
        <w:rPr>
          <w:rFonts w:asciiTheme="minorHAnsi" w:hAnsiTheme="minorHAnsi"/>
          <w:sz w:val="18"/>
          <w:szCs w:val="18"/>
        </w:rPr>
        <w:t xml:space="preserve"> (skarga nr 57375/08), DH- DD(2020)5, s. 7.</w:t>
      </w:r>
    </w:p>
  </w:footnote>
  <w:footnote w:id="60">
    <w:p w:rsidR="00B4606C" w:rsidRPr="00A90CCD" w:rsidRDefault="00B4606C" w:rsidP="00624593">
      <w:pPr>
        <w:pStyle w:val="Stopka1"/>
        <w:tabs>
          <w:tab w:val="left" w:pos="182"/>
        </w:tabs>
        <w:rPr>
          <w:rFonts w:asciiTheme="minorHAnsi" w:hAnsiTheme="minorHAnsi"/>
          <w:sz w:val="18"/>
          <w:szCs w:val="18"/>
        </w:rPr>
      </w:pPr>
      <w:r w:rsidRPr="00A90CCD">
        <w:rPr>
          <w:rFonts w:asciiTheme="minorHAnsi" w:hAnsiTheme="minorHAnsi"/>
          <w:sz w:val="18"/>
          <w:szCs w:val="18"/>
          <w:vertAlign w:val="superscript"/>
        </w:rPr>
        <w:footnoteRef/>
      </w:r>
      <w:r w:rsidRPr="00A90CCD">
        <w:rPr>
          <w:rFonts w:asciiTheme="minorHAnsi" w:hAnsiTheme="minorHAnsi"/>
          <w:sz w:val="18"/>
          <w:szCs w:val="18"/>
        </w:rPr>
        <w:tab/>
        <w:t xml:space="preserve">Odpowiedź władz (09/12/2019) na wystąpienie organizacji pozarządowej (Center for Reproductive Rights i Federacji na rzecz Kobiet i Planowania Rodziny) w sprawie </w:t>
      </w:r>
      <w:r w:rsidRPr="00A90CCD">
        <w:rPr>
          <w:rFonts w:asciiTheme="minorHAnsi" w:hAnsiTheme="minorHAnsi"/>
          <w:i/>
          <w:iCs/>
          <w:sz w:val="18"/>
          <w:szCs w:val="18"/>
        </w:rPr>
        <w:t>P. i S. p. Polsce</w:t>
      </w:r>
      <w:r w:rsidRPr="00A90CCD">
        <w:rPr>
          <w:rFonts w:asciiTheme="minorHAnsi" w:hAnsiTheme="minorHAnsi"/>
          <w:sz w:val="18"/>
          <w:szCs w:val="18"/>
        </w:rPr>
        <w:t xml:space="preserve"> (skarga nr 57375/08), DH- DD(2019)1492, s. 7</w:t>
      </w:r>
    </w:p>
  </w:footnote>
  <w:footnote w:id="61">
    <w:p w:rsidR="00B4606C" w:rsidRPr="00A90CCD" w:rsidRDefault="00B4606C" w:rsidP="00624593">
      <w:pPr>
        <w:pStyle w:val="Stopka1"/>
        <w:tabs>
          <w:tab w:val="left" w:pos="178"/>
        </w:tabs>
        <w:rPr>
          <w:rFonts w:asciiTheme="minorHAnsi" w:hAnsiTheme="minorHAnsi"/>
          <w:sz w:val="18"/>
          <w:szCs w:val="18"/>
        </w:rPr>
      </w:pPr>
      <w:r w:rsidRPr="00A90CCD">
        <w:rPr>
          <w:rFonts w:asciiTheme="minorHAnsi" w:hAnsiTheme="minorHAnsi"/>
          <w:sz w:val="18"/>
          <w:szCs w:val="18"/>
          <w:vertAlign w:val="superscript"/>
        </w:rPr>
        <w:footnoteRef/>
      </w:r>
      <w:r w:rsidRPr="00A90CCD">
        <w:rPr>
          <w:rFonts w:asciiTheme="minorHAnsi" w:hAnsiTheme="minorHAnsi"/>
          <w:sz w:val="18"/>
          <w:szCs w:val="18"/>
        </w:rPr>
        <w:tab/>
        <w:t>DD(2014)258 - Komunikacja władz polskich - Raport z działań - 29.11.2013 r., s. 3.</w:t>
      </w:r>
    </w:p>
  </w:footnote>
  <w:footnote w:id="62">
    <w:p w:rsidR="00B4606C" w:rsidRPr="00A90CCD" w:rsidRDefault="00B4606C" w:rsidP="00624593">
      <w:pPr>
        <w:pStyle w:val="Stopka1"/>
        <w:tabs>
          <w:tab w:val="left" w:pos="178"/>
        </w:tabs>
        <w:rPr>
          <w:rFonts w:asciiTheme="minorHAnsi" w:hAnsiTheme="minorHAnsi"/>
          <w:sz w:val="18"/>
          <w:szCs w:val="18"/>
        </w:rPr>
      </w:pPr>
      <w:r w:rsidRPr="00A90CCD">
        <w:rPr>
          <w:rFonts w:asciiTheme="minorHAnsi" w:hAnsiTheme="minorHAnsi"/>
          <w:sz w:val="18"/>
          <w:szCs w:val="18"/>
          <w:vertAlign w:val="superscript"/>
        </w:rPr>
        <w:footnoteRef/>
      </w:r>
      <w:r w:rsidRPr="00A90CCD">
        <w:rPr>
          <w:rFonts w:asciiTheme="minorHAnsi" w:hAnsiTheme="minorHAnsi"/>
          <w:sz w:val="18"/>
          <w:szCs w:val="18"/>
        </w:rPr>
        <w:tab/>
      </w:r>
      <w:r w:rsidRPr="00A90CCD">
        <w:rPr>
          <w:rFonts w:asciiTheme="minorHAnsi" w:hAnsiTheme="minorHAnsi"/>
          <w:i/>
          <w:sz w:val="18"/>
          <w:szCs w:val="18"/>
        </w:rPr>
        <w:t>P. i S. p. Polsce,</w:t>
      </w:r>
      <w:r w:rsidRPr="00A90CCD">
        <w:rPr>
          <w:rFonts w:asciiTheme="minorHAnsi" w:hAnsiTheme="minorHAnsi"/>
          <w:sz w:val="18"/>
          <w:szCs w:val="18"/>
        </w:rPr>
        <w:t xml:space="preserve"> skarga nr 57375/08, paragraf 166.</w:t>
      </w:r>
    </w:p>
  </w:footnote>
  <w:footnote w:id="63">
    <w:p w:rsidR="00B4606C" w:rsidRPr="00A90CCD" w:rsidRDefault="00B4606C" w:rsidP="00624593">
      <w:pPr>
        <w:pStyle w:val="Stopka1"/>
        <w:tabs>
          <w:tab w:val="left" w:pos="178"/>
        </w:tabs>
        <w:rPr>
          <w:rFonts w:asciiTheme="minorHAnsi" w:hAnsiTheme="minorHAnsi"/>
          <w:sz w:val="18"/>
          <w:szCs w:val="18"/>
        </w:rPr>
      </w:pPr>
      <w:r w:rsidRPr="00A90CCD">
        <w:rPr>
          <w:rFonts w:asciiTheme="minorHAnsi" w:hAnsiTheme="minorHAnsi"/>
          <w:sz w:val="18"/>
          <w:szCs w:val="18"/>
          <w:vertAlign w:val="superscript"/>
        </w:rPr>
        <w:footnoteRef/>
      </w:r>
      <w:r w:rsidRPr="00A90CCD">
        <w:rPr>
          <w:rFonts w:asciiTheme="minorHAnsi" w:hAnsiTheme="minorHAnsi"/>
          <w:sz w:val="18"/>
          <w:szCs w:val="18"/>
        </w:rPr>
        <w:tab/>
      </w:r>
      <w:r w:rsidRPr="00A90CCD">
        <w:rPr>
          <w:rFonts w:asciiTheme="minorHAnsi" w:hAnsiTheme="minorHAnsi"/>
          <w:i/>
          <w:sz w:val="18"/>
          <w:szCs w:val="18"/>
        </w:rPr>
        <w:t>P. i S. p. Polsce,</w:t>
      </w:r>
      <w:r w:rsidRPr="00A90CCD">
        <w:rPr>
          <w:rFonts w:asciiTheme="minorHAnsi" w:hAnsiTheme="minorHAnsi"/>
          <w:sz w:val="18"/>
          <w:szCs w:val="18"/>
        </w:rPr>
        <w:t xml:space="preserve"> skarga nr 57375/08, paragraf 168.</w:t>
      </w:r>
    </w:p>
  </w:footnote>
  <w:footnote w:id="64">
    <w:p w:rsidR="00B4606C" w:rsidRPr="00A90CCD" w:rsidRDefault="00B4606C" w:rsidP="00624593">
      <w:pPr>
        <w:pStyle w:val="Stopka1"/>
        <w:tabs>
          <w:tab w:val="left" w:pos="182"/>
        </w:tabs>
        <w:rPr>
          <w:rFonts w:asciiTheme="minorHAnsi" w:hAnsiTheme="minorHAnsi"/>
          <w:sz w:val="18"/>
          <w:szCs w:val="18"/>
        </w:rPr>
      </w:pPr>
      <w:r w:rsidRPr="00A90CCD">
        <w:rPr>
          <w:rFonts w:asciiTheme="minorHAnsi" w:hAnsiTheme="minorHAnsi"/>
          <w:sz w:val="18"/>
          <w:szCs w:val="18"/>
          <w:vertAlign w:val="superscript"/>
        </w:rPr>
        <w:footnoteRef/>
      </w:r>
      <w:r w:rsidRPr="00A90CCD">
        <w:rPr>
          <w:rFonts w:asciiTheme="minorHAnsi" w:hAnsiTheme="minorHAnsi"/>
          <w:sz w:val="18"/>
          <w:szCs w:val="18"/>
        </w:rPr>
        <w:tab/>
        <w:t>Odpowiedź władz (09/12/2019) na wystąpienie organizacji pozarządowej (</w:t>
      </w:r>
      <w:r>
        <w:rPr>
          <w:rFonts w:asciiTheme="minorHAnsi" w:hAnsiTheme="minorHAnsi"/>
          <w:sz w:val="18"/>
          <w:szCs w:val="18"/>
        </w:rPr>
        <w:t xml:space="preserve">Centrum Praw Reprodukcyjnych </w:t>
      </w:r>
      <w:r w:rsidRPr="00A90CCD">
        <w:rPr>
          <w:rFonts w:asciiTheme="minorHAnsi" w:hAnsiTheme="minorHAnsi"/>
          <w:sz w:val="18"/>
          <w:szCs w:val="18"/>
        </w:rPr>
        <w:t xml:space="preserve">i Federacji na rzecz Kobiet i Planowania Rodziny) w sprawie </w:t>
      </w:r>
      <w:r>
        <w:rPr>
          <w:rFonts w:asciiTheme="minorHAnsi" w:hAnsiTheme="minorHAnsi"/>
          <w:i/>
          <w:iCs/>
          <w:sz w:val="18"/>
          <w:szCs w:val="18"/>
        </w:rPr>
        <w:t>P. i S. p.</w:t>
      </w:r>
      <w:r w:rsidRPr="00A90CCD">
        <w:rPr>
          <w:rFonts w:asciiTheme="minorHAnsi" w:hAnsiTheme="minorHAnsi"/>
          <w:i/>
          <w:iCs/>
          <w:sz w:val="18"/>
          <w:szCs w:val="18"/>
        </w:rPr>
        <w:t xml:space="preserve"> Polsce</w:t>
      </w:r>
      <w:r w:rsidRPr="00A90CCD">
        <w:rPr>
          <w:rFonts w:asciiTheme="minorHAnsi" w:hAnsiTheme="minorHAnsi"/>
          <w:sz w:val="18"/>
          <w:szCs w:val="18"/>
        </w:rPr>
        <w:t xml:space="preserve"> (skarga nr 57375/08), DH- DD(2019)1492, s. 9</w:t>
      </w:r>
    </w:p>
  </w:footnote>
  <w:footnote w:id="65">
    <w:p w:rsidR="00B4606C" w:rsidRPr="00A90CCD" w:rsidRDefault="00B4606C" w:rsidP="00624593">
      <w:pPr>
        <w:pStyle w:val="Stopka1"/>
        <w:tabs>
          <w:tab w:val="left" w:pos="182"/>
        </w:tabs>
        <w:jc w:val="both"/>
        <w:rPr>
          <w:rFonts w:asciiTheme="minorHAnsi" w:hAnsiTheme="minorHAnsi"/>
          <w:sz w:val="18"/>
          <w:szCs w:val="18"/>
        </w:rPr>
      </w:pPr>
      <w:r w:rsidRPr="00A90CCD">
        <w:rPr>
          <w:rFonts w:asciiTheme="minorHAnsi" w:hAnsiTheme="minorHAnsi"/>
          <w:sz w:val="18"/>
          <w:szCs w:val="18"/>
          <w:vertAlign w:val="superscript"/>
        </w:rPr>
        <w:footnoteRef/>
      </w:r>
      <w:r w:rsidRPr="00A90CCD">
        <w:rPr>
          <w:rFonts w:asciiTheme="minorHAnsi" w:hAnsiTheme="minorHAnsi"/>
          <w:sz w:val="18"/>
          <w:szCs w:val="18"/>
        </w:rPr>
        <w:tab/>
        <w:t>W dniu 15 października 2019 r. w Sejmie odbyło się pierwsze czytanie obywatelskiego projektu ustawy o zmianie ustawy z dnia 6 czerwca 1997 r. Kodeks karny i został on skierowany do dalszych prac w sejmowej komisji do spraw zmian w kodyfikacji. W dniu 22 listopada 2019 r. projekt ustawy został skierowany do pierwszego czytania, które powinno odbyć się w ciągu sześciu miesięcy.</w:t>
      </w:r>
    </w:p>
  </w:footnote>
  <w:footnote w:id="66">
    <w:p w:rsidR="00B4606C" w:rsidRPr="00A90CCD" w:rsidRDefault="00B4606C" w:rsidP="00624593">
      <w:pPr>
        <w:pStyle w:val="Stopka1"/>
        <w:tabs>
          <w:tab w:val="left" w:pos="173"/>
        </w:tabs>
        <w:rPr>
          <w:rFonts w:asciiTheme="minorHAnsi" w:hAnsiTheme="minorHAnsi"/>
          <w:sz w:val="18"/>
          <w:szCs w:val="18"/>
        </w:rPr>
      </w:pPr>
      <w:r w:rsidRPr="00A90CCD">
        <w:rPr>
          <w:rFonts w:asciiTheme="minorHAnsi" w:hAnsiTheme="minorHAnsi"/>
          <w:sz w:val="18"/>
          <w:szCs w:val="18"/>
          <w:vertAlign w:val="superscript"/>
        </w:rPr>
        <w:footnoteRef/>
      </w:r>
      <w:r w:rsidRPr="00A90CCD">
        <w:rPr>
          <w:rFonts w:asciiTheme="minorHAnsi" w:hAnsiTheme="minorHAnsi"/>
          <w:sz w:val="18"/>
          <w:szCs w:val="18"/>
        </w:rPr>
        <w:tab/>
        <w:t xml:space="preserve">Art. 200b § 1. Kto publicznie propaguje lub pochwala zachowania o charakterze pedofilskim, podlega grzywnie, karze ograniczenia wolności albo pozbawienia wolności do lat 2. §2. Tej samej karze podlega, kto publicznie propaguje lub pochwala podejmowanie przez małoletniego obcowania płciowego. §3. Jeżeli sprawca dopuszcza się czynu określonego w §2 za pomocą środków masowego komunikowania, podlega karze pozbawienia wolności do lat 3. §4. Proponowana poprawka ma następujące brzmienie: „Kto propaguje lub pochwala podejmowanie przez małoletniego obcowania płciowego lub innej czynności seksualnej, działając w związku z zajmowaniem stanowiska, wykonywaniem zawodu lub działalności związanych z wychowaniem, edukacją, leczeniem małoletnich lub opieką nad nimi albo działając na terenie szkoły lub innego zakładu lub placówki oświatowo-wychowawczej lub opiekuńczej, podlega karze pozbawienia wolności do lat 3.” </w:t>
      </w:r>
      <w:r w:rsidRPr="00A90CCD">
        <w:rPr>
          <w:rFonts w:asciiTheme="minorHAnsi" w:hAnsiTheme="minorHAnsi"/>
          <w:i/>
          <w:iCs/>
          <w:sz w:val="18"/>
          <w:szCs w:val="18"/>
        </w:rPr>
        <w:t xml:space="preserve">Zob. </w:t>
      </w:r>
      <w:hyperlink r:id="rId37" w:history="1">
        <w:r w:rsidRPr="00A90CCD">
          <w:rPr>
            <w:rFonts w:asciiTheme="minorHAnsi" w:hAnsiTheme="minorHAnsi"/>
            <w:color w:val="0563C1"/>
            <w:sz w:val="18"/>
            <w:szCs w:val="18"/>
            <w:u w:val="single"/>
          </w:rPr>
          <w:t>https://bit.ly/2JkH10L</w:t>
        </w:r>
        <w:r w:rsidRPr="00A90CCD">
          <w:rPr>
            <w:rFonts w:asciiTheme="minorHAnsi" w:hAnsiTheme="minorHAnsi"/>
            <w:sz w:val="18"/>
            <w:szCs w:val="18"/>
          </w:rPr>
          <w:t>.</w:t>
        </w:r>
      </w:hyperlink>
    </w:p>
  </w:footnote>
  <w:footnote w:id="67">
    <w:p w:rsidR="00B4606C" w:rsidRDefault="00B4606C" w:rsidP="00624593">
      <w:pPr>
        <w:pStyle w:val="Stopka1"/>
        <w:tabs>
          <w:tab w:val="left" w:pos="187"/>
        </w:tabs>
      </w:pPr>
      <w:r w:rsidRPr="00A90CCD">
        <w:rPr>
          <w:rFonts w:asciiTheme="minorHAnsi" w:hAnsiTheme="minorHAnsi"/>
          <w:sz w:val="18"/>
          <w:szCs w:val="18"/>
          <w:vertAlign w:val="superscript"/>
        </w:rPr>
        <w:footnoteRef/>
      </w:r>
      <w:r w:rsidRPr="00A90CCD">
        <w:rPr>
          <w:rFonts w:asciiTheme="minorHAnsi" w:hAnsiTheme="minorHAnsi"/>
          <w:sz w:val="18"/>
          <w:szCs w:val="18"/>
        </w:rPr>
        <w:tab/>
        <w:t xml:space="preserve">Zob. uzasadnienie projektu ustawy „Stop pedofilii” (s. 3, 5, 7, 8), dostępne pod adresem </w:t>
      </w:r>
      <w:hyperlink r:id="rId38" w:history="1">
        <w:r w:rsidRPr="00A90CCD">
          <w:rPr>
            <w:rFonts w:asciiTheme="minorHAnsi" w:hAnsiTheme="minorHAnsi"/>
            <w:color w:val="0563C1"/>
            <w:sz w:val="18"/>
            <w:szCs w:val="18"/>
            <w:u w:val="single"/>
          </w:rPr>
          <w:t>http://orka.seim.gov.pl/Druki9ka.nsf/0/B43A98E392CAAB89C12584BA004470EB/%24File/39.pdf</w:t>
        </w:r>
        <w:r w:rsidRPr="00A90CCD">
          <w:rPr>
            <w:rFonts w:asciiTheme="minorHAnsi" w:hAnsiTheme="minorHAnsi"/>
            <w:sz w:val="18"/>
            <w:szCs w:val="18"/>
          </w:rPr>
          <w:t>;</w:t>
        </w:r>
      </w:hyperlink>
      <w:r w:rsidRPr="00A90CCD">
        <w:rPr>
          <w:rFonts w:asciiTheme="minorHAnsi" w:hAnsiTheme="minorHAnsi"/>
          <w:sz w:val="18"/>
          <w:szCs w:val="18"/>
        </w:rPr>
        <w:t xml:space="preserve"> analiza Instytutu na rzecz Kultury Prawnej „Ordo Iuris”: </w:t>
      </w:r>
      <w:hyperlink r:id="rId39" w:history="1">
        <w:r w:rsidRPr="00A90CCD">
          <w:rPr>
            <w:rFonts w:asciiTheme="minorHAnsi" w:hAnsiTheme="minorHAnsi"/>
            <w:sz w:val="18"/>
            <w:szCs w:val="18"/>
          </w:rPr>
          <w:t>https://ordoiuris.pl/rodzina-i-malzenstwo/analiza-projektu-zlozonego-przez- komitet-inicjatywy-ustawodawczej-stop</w:t>
        </w:r>
      </w:hyperlink>
      <w:r w:rsidRPr="00A90CCD">
        <w:rPr>
          <w:rFonts w:asciiTheme="minorHAnsi" w:hAnsiTheme="minorHAnsi"/>
          <w:sz w:val="18"/>
          <w:szCs w:val="18"/>
        </w:rPr>
        <w:t>.</w:t>
      </w:r>
    </w:p>
  </w:footnote>
  <w:footnote w:id="68">
    <w:p w:rsidR="00B4606C" w:rsidRPr="00DD5F1A" w:rsidRDefault="00B4606C" w:rsidP="00624593">
      <w:pPr>
        <w:pStyle w:val="Stopka1"/>
        <w:tabs>
          <w:tab w:val="left" w:pos="173"/>
        </w:tabs>
        <w:rPr>
          <w:rFonts w:asciiTheme="minorHAnsi" w:hAnsiTheme="minorHAnsi"/>
          <w:sz w:val="18"/>
          <w:szCs w:val="18"/>
        </w:rPr>
      </w:pPr>
      <w:r w:rsidRPr="00DD5F1A">
        <w:rPr>
          <w:rFonts w:asciiTheme="minorHAnsi" w:hAnsiTheme="minorHAnsi"/>
          <w:sz w:val="18"/>
          <w:szCs w:val="18"/>
          <w:vertAlign w:val="superscript"/>
        </w:rPr>
        <w:footnoteRef/>
      </w:r>
      <w:r w:rsidRPr="00DD5F1A">
        <w:rPr>
          <w:rFonts w:asciiTheme="minorHAnsi" w:hAnsiTheme="minorHAnsi"/>
          <w:sz w:val="18"/>
          <w:szCs w:val="18"/>
        </w:rPr>
        <w:tab/>
        <w:t>Sprawozdania roczne Rady Ministrów z wykonywania oraz o skutkach stosowania w latach 1994–2017 ustawy z 1993 r. Centrum Systemów Informacyjnych Ochrony Zdrowia (dane z 2018 r.).</w:t>
      </w:r>
    </w:p>
  </w:footnote>
  <w:footnote w:id="69">
    <w:p w:rsidR="00B4606C" w:rsidRPr="00DD5F1A" w:rsidRDefault="00B4606C" w:rsidP="00624593">
      <w:pPr>
        <w:pStyle w:val="Stopka1"/>
        <w:tabs>
          <w:tab w:val="left" w:pos="182"/>
        </w:tabs>
        <w:rPr>
          <w:rFonts w:asciiTheme="minorHAnsi" w:hAnsiTheme="minorHAnsi"/>
          <w:sz w:val="18"/>
          <w:szCs w:val="18"/>
        </w:rPr>
      </w:pPr>
      <w:r w:rsidRPr="00DD5F1A">
        <w:rPr>
          <w:rFonts w:asciiTheme="minorHAnsi" w:hAnsiTheme="minorHAnsi"/>
          <w:sz w:val="18"/>
          <w:szCs w:val="18"/>
          <w:vertAlign w:val="superscript"/>
        </w:rPr>
        <w:footnoteRef/>
      </w:r>
      <w:r w:rsidRPr="00DD5F1A">
        <w:rPr>
          <w:rFonts w:asciiTheme="minorHAnsi" w:hAnsiTheme="minorHAnsi"/>
          <w:sz w:val="18"/>
          <w:szCs w:val="18"/>
        </w:rPr>
        <w:tab/>
        <w:t>W 1997 r. poprawki do ustawy z 1993 r., które zezwalały na aborcję ze względów społecznych, obowiązywały krótko, tj. od dnia 4 stycznia 1997 r. do czasu ich unieważnienia przez Trybunał Konstytucyjny w maju 1997 r.</w:t>
      </w:r>
    </w:p>
  </w:footnote>
  <w:footnote w:id="70">
    <w:p w:rsidR="00B4606C" w:rsidRDefault="00B4606C" w:rsidP="00624593">
      <w:pPr>
        <w:pStyle w:val="Stopka1"/>
        <w:tabs>
          <w:tab w:val="left" w:pos="178"/>
        </w:tabs>
      </w:pPr>
      <w:r w:rsidRPr="00DD5F1A">
        <w:rPr>
          <w:rFonts w:asciiTheme="minorHAnsi" w:hAnsiTheme="minorHAnsi"/>
          <w:sz w:val="18"/>
          <w:szCs w:val="18"/>
          <w:shd w:val="clear" w:color="auto" w:fill="FFFFFF"/>
          <w:vertAlign w:val="superscript"/>
        </w:rPr>
        <w:footnoteRef/>
      </w:r>
      <w:r w:rsidRPr="00DD5F1A">
        <w:rPr>
          <w:rFonts w:asciiTheme="minorHAnsi" w:hAnsiTheme="minorHAnsi"/>
          <w:sz w:val="18"/>
          <w:szCs w:val="18"/>
        </w:rPr>
        <w:tab/>
      </w:r>
      <w:r w:rsidRPr="00DD5F1A">
        <w:rPr>
          <w:rFonts w:asciiTheme="minorHAnsi" w:hAnsiTheme="minorHAnsi"/>
          <w:i/>
          <w:iCs/>
          <w:sz w:val="18"/>
          <w:szCs w:val="18"/>
        </w:rPr>
        <w:t>Źródła:</w:t>
      </w:r>
      <w:r w:rsidRPr="00DD5F1A">
        <w:rPr>
          <w:rFonts w:asciiTheme="minorHAnsi" w:hAnsiTheme="minorHAnsi"/>
          <w:sz w:val="18"/>
          <w:szCs w:val="18"/>
        </w:rPr>
        <w:t xml:space="preserve"> Centrum Systemów Informacyjnych Ochrony Zdrowia (2018). Sprawozdanie Rady Ministrów z wykonywania oraz o skutkach stosowania w 2017 r. ustawy z 1993 r.</w:t>
      </w:r>
    </w:p>
  </w:footnote>
  <w:footnote w:id="71">
    <w:p w:rsidR="00B4606C" w:rsidRPr="00DD5F1A" w:rsidRDefault="00B4606C" w:rsidP="00253219">
      <w:pPr>
        <w:pStyle w:val="Stopka1"/>
        <w:tabs>
          <w:tab w:val="left" w:pos="485"/>
        </w:tabs>
        <w:rPr>
          <w:rFonts w:asciiTheme="minorHAnsi" w:hAnsiTheme="minorHAnsi"/>
          <w:sz w:val="18"/>
          <w:szCs w:val="18"/>
        </w:rPr>
      </w:pPr>
      <w:r w:rsidRPr="00DD5F1A">
        <w:rPr>
          <w:rFonts w:asciiTheme="minorHAnsi" w:hAnsiTheme="minorHAnsi"/>
          <w:sz w:val="18"/>
          <w:szCs w:val="18"/>
          <w:vertAlign w:val="superscript"/>
        </w:rPr>
        <w:footnoteRef/>
      </w:r>
      <w:r w:rsidRPr="00DD5F1A">
        <w:rPr>
          <w:rFonts w:asciiTheme="minorHAnsi" w:hAnsiTheme="minorHAnsi"/>
          <w:sz w:val="18"/>
          <w:szCs w:val="18"/>
        </w:rPr>
        <w:t xml:space="preserve"> </w:t>
      </w:r>
      <w:hyperlink r:id="rId40" w:history="1">
        <w:r w:rsidRPr="00DD5F1A">
          <w:rPr>
            <w:rFonts w:asciiTheme="minorHAnsi" w:hAnsiTheme="minorHAnsi"/>
            <w:sz w:val="18"/>
            <w:szCs w:val="18"/>
          </w:rPr>
          <w:t>Regulamin Komitetu Ministrów</w:t>
        </w:r>
      </w:hyperlink>
      <w:r w:rsidRPr="00DD5F1A">
        <w:rPr>
          <w:rFonts w:asciiTheme="minorHAnsi" w:hAnsiTheme="minorHAnsi"/>
          <w:sz w:val="18"/>
          <w:szCs w:val="18"/>
        </w:rPr>
        <w:t xml:space="preserve"> w sprawie nadzoru nad wykonywaniem wyroków i warunków ugód (przyjęty przez Komitet Ministrów w dniu 10 maja 2006 r. i </w:t>
      </w:r>
      <w:hyperlink r:id="rId41" w:history="1">
        <w:r w:rsidRPr="00DD5F1A">
          <w:rPr>
            <w:rFonts w:asciiTheme="minorHAnsi" w:hAnsiTheme="minorHAnsi"/>
            <w:sz w:val="18"/>
            <w:szCs w:val="18"/>
          </w:rPr>
          <w:t>zmieniony w dniu 18 stycznia 2017 r.</w:t>
        </w:r>
      </w:hyperlink>
      <w:r w:rsidRPr="00DD5F1A">
        <w:rPr>
          <w:rFonts w:asciiTheme="minorHAnsi" w:hAnsiTheme="minorHAnsi"/>
          <w:sz w:val="18"/>
          <w:szCs w:val="18"/>
        </w:rPr>
        <w:t>).</w:t>
      </w:r>
    </w:p>
  </w:footnote>
  <w:footnote w:id="72">
    <w:p w:rsidR="00B4606C" w:rsidRPr="00C53C38" w:rsidRDefault="00B4606C" w:rsidP="00253219">
      <w:pPr>
        <w:pStyle w:val="Stopka1"/>
        <w:tabs>
          <w:tab w:val="left" w:pos="514"/>
        </w:tabs>
        <w:rPr>
          <w:rFonts w:asciiTheme="minorHAnsi" w:hAnsiTheme="minorHAnsi"/>
          <w:sz w:val="18"/>
          <w:szCs w:val="18"/>
        </w:rPr>
      </w:pPr>
      <w:r w:rsidRPr="00C53C38">
        <w:rPr>
          <w:rFonts w:asciiTheme="minorHAnsi" w:hAnsiTheme="minorHAnsi"/>
          <w:sz w:val="18"/>
          <w:szCs w:val="18"/>
          <w:vertAlign w:val="superscript"/>
        </w:rPr>
        <w:footnoteRef/>
      </w:r>
      <w:r w:rsidRPr="00C53C38">
        <w:rPr>
          <w:rFonts w:asciiTheme="minorHAnsi" w:hAnsiTheme="minorHAnsi"/>
          <w:sz w:val="18"/>
          <w:szCs w:val="18"/>
        </w:rPr>
        <w:t xml:space="preserve"> </w:t>
      </w:r>
      <w:hyperlink r:id="rId42" w:history="1">
        <w:r w:rsidRPr="00C53C38">
          <w:rPr>
            <w:rFonts w:asciiTheme="minorHAnsi" w:hAnsiTheme="minorHAnsi"/>
            <w:color w:val="0000FF"/>
            <w:sz w:val="18"/>
            <w:szCs w:val="18"/>
            <w:u w:val="single"/>
          </w:rPr>
          <w:t>Rezolucja</w:t>
        </w:r>
      </w:hyperlink>
      <w:r w:rsidRPr="00C53C38">
        <w:rPr>
          <w:rFonts w:asciiTheme="minorHAnsi" w:hAnsiTheme="minorHAnsi"/>
          <w:sz w:val="18"/>
          <w:szCs w:val="18"/>
        </w:rPr>
        <w:t xml:space="preserve">(99)50 w sprawie Komisarza Praw Człowieka Rady Europy, przyjęta przez </w:t>
      </w:r>
      <w:r>
        <w:rPr>
          <w:rFonts w:asciiTheme="minorHAnsi" w:hAnsiTheme="minorHAnsi"/>
          <w:sz w:val="18"/>
          <w:szCs w:val="18"/>
        </w:rPr>
        <w:t>Komitet Ministrów w dniu 7.05.</w:t>
      </w:r>
      <w:r w:rsidRPr="00C53C38">
        <w:rPr>
          <w:rFonts w:asciiTheme="minorHAnsi" w:hAnsiTheme="minorHAnsi"/>
          <w:sz w:val="18"/>
          <w:szCs w:val="18"/>
        </w:rPr>
        <w:t>1999 r.</w:t>
      </w:r>
    </w:p>
  </w:footnote>
  <w:footnote w:id="73">
    <w:p w:rsidR="00B4606C" w:rsidRPr="00C53C38" w:rsidRDefault="00B4606C" w:rsidP="00253219">
      <w:pPr>
        <w:pStyle w:val="Stopka1"/>
        <w:tabs>
          <w:tab w:val="left" w:pos="485"/>
        </w:tabs>
        <w:rPr>
          <w:rFonts w:asciiTheme="minorHAnsi" w:hAnsiTheme="minorHAnsi"/>
          <w:sz w:val="18"/>
          <w:szCs w:val="18"/>
        </w:rPr>
      </w:pPr>
      <w:r w:rsidRPr="00C53C38">
        <w:rPr>
          <w:rFonts w:asciiTheme="minorHAnsi" w:hAnsiTheme="minorHAnsi"/>
          <w:sz w:val="18"/>
          <w:szCs w:val="18"/>
          <w:vertAlign w:val="superscript"/>
        </w:rPr>
        <w:footnoteRef/>
      </w:r>
      <w:r w:rsidRPr="00C53C38">
        <w:rPr>
          <w:rFonts w:asciiTheme="minorHAnsi" w:hAnsiTheme="minorHAnsi"/>
          <w:sz w:val="18"/>
          <w:szCs w:val="18"/>
        </w:rPr>
        <w:t xml:space="preserve"> </w:t>
      </w:r>
      <w:hyperlink r:id="rId43" w:history="1">
        <w:r w:rsidRPr="00C53C38">
          <w:rPr>
            <w:rFonts w:asciiTheme="minorHAnsi" w:hAnsiTheme="minorHAnsi"/>
            <w:sz w:val="18"/>
            <w:szCs w:val="18"/>
          </w:rPr>
          <w:t>Raport</w:t>
        </w:r>
      </w:hyperlink>
      <w:r w:rsidRPr="00C53C38">
        <w:rPr>
          <w:rFonts w:asciiTheme="minorHAnsi" w:hAnsiTheme="minorHAnsi"/>
          <w:sz w:val="18"/>
          <w:szCs w:val="18"/>
        </w:rPr>
        <w:t xml:space="preserve"> Dunji Mijatovic, Komisarz Praw Człowieka Rady Europy, po wizycie w Polsce w dniach 11</w:t>
      </w:r>
      <w:r w:rsidRPr="00C53C38">
        <w:rPr>
          <w:rFonts w:asciiTheme="minorHAnsi" w:hAnsiTheme="minorHAnsi"/>
          <w:sz w:val="18"/>
          <w:szCs w:val="18"/>
        </w:rPr>
        <w:sym w:font="Symbol" w:char="F02D"/>
      </w:r>
      <w:r w:rsidRPr="00C53C38">
        <w:rPr>
          <w:rFonts w:asciiTheme="minorHAnsi" w:hAnsiTheme="minorHAnsi"/>
          <w:sz w:val="18"/>
          <w:szCs w:val="18"/>
        </w:rPr>
        <w:t>15 marca 2019 r., CommDH(2019)17, 28 czerwca 2019 r.</w:t>
      </w:r>
    </w:p>
  </w:footnote>
  <w:footnote w:id="74">
    <w:p w:rsidR="00B4606C" w:rsidRPr="00C53C38" w:rsidRDefault="00B4606C" w:rsidP="00C53C38">
      <w:pPr>
        <w:pStyle w:val="Stopka1"/>
        <w:tabs>
          <w:tab w:val="left" w:pos="480"/>
        </w:tabs>
        <w:rPr>
          <w:rFonts w:asciiTheme="minorHAnsi" w:hAnsiTheme="minorHAnsi"/>
          <w:sz w:val="18"/>
          <w:szCs w:val="18"/>
        </w:rPr>
      </w:pPr>
      <w:r w:rsidRPr="00C53C38">
        <w:rPr>
          <w:rFonts w:asciiTheme="minorHAnsi" w:hAnsiTheme="minorHAnsi"/>
          <w:sz w:val="18"/>
          <w:szCs w:val="18"/>
          <w:vertAlign w:val="superscript"/>
        </w:rPr>
        <w:footnoteRef/>
      </w:r>
      <w:r w:rsidRPr="00C53C38">
        <w:rPr>
          <w:rFonts w:asciiTheme="minorHAnsi" w:hAnsiTheme="minorHAnsi"/>
          <w:sz w:val="18"/>
          <w:szCs w:val="18"/>
        </w:rPr>
        <w:t xml:space="preserve"> „Zdrowie i prawa seksualne i reprodukcyjne kobiet w Europie”, </w:t>
      </w:r>
      <w:hyperlink r:id="rId44" w:history="1">
        <w:r w:rsidRPr="00C53C38">
          <w:rPr>
            <w:rFonts w:asciiTheme="minorHAnsi" w:hAnsiTheme="minorHAnsi"/>
            <w:sz w:val="18"/>
            <w:szCs w:val="18"/>
          </w:rPr>
          <w:t>dokument tematyczny</w:t>
        </w:r>
      </w:hyperlink>
      <w:r w:rsidRPr="00C53C38">
        <w:rPr>
          <w:rFonts w:asciiTheme="minorHAnsi" w:hAnsiTheme="minorHAnsi"/>
          <w:sz w:val="18"/>
          <w:szCs w:val="18"/>
        </w:rPr>
        <w:t>, grudzień 2017 r.</w:t>
      </w:r>
    </w:p>
  </w:footnote>
  <w:footnote w:id="75">
    <w:p w:rsidR="00B4606C" w:rsidRPr="00DD5F1A" w:rsidRDefault="00B4606C" w:rsidP="00253219">
      <w:pPr>
        <w:pStyle w:val="Stopka1"/>
        <w:tabs>
          <w:tab w:val="left" w:pos="485"/>
        </w:tabs>
        <w:jc w:val="both"/>
        <w:rPr>
          <w:rFonts w:asciiTheme="minorHAnsi" w:hAnsiTheme="minorHAnsi"/>
          <w:sz w:val="18"/>
          <w:szCs w:val="18"/>
        </w:rPr>
      </w:pPr>
      <w:r w:rsidRPr="00C53C38">
        <w:rPr>
          <w:rFonts w:asciiTheme="minorHAnsi" w:hAnsiTheme="minorHAnsi"/>
          <w:sz w:val="18"/>
          <w:szCs w:val="18"/>
          <w:vertAlign w:val="superscript"/>
        </w:rPr>
        <w:footnoteRef/>
      </w:r>
      <w:r w:rsidRPr="00C53C38">
        <w:rPr>
          <w:rFonts w:asciiTheme="minorHAnsi" w:hAnsiTheme="minorHAnsi"/>
          <w:sz w:val="18"/>
          <w:szCs w:val="18"/>
        </w:rPr>
        <w:t xml:space="preserve"> </w:t>
      </w:r>
      <w:hyperlink r:id="rId45" w:history="1">
        <w:r w:rsidRPr="00C53C38">
          <w:rPr>
            <w:rFonts w:asciiTheme="minorHAnsi" w:hAnsiTheme="minorHAnsi"/>
            <w:sz w:val="18"/>
            <w:szCs w:val="18"/>
          </w:rPr>
          <w:t>Raport</w:t>
        </w:r>
      </w:hyperlink>
      <w:r w:rsidRPr="00C53C38">
        <w:rPr>
          <w:rFonts w:asciiTheme="minorHAnsi" w:hAnsiTheme="minorHAnsi"/>
          <w:sz w:val="18"/>
          <w:szCs w:val="18"/>
        </w:rPr>
        <w:t xml:space="preserve"> Komisarza Praw Człowieka Alvaro Gil-Roblesa z jego wizyty w Polsce (18</w:t>
      </w:r>
      <w:r w:rsidRPr="00C53C38">
        <w:rPr>
          <w:rFonts w:asciiTheme="minorHAnsi" w:hAnsiTheme="minorHAnsi"/>
          <w:sz w:val="18"/>
          <w:szCs w:val="18"/>
        </w:rPr>
        <w:sym w:font="Symbol" w:char="F02D"/>
      </w:r>
      <w:r w:rsidRPr="00C53C38">
        <w:rPr>
          <w:rFonts w:asciiTheme="minorHAnsi" w:hAnsiTheme="minorHAnsi"/>
          <w:sz w:val="18"/>
          <w:szCs w:val="18"/>
        </w:rPr>
        <w:t xml:space="preserve">22 listopada 2002 r.), CommDH(2003)4, 19 marca 2003 r.; </w:t>
      </w:r>
      <w:hyperlink r:id="rId46" w:history="1">
        <w:r w:rsidRPr="00C53C38">
          <w:rPr>
            <w:rFonts w:asciiTheme="minorHAnsi" w:hAnsiTheme="minorHAnsi"/>
            <w:sz w:val="18"/>
            <w:szCs w:val="18"/>
          </w:rPr>
          <w:t>Memorandum</w:t>
        </w:r>
      </w:hyperlink>
      <w:r w:rsidRPr="00C53C38">
        <w:rPr>
          <w:rFonts w:asciiTheme="minorHAnsi" w:hAnsiTheme="minorHAnsi"/>
          <w:sz w:val="18"/>
          <w:szCs w:val="18"/>
        </w:rPr>
        <w:t xml:space="preserve"> do </w:t>
      </w:r>
      <w:r w:rsidR="00BD3249">
        <w:rPr>
          <w:rFonts w:asciiTheme="minorHAnsi" w:hAnsiTheme="minorHAnsi"/>
          <w:sz w:val="18"/>
          <w:szCs w:val="18"/>
        </w:rPr>
        <w:t>r</w:t>
      </w:r>
      <w:r w:rsidRPr="00C53C38">
        <w:rPr>
          <w:rFonts w:asciiTheme="minorHAnsi" w:hAnsiTheme="minorHAnsi"/>
          <w:sz w:val="18"/>
          <w:szCs w:val="18"/>
        </w:rPr>
        <w:t xml:space="preserve">ządu RP: Ocena postępu implementacji zaleceń Komisarza Praw Człowieka Rady Europy </w:t>
      </w:r>
      <w:r w:rsidRPr="00DD5F1A">
        <w:rPr>
          <w:rFonts w:asciiTheme="minorHAnsi" w:hAnsiTheme="minorHAnsi"/>
          <w:sz w:val="18"/>
          <w:szCs w:val="18"/>
        </w:rPr>
        <w:t xml:space="preserve">z 2002 r., CommDH (2007) 13, 20 czerwca 2007 r.; </w:t>
      </w:r>
      <w:hyperlink r:id="rId47" w:history="1">
        <w:r w:rsidRPr="00DD5F1A">
          <w:rPr>
            <w:rFonts w:asciiTheme="minorHAnsi" w:hAnsiTheme="minorHAnsi"/>
            <w:sz w:val="18"/>
            <w:szCs w:val="18"/>
          </w:rPr>
          <w:t xml:space="preserve">Raport </w:t>
        </w:r>
      </w:hyperlink>
      <w:r w:rsidRPr="00DD5F1A">
        <w:rPr>
          <w:rFonts w:asciiTheme="minorHAnsi" w:hAnsiTheme="minorHAnsi"/>
          <w:sz w:val="18"/>
          <w:szCs w:val="18"/>
        </w:rPr>
        <w:t>Komisarza Praw Człowieka Rady Europy Nilsa Muiznieksa po wizycie w Polsce w dniach 9</w:t>
      </w:r>
      <w:r w:rsidRPr="00DD5F1A">
        <w:rPr>
          <w:rFonts w:asciiTheme="minorHAnsi" w:hAnsiTheme="minorHAnsi"/>
          <w:sz w:val="18"/>
          <w:szCs w:val="18"/>
        </w:rPr>
        <w:sym w:font="Symbol" w:char="F02D"/>
      </w:r>
      <w:r w:rsidRPr="00DD5F1A">
        <w:rPr>
          <w:rFonts w:asciiTheme="minorHAnsi" w:hAnsiTheme="minorHAnsi"/>
          <w:sz w:val="18"/>
          <w:szCs w:val="18"/>
        </w:rPr>
        <w:t xml:space="preserve">12 lutego 2016 r., CommDH(2016)23, 15 czerwca 2016 r.; </w:t>
      </w:r>
      <w:hyperlink r:id="rId48" w:history="1">
        <w:r w:rsidRPr="00DD5F1A">
          <w:rPr>
            <w:rFonts w:asciiTheme="minorHAnsi" w:hAnsiTheme="minorHAnsi"/>
            <w:sz w:val="18"/>
            <w:szCs w:val="18"/>
          </w:rPr>
          <w:t>Pismo</w:t>
        </w:r>
      </w:hyperlink>
      <w:r w:rsidRPr="00DD5F1A">
        <w:rPr>
          <w:rFonts w:asciiTheme="minorHAnsi" w:hAnsiTheme="minorHAnsi"/>
          <w:sz w:val="18"/>
          <w:szCs w:val="18"/>
        </w:rPr>
        <w:t xml:space="preserve"> Komisarza Muiznieksa skierowane do Prezesa Rady Ministrów, CommHR/NM/sf 001-2018, 19 stycznia 2018 r. </w:t>
      </w:r>
    </w:p>
  </w:footnote>
  <w:footnote w:id="76">
    <w:p w:rsidR="00B4606C" w:rsidRDefault="00B4606C" w:rsidP="00DD5F1A">
      <w:pPr>
        <w:pStyle w:val="Stopka1"/>
        <w:tabs>
          <w:tab w:val="left" w:pos="485"/>
        </w:tabs>
      </w:pPr>
      <w:r w:rsidRPr="00DD5F1A">
        <w:rPr>
          <w:rFonts w:asciiTheme="minorHAnsi" w:hAnsiTheme="minorHAnsi"/>
          <w:sz w:val="18"/>
          <w:szCs w:val="18"/>
          <w:vertAlign w:val="superscript"/>
        </w:rPr>
        <w:footnoteRef/>
      </w:r>
      <w:r w:rsidRPr="00DD5F1A">
        <w:rPr>
          <w:rFonts w:asciiTheme="minorHAnsi" w:hAnsiTheme="minorHAnsi"/>
          <w:sz w:val="18"/>
          <w:szCs w:val="18"/>
        </w:rPr>
        <w:t xml:space="preserve"> </w:t>
      </w:r>
      <w:hyperlink r:id="rId49" w:history="1">
        <w:r w:rsidRPr="00DD5F1A">
          <w:rPr>
            <w:rFonts w:asciiTheme="minorHAnsi" w:hAnsiTheme="minorHAnsi"/>
            <w:sz w:val="18"/>
            <w:szCs w:val="18"/>
          </w:rPr>
          <w:t>Raport</w:t>
        </w:r>
      </w:hyperlink>
      <w:r w:rsidRPr="00DD5F1A">
        <w:rPr>
          <w:rFonts w:asciiTheme="minorHAnsi" w:hAnsiTheme="minorHAnsi"/>
          <w:sz w:val="18"/>
          <w:szCs w:val="18"/>
        </w:rPr>
        <w:t xml:space="preserve"> komisarza z 2016 r., CommDH(2016)23, </w:t>
      </w:r>
      <w:r w:rsidRPr="00DD5F1A">
        <w:rPr>
          <w:rFonts w:asciiTheme="minorHAnsi" w:hAnsiTheme="minorHAnsi"/>
          <w:i/>
          <w:iCs/>
          <w:sz w:val="18"/>
          <w:szCs w:val="18"/>
        </w:rPr>
        <w:t>op. cit.</w:t>
      </w:r>
      <w:r w:rsidRPr="00DD5F1A">
        <w:rPr>
          <w:rFonts w:asciiTheme="minorHAnsi" w:hAnsiTheme="minorHAnsi"/>
          <w:sz w:val="18"/>
          <w:szCs w:val="18"/>
        </w:rPr>
        <w:t>, pkt 185-6.</w:t>
      </w:r>
    </w:p>
  </w:footnote>
  <w:footnote w:id="77">
    <w:p w:rsidR="00B4606C" w:rsidRPr="00DD5F1A" w:rsidRDefault="00B4606C" w:rsidP="00DD5F1A">
      <w:pPr>
        <w:pStyle w:val="Stopka1"/>
        <w:tabs>
          <w:tab w:val="left" w:pos="494"/>
        </w:tabs>
        <w:rPr>
          <w:rFonts w:asciiTheme="minorHAnsi" w:hAnsiTheme="minorHAnsi"/>
          <w:sz w:val="18"/>
          <w:szCs w:val="18"/>
        </w:rPr>
      </w:pPr>
      <w:r w:rsidRPr="00DD5F1A">
        <w:rPr>
          <w:rFonts w:asciiTheme="minorHAnsi" w:hAnsiTheme="minorHAnsi"/>
          <w:sz w:val="18"/>
          <w:szCs w:val="18"/>
          <w:vertAlign w:val="superscript"/>
        </w:rPr>
        <w:footnoteRef/>
      </w:r>
      <w:r>
        <w:rPr>
          <w:rFonts w:asciiTheme="minorHAnsi" w:hAnsiTheme="minorHAnsi"/>
          <w:sz w:val="18"/>
          <w:szCs w:val="18"/>
        </w:rPr>
        <w:t xml:space="preserve"> </w:t>
      </w:r>
      <w:r w:rsidRPr="00DD5F1A">
        <w:rPr>
          <w:rFonts w:asciiTheme="minorHAnsi" w:hAnsiTheme="minorHAnsi"/>
          <w:sz w:val="18"/>
          <w:szCs w:val="18"/>
        </w:rPr>
        <w:t xml:space="preserve">1208 Posiedzenie DH, 23-25 września 2014 r., </w:t>
      </w:r>
      <w:hyperlink r:id="rId50" w:history="1">
        <w:r w:rsidRPr="00DD5F1A">
          <w:rPr>
            <w:rFonts w:asciiTheme="minorHAnsi" w:hAnsiTheme="minorHAnsi"/>
            <w:color w:val="0000FF"/>
            <w:sz w:val="18"/>
            <w:szCs w:val="18"/>
            <w:u w:val="single"/>
          </w:rPr>
          <w:t>decyzja</w:t>
        </w:r>
        <w:r w:rsidRPr="00DD5F1A">
          <w:rPr>
            <w:rFonts w:asciiTheme="minorHAnsi" w:hAnsiTheme="minorHAnsi"/>
            <w:color w:val="0000FF"/>
            <w:sz w:val="18"/>
            <w:szCs w:val="18"/>
          </w:rPr>
          <w:t xml:space="preserve"> </w:t>
        </w:r>
      </w:hyperlink>
      <w:r w:rsidRPr="00DD5F1A">
        <w:rPr>
          <w:rFonts w:asciiTheme="minorHAnsi" w:hAnsiTheme="minorHAnsi"/>
          <w:sz w:val="18"/>
          <w:szCs w:val="18"/>
        </w:rPr>
        <w:t xml:space="preserve">nr 14, sprawy </w:t>
      </w:r>
      <w:r>
        <w:rPr>
          <w:rFonts w:asciiTheme="minorHAnsi" w:hAnsiTheme="minorHAnsi"/>
          <w:i/>
          <w:iCs/>
          <w:sz w:val="18"/>
          <w:szCs w:val="18"/>
        </w:rPr>
        <w:t>Tysiąc i R.R. p.</w:t>
      </w:r>
      <w:r w:rsidRPr="00DD5F1A">
        <w:rPr>
          <w:rFonts w:asciiTheme="minorHAnsi" w:hAnsiTheme="minorHAnsi"/>
          <w:i/>
          <w:iCs/>
          <w:sz w:val="18"/>
          <w:szCs w:val="18"/>
        </w:rPr>
        <w:t xml:space="preserve"> Polsce</w:t>
      </w:r>
    </w:p>
  </w:footnote>
  <w:footnote w:id="78">
    <w:p w:rsidR="00B4606C" w:rsidRPr="00DD5F1A" w:rsidRDefault="00B4606C" w:rsidP="00253219">
      <w:pPr>
        <w:pStyle w:val="Stopka1"/>
        <w:tabs>
          <w:tab w:val="left" w:pos="475"/>
        </w:tabs>
        <w:rPr>
          <w:rFonts w:asciiTheme="minorHAnsi" w:hAnsiTheme="minorHAnsi"/>
          <w:sz w:val="18"/>
          <w:szCs w:val="18"/>
        </w:rPr>
      </w:pPr>
      <w:r w:rsidRPr="00DD5F1A">
        <w:rPr>
          <w:rFonts w:asciiTheme="minorHAnsi" w:hAnsiTheme="minorHAnsi"/>
          <w:sz w:val="18"/>
          <w:szCs w:val="18"/>
          <w:vertAlign w:val="superscript"/>
        </w:rPr>
        <w:footnoteRef/>
      </w:r>
      <w:r>
        <w:rPr>
          <w:rFonts w:asciiTheme="minorHAnsi" w:hAnsiTheme="minorHAnsi"/>
          <w:sz w:val="18"/>
          <w:szCs w:val="18"/>
        </w:rPr>
        <w:t xml:space="preserve"> </w:t>
      </w:r>
      <w:hyperlink r:id="rId51" w:history="1">
        <w:r w:rsidRPr="00DD5F1A">
          <w:rPr>
            <w:rStyle w:val="Hipercze"/>
            <w:rFonts w:asciiTheme="minorHAnsi" w:hAnsiTheme="minorHAnsi"/>
            <w:sz w:val="18"/>
            <w:szCs w:val="18"/>
          </w:rPr>
          <w:t>Sprawozdanie</w:t>
        </w:r>
      </w:hyperlink>
      <w:r w:rsidRPr="00DD5F1A">
        <w:rPr>
          <w:rFonts w:asciiTheme="minorHAnsi" w:hAnsiTheme="minorHAnsi"/>
          <w:sz w:val="18"/>
          <w:szCs w:val="18"/>
        </w:rPr>
        <w:t xml:space="preserve"> sprawozdawcy ONZ ds. powszechnego prawa do korzystania z najwyższych dostępnych standardów zdrowia fizycznego i psychicznego. Misja w Polsce, A/HRC/14/20/Add.3, 20 maja 2010 r.</w:t>
      </w:r>
    </w:p>
  </w:footnote>
  <w:footnote w:id="79">
    <w:p w:rsidR="00B4606C" w:rsidRPr="00DD5F1A" w:rsidRDefault="00B4606C" w:rsidP="00253219">
      <w:pPr>
        <w:pStyle w:val="Stopka1"/>
        <w:tabs>
          <w:tab w:val="left" w:pos="485"/>
        </w:tabs>
        <w:ind w:firstLine="360"/>
        <w:rPr>
          <w:rFonts w:asciiTheme="minorHAnsi" w:hAnsiTheme="minorHAnsi"/>
          <w:sz w:val="18"/>
          <w:szCs w:val="18"/>
        </w:rPr>
      </w:pPr>
      <w:r w:rsidRPr="00DD5F1A">
        <w:rPr>
          <w:rFonts w:asciiTheme="minorHAnsi" w:hAnsiTheme="minorHAnsi"/>
          <w:sz w:val="18"/>
          <w:szCs w:val="18"/>
          <w:vertAlign w:val="superscript"/>
        </w:rPr>
        <w:footnoteRef/>
      </w:r>
      <w:r w:rsidRPr="00DD5F1A">
        <w:rPr>
          <w:rFonts w:asciiTheme="minorHAnsi" w:hAnsiTheme="minorHAnsi"/>
          <w:sz w:val="18"/>
          <w:szCs w:val="18"/>
        </w:rPr>
        <w:t xml:space="preserve"> Zob.</w:t>
      </w:r>
      <w:hyperlink r:id="rId52" w:history="1">
        <w:r w:rsidRPr="00DD5F1A">
          <w:rPr>
            <w:rStyle w:val="Hipercze"/>
            <w:rFonts w:asciiTheme="minorHAnsi" w:hAnsiTheme="minorHAnsi"/>
            <w:sz w:val="18"/>
            <w:szCs w:val="18"/>
          </w:rPr>
          <w:t xml:space="preserve"> http://orka.sejm.gov.pl/Druki8ka.nsf/0/6F82FBB36BAA945CC125839200434FC7/%24File/</w:t>
        </w:r>
        <w:r w:rsidRPr="00DD5F1A">
          <w:rPr>
            <w:rStyle w:val="Hipercze"/>
            <w:rFonts w:asciiTheme="minorHAnsi" w:hAnsiTheme="minorHAnsi"/>
            <w:color w:val="0000FF"/>
            <w:sz w:val="18"/>
            <w:szCs w:val="18"/>
          </w:rPr>
          <w:t>3185</w:t>
        </w:r>
        <w:r w:rsidRPr="00DD5F1A">
          <w:rPr>
            <w:rStyle w:val="Hipercze"/>
            <w:rFonts w:asciiTheme="minorHAnsi" w:hAnsiTheme="minorHAnsi"/>
            <w:sz w:val="18"/>
            <w:szCs w:val="18"/>
          </w:rPr>
          <w:t>.pdf</w:t>
        </w:r>
      </w:hyperlink>
    </w:p>
    <w:p w:rsidR="00B4606C" w:rsidRPr="00DD5F1A" w:rsidRDefault="00B4606C" w:rsidP="00253219">
      <w:pPr>
        <w:pStyle w:val="Stopka1"/>
        <w:ind w:firstLine="360"/>
        <w:rPr>
          <w:rFonts w:asciiTheme="minorHAnsi" w:hAnsiTheme="minorHAnsi"/>
          <w:sz w:val="18"/>
          <w:szCs w:val="18"/>
        </w:rPr>
      </w:pPr>
      <w:r w:rsidRPr="00DD5F1A">
        <w:rPr>
          <w:rFonts w:asciiTheme="minorHAnsi" w:hAnsiTheme="minorHAnsi"/>
          <w:sz w:val="18"/>
          <w:szCs w:val="18"/>
        </w:rPr>
        <w:t>(tekst w języku polskim), s. 106.</w:t>
      </w:r>
    </w:p>
  </w:footnote>
  <w:footnote w:id="80">
    <w:p w:rsidR="00B4606C" w:rsidRDefault="00B4606C" w:rsidP="00253219">
      <w:pPr>
        <w:pStyle w:val="Stopka1"/>
        <w:tabs>
          <w:tab w:val="left" w:pos="547"/>
        </w:tabs>
        <w:ind w:firstLine="360"/>
      </w:pPr>
      <w:r w:rsidRPr="00DD5F1A">
        <w:rPr>
          <w:rFonts w:asciiTheme="minorHAnsi" w:hAnsiTheme="minorHAnsi"/>
          <w:sz w:val="18"/>
          <w:szCs w:val="18"/>
          <w:vertAlign w:val="superscript"/>
        </w:rPr>
        <w:footnoteRef/>
      </w:r>
      <w:r w:rsidRPr="00DD5F1A">
        <w:rPr>
          <w:rFonts w:asciiTheme="minorHAnsi" w:hAnsiTheme="minorHAnsi"/>
          <w:sz w:val="18"/>
          <w:szCs w:val="18"/>
        </w:rPr>
        <w:tab/>
      </w:r>
      <w:hyperlink r:id="rId53" w:history="1">
        <w:r w:rsidRPr="00DD5F1A">
          <w:rPr>
            <w:rFonts w:asciiTheme="minorHAnsi" w:hAnsiTheme="minorHAnsi"/>
            <w:sz w:val="18"/>
            <w:szCs w:val="18"/>
          </w:rPr>
          <w:t>Raport</w:t>
        </w:r>
      </w:hyperlink>
      <w:r w:rsidRPr="00DD5F1A">
        <w:rPr>
          <w:rFonts w:asciiTheme="minorHAnsi" w:hAnsiTheme="minorHAnsi"/>
          <w:sz w:val="18"/>
          <w:szCs w:val="18"/>
        </w:rPr>
        <w:t xml:space="preserve"> Komisarza z 2019 r., CommDH(2019)17, </w:t>
      </w:r>
      <w:r w:rsidRPr="00DD5F1A">
        <w:rPr>
          <w:rFonts w:asciiTheme="minorHAnsi" w:hAnsiTheme="minorHAnsi"/>
          <w:i/>
          <w:iCs/>
          <w:sz w:val="18"/>
          <w:szCs w:val="18"/>
        </w:rPr>
        <w:t>op. cit.</w:t>
      </w:r>
      <w:r w:rsidRPr="00DD5F1A">
        <w:rPr>
          <w:rFonts w:asciiTheme="minorHAnsi" w:hAnsiTheme="minorHAnsi"/>
          <w:sz w:val="18"/>
          <w:szCs w:val="18"/>
        </w:rPr>
        <w:t>, pkt 70.</w:t>
      </w:r>
    </w:p>
  </w:footnote>
  <w:footnote w:id="81">
    <w:p w:rsidR="00B4606C" w:rsidRPr="00DD5F1A" w:rsidRDefault="00B4606C" w:rsidP="00253219">
      <w:pPr>
        <w:pStyle w:val="Stopka1"/>
        <w:tabs>
          <w:tab w:val="left" w:pos="576"/>
        </w:tabs>
        <w:rPr>
          <w:rFonts w:asciiTheme="minorHAnsi" w:hAnsiTheme="minorHAnsi"/>
          <w:sz w:val="18"/>
          <w:szCs w:val="18"/>
        </w:rPr>
      </w:pPr>
      <w:r w:rsidRPr="00DD5F1A">
        <w:rPr>
          <w:rFonts w:asciiTheme="minorHAnsi" w:hAnsiTheme="minorHAnsi"/>
          <w:sz w:val="18"/>
          <w:szCs w:val="18"/>
          <w:vertAlign w:val="superscript"/>
        </w:rPr>
        <w:footnoteRef/>
      </w:r>
      <w:r w:rsidRPr="00DD5F1A">
        <w:rPr>
          <w:rFonts w:asciiTheme="minorHAnsi" w:hAnsiTheme="minorHAnsi"/>
          <w:sz w:val="18"/>
          <w:szCs w:val="18"/>
        </w:rPr>
        <w:t xml:space="preserve">„Commissioner urges Poland’s Parliament to reject bill which restricts access to abortion care” [„Komisarz wzywa Parlament RP do odrzucenia projektu ustawy ograniczającej dostęp do aborcji”], </w:t>
      </w:r>
      <w:hyperlink r:id="rId54" w:history="1">
        <w:r w:rsidRPr="00DD5F1A">
          <w:rPr>
            <w:rFonts w:asciiTheme="minorHAnsi" w:hAnsiTheme="minorHAnsi"/>
            <w:sz w:val="18"/>
            <w:szCs w:val="18"/>
          </w:rPr>
          <w:t>oświadczenie</w:t>
        </w:r>
      </w:hyperlink>
      <w:r w:rsidRPr="00DD5F1A">
        <w:rPr>
          <w:rFonts w:asciiTheme="minorHAnsi" w:hAnsiTheme="minorHAnsi"/>
          <w:sz w:val="18"/>
          <w:szCs w:val="18"/>
        </w:rPr>
        <w:t xml:space="preserve"> z dnia 23 marca 2018 r.</w:t>
      </w:r>
    </w:p>
  </w:footnote>
  <w:footnote w:id="82">
    <w:p w:rsidR="00B4606C" w:rsidRPr="00DD5F1A" w:rsidRDefault="00B4606C" w:rsidP="00253219">
      <w:pPr>
        <w:pStyle w:val="Stopka1"/>
        <w:tabs>
          <w:tab w:val="left" w:pos="538"/>
        </w:tabs>
        <w:ind w:firstLine="360"/>
        <w:rPr>
          <w:rFonts w:asciiTheme="minorHAnsi" w:hAnsiTheme="minorHAnsi"/>
          <w:sz w:val="18"/>
          <w:szCs w:val="18"/>
        </w:rPr>
      </w:pPr>
      <w:r w:rsidRPr="00DD5F1A">
        <w:rPr>
          <w:rFonts w:asciiTheme="minorHAnsi" w:eastAsia="Calibri" w:hAnsiTheme="minorHAnsi"/>
          <w:sz w:val="18"/>
          <w:szCs w:val="18"/>
          <w:vertAlign w:val="superscript"/>
        </w:rPr>
        <w:footnoteRef/>
      </w:r>
      <w:r w:rsidRPr="00DD5F1A">
        <w:rPr>
          <w:rFonts w:asciiTheme="minorHAnsi" w:hAnsiTheme="minorHAnsi"/>
          <w:sz w:val="18"/>
          <w:szCs w:val="18"/>
        </w:rPr>
        <w:tab/>
        <w:t>Komisarz Praw Człowieka od 15 października 1999 r. do 31 marca 2006 r.</w:t>
      </w:r>
    </w:p>
  </w:footnote>
  <w:footnote w:id="83">
    <w:p w:rsidR="00B4606C" w:rsidRPr="00DD5F1A" w:rsidRDefault="00B4606C" w:rsidP="00253219">
      <w:pPr>
        <w:pStyle w:val="Stopka1"/>
        <w:tabs>
          <w:tab w:val="left" w:pos="547"/>
        </w:tabs>
        <w:ind w:firstLine="360"/>
        <w:rPr>
          <w:rFonts w:asciiTheme="minorHAnsi" w:hAnsiTheme="minorHAnsi"/>
          <w:sz w:val="18"/>
          <w:szCs w:val="18"/>
        </w:rPr>
      </w:pPr>
      <w:r w:rsidRPr="00DD5F1A">
        <w:rPr>
          <w:rFonts w:asciiTheme="minorHAnsi" w:hAnsiTheme="minorHAnsi"/>
          <w:sz w:val="18"/>
          <w:szCs w:val="18"/>
          <w:vertAlign w:val="superscript"/>
        </w:rPr>
        <w:footnoteRef/>
      </w:r>
      <w:r w:rsidRPr="00DD5F1A">
        <w:rPr>
          <w:rFonts w:asciiTheme="minorHAnsi" w:hAnsiTheme="minorHAnsi"/>
          <w:sz w:val="18"/>
          <w:szCs w:val="18"/>
        </w:rPr>
        <w:tab/>
        <w:t>Komisarz Praw Człowieka od 1 kwietnia 2006 r. do 31 marca 2012 r.</w:t>
      </w:r>
    </w:p>
  </w:footnote>
  <w:footnote w:id="84">
    <w:p w:rsidR="00B4606C" w:rsidRPr="00DD5F1A" w:rsidRDefault="00B4606C" w:rsidP="00253219">
      <w:pPr>
        <w:pStyle w:val="Stopka1"/>
        <w:tabs>
          <w:tab w:val="left" w:pos="547"/>
        </w:tabs>
        <w:ind w:firstLine="360"/>
        <w:rPr>
          <w:rFonts w:asciiTheme="minorHAnsi" w:hAnsiTheme="minorHAnsi"/>
          <w:sz w:val="18"/>
          <w:szCs w:val="18"/>
        </w:rPr>
      </w:pPr>
      <w:r w:rsidRPr="00DD5F1A">
        <w:rPr>
          <w:rFonts w:asciiTheme="minorHAnsi" w:hAnsiTheme="minorHAnsi"/>
          <w:sz w:val="18"/>
          <w:szCs w:val="18"/>
          <w:vertAlign w:val="superscript"/>
        </w:rPr>
        <w:footnoteRef/>
      </w:r>
      <w:r w:rsidRPr="00DD5F1A">
        <w:rPr>
          <w:rFonts w:asciiTheme="minorHAnsi" w:hAnsiTheme="minorHAnsi"/>
          <w:sz w:val="18"/>
          <w:szCs w:val="18"/>
        </w:rPr>
        <w:tab/>
        <w:t>Komisarz Praw Człowieka od 1 kwietnia 2012 r. do 31 marca 2018 r.</w:t>
      </w:r>
    </w:p>
  </w:footnote>
  <w:footnote w:id="85">
    <w:p w:rsidR="00B4606C" w:rsidRDefault="00B4606C" w:rsidP="00253219">
      <w:pPr>
        <w:pStyle w:val="Stopka1"/>
        <w:tabs>
          <w:tab w:val="left" w:pos="542"/>
        </w:tabs>
        <w:ind w:firstLine="360"/>
      </w:pPr>
      <w:r w:rsidRPr="00DD5F1A">
        <w:rPr>
          <w:rFonts w:asciiTheme="minorHAnsi" w:hAnsiTheme="minorHAnsi"/>
          <w:sz w:val="18"/>
          <w:szCs w:val="18"/>
          <w:vertAlign w:val="superscript"/>
        </w:rPr>
        <w:footnoteRef/>
      </w:r>
      <w:r w:rsidRPr="00DD5F1A">
        <w:rPr>
          <w:rFonts w:asciiTheme="minorHAnsi" w:hAnsiTheme="minorHAnsi"/>
          <w:sz w:val="18"/>
          <w:szCs w:val="18"/>
        </w:rPr>
        <w:tab/>
      </w:r>
      <w:hyperlink r:id="rId55" w:history="1">
        <w:r w:rsidRPr="00DD5F1A">
          <w:rPr>
            <w:rFonts w:asciiTheme="minorHAnsi" w:hAnsiTheme="minorHAnsi"/>
            <w:sz w:val="18"/>
            <w:szCs w:val="18"/>
          </w:rPr>
          <w:t>Tweet</w:t>
        </w:r>
      </w:hyperlink>
      <w:r w:rsidRPr="00DD5F1A">
        <w:rPr>
          <w:rFonts w:asciiTheme="minorHAnsi" w:hAnsiTheme="minorHAnsi"/>
          <w:sz w:val="18"/>
          <w:szCs w:val="18"/>
        </w:rPr>
        <w:t xml:space="preserve"> Komisarz z dnia 18 października 2019 r.</w:t>
      </w:r>
    </w:p>
  </w:footnote>
  <w:footnote w:id="86">
    <w:p w:rsidR="00B4606C" w:rsidRPr="00DD5F1A" w:rsidRDefault="00B4606C" w:rsidP="006165C6">
      <w:pPr>
        <w:pStyle w:val="Tekstprzypisudolnego"/>
        <w:rPr>
          <w:rFonts w:asciiTheme="minorHAnsi" w:hAnsiTheme="minorHAnsi"/>
          <w:sz w:val="18"/>
          <w:szCs w:val="18"/>
        </w:rPr>
      </w:pPr>
      <w:r w:rsidRPr="00DD5F1A">
        <w:rPr>
          <w:rStyle w:val="Odwoanieprzypisudolnego"/>
          <w:rFonts w:asciiTheme="minorHAnsi" w:hAnsiTheme="minorHAnsi"/>
          <w:sz w:val="18"/>
          <w:szCs w:val="18"/>
        </w:rPr>
        <w:footnoteRef/>
      </w:r>
      <w:r w:rsidRPr="00DD5F1A">
        <w:rPr>
          <w:rFonts w:asciiTheme="minorHAnsi" w:hAnsiTheme="minorHAnsi"/>
          <w:sz w:val="18"/>
          <w:szCs w:val="18"/>
        </w:rPr>
        <w:t xml:space="preserve"> Skarga nr 5410/03.</w:t>
      </w:r>
    </w:p>
  </w:footnote>
  <w:footnote w:id="87">
    <w:p w:rsidR="00B4606C" w:rsidRPr="00D24F7A" w:rsidRDefault="00B4606C" w:rsidP="006165C6">
      <w:pPr>
        <w:pStyle w:val="Tekstprzypisudolnego"/>
        <w:rPr>
          <w:rFonts w:asciiTheme="minorHAnsi" w:hAnsiTheme="minorHAnsi"/>
          <w:sz w:val="18"/>
          <w:szCs w:val="18"/>
        </w:rPr>
      </w:pPr>
      <w:r w:rsidRPr="00D24F7A">
        <w:rPr>
          <w:rStyle w:val="Odwoanieprzypisudolnego"/>
          <w:rFonts w:asciiTheme="minorHAnsi" w:hAnsiTheme="minorHAnsi"/>
          <w:sz w:val="18"/>
          <w:szCs w:val="18"/>
        </w:rPr>
        <w:footnoteRef/>
      </w:r>
      <w:r w:rsidRPr="00D24F7A">
        <w:rPr>
          <w:rFonts w:asciiTheme="minorHAnsi" w:hAnsiTheme="minorHAnsi"/>
          <w:sz w:val="18"/>
          <w:szCs w:val="18"/>
        </w:rPr>
        <w:t xml:space="preserve"> Skarga nr 27617/2019.</w:t>
      </w:r>
    </w:p>
  </w:footnote>
  <w:footnote w:id="88">
    <w:p w:rsidR="00B4606C" w:rsidRPr="00D24F7A" w:rsidRDefault="00B4606C" w:rsidP="006165C6">
      <w:pPr>
        <w:pStyle w:val="Tekstprzypisudolnego"/>
        <w:rPr>
          <w:rFonts w:asciiTheme="minorHAnsi" w:hAnsiTheme="minorHAnsi"/>
          <w:sz w:val="18"/>
          <w:szCs w:val="18"/>
        </w:rPr>
      </w:pPr>
      <w:r w:rsidRPr="00D24F7A">
        <w:rPr>
          <w:rStyle w:val="Odwoanieprzypisudolnego"/>
          <w:rFonts w:asciiTheme="minorHAnsi" w:hAnsiTheme="minorHAnsi"/>
          <w:sz w:val="18"/>
          <w:szCs w:val="18"/>
        </w:rPr>
        <w:footnoteRef/>
      </w:r>
      <w:r>
        <w:rPr>
          <w:rFonts w:asciiTheme="minorHAnsi" w:hAnsiTheme="minorHAnsi"/>
          <w:sz w:val="18"/>
          <w:szCs w:val="18"/>
        </w:rPr>
        <w:t xml:space="preserve"> </w:t>
      </w:r>
      <w:r w:rsidRPr="00D24F7A">
        <w:rPr>
          <w:rFonts w:asciiTheme="minorHAnsi" w:hAnsiTheme="minorHAnsi"/>
          <w:sz w:val="18"/>
          <w:szCs w:val="18"/>
        </w:rPr>
        <w:t>Skarga nr 57375/08.</w:t>
      </w:r>
    </w:p>
  </w:footnote>
  <w:footnote w:id="89">
    <w:p w:rsidR="00B4606C" w:rsidRPr="00D24F7A" w:rsidRDefault="00B4606C" w:rsidP="006165C6">
      <w:pPr>
        <w:pStyle w:val="Tekstprzypisudolnego"/>
        <w:rPr>
          <w:rFonts w:asciiTheme="minorHAnsi" w:hAnsiTheme="minorHAnsi"/>
          <w:sz w:val="18"/>
          <w:szCs w:val="18"/>
        </w:rPr>
      </w:pPr>
      <w:r w:rsidRPr="00D24F7A">
        <w:rPr>
          <w:rStyle w:val="Odwoanieprzypisudolnego"/>
          <w:rFonts w:asciiTheme="minorHAnsi" w:hAnsiTheme="minorHAnsi"/>
          <w:sz w:val="18"/>
          <w:szCs w:val="18"/>
        </w:rPr>
        <w:footnoteRef/>
      </w:r>
      <w:r w:rsidRPr="00D24F7A">
        <w:rPr>
          <w:rFonts w:asciiTheme="minorHAnsi" w:hAnsiTheme="minorHAnsi"/>
          <w:sz w:val="18"/>
          <w:szCs w:val="18"/>
        </w:rPr>
        <w:t xml:space="preserve"> Dalej: Rzecznik.</w:t>
      </w:r>
    </w:p>
  </w:footnote>
  <w:footnote w:id="90">
    <w:p w:rsidR="00B4606C" w:rsidRPr="00D24F7A" w:rsidRDefault="00B4606C" w:rsidP="006165C6">
      <w:pPr>
        <w:pStyle w:val="Stopka1"/>
        <w:tabs>
          <w:tab w:val="left" w:pos="108"/>
        </w:tabs>
        <w:rPr>
          <w:rFonts w:asciiTheme="minorHAnsi" w:hAnsiTheme="minorHAnsi"/>
          <w:sz w:val="18"/>
          <w:szCs w:val="18"/>
        </w:rPr>
      </w:pPr>
      <w:r w:rsidRPr="00D24F7A">
        <w:rPr>
          <w:rFonts w:asciiTheme="minorHAnsi" w:hAnsiTheme="minorHAnsi"/>
          <w:sz w:val="18"/>
          <w:szCs w:val="18"/>
          <w:vertAlign w:val="superscript"/>
        </w:rPr>
        <w:footnoteRef/>
      </w:r>
      <w:r>
        <w:rPr>
          <w:rFonts w:asciiTheme="minorHAnsi" w:hAnsiTheme="minorHAnsi"/>
          <w:sz w:val="18"/>
          <w:szCs w:val="18"/>
        </w:rPr>
        <w:t xml:space="preserve"> </w:t>
      </w:r>
      <w:r w:rsidRPr="00D24F7A">
        <w:rPr>
          <w:rFonts w:asciiTheme="minorHAnsi" w:hAnsiTheme="minorHAnsi"/>
          <w:sz w:val="18"/>
          <w:szCs w:val="18"/>
        </w:rPr>
        <w:t>Zaktualizowane raporty z działań: DH-DD(2020)4 oraz DH -DD(2020)3.</w:t>
      </w:r>
    </w:p>
  </w:footnote>
  <w:footnote w:id="91">
    <w:p w:rsidR="00B4606C" w:rsidRPr="00D24F7A" w:rsidRDefault="00B4606C" w:rsidP="006165C6">
      <w:pPr>
        <w:pStyle w:val="Stopka1"/>
        <w:tabs>
          <w:tab w:val="left" w:pos="115"/>
        </w:tabs>
        <w:jc w:val="both"/>
        <w:rPr>
          <w:rFonts w:asciiTheme="minorHAnsi" w:hAnsiTheme="minorHAnsi"/>
          <w:sz w:val="18"/>
          <w:szCs w:val="18"/>
        </w:rPr>
      </w:pPr>
      <w:r w:rsidRPr="00D24F7A">
        <w:rPr>
          <w:rFonts w:asciiTheme="minorHAnsi" w:hAnsiTheme="minorHAnsi"/>
          <w:sz w:val="18"/>
          <w:szCs w:val="18"/>
          <w:vertAlign w:val="superscript"/>
        </w:rPr>
        <w:footnoteRef/>
      </w:r>
      <w:r>
        <w:rPr>
          <w:rFonts w:asciiTheme="minorHAnsi" w:hAnsiTheme="minorHAnsi"/>
          <w:sz w:val="18"/>
          <w:szCs w:val="18"/>
        </w:rPr>
        <w:t xml:space="preserve"> </w:t>
      </w:r>
      <w:r w:rsidRPr="00D24F7A">
        <w:rPr>
          <w:rFonts w:asciiTheme="minorHAnsi" w:hAnsiTheme="minorHAnsi"/>
          <w:sz w:val="18"/>
          <w:szCs w:val="18"/>
        </w:rPr>
        <w:t>Wystąpienia Rzecznika z dnia 28 marca 2018 r. i 6 marca 2019 r.</w:t>
      </w:r>
    </w:p>
  </w:footnote>
  <w:footnote w:id="92">
    <w:p w:rsidR="00B4606C" w:rsidRPr="00D24F7A" w:rsidRDefault="00B4606C" w:rsidP="006165C6">
      <w:pPr>
        <w:pStyle w:val="Stopka1"/>
        <w:tabs>
          <w:tab w:val="left" w:pos="115"/>
        </w:tabs>
        <w:rPr>
          <w:rFonts w:asciiTheme="minorHAnsi" w:hAnsiTheme="minorHAnsi"/>
          <w:sz w:val="18"/>
          <w:szCs w:val="18"/>
        </w:rPr>
      </w:pPr>
      <w:r w:rsidRPr="00D24F7A">
        <w:rPr>
          <w:rFonts w:asciiTheme="minorHAnsi" w:hAnsiTheme="minorHAnsi"/>
          <w:sz w:val="18"/>
          <w:szCs w:val="18"/>
          <w:vertAlign w:val="superscript"/>
        </w:rPr>
        <w:footnoteRef/>
      </w:r>
      <w:r w:rsidRPr="00D24F7A">
        <w:rPr>
          <w:rFonts w:asciiTheme="minorHAnsi" w:hAnsiTheme="minorHAnsi"/>
          <w:sz w:val="18"/>
          <w:szCs w:val="18"/>
        </w:rPr>
        <w:t xml:space="preserve"> Dziennik Ustaw z 2019 r., poz. 537.</w:t>
      </w:r>
    </w:p>
  </w:footnote>
  <w:footnote w:id="93">
    <w:p w:rsidR="00B4606C" w:rsidRPr="00D24F7A" w:rsidRDefault="00B4606C" w:rsidP="006165C6">
      <w:pPr>
        <w:pStyle w:val="Stopka1"/>
        <w:tabs>
          <w:tab w:val="left" w:pos="115"/>
        </w:tabs>
        <w:rPr>
          <w:rFonts w:asciiTheme="minorHAnsi" w:hAnsiTheme="minorHAnsi"/>
          <w:sz w:val="18"/>
          <w:szCs w:val="18"/>
        </w:rPr>
      </w:pPr>
      <w:r w:rsidRPr="00D24F7A">
        <w:rPr>
          <w:rFonts w:asciiTheme="minorHAnsi" w:hAnsiTheme="minorHAnsi"/>
          <w:sz w:val="18"/>
          <w:szCs w:val="18"/>
          <w:vertAlign w:val="superscript"/>
        </w:rPr>
        <w:footnoteRef/>
      </w:r>
      <w:r w:rsidRPr="00D24F7A">
        <w:rPr>
          <w:rFonts w:asciiTheme="minorHAnsi" w:hAnsiTheme="minorHAnsi"/>
          <w:sz w:val="18"/>
          <w:szCs w:val="18"/>
        </w:rPr>
        <w:t xml:space="preserve"> Dziennik Ustaw z 2019 r., poz. 1127.</w:t>
      </w:r>
    </w:p>
  </w:footnote>
  <w:footnote w:id="94">
    <w:p w:rsidR="00B4606C" w:rsidRPr="00D24F7A" w:rsidRDefault="00B4606C" w:rsidP="006165C6">
      <w:pPr>
        <w:pStyle w:val="Stopka1"/>
        <w:tabs>
          <w:tab w:val="left" w:pos="115"/>
        </w:tabs>
        <w:jc w:val="both"/>
        <w:rPr>
          <w:rFonts w:asciiTheme="minorHAnsi" w:hAnsiTheme="minorHAnsi"/>
          <w:sz w:val="18"/>
          <w:szCs w:val="18"/>
        </w:rPr>
      </w:pPr>
      <w:r w:rsidRPr="00D24F7A">
        <w:rPr>
          <w:rFonts w:asciiTheme="minorHAnsi" w:hAnsiTheme="minorHAnsi"/>
          <w:sz w:val="18"/>
          <w:szCs w:val="18"/>
          <w:vertAlign w:val="superscript"/>
        </w:rPr>
        <w:footnoteRef/>
      </w:r>
      <w:r w:rsidRPr="00D24F7A">
        <w:rPr>
          <w:rFonts w:asciiTheme="minorHAnsi" w:hAnsiTheme="minorHAnsi"/>
          <w:sz w:val="18"/>
          <w:szCs w:val="18"/>
        </w:rPr>
        <w:t xml:space="preserve"> Dziennik Ustaw z 201 nr 4, poz. 244.</w:t>
      </w:r>
    </w:p>
  </w:footnote>
  <w:footnote w:id="95">
    <w:p w:rsidR="00B4606C" w:rsidRPr="00D24F7A" w:rsidRDefault="00B4606C" w:rsidP="006165C6">
      <w:pPr>
        <w:pStyle w:val="Stopka1"/>
        <w:tabs>
          <w:tab w:val="left" w:pos="158"/>
        </w:tabs>
        <w:rPr>
          <w:rFonts w:asciiTheme="minorHAnsi" w:hAnsiTheme="minorHAnsi"/>
          <w:sz w:val="18"/>
          <w:szCs w:val="18"/>
        </w:rPr>
      </w:pPr>
      <w:r w:rsidRPr="00D24F7A">
        <w:rPr>
          <w:rFonts w:asciiTheme="minorHAnsi" w:hAnsiTheme="minorHAnsi"/>
          <w:sz w:val="18"/>
          <w:szCs w:val="18"/>
          <w:vertAlign w:val="superscript"/>
        </w:rPr>
        <w:footnoteRef/>
      </w:r>
      <w:r w:rsidRPr="00D24F7A">
        <w:rPr>
          <w:rFonts w:asciiTheme="minorHAnsi" w:hAnsiTheme="minorHAnsi"/>
          <w:sz w:val="18"/>
          <w:szCs w:val="18"/>
        </w:rPr>
        <w:tab/>
        <w:t>Informacja o działalności Rzecznika Praw Pacjenta w 2018 r.</w:t>
      </w:r>
    </w:p>
    <w:p w:rsidR="00B4606C" w:rsidRPr="00D24F7A" w:rsidRDefault="007F0472" w:rsidP="006165C6">
      <w:pPr>
        <w:pStyle w:val="Stopka1"/>
        <w:rPr>
          <w:rFonts w:asciiTheme="minorHAnsi" w:hAnsiTheme="minorHAnsi"/>
          <w:sz w:val="18"/>
          <w:szCs w:val="18"/>
        </w:rPr>
      </w:pPr>
      <w:hyperlink r:id="rId56" w:history="1">
        <w:r w:rsidR="00B4606C" w:rsidRPr="00D24F7A">
          <w:rPr>
            <w:rStyle w:val="Hipercze"/>
            <w:rFonts w:asciiTheme="minorHAnsi" w:hAnsiTheme="minorHAnsi"/>
            <w:sz w:val="18"/>
            <w:szCs w:val="18"/>
          </w:rPr>
          <w:t>https://rpp.gov.pl/gfx/bpp/userfiles/_public/bip/sprawozdania_roczne/sprawozdanie</w:t>
        </w:r>
        <w:r w:rsidR="00B4606C" w:rsidRPr="00D24F7A">
          <w:rPr>
            <w:rStyle w:val="Hipercze"/>
            <w:rFonts w:asciiTheme="minorHAnsi" w:hAnsiTheme="minorHAnsi"/>
            <w:sz w:val="18"/>
            <w:szCs w:val="18"/>
          </w:rPr>
          <w:softHyphen/>
          <w:t>_2018r.pdf</w:t>
        </w:r>
      </w:hyperlink>
    </w:p>
  </w:footnote>
  <w:footnote w:id="96">
    <w:p w:rsidR="00B4606C" w:rsidRDefault="00B4606C" w:rsidP="006165C6">
      <w:pPr>
        <w:pStyle w:val="Stopka1"/>
        <w:tabs>
          <w:tab w:val="left" w:pos="158"/>
        </w:tabs>
      </w:pPr>
      <w:r w:rsidRPr="00D24F7A">
        <w:rPr>
          <w:rFonts w:asciiTheme="minorHAnsi" w:hAnsiTheme="minorHAnsi"/>
          <w:sz w:val="18"/>
          <w:szCs w:val="18"/>
          <w:vertAlign w:val="superscript"/>
        </w:rPr>
        <w:footnoteRef/>
      </w:r>
      <w:r w:rsidRPr="00D24F7A">
        <w:rPr>
          <w:rFonts w:asciiTheme="minorHAnsi" w:hAnsiTheme="minorHAnsi"/>
          <w:sz w:val="18"/>
          <w:szCs w:val="18"/>
        </w:rPr>
        <w:tab/>
        <w:t xml:space="preserve">Oświadczenie Rzecznika Praw Pacjenta: </w:t>
      </w:r>
      <w:hyperlink r:id="rId57" w:history="1">
        <w:r w:rsidRPr="00D24F7A">
          <w:rPr>
            <w:rStyle w:val="Hipercze"/>
            <w:rFonts w:asciiTheme="minorHAnsi" w:hAnsiTheme="minorHAnsi"/>
            <w:sz w:val="18"/>
            <w:szCs w:val="18"/>
          </w:rPr>
          <w:t>https://rpp.gov.pl/prawo-do-zgloszenia-sprzeciwu</w:t>
        </w:r>
      </w:hyperlink>
    </w:p>
  </w:footnote>
  <w:footnote w:id="97">
    <w:p w:rsidR="00B4606C" w:rsidRPr="00D24F7A" w:rsidRDefault="00B4606C" w:rsidP="006165C6">
      <w:pPr>
        <w:pStyle w:val="Stopka1"/>
        <w:tabs>
          <w:tab w:val="left" w:pos="166"/>
        </w:tabs>
        <w:rPr>
          <w:rFonts w:asciiTheme="minorHAnsi" w:hAnsiTheme="minorHAnsi"/>
          <w:sz w:val="18"/>
          <w:szCs w:val="18"/>
        </w:rPr>
      </w:pPr>
      <w:r w:rsidRPr="00D24F7A">
        <w:rPr>
          <w:rFonts w:asciiTheme="minorHAnsi" w:hAnsiTheme="minorHAnsi"/>
          <w:sz w:val="18"/>
          <w:szCs w:val="18"/>
          <w:vertAlign w:val="superscript"/>
        </w:rPr>
        <w:footnoteRef/>
      </w:r>
      <w:r w:rsidRPr="00D24F7A">
        <w:rPr>
          <w:rFonts w:asciiTheme="minorHAnsi" w:hAnsiTheme="minorHAnsi"/>
          <w:sz w:val="18"/>
          <w:szCs w:val="18"/>
        </w:rPr>
        <w:tab/>
        <w:t>Wystąpienia Rzecznika z dnia 28 marca 2018 r. i 6 marca 2019 r.</w:t>
      </w:r>
    </w:p>
  </w:footnote>
  <w:footnote w:id="98">
    <w:p w:rsidR="00B4606C" w:rsidRPr="006758F4" w:rsidRDefault="00B4606C" w:rsidP="006165C6">
      <w:pPr>
        <w:pStyle w:val="Stopka1"/>
        <w:tabs>
          <w:tab w:val="left" w:pos="166"/>
        </w:tabs>
      </w:pPr>
      <w:r w:rsidRPr="00D24F7A">
        <w:rPr>
          <w:rFonts w:asciiTheme="minorHAnsi" w:hAnsiTheme="minorHAnsi"/>
          <w:sz w:val="18"/>
          <w:szCs w:val="18"/>
          <w:vertAlign w:val="superscript"/>
        </w:rPr>
        <w:footnoteRef/>
      </w:r>
      <w:r w:rsidRPr="00D24F7A">
        <w:rPr>
          <w:rFonts w:asciiTheme="minorHAnsi" w:hAnsiTheme="minorHAnsi"/>
          <w:sz w:val="18"/>
          <w:szCs w:val="18"/>
        </w:rPr>
        <w:tab/>
        <w:t>Dalej: Zalecenia.</w:t>
      </w:r>
    </w:p>
  </w:footnote>
  <w:footnote w:id="99">
    <w:p w:rsidR="00B4606C" w:rsidRPr="00D24F7A" w:rsidRDefault="00B4606C" w:rsidP="00D24F7A">
      <w:pPr>
        <w:pStyle w:val="Stopka1"/>
        <w:tabs>
          <w:tab w:val="left" w:pos="216"/>
        </w:tabs>
        <w:rPr>
          <w:rFonts w:asciiTheme="minorHAnsi" w:hAnsiTheme="minorHAnsi"/>
          <w:sz w:val="18"/>
          <w:szCs w:val="18"/>
        </w:rPr>
      </w:pPr>
      <w:r w:rsidRPr="00D24F7A">
        <w:rPr>
          <w:rFonts w:asciiTheme="minorHAnsi" w:hAnsiTheme="minorHAnsi"/>
          <w:i/>
          <w:iCs/>
          <w:sz w:val="18"/>
          <w:szCs w:val="18"/>
          <w:vertAlign w:val="superscript"/>
        </w:rPr>
        <w:footnoteRef/>
      </w:r>
      <w:r w:rsidRPr="00D24F7A">
        <w:rPr>
          <w:rFonts w:asciiTheme="minorHAnsi" w:hAnsiTheme="minorHAnsi"/>
          <w:i/>
          <w:iCs/>
          <w:sz w:val="18"/>
          <w:szCs w:val="18"/>
        </w:rPr>
        <w:tab/>
        <w:t>Wytyczne Prokuratora Generalnego z dnia 18 lutego 2015 r. dotyczące zasad postępowania</w:t>
      </w:r>
      <w:r w:rsidRPr="00D24F7A">
        <w:rPr>
          <w:rFonts w:asciiTheme="minorHAnsi" w:hAnsiTheme="minorHAnsi"/>
          <w:sz w:val="18"/>
          <w:szCs w:val="18"/>
        </w:rPr>
        <w:t xml:space="preserve"> w </w:t>
      </w:r>
      <w:r w:rsidRPr="00D24F7A">
        <w:rPr>
          <w:rFonts w:asciiTheme="minorHAnsi" w:hAnsiTheme="minorHAnsi"/>
          <w:i/>
          <w:iCs/>
          <w:sz w:val="18"/>
          <w:szCs w:val="18"/>
        </w:rPr>
        <w:t>sprawach o przestępstwo zgwałcenia,</w:t>
      </w:r>
      <w:r w:rsidRPr="00D24F7A">
        <w:rPr>
          <w:rFonts w:asciiTheme="minorHAnsi" w:hAnsiTheme="minorHAnsi"/>
          <w:sz w:val="18"/>
          <w:szCs w:val="18"/>
        </w:rPr>
        <w:t xml:space="preserve"> PG VII G 021/58/15, tekst dostępny pod adresem: </w:t>
      </w:r>
      <w:hyperlink r:id="rId58" w:history="1">
        <w:r w:rsidRPr="00D24F7A">
          <w:rPr>
            <w:rStyle w:val="Hipercze"/>
            <w:rFonts w:asciiTheme="minorHAnsi" w:hAnsiTheme="minorHAnsi"/>
            <w:sz w:val="18"/>
            <w:szCs w:val="18"/>
          </w:rPr>
          <w:t>https://pk.gov.pl/wp-content/uploads/2015/12/caa677a9e35b8974824c0f80d405d6e7.pdf</w:t>
        </w:r>
      </w:hyperlink>
    </w:p>
  </w:footnote>
  <w:footnote w:id="100">
    <w:p w:rsidR="00B4606C" w:rsidRPr="006758F4" w:rsidRDefault="00B4606C" w:rsidP="00D24F7A">
      <w:pPr>
        <w:pStyle w:val="Stopka1"/>
        <w:tabs>
          <w:tab w:val="left" w:pos="180"/>
        </w:tabs>
      </w:pPr>
      <w:r w:rsidRPr="00D24F7A">
        <w:rPr>
          <w:rFonts w:asciiTheme="minorHAnsi" w:hAnsiTheme="minorHAnsi"/>
          <w:i/>
          <w:iCs/>
          <w:sz w:val="18"/>
          <w:szCs w:val="18"/>
          <w:vertAlign w:val="superscript"/>
        </w:rPr>
        <w:footnoteRef/>
      </w:r>
      <w:r w:rsidRPr="00D24F7A">
        <w:rPr>
          <w:rFonts w:asciiTheme="minorHAnsi" w:hAnsiTheme="minorHAnsi"/>
          <w:i/>
          <w:iCs/>
          <w:sz w:val="18"/>
          <w:szCs w:val="18"/>
        </w:rPr>
        <w:t xml:space="preserve"> Procedura postępowania Policji z osobą, która doświadczyła przemocy seksualnej</w:t>
      </w:r>
      <w:r w:rsidRPr="00D24F7A">
        <w:rPr>
          <w:rFonts w:asciiTheme="minorHAnsi" w:hAnsiTheme="minorHAnsi"/>
          <w:sz w:val="18"/>
          <w:szCs w:val="18"/>
        </w:rPr>
        <w:t xml:space="preserve"> została po raz pierwszy wprowadzona w 2015 r. poprzez włączenie jej do Wytycznych nr 1 Komendanta Głównego Policji z dnia 23 lipca 2015 r. w sprawie wykonywania niektórych czynności dochodzeniowo-śledczych przez policjantów.</w:t>
      </w:r>
    </w:p>
  </w:footnote>
  <w:footnote w:id="101">
    <w:p w:rsidR="00B4606C" w:rsidRPr="005255E8" w:rsidRDefault="00B4606C" w:rsidP="00F24A3C">
      <w:pPr>
        <w:pStyle w:val="Stopka1"/>
        <w:tabs>
          <w:tab w:val="left" w:pos="163"/>
        </w:tabs>
        <w:rPr>
          <w:rFonts w:asciiTheme="minorHAnsi" w:hAnsiTheme="minorHAnsi"/>
          <w:sz w:val="18"/>
          <w:szCs w:val="18"/>
        </w:rPr>
      </w:pPr>
      <w:r w:rsidRPr="005255E8">
        <w:rPr>
          <w:rFonts w:asciiTheme="minorHAnsi" w:hAnsiTheme="minorHAnsi"/>
          <w:sz w:val="18"/>
          <w:szCs w:val="18"/>
          <w:vertAlign w:val="superscript"/>
        </w:rPr>
        <w:footnoteRef/>
      </w:r>
      <w:r w:rsidRPr="005255E8">
        <w:rPr>
          <w:rFonts w:asciiTheme="minorHAnsi" w:hAnsiTheme="minorHAnsi"/>
          <w:sz w:val="18"/>
          <w:szCs w:val="18"/>
        </w:rPr>
        <w:t xml:space="preserve"> Komunikacja jest dostępna na stronie </w:t>
      </w:r>
      <w:hyperlink r:id="rId59" w:history="1">
        <w:r w:rsidRPr="005255E8">
          <w:rPr>
            <w:rStyle w:val="Hipercze"/>
            <w:rFonts w:asciiTheme="minorHAnsi" w:hAnsiTheme="minorHAnsi"/>
            <w:sz w:val="18"/>
            <w:szCs w:val="18"/>
          </w:rPr>
          <w:t>http://hudoc.exec.coe.int/eng?i=DH-DDf2017)991revE</w:t>
        </w:r>
      </w:hyperlink>
    </w:p>
  </w:footnote>
  <w:footnote w:id="102">
    <w:p w:rsidR="00B4606C" w:rsidRPr="005255E8" w:rsidRDefault="00B4606C" w:rsidP="00F24A3C">
      <w:pPr>
        <w:pStyle w:val="Stopka1"/>
        <w:tabs>
          <w:tab w:val="left" w:pos="168"/>
        </w:tabs>
        <w:rPr>
          <w:rFonts w:asciiTheme="minorHAnsi" w:hAnsiTheme="minorHAnsi"/>
          <w:sz w:val="18"/>
          <w:szCs w:val="18"/>
        </w:rPr>
      </w:pPr>
      <w:r w:rsidRPr="005255E8">
        <w:rPr>
          <w:rFonts w:asciiTheme="minorHAnsi" w:hAnsiTheme="minorHAnsi"/>
          <w:sz w:val="18"/>
          <w:szCs w:val="18"/>
          <w:vertAlign w:val="superscript"/>
        </w:rPr>
        <w:footnoteRef/>
      </w:r>
      <w:r w:rsidRPr="005255E8">
        <w:rPr>
          <w:rFonts w:asciiTheme="minorHAnsi" w:hAnsiTheme="minorHAnsi"/>
          <w:sz w:val="18"/>
          <w:szCs w:val="18"/>
        </w:rPr>
        <w:t xml:space="preserve"> Komunikacja jest dostępna na stronie</w:t>
      </w:r>
      <w:hyperlink r:id="rId60" w:history="1">
        <w:r w:rsidRPr="005255E8">
          <w:rPr>
            <w:rStyle w:val="Hipercze"/>
            <w:rFonts w:asciiTheme="minorHAnsi" w:hAnsiTheme="minorHAnsi"/>
            <w:sz w:val="18"/>
            <w:szCs w:val="18"/>
          </w:rPr>
          <w:t xml:space="preserve"> http://hudoc.exec.coe.int/eng?i=DH-DDf2018] 785E</w:t>
        </w:r>
      </w:hyperlink>
    </w:p>
  </w:footnote>
  <w:footnote w:id="103">
    <w:p w:rsidR="00B4606C" w:rsidRPr="005255E8" w:rsidRDefault="00B4606C" w:rsidP="00F24A3C">
      <w:pPr>
        <w:pStyle w:val="Stopka1"/>
        <w:tabs>
          <w:tab w:val="left" w:pos="173"/>
        </w:tabs>
        <w:rPr>
          <w:rFonts w:asciiTheme="minorHAnsi" w:hAnsiTheme="minorHAnsi"/>
          <w:sz w:val="18"/>
          <w:szCs w:val="18"/>
        </w:rPr>
      </w:pPr>
      <w:r w:rsidRPr="005255E8">
        <w:rPr>
          <w:rFonts w:asciiTheme="minorHAnsi" w:hAnsiTheme="minorHAnsi"/>
          <w:sz w:val="18"/>
          <w:szCs w:val="18"/>
          <w:vertAlign w:val="superscript"/>
        </w:rPr>
        <w:footnoteRef/>
      </w:r>
      <w:r w:rsidRPr="005255E8">
        <w:rPr>
          <w:rFonts w:asciiTheme="minorHAnsi" w:hAnsiTheme="minorHAnsi"/>
          <w:sz w:val="18"/>
          <w:szCs w:val="18"/>
        </w:rPr>
        <w:t xml:space="preserve"> Decyzja jest dostępna na stronie </w:t>
      </w:r>
      <w:hyperlink r:id="rId61" w:history="1">
        <w:r w:rsidRPr="005255E8">
          <w:rPr>
            <w:rStyle w:val="Hipercze"/>
            <w:rFonts w:asciiTheme="minorHAnsi" w:hAnsiTheme="minorHAnsi"/>
            <w:sz w:val="18"/>
            <w:szCs w:val="18"/>
          </w:rPr>
          <w:t>http://hudoc.exec.coe.int/eng?i=CM/Del/Dec(2019)1340/H46-13E</w:t>
        </w:r>
      </w:hyperlink>
    </w:p>
  </w:footnote>
  <w:footnote w:id="104">
    <w:p w:rsidR="00B4606C" w:rsidRPr="005255E8" w:rsidRDefault="00B4606C" w:rsidP="00F24A3C">
      <w:pPr>
        <w:pStyle w:val="Stopka1"/>
        <w:tabs>
          <w:tab w:val="left" w:pos="173"/>
        </w:tabs>
        <w:rPr>
          <w:rFonts w:asciiTheme="minorHAnsi" w:hAnsiTheme="minorHAnsi"/>
          <w:sz w:val="18"/>
          <w:szCs w:val="18"/>
        </w:rPr>
      </w:pPr>
      <w:r w:rsidRPr="005255E8">
        <w:rPr>
          <w:rFonts w:asciiTheme="minorHAnsi" w:hAnsiTheme="minorHAnsi"/>
          <w:sz w:val="18"/>
          <w:szCs w:val="18"/>
          <w:vertAlign w:val="superscript"/>
        </w:rPr>
        <w:footnoteRef/>
      </w:r>
      <w:r w:rsidRPr="005255E8">
        <w:rPr>
          <w:rFonts w:asciiTheme="minorHAnsi" w:hAnsiTheme="minorHAnsi"/>
          <w:sz w:val="18"/>
          <w:szCs w:val="18"/>
        </w:rPr>
        <w:t xml:space="preserve"> Komunikacja jest dostępna na stronie </w:t>
      </w:r>
      <w:hyperlink r:id="rId62" w:history="1">
        <w:r w:rsidRPr="005255E8">
          <w:rPr>
            <w:rStyle w:val="Hipercze"/>
            <w:rFonts w:asciiTheme="minorHAnsi" w:hAnsiTheme="minorHAnsi"/>
            <w:sz w:val="18"/>
            <w:szCs w:val="18"/>
          </w:rPr>
          <w:t>http://hudoc.exec.coe.int/eng?i=DH-DDt2020)5E</w:t>
        </w:r>
      </w:hyperlink>
    </w:p>
  </w:footnote>
  <w:footnote w:id="105">
    <w:p w:rsidR="00B4606C" w:rsidRPr="00BD3249" w:rsidRDefault="00B4606C" w:rsidP="00F24A3C">
      <w:pPr>
        <w:pStyle w:val="Stopka1"/>
        <w:tabs>
          <w:tab w:val="left" w:pos="163"/>
        </w:tabs>
        <w:rPr>
          <w:rFonts w:asciiTheme="minorHAnsi" w:hAnsiTheme="minorHAnsi"/>
          <w:sz w:val="18"/>
          <w:szCs w:val="18"/>
        </w:rPr>
      </w:pPr>
      <w:r w:rsidRPr="00BD3249">
        <w:rPr>
          <w:rFonts w:asciiTheme="minorHAnsi" w:hAnsiTheme="minorHAnsi"/>
          <w:sz w:val="18"/>
          <w:szCs w:val="18"/>
          <w:vertAlign w:val="superscript"/>
        </w:rPr>
        <w:footnoteRef/>
      </w:r>
      <w:r w:rsidRPr="00BD3249">
        <w:rPr>
          <w:rFonts w:asciiTheme="minorHAnsi" w:hAnsiTheme="minorHAnsi"/>
          <w:sz w:val="18"/>
          <w:szCs w:val="18"/>
        </w:rPr>
        <w:t xml:space="preserve"> Ustawa z dnia 7 stycznia 1993 r. o planowaniu rodziny, ochronie płodu ludzkiego i warunkach dopuszczalności przerywania ciąży, Dz.U. nr 17, poz. 78, z późn. zm.</w:t>
      </w:r>
    </w:p>
  </w:footnote>
  <w:footnote w:id="106">
    <w:p w:rsidR="00B4606C" w:rsidRPr="00BD3249" w:rsidRDefault="00B4606C" w:rsidP="00F24A3C">
      <w:pPr>
        <w:pStyle w:val="Stopka1"/>
        <w:tabs>
          <w:tab w:val="left" w:pos="173"/>
        </w:tabs>
        <w:rPr>
          <w:rFonts w:asciiTheme="minorHAnsi" w:hAnsiTheme="minorHAnsi"/>
          <w:sz w:val="18"/>
          <w:szCs w:val="18"/>
        </w:rPr>
      </w:pPr>
      <w:r w:rsidRPr="00BD3249">
        <w:rPr>
          <w:rFonts w:asciiTheme="minorHAnsi" w:hAnsiTheme="minorHAnsi"/>
          <w:sz w:val="18"/>
          <w:szCs w:val="18"/>
          <w:vertAlign w:val="superscript"/>
        </w:rPr>
        <w:footnoteRef/>
      </w:r>
      <w:r w:rsidRPr="00BD3249">
        <w:rPr>
          <w:rFonts w:asciiTheme="minorHAnsi" w:hAnsiTheme="minorHAnsi"/>
          <w:sz w:val="18"/>
          <w:szCs w:val="18"/>
        </w:rPr>
        <w:t xml:space="preserve"> Komunikacja rządu Rzeczypospolitej Polskiej z dnia 20 grudnia 2019 r., s. 7-8.</w:t>
      </w:r>
    </w:p>
  </w:footnote>
  <w:footnote w:id="107">
    <w:p w:rsidR="00B4606C" w:rsidRPr="00BD3249" w:rsidRDefault="00B4606C" w:rsidP="00F24A3C">
      <w:pPr>
        <w:pStyle w:val="Stopka1"/>
        <w:tabs>
          <w:tab w:val="left" w:pos="259"/>
        </w:tabs>
        <w:rPr>
          <w:rFonts w:asciiTheme="minorHAnsi" w:hAnsiTheme="minorHAnsi"/>
          <w:sz w:val="18"/>
          <w:szCs w:val="18"/>
        </w:rPr>
      </w:pPr>
      <w:r w:rsidRPr="00BD3249">
        <w:rPr>
          <w:rFonts w:asciiTheme="minorHAnsi" w:hAnsiTheme="minorHAnsi"/>
          <w:sz w:val="18"/>
          <w:szCs w:val="18"/>
          <w:vertAlign w:val="superscript"/>
        </w:rPr>
        <w:footnoteRef/>
      </w:r>
      <w:r w:rsidRPr="00BD3249">
        <w:rPr>
          <w:rFonts w:asciiTheme="minorHAnsi" w:hAnsiTheme="minorHAnsi"/>
          <w:sz w:val="18"/>
          <w:szCs w:val="18"/>
        </w:rPr>
        <w:tab/>
        <w:t>Pismo Rzecznika Praw Pacjenta do HFPC z dnia 17 stycznia 2020 r., znak RzPP-DPR-WPL.0133.1.2020.</w:t>
      </w:r>
    </w:p>
  </w:footnote>
  <w:footnote w:id="108">
    <w:p w:rsidR="00B4606C" w:rsidRPr="00BD3249" w:rsidRDefault="00B4606C" w:rsidP="00F24A3C">
      <w:pPr>
        <w:pStyle w:val="Stopka1"/>
        <w:pBdr>
          <w:top w:val="single" w:sz="4" w:space="0" w:color="auto"/>
        </w:pBdr>
        <w:tabs>
          <w:tab w:val="left" w:pos="178"/>
        </w:tabs>
        <w:rPr>
          <w:rFonts w:asciiTheme="minorHAnsi" w:hAnsiTheme="minorHAnsi"/>
          <w:sz w:val="18"/>
          <w:szCs w:val="18"/>
        </w:rPr>
      </w:pPr>
      <w:r w:rsidRPr="00BD3249">
        <w:rPr>
          <w:rFonts w:asciiTheme="minorHAnsi" w:hAnsiTheme="minorHAnsi"/>
          <w:sz w:val="18"/>
          <w:szCs w:val="18"/>
          <w:vertAlign w:val="superscript"/>
        </w:rPr>
        <w:footnoteRef/>
      </w:r>
      <w:r w:rsidRPr="00BD3249">
        <w:rPr>
          <w:rFonts w:asciiTheme="minorHAnsi" w:hAnsiTheme="minorHAnsi"/>
          <w:sz w:val="18"/>
          <w:szCs w:val="18"/>
        </w:rPr>
        <w:t xml:space="preserve"> Sygn. akt K 12/14.</w:t>
      </w:r>
    </w:p>
  </w:footnote>
  <w:footnote w:id="109">
    <w:p w:rsidR="00B4606C" w:rsidRPr="00BD3249" w:rsidRDefault="00B4606C" w:rsidP="00F24A3C">
      <w:pPr>
        <w:pStyle w:val="Stopka1"/>
        <w:tabs>
          <w:tab w:val="left" w:pos="173"/>
        </w:tabs>
        <w:rPr>
          <w:rFonts w:asciiTheme="minorHAnsi" w:hAnsiTheme="minorHAnsi"/>
          <w:sz w:val="18"/>
          <w:szCs w:val="18"/>
        </w:rPr>
      </w:pPr>
      <w:r w:rsidRPr="00BD3249">
        <w:rPr>
          <w:rFonts w:asciiTheme="minorHAnsi" w:hAnsiTheme="minorHAnsi"/>
          <w:sz w:val="18"/>
          <w:szCs w:val="18"/>
          <w:vertAlign w:val="superscript"/>
        </w:rPr>
        <w:footnoteRef/>
      </w:r>
      <w:r w:rsidRPr="00BD3249">
        <w:rPr>
          <w:rFonts w:asciiTheme="minorHAnsi" w:hAnsiTheme="minorHAnsi"/>
          <w:sz w:val="18"/>
          <w:szCs w:val="18"/>
        </w:rPr>
        <w:t xml:space="preserve"> Komunikacja </w:t>
      </w:r>
      <w:r w:rsidR="00BD3249" w:rsidRPr="00BD3249">
        <w:rPr>
          <w:rFonts w:asciiTheme="minorHAnsi" w:hAnsiTheme="minorHAnsi"/>
          <w:sz w:val="18"/>
          <w:szCs w:val="18"/>
        </w:rPr>
        <w:t>r</w:t>
      </w:r>
      <w:r w:rsidRPr="00BD3249">
        <w:rPr>
          <w:rFonts w:asciiTheme="minorHAnsi" w:hAnsiTheme="minorHAnsi"/>
          <w:sz w:val="18"/>
          <w:szCs w:val="18"/>
        </w:rPr>
        <w:t>ządu Rzeczypospolitej Polskiej z dnia 20 grudnia 2019 r., s. 2-3.</w:t>
      </w:r>
    </w:p>
  </w:footnote>
  <w:footnote w:id="110">
    <w:p w:rsidR="00B4606C" w:rsidRDefault="00B4606C" w:rsidP="00F24A3C">
      <w:pPr>
        <w:pStyle w:val="Stopka1"/>
        <w:tabs>
          <w:tab w:val="left" w:pos="250"/>
        </w:tabs>
      </w:pPr>
      <w:r>
        <w:rPr>
          <w:shd w:val="clear" w:color="auto" w:fill="FFFFFF"/>
          <w:vertAlign w:val="superscript"/>
        </w:rPr>
        <w:footnoteRef/>
      </w:r>
      <w:r>
        <w:tab/>
        <w:t xml:space="preserve">Rządowy projekt ustawy o zmianie ustawy z dnia 5 grudnia 1996 r. o zawodach lekarza i lekarza dentysty, druk sejmowy nr 172, </w:t>
      </w:r>
      <w:hyperlink r:id="rId63" w:history="1">
        <w:r>
          <w:t>http://www.sejm.gov.pl/sejm9.nsf/agent.xsp?symbol=RPL&amp;Id=RM-10-l- 20</w:t>
        </w:r>
      </w:hyperlink>
      <w:r>
        <w:t>.</w:t>
      </w:r>
    </w:p>
  </w:footnote>
  <w:footnote w:id="111">
    <w:p w:rsidR="00B4606C" w:rsidRPr="007543C6" w:rsidRDefault="00B4606C" w:rsidP="00F24A3C">
      <w:pPr>
        <w:pStyle w:val="Stopka1"/>
        <w:tabs>
          <w:tab w:val="left" w:pos="240"/>
        </w:tabs>
        <w:rPr>
          <w:rFonts w:asciiTheme="minorHAnsi" w:hAnsiTheme="minorHAnsi"/>
          <w:sz w:val="18"/>
          <w:szCs w:val="18"/>
        </w:rPr>
      </w:pPr>
      <w:r w:rsidRPr="007543C6">
        <w:rPr>
          <w:rFonts w:asciiTheme="minorHAnsi" w:hAnsiTheme="minorHAnsi"/>
          <w:sz w:val="18"/>
          <w:szCs w:val="18"/>
          <w:vertAlign w:val="superscript"/>
        </w:rPr>
        <w:footnoteRef/>
      </w:r>
      <w:r w:rsidRPr="007543C6">
        <w:rPr>
          <w:rFonts w:asciiTheme="minorHAnsi" w:hAnsiTheme="minorHAnsi"/>
          <w:sz w:val="18"/>
          <w:szCs w:val="18"/>
        </w:rPr>
        <w:tab/>
        <w:t>Pismo od NFZ do HFPC z dnia 29 stycznia 2020 r., znak DSOZ-DRS.0123.4.2020 2020.5548.CPKO.</w:t>
      </w:r>
    </w:p>
  </w:footnote>
  <w:footnote w:id="112">
    <w:p w:rsidR="00B4606C" w:rsidRPr="007543C6" w:rsidRDefault="00B4606C" w:rsidP="00F24A3C">
      <w:pPr>
        <w:pStyle w:val="Stopka1"/>
        <w:tabs>
          <w:tab w:val="left" w:pos="240"/>
        </w:tabs>
        <w:rPr>
          <w:rFonts w:asciiTheme="minorHAnsi" w:hAnsiTheme="minorHAnsi"/>
          <w:sz w:val="18"/>
          <w:szCs w:val="18"/>
        </w:rPr>
      </w:pPr>
      <w:r w:rsidRPr="007543C6">
        <w:rPr>
          <w:rFonts w:asciiTheme="minorHAnsi" w:hAnsiTheme="minorHAnsi"/>
          <w:sz w:val="18"/>
          <w:szCs w:val="18"/>
          <w:vertAlign w:val="superscript"/>
        </w:rPr>
        <w:footnoteRef/>
      </w:r>
      <w:r w:rsidRPr="007543C6">
        <w:rPr>
          <w:rFonts w:asciiTheme="minorHAnsi" w:hAnsiTheme="minorHAnsi"/>
          <w:sz w:val="18"/>
          <w:szCs w:val="18"/>
        </w:rPr>
        <w:tab/>
        <w:t xml:space="preserve">Z treścią komunikacji można zapoznać się na stronie </w:t>
      </w:r>
      <w:hyperlink r:id="rId64" w:history="1">
        <w:r w:rsidRPr="007543C6">
          <w:rPr>
            <w:rStyle w:val="Hipercze"/>
            <w:rFonts w:asciiTheme="minorHAnsi" w:hAnsiTheme="minorHAnsi"/>
            <w:sz w:val="18"/>
            <w:szCs w:val="18"/>
          </w:rPr>
          <w:t>http://hudoc.exec.coe.int/eng?i=DH-DD(2018)785E</w:t>
        </w:r>
      </w:hyperlink>
      <w:r w:rsidRPr="007543C6">
        <w:rPr>
          <w:rFonts w:asciiTheme="minorHAnsi" w:hAnsiTheme="minorHAnsi"/>
          <w:sz w:val="18"/>
          <w:szCs w:val="18"/>
        </w:rPr>
        <w:t>.</w:t>
      </w:r>
    </w:p>
  </w:footnote>
  <w:footnote w:id="113">
    <w:p w:rsidR="00B4606C" w:rsidRPr="007207F7" w:rsidRDefault="00B4606C">
      <w:pPr>
        <w:pStyle w:val="Tekstprzypisudolnego"/>
        <w:rPr>
          <w:rFonts w:asciiTheme="minorHAnsi" w:hAnsiTheme="minorHAnsi"/>
          <w:sz w:val="18"/>
          <w:szCs w:val="18"/>
        </w:rPr>
      </w:pPr>
      <w:r w:rsidRPr="007207F7">
        <w:rPr>
          <w:rStyle w:val="Odwoanieprzypisudolnego"/>
          <w:rFonts w:asciiTheme="minorHAnsi" w:hAnsiTheme="minorHAnsi"/>
          <w:sz w:val="18"/>
          <w:szCs w:val="18"/>
        </w:rPr>
        <w:footnoteRef/>
      </w:r>
      <w:r w:rsidRPr="007207F7">
        <w:rPr>
          <w:rFonts w:asciiTheme="minorHAnsi" w:hAnsiTheme="minorHAnsi"/>
          <w:sz w:val="18"/>
          <w:szCs w:val="18"/>
        </w:rPr>
        <w:t xml:space="preserve"> </w:t>
      </w:r>
      <w:r>
        <w:rPr>
          <w:rFonts w:asciiTheme="minorHAnsi" w:hAnsiTheme="minorHAnsi"/>
          <w:sz w:val="18"/>
          <w:szCs w:val="18"/>
        </w:rPr>
        <w:t>Abu Zubaydah p. Polsce, par. 100</w:t>
      </w:r>
    </w:p>
  </w:footnote>
  <w:footnote w:id="114">
    <w:p w:rsidR="00B4606C" w:rsidRPr="007207F7" w:rsidRDefault="00B4606C">
      <w:pPr>
        <w:pStyle w:val="Tekstprzypisudolnego"/>
        <w:rPr>
          <w:rFonts w:asciiTheme="minorHAnsi" w:hAnsiTheme="minorHAnsi"/>
          <w:sz w:val="18"/>
          <w:szCs w:val="18"/>
        </w:rPr>
      </w:pPr>
      <w:r w:rsidRPr="007207F7">
        <w:rPr>
          <w:rStyle w:val="Odwoanieprzypisudolnego"/>
          <w:rFonts w:asciiTheme="minorHAnsi" w:hAnsiTheme="minorHAnsi"/>
          <w:sz w:val="18"/>
          <w:szCs w:val="18"/>
        </w:rPr>
        <w:footnoteRef/>
      </w:r>
      <w:r w:rsidRPr="007207F7">
        <w:rPr>
          <w:rFonts w:asciiTheme="minorHAnsi" w:hAnsiTheme="minorHAnsi"/>
          <w:sz w:val="18"/>
          <w:szCs w:val="18"/>
        </w:rPr>
        <w:t xml:space="preserve"> </w:t>
      </w:r>
      <w:r>
        <w:rPr>
          <w:rFonts w:asciiTheme="minorHAnsi" w:hAnsiTheme="minorHAnsi"/>
          <w:sz w:val="18"/>
          <w:szCs w:val="18"/>
        </w:rPr>
        <w:t>Ibid, para 552</w:t>
      </w:r>
    </w:p>
  </w:footnote>
  <w:footnote w:id="115">
    <w:p w:rsidR="00B4606C" w:rsidRPr="002B4ACD" w:rsidRDefault="00B4606C">
      <w:pPr>
        <w:pStyle w:val="Tekstprzypisudolnego"/>
        <w:rPr>
          <w:rFonts w:asciiTheme="minorHAnsi" w:hAnsiTheme="minorHAnsi"/>
          <w:sz w:val="18"/>
          <w:szCs w:val="18"/>
        </w:rPr>
      </w:pPr>
      <w:r w:rsidRPr="002B4ACD">
        <w:rPr>
          <w:rStyle w:val="Odwoanieprzypisudolnego"/>
          <w:rFonts w:asciiTheme="minorHAnsi" w:hAnsiTheme="minorHAnsi"/>
          <w:sz w:val="18"/>
          <w:szCs w:val="18"/>
        </w:rPr>
        <w:footnoteRef/>
      </w:r>
      <w:r w:rsidRPr="002B4ACD">
        <w:rPr>
          <w:rFonts w:asciiTheme="minorHAnsi" w:hAnsiTheme="minorHAnsi"/>
          <w:sz w:val="18"/>
          <w:szCs w:val="18"/>
        </w:rPr>
        <w:t xml:space="preserve"> </w:t>
      </w:r>
      <w:r w:rsidRPr="008E1F0F">
        <w:rPr>
          <w:rFonts w:asciiTheme="minorHAnsi" w:hAnsiTheme="minorHAnsi"/>
          <w:i/>
          <w:sz w:val="18"/>
          <w:szCs w:val="18"/>
        </w:rPr>
        <w:t>Abu Zubaydah p. Litwie,</w:t>
      </w:r>
      <w:r>
        <w:rPr>
          <w:rFonts w:asciiTheme="minorHAnsi" w:hAnsiTheme="minorHAnsi"/>
          <w:sz w:val="18"/>
          <w:szCs w:val="18"/>
        </w:rPr>
        <w:t xml:space="preserve"> par. 610</w:t>
      </w:r>
    </w:p>
  </w:footnote>
  <w:footnote w:id="116">
    <w:p w:rsidR="00B4606C" w:rsidRPr="002B4ACD" w:rsidRDefault="00B4606C">
      <w:pPr>
        <w:pStyle w:val="Tekstprzypisudolnego"/>
        <w:rPr>
          <w:rFonts w:asciiTheme="minorHAnsi" w:hAnsiTheme="minorHAnsi"/>
          <w:sz w:val="18"/>
          <w:szCs w:val="18"/>
        </w:rPr>
      </w:pPr>
      <w:r w:rsidRPr="002B4ACD">
        <w:rPr>
          <w:rStyle w:val="Odwoanieprzypisudolnego"/>
          <w:rFonts w:asciiTheme="minorHAnsi" w:hAnsiTheme="minorHAnsi"/>
          <w:sz w:val="18"/>
          <w:szCs w:val="18"/>
        </w:rPr>
        <w:footnoteRef/>
      </w:r>
      <w:r w:rsidRPr="002B4ACD">
        <w:rPr>
          <w:rFonts w:asciiTheme="minorHAnsi" w:hAnsiTheme="minorHAnsi"/>
          <w:sz w:val="18"/>
          <w:szCs w:val="18"/>
        </w:rPr>
        <w:t xml:space="preserve"> </w:t>
      </w:r>
      <w:r w:rsidRPr="008E1F0F">
        <w:rPr>
          <w:rFonts w:asciiTheme="minorHAnsi" w:hAnsiTheme="minorHAnsi"/>
          <w:i/>
          <w:sz w:val="18"/>
          <w:szCs w:val="18"/>
        </w:rPr>
        <w:t>Abu Zubaydah p. Polsce,</w:t>
      </w:r>
      <w:r>
        <w:rPr>
          <w:rFonts w:asciiTheme="minorHAnsi" w:hAnsiTheme="minorHAnsi"/>
          <w:sz w:val="18"/>
          <w:szCs w:val="18"/>
        </w:rPr>
        <w:t xml:space="preserve"> decyzja, 10 (a), str. 213; </w:t>
      </w:r>
      <w:r w:rsidRPr="008E1F0F">
        <w:rPr>
          <w:rFonts w:asciiTheme="minorHAnsi" w:hAnsiTheme="minorHAnsi"/>
          <w:i/>
          <w:sz w:val="18"/>
          <w:szCs w:val="18"/>
        </w:rPr>
        <w:t>Abu Zubaydah p. Liwtie</w:t>
      </w:r>
      <w:r>
        <w:rPr>
          <w:rFonts w:asciiTheme="minorHAnsi" w:hAnsiTheme="minorHAnsi"/>
          <w:sz w:val="18"/>
          <w:szCs w:val="18"/>
        </w:rPr>
        <w:t xml:space="preserve">, decyzja, 10 (a), str. 295 </w:t>
      </w:r>
    </w:p>
  </w:footnote>
  <w:footnote w:id="117">
    <w:p w:rsidR="00B4606C" w:rsidRPr="002B4ACD" w:rsidRDefault="00B4606C">
      <w:pPr>
        <w:pStyle w:val="Tekstprzypisudolnego"/>
        <w:rPr>
          <w:rFonts w:asciiTheme="minorHAnsi" w:hAnsiTheme="minorHAnsi"/>
          <w:sz w:val="18"/>
          <w:szCs w:val="18"/>
        </w:rPr>
      </w:pPr>
      <w:r w:rsidRPr="002B4ACD">
        <w:rPr>
          <w:rStyle w:val="Odwoanieprzypisudolnego"/>
          <w:rFonts w:asciiTheme="minorHAnsi" w:hAnsiTheme="minorHAnsi"/>
          <w:sz w:val="18"/>
          <w:szCs w:val="18"/>
        </w:rPr>
        <w:footnoteRef/>
      </w:r>
      <w:r w:rsidRPr="002B4ACD">
        <w:rPr>
          <w:rFonts w:asciiTheme="minorHAnsi" w:hAnsiTheme="minorHAnsi"/>
          <w:sz w:val="18"/>
          <w:szCs w:val="18"/>
        </w:rPr>
        <w:t xml:space="preserve"> </w:t>
      </w:r>
      <w:r w:rsidRPr="008E1F0F">
        <w:rPr>
          <w:rFonts w:asciiTheme="minorHAnsi" w:hAnsiTheme="minorHAnsi"/>
          <w:i/>
          <w:sz w:val="18"/>
          <w:szCs w:val="18"/>
        </w:rPr>
        <w:t>Abu Zubaydah p. Litwie,</w:t>
      </w:r>
      <w:r>
        <w:rPr>
          <w:rFonts w:asciiTheme="minorHAnsi" w:hAnsiTheme="minorHAnsi"/>
          <w:sz w:val="18"/>
          <w:szCs w:val="18"/>
        </w:rPr>
        <w:t xml:space="preserve"> par. 681</w:t>
      </w:r>
    </w:p>
  </w:footnote>
  <w:footnote w:id="118">
    <w:p w:rsidR="00B4606C" w:rsidRPr="002B4ACD" w:rsidRDefault="00B4606C">
      <w:pPr>
        <w:pStyle w:val="Tekstprzypisudolnego"/>
        <w:rPr>
          <w:rFonts w:asciiTheme="minorHAnsi" w:hAnsiTheme="minorHAnsi"/>
          <w:sz w:val="18"/>
          <w:szCs w:val="18"/>
        </w:rPr>
      </w:pPr>
      <w:r w:rsidRPr="002B4ACD">
        <w:rPr>
          <w:rStyle w:val="Odwoanieprzypisudolnego"/>
          <w:rFonts w:asciiTheme="minorHAnsi" w:hAnsiTheme="minorHAnsi"/>
          <w:sz w:val="18"/>
          <w:szCs w:val="18"/>
        </w:rPr>
        <w:footnoteRef/>
      </w:r>
      <w:r w:rsidRPr="002B4ACD">
        <w:rPr>
          <w:rFonts w:asciiTheme="minorHAnsi" w:hAnsiTheme="minorHAnsi"/>
          <w:sz w:val="18"/>
          <w:szCs w:val="18"/>
        </w:rPr>
        <w:t xml:space="preserve"> </w:t>
      </w:r>
      <w:r>
        <w:rPr>
          <w:rFonts w:asciiTheme="minorHAnsi" w:hAnsiTheme="minorHAnsi"/>
          <w:i/>
          <w:sz w:val="18"/>
          <w:szCs w:val="18"/>
        </w:rPr>
        <w:t xml:space="preserve">Abu Zubaydah p. Polsce, </w:t>
      </w:r>
      <w:r w:rsidRPr="008E1F0F">
        <w:rPr>
          <w:rFonts w:asciiTheme="minorHAnsi" w:hAnsiTheme="minorHAnsi"/>
          <w:sz w:val="18"/>
          <w:szCs w:val="18"/>
        </w:rPr>
        <w:t>par. 563(d)</w:t>
      </w:r>
    </w:p>
  </w:footnote>
  <w:footnote w:id="119">
    <w:p w:rsidR="00B4606C" w:rsidRPr="002B4ACD" w:rsidRDefault="00B4606C">
      <w:pPr>
        <w:pStyle w:val="Tekstprzypisudolnego"/>
        <w:rPr>
          <w:rFonts w:asciiTheme="minorHAnsi" w:hAnsiTheme="minorHAnsi"/>
          <w:sz w:val="18"/>
          <w:szCs w:val="18"/>
        </w:rPr>
      </w:pPr>
      <w:r w:rsidRPr="002B4ACD">
        <w:rPr>
          <w:rStyle w:val="Odwoanieprzypisudolnego"/>
          <w:rFonts w:asciiTheme="minorHAnsi" w:hAnsiTheme="minorHAnsi"/>
          <w:sz w:val="18"/>
          <w:szCs w:val="18"/>
        </w:rPr>
        <w:footnoteRef/>
      </w:r>
      <w:r w:rsidRPr="002B4ACD">
        <w:rPr>
          <w:rFonts w:asciiTheme="minorHAnsi" w:hAnsiTheme="minorHAnsi"/>
          <w:sz w:val="18"/>
          <w:szCs w:val="18"/>
        </w:rPr>
        <w:t xml:space="preserve"> </w:t>
      </w:r>
      <w:r w:rsidRPr="008E1F0F">
        <w:rPr>
          <w:rFonts w:asciiTheme="minorHAnsi" w:hAnsiTheme="minorHAnsi"/>
          <w:i/>
          <w:sz w:val="18"/>
          <w:szCs w:val="18"/>
        </w:rPr>
        <w:t>Abu Zubaydah p. Litwie,</w:t>
      </w:r>
      <w:r>
        <w:rPr>
          <w:rFonts w:asciiTheme="minorHAnsi" w:hAnsiTheme="minorHAnsi"/>
          <w:sz w:val="18"/>
          <w:szCs w:val="18"/>
        </w:rPr>
        <w:t xml:space="preserve"> par. 682, podobnie w </w:t>
      </w:r>
      <w:r>
        <w:rPr>
          <w:rFonts w:asciiTheme="minorHAnsi" w:hAnsiTheme="minorHAnsi"/>
          <w:i/>
          <w:sz w:val="18"/>
          <w:szCs w:val="18"/>
        </w:rPr>
        <w:t>Abu Zubaydah p. Polsce</w:t>
      </w:r>
      <w:r w:rsidRPr="008E1F0F">
        <w:rPr>
          <w:rFonts w:asciiTheme="minorHAnsi" w:hAnsiTheme="minorHAnsi"/>
          <w:i/>
          <w:sz w:val="18"/>
          <w:szCs w:val="18"/>
        </w:rPr>
        <w:t>,</w:t>
      </w:r>
      <w:r>
        <w:rPr>
          <w:rFonts w:asciiTheme="minorHAnsi" w:hAnsiTheme="minorHAnsi"/>
          <w:sz w:val="18"/>
          <w:szCs w:val="18"/>
        </w:rPr>
        <w:t xml:space="preserve"> par. 563 (a-b)</w:t>
      </w:r>
    </w:p>
  </w:footnote>
  <w:footnote w:id="120">
    <w:p w:rsidR="00B4606C" w:rsidRPr="002B4ACD" w:rsidRDefault="00B4606C">
      <w:pPr>
        <w:pStyle w:val="Tekstprzypisudolnego"/>
        <w:rPr>
          <w:rFonts w:asciiTheme="minorHAnsi" w:hAnsiTheme="minorHAnsi"/>
          <w:sz w:val="18"/>
          <w:szCs w:val="18"/>
        </w:rPr>
      </w:pPr>
      <w:r w:rsidRPr="002B4ACD">
        <w:rPr>
          <w:rStyle w:val="Odwoanieprzypisudolnego"/>
          <w:rFonts w:asciiTheme="minorHAnsi" w:hAnsiTheme="minorHAnsi"/>
          <w:sz w:val="18"/>
          <w:szCs w:val="18"/>
        </w:rPr>
        <w:footnoteRef/>
      </w:r>
      <w:r w:rsidRPr="002B4ACD">
        <w:rPr>
          <w:rFonts w:asciiTheme="minorHAnsi" w:hAnsiTheme="minorHAnsi"/>
          <w:sz w:val="18"/>
          <w:szCs w:val="18"/>
        </w:rPr>
        <w:t xml:space="preserve"> </w:t>
      </w:r>
      <w:r w:rsidRPr="008E1F0F">
        <w:rPr>
          <w:rFonts w:asciiTheme="minorHAnsi" w:hAnsiTheme="minorHAnsi"/>
          <w:i/>
          <w:sz w:val="18"/>
          <w:szCs w:val="18"/>
        </w:rPr>
        <w:t>Abu Zubaydah p. Litwie,</w:t>
      </w:r>
      <w:r>
        <w:rPr>
          <w:rFonts w:asciiTheme="minorHAnsi" w:hAnsiTheme="minorHAnsi"/>
          <w:sz w:val="18"/>
          <w:szCs w:val="18"/>
        </w:rPr>
        <w:t xml:space="preserve"> par. 683</w:t>
      </w:r>
    </w:p>
  </w:footnote>
  <w:footnote w:id="121">
    <w:p w:rsidR="00B4606C" w:rsidRPr="002B4ACD" w:rsidRDefault="00B4606C">
      <w:pPr>
        <w:pStyle w:val="Tekstprzypisudolnego"/>
        <w:rPr>
          <w:rFonts w:asciiTheme="minorHAnsi" w:hAnsiTheme="minorHAnsi"/>
          <w:sz w:val="18"/>
          <w:szCs w:val="18"/>
        </w:rPr>
      </w:pPr>
      <w:r w:rsidRPr="002B4ACD">
        <w:rPr>
          <w:rStyle w:val="Odwoanieprzypisudolnego"/>
          <w:rFonts w:asciiTheme="minorHAnsi" w:hAnsiTheme="minorHAnsi"/>
          <w:sz w:val="18"/>
          <w:szCs w:val="18"/>
        </w:rPr>
        <w:footnoteRef/>
      </w:r>
      <w:r w:rsidRPr="002B4ACD">
        <w:rPr>
          <w:rFonts w:asciiTheme="minorHAnsi" w:hAnsiTheme="minorHAnsi"/>
          <w:sz w:val="18"/>
          <w:szCs w:val="18"/>
        </w:rPr>
        <w:t xml:space="preserve"> </w:t>
      </w:r>
      <w:r>
        <w:rPr>
          <w:rFonts w:asciiTheme="minorHAnsi" w:hAnsiTheme="minorHAnsi"/>
          <w:i/>
          <w:sz w:val="18"/>
          <w:szCs w:val="18"/>
        </w:rPr>
        <w:t>Abu Zubaydah p. Polsce</w:t>
      </w:r>
      <w:r w:rsidRPr="008E1F0F">
        <w:rPr>
          <w:rFonts w:asciiTheme="minorHAnsi" w:hAnsiTheme="minorHAnsi"/>
          <w:i/>
          <w:sz w:val="18"/>
          <w:szCs w:val="18"/>
        </w:rPr>
        <w:t>,</w:t>
      </w:r>
      <w:r>
        <w:rPr>
          <w:rFonts w:asciiTheme="minorHAnsi" w:hAnsiTheme="minorHAnsi"/>
          <w:sz w:val="18"/>
          <w:szCs w:val="18"/>
        </w:rPr>
        <w:t xml:space="preserve"> par. 563 (c); </w:t>
      </w:r>
      <w:r w:rsidRPr="008E1F0F">
        <w:rPr>
          <w:rFonts w:asciiTheme="minorHAnsi" w:hAnsiTheme="minorHAnsi"/>
          <w:i/>
          <w:sz w:val="18"/>
          <w:szCs w:val="18"/>
        </w:rPr>
        <w:t>Abu Zubaydah p. Litwie,</w:t>
      </w:r>
      <w:r>
        <w:rPr>
          <w:rFonts w:asciiTheme="minorHAnsi" w:hAnsiTheme="minorHAnsi"/>
          <w:sz w:val="18"/>
          <w:szCs w:val="18"/>
        </w:rPr>
        <w:t xml:space="preserve"> par. 678 (c)</w:t>
      </w:r>
    </w:p>
  </w:footnote>
  <w:footnote w:id="122">
    <w:p w:rsidR="00B4606C" w:rsidRPr="008E1F0F" w:rsidRDefault="00B4606C">
      <w:pPr>
        <w:pStyle w:val="Tekstprzypisudolnego"/>
        <w:rPr>
          <w:rFonts w:asciiTheme="minorHAnsi" w:hAnsiTheme="minorHAnsi"/>
          <w:sz w:val="18"/>
          <w:szCs w:val="18"/>
        </w:rPr>
      </w:pPr>
      <w:r w:rsidRPr="008E1F0F">
        <w:rPr>
          <w:rStyle w:val="Odwoanieprzypisudolnego"/>
          <w:rFonts w:asciiTheme="minorHAnsi" w:hAnsiTheme="minorHAnsi"/>
          <w:sz w:val="18"/>
          <w:szCs w:val="18"/>
        </w:rPr>
        <w:footnoteRef/>
      </w:r>
      <w:r w:rsidRPr="008E1F0F">
        <w:rPr>
          <w:rFonts w:asciiTheme="minorHAnsi" w:hAnsiTheme="minorHAnsi"/>
          <w:sz w:val="18"/>
          <w:szCs w:val="18"/>
        </w:rPr>
        <w:t xml:space="preserve"> Ibid. Para. 563 i 678</w:t>
      </w:r>
    </w:p>
  </w:footnote>
  <w:footnote w:id="123">
    <w:p w:rsidR="00B4606C" w:rsidRPr="008E1F0F" w:rsidRDefault="00B4606C" w:rsidP="008E1F0F">
      <w:pPr>
        <w:pStyle w:val="Stopka1"/>
        <w:tabs>
          <w:tab w:val="left" w:pos="168"/>
        </w:tabs>
        <w:jc w:val="both"/>
        <w:rPr>
          <w:rFonts w:asciiTheme="minorHAnsi" w:hAnsiTheme="minorHAnsi"/>
          <w:sz w:val="18"/>
          <w:szCs w:val="18"/>
        </w:rPr>
      </w:pPr>
      <w:r w:rsidRPr="008E1F0F">
        <w:rPr>
          <w:rStyle w:val="Odwoanieprzypisudolnego"/>
          <w:rFonts w:asciiTheme="minorHAnsi" w:hAnsiTheme="minorHAnsi"/>
          <w:sz w:val="18"/>
          <w:szCs w:val="18"/>
        </w:rPr>
        <w:footnoteRef/>
      </w:r>
      <w:r w:rsidRPr="008E1F0F">
        <w:rPr>
          <w:rFonts w:asciiTheme="minorHAnsi" w:hAnsiTheme="minorHAnsi"/>
          <w:sz w:val="18"/>
          <w:szCs w:val="18"/>
        </w:rPr>
        <w:t xml:space="preserve"> Najnowszy litewski plan działań w związku z wykonaniem wyroku ETPCz został przedłożony Komitetowi w dniu 6</w:t>
      </w:r>
      <w:r>
        <w:t xml:space="preserve"> stycznia </w:t>
      </w:r>
      <w:r w:rsidRPr="008E1F0F">
        <w:rPr>
          <w:rFonts w:asciiTheme="minorHAnsi" w:hAnsiTheme="minorHAnsi"/>
          <w:sz w:val="18"/>
          <w:szCs w:val="18"/>
        </w:rPr>
        <w:t>2020 r. Poprzednio Litwa przedłożyła plany działań w dniach 9 kwietnia 2019 r. oraz 16 stycznia 2019 r. Polska przedłożyła plany działań w dniach 17 listopada 2015 r., 19 lutego 2015 r., 13 maja 2016 r., 20 października 2016 r., 23 marca 2017 r., 28 września 2017 r., 21 czerwca 2018 r. oraz 4 lutego 2020 r.</w:t>
      </w:r>
    </w:p>
  </w:footnote>
  <w:footnote w:id="124">
    <w:p w:rsidR="00B4606C" w:rsidRPr="008E1F0F" w:rsidRDefault="00B4606C">
      <w:pPr>
        <w:pStyle w:val="Tekstprzypisudolnego"/>
        <w:rPr>
          <w:rFonts w:asciiTheme="minorHAnsi" w:hAnsiTheme="minorHAnsi"/>
          <w:sz w:val="18"/>
          <w:szCs w:val="18"/>
        </w:rPr>
      </w:pPr>
      <w:r w:rsidRPr="008E1F0F">
        <w:rPr>
          <w:rStyle w:val="Odwoanieprzypisudolnego"/>
          <w:rFonts w:asciiTheme="minorHAnsi" w:hAnsiTheme="minorHAnsi"/>
          <w:sz w:val="18"/>
          <w:szCs w:val="18"/>
        </w:rPr>
        <w:footnoteRef/>
      </w:r>
      <w:r w:rsidRPr="008E1F0F">
        <w:rPr>
          <w:rFonts w:asciiTheme="minorHAnsi" w:hAnsiTheme="minorHAnsi"/>
          <w:sz w:val="18"/>
          <w:szCs w:val="18"/>
        </w:rPr>
        <w:t xml:space="preserve"> W sprawie </w:t>
      </w:r>
      <w:r w:rsidRPr="008E1F0F">
        <w:rPr>
          <w:rFonts w:asciiTheme="minorHAnsi" w:hAnsiTheme="minorHAnsi"/>
          <w:i/>
          <w:sz w:val="18"/>
          <w:szCs w:val="18"/>
        </w:rPr>
        <w:t>Abu Zubaydah p. Litwie.</w:t>
      </w:r>
    </w:p>
  </w:footnote>
  <w:footnote w:id="125">
    <w:p w:rsidR="00B4606C" w:rsidRPr="008E1F0F" w:rsidRDefault="00B4606C">
      <w:pPr>
        <w:pStyle w:val="Tekstprzypisudolnego"/>
        <w:rPr>
          <w:rFonts w:asciiTheme="minorHAnsi" w:hAnsiTheme="minorHAnsi"/>
          <w:sz w:val="18"/>
          <w:szCs w:val="18"/>
        </w:rPr>
      </w:pPr>
      <w:r w:rsidRPr="008E1F0F">
        <w:rPr>
          <w:rStyle w:val="Odwoanieprzypisudolnego"/>
          <w:rFonts w:asciiTheme="minorHAnsi" w:hAnsiTheme="minorHAnsi"/>
          <w:sz w:val="18"/>
          <w:szCs w:val="18"/>
        </w:rPr>
        <w:footnoteRef/>
      </w:r>
      <w:r w:rsidRPr="008E1F0F">
        <w:rPr>
          <w:rFonts w:asciiTheme="minorHAnsi" w:hAnsiTheme="minorHAnsi"/>
          <w:sz w:val="18"/>
          <w:szCs w:val="18"/>
        </w:rPr>
        <w:t xml:space="preserve"> Supra n. 1; par. 559.</w:t>
      </w:r>
    </w:p>
  </w:footnote>
  <w:footnote w:id="126">
    <w:p w:rsidR="00B4606C" w:rsidRPr="005024E6" w:rsidRDefault="00B4606C">
      <w:pPr>
        <w:pStyle w:val="Tekstprzypisudolnego"/>
        <w:rPr>
          <w:rFonts w:asciiTheme="minorHAnsi" w:hAnsiTheme="minorHAnsi"/>
          <w:sz w:val="18"/>
          <w:szCs w:val="18"/>
        </w:rPr>
      </w:pPr>
      <w:r w:rsidRPr="008E1F0F">
        <w:rPr>
          <w:rStyle w:val="Odwoanieprzypisudolnego"/>
          <w:rFonts w:asciiTheme="minorHAnsi" w:hAnsiTheme="minorHAnsi"/>
          <w:sz w:val="18"/>
          <w:szCs w:val="18"/>
        </w:rPr>
        <w:footnoteRef/>
      </w:r>
      <w:r w:rsidRPr="008E1F0F">
        <w:rPr>
          <w:rFonts w:asciiTheme="minorHAnsi" w:hAnsiTheme="minorHAnsi"/>
          <w:sz w:val="18"/>
          <w:szCs w:val="18"/>
        </w:rPr>
        <w:t xml:space="preserve"> 1331. posiedzenie, 4-6 grudnia 2018 r.</w:t>
      </w:r>
      <w:r>
        <w:rPr>
          <w:rFonts w:asciiTheme="minorHAnsi" w:hAnsiTheme="minorHAnsi"/>
          <w:sz w:val="18"/>
          <w:szCs w:val="18"/>
        </w:rPr>
        <w:t xml:space="preserve"> </w:t>
      </w:r>
      <w:r w:rsidRPr="008E1F0F">
        <w:rPr>
          <w:rFonts w:asciiTheme="minorHAnsi" w:hAnsiTheme="minorHAnsi"/>
          <w:sz w:val="18"/>
          <w:szCs w:val="18"/>
        </w:rPr>
        <w:t xml:space="preserve">(DH), H46-36 </w:t>
      </w:r>
      <w:r w:rsidRPr="008E1F0F">
        <w:rPr>
          <w:rFonts w:asciiTheme="minorHAnsi" w:hAnsiTheme="minorHAnsi"/>
          <w:i/>
          <w:sz w:val="18"/>
          <w:szCs w:val="18"/>
        </w:rPr>
        <w:t>Abu Zubaydah p. Litwie.</w:t>
      </w:r>
    </w:p>
  </w:footnote>
  <w:footnote w:id="127">
    <w:p w:rsidR="00B4606C" w:rsidRPr="00790C7F" w:rsidRDefault="00B4606C">
      <w:pPr>
        <w:pStyle w:val="Tekstprzypisudolnego"/>
        <w:rPr>
          <w:rFonts w:asciiTheme="minorHAnsi" w:hAnsiTheme="minorHAnsi"/>
          <w:sz w:val="18"/>
          <w:szCs w:val="18"/>
        </w:rPr>
      </w:pPr>
      <w:r w:rsidRPr="00790C7F">
        <w:rPr>
          <w:rStyle w:val="Odwoanieprzypisudolnego"/>
          <w:rFonts w:asciiTheme="minorHAnsi" w:hAnsiTheme="minorHAnsi"/>
          <w:sz w:val="18"/>
          <w:szCs w:val="18"/>
        </w:rPr>
        <w:footnoteRef/>
      </w:r>
      <w:r w:rsidRPr="00790C7F">
        <w:rPr>
          <w:rFonts w:asciiTheme="minorHAnsi" w:hAnsiTheme="minorHAnsi"/>
          <w:sz w:val="18"/>
          <w:szCs w:val="18"/>
        </w:rPr>
        <w:t xml:space="preserve"> </w:t>
      </w:r>
      <w:r w:rsidRPr="00790C7F">
        <w:rPr>
          <w:rFonts w:asciiTheme="minorHAnsi" w:hAnsiTheme="minorHAnsi"/>
          <w:color w:val="auto"/>
          <w:sz w:val="18"/>
          <w:szCs w:val="18"/>
        </w:rPr>
        <w:t xml:space="preserve">W sprawie </w:t>
      </w:r>
      <w:r w:rsidRPr="00790C7F">
        <w:rPr>
          <w:rFonts w:asciiTheme="minorHAnsi" w:hAnsiTheme="minorHAnsi"/>
          <w:i/>
          <w:color w:val="auto"/>
          <w:sz w:val="18"/>
          <w:szCs w:val="18"/>
        </w:rPr>
        <w:t>Abu Zubaydah p. Litwie.</w:t>
      </w:r>
    </w:p>
  </w:footnote>
  <w:footnote w:id="128">
    <w:p w:rsidR="00B4606C" w:rsidRPr="00790C7F" w:rsidRDefault="00B4606C" w:rsidP="00F66FA5">
      <w:pPr>
        <w:pStyle w:val="Tekstprzypisudolnego"/>
        <w:rPr>
          <w:rFonts w:asciiTheme="minorHAnsi" w:hAnsiTheme="minorHAnsi"/>
          <w:color w:val="auto"/>
          <w:sz w:val="18"/>
          <w:szCs w:val="18"/>
        </w:rPr>
      </w:pPr>
      <w:r w:rsidRPr="00790C7F">
        <w:rPr>
          <w:rStyle w:val="Odwoanieprzypisudolnego"/>
          <w:rFonts w:asciiTheme="minorHAnsi" w:hAnsiTheme="minorHAnsi"/>
          <w:color w:val="auto"/>
          <w:sz w:val="18"/>
          <w:szCs w:val="18"/>
        </w:rPr>
        <w:footnoteRef/>
      </w:r>
      <w:r w:rsidRPr="00790C7F">
        <w:rPr>
          <w:rFonts w:asciiTheme="minorHAnsi" w:hAnsiTheme="minorHAnsi"/>
          <w:color w:val="auto"/>
          <w:sz w:val="18"/>
          <w:szCs w:val="18"/>
        </w:rPr>
        <w:t xml:space="preserve"> 1369. posiedzenie, marzec 2020 r. (DH), zaktualizowany plan działań (24 stycznia 2020 r.) Litwy, zaktualizowany plan działań (3 lutego 2020 r.) Polski.</w:t>
      </w:r>
    </w:p>
  </w:footnote>
  <w:footnote w:id="129">
    <w:p w:rsidR="00B4606C" w:rsidRPr="00790C7F" w:rsidRDefault="00B4606C" w:rsidP="00F66FA5">
      <w:pPr>
        <w:pStyle w:val="Tekstprzypisudolnego"/>
        <w:rPr>
          <w:rFonts w:asciiTheme="minorHAnsi" w:hAnsiTheme="minorHAnsi"/>
          <w:color w:val="auto"/>
          <w:sz w:val="18"/>
          <w:szCs w:val="18"/>
        </w:rPr>
      </w:pPr>
      <w:r w:rsidRPr="00790C7F">
        <w:rPr>
          <w:rStyle w:val="Odwoanieprzypisudolnego"/>
          <w:rFonts w:asciiTheme="minorHAnsi" w:hAnsiTheme="minorHAnsi"/>
          <w:color w:val="auto"/>
          <w:sz w:val="18"/>
          <w:szCs w:val="18"/>
        </w:rPr>
        <w:footnoteRef/>
      </w:r>
      <w:r w:rsidRPr="00790C7F">
        <w:rPr>
          <w:rFonts w:asciiTheme="minorHAnsi" w:hAnsiTheme="minorHAnsi"/>
          <w:color w:val="auto"/>
          <w:sz w:val="18"/>
          <w:szCs w:val="18"/>
        </w:rPr>
        <w:t xml:space="preserve"> Sygn. akt: 1:08-cv-1360.</w:t>
      </w:r>
    </w:p>
  </w:footnote>
  <w:footnote w:id="130">
    <w:p w:rsidR="00B4606C" w:rsidRPr="00790C7F" w:rsidRDefault="00B4606C" w:rsidP="00F66FA5">
      <w:pPr>
        <w:pStyle w:val="Tekstprzypisudolnego"/>
        <w:rPr>
          <w:rFonts w:asciiTheme="minorHAnsi" w:hAnsiTheme="minorHAnsi"/>
          <w:color w:val="auto"/>
          <w:sz w:val="18"/>
          <w:szCs w:val="18"/>
        </w:rPr>
      </w:pPr>
      <w:r w:rsidRPr="00790C7F">
        <w:rPr>
          <w:rStyle w:val="Odwoanieprzypisudolnego"/>
          <w:rFonts w:asciiTheme="minorHAnsi" w:hAnsiTheme="minorHAnsi"/>
          <w:color w:val="auto"/>
          <w:sz w:val="18"/>
          <w:szCs w:val="18"/>
        </w:rPr>
        <w:footnoteRef/>
      </w:r>
      <w:r w:rsidRPr="00790C7F">
        <w:rPr>
          <w:rFonts w:asciiTheme="minorHAnsi" w:hAnsiTheme="minorHAnsi"/>
          <w:color w:val="auto"/>
          <w:sz w:val="18"/>
          <w:szCs w:val="18"/>
        </w:rPr>
        <w:t xml:space="preserve"> W dniu 5 października 2018 r. obrońca Abu Zubaydah w postępowaniu w przedmiocie bezprawnego pozbawienia wolności (habeas corpus) poczuł się zmuszony do podjęcia niecodziennego kroku, jakim było złożenie zawiadomienia „w celu wskazania Sądowi (...), że wszystkie złożone wnioski zostały prawidłowo sporządzone i oczekują na nadanie im dalszego biegu. Niektóre z nich zostały prawidłowo sporządzone już kilka lat temu”. Sygn. sprawy: 1:08-cv-1360, sygn. akt: 526.</w:t>
      </w:r>
    </w:p>
  </w:footnote>
  <w:footnote w:id="131">
    <w:p w:rsidR="00B4606C" w:rsidRPr="00790C7F" w:rsidRDefault="00B4606C" w:rsidP="00F66FA5">
      <w:pPr>
        <w:pStyle w:val="Tekstprzypisudolnego"/>
        <w:rPr>
          <w:rFonts w:asciiTheme="minorHAnsi" w:hAnsiTheme="minorHAnsi"/>
          <w:color w:val="auto"/>
          <w:sz w:val="18"/>
          <w:szCs w:val="18"/>
        </w:rPr>
      </w:pPr>
      <w:r w:rsidRPr="00790C7F">
        <w:rPr>
          <w:rStyle w:val="Odwoanieprzypisudolnego"/>
          <w:rFonts w:asciiTheme="minorHAnsi" w:hAnsiTheme="minorHAnsi"/>
          <w:color w:val="auto"/>
          <w:sz w:val="18"/>
          <w:szCs w:val="18"/>
        </w:rPr>
        <w:footnoteRef/>
      </w:r>
      <w:r w:rsidRPr="00790C7F">
        <w:rPr>
          <w:rFonts w:asciiTheme="minorHAnsi" w:hAnsiTheme="minorHAnsi"/>
          <w:color w:val="auto"/>
          <w:sz w:val="18"/>
          <w:szCs w:val="18"/>
        </w:rPr>
        <w:t xml:space="preserve"> 1324. posiedzenie (wrzesień 2018 r.) (DH); 1348. posiedzenie (czerwiec 2019 r.) (DH).</w:t>
      </w:r>
    </w:p>
  </w:footnote>
  <w:footnote w:id="132">
    <w:p w:rsidR="00B4606C" w:rsidRPr="005024E6" w:rsidRDefault="00B4606C" w:rsidP="00F66FA5">
      <w:pPr>
        <w:pStyle w:val="Tekstprzypisudolnego"/>
        <w:rPr>
          <w:rFonts w:asciiTheme="minorHAnsi" w:hAnsiTheme="minorHAnsi"/>
          <w:sz w:val="18"/>
          <w:szCs w:val="18"/>
        </w:rPr>
      </w:pPr>
      <w:r w:rsidRPr="00790C7F">
        <w:rPr>
          <w:rStyle w:val="Odwoanieprzypisudolnego"/>
          <w:rFonts w:asciiTheme="minorHAnsi" w:hAnsiTheme="minorHAnsi"/>
          <w:color w:val="auto"/>
          <w:sz w:val="18"/>
          <w:szCs w:val="18"/>
        </w:rPr>
        <w:footnoteRef/>
      </w:r>
      <w:r w:rsidRPr="00790C7F">
        <w:rPr>
          <w:rFonts w:asciiTheme="minorHAnsi" w:hAnsiTheme="minorHAnsi"/>
          <w:color w:val="auto"/>
          <w:sz w:val="18"/>
          <w:szCs w:val="18"/>
        </w:rPr>
        <w:t xml:space="preserve"> </w:t>
      </w:r>
      <w:r w:rsidRPr="00790C7F">
        <w:rPr>
          <w:rFonts w:asciiTheme="minorHAnsi" w:hAnsiTheme="minorHAnsi"/>
          <w:sz w:val="18"/>
          <w:szCs w:val="18"/>
        </w:rPr>
        <w:t>Rada Bezpieczeństwa ONZ ISIL i Komitet ds. Sankcji Al-Kaidy, „Załącznik – Podsumowanie analizy, obserwacji, argumentów i zaleceń przedstawionych w raporcie Rzecznika Praw Obywatelskich”, str. 6.</w:t>
      </w:r>
    </w:p>
  </w:footnote>
  <w:footnote w:id="133">
    <w:p w:rsidR="00B4606C" w:rsidRPr="005A23C9" w:rsidRDefault="00B4606C">
      <w:pPr>
        <w:pStyle w:val="Tekstprzypisudolnego"/>
        <w:rPr>
          <w:rFonts w:asciiTheme="minorHAnsi" w:hAnsiTheme="minorHAnsi"/>
          <w:sz w:val="18"/>
          <w:szCs w:val="18"/>
          <w:lang w:val="en-US"/>
        </w:rPr>
      </w:pPr>
      <w:r w:rsidRPr="005024E6">
        <w:rPr>
          <w:rStyle w:val="Odwoanieprzypisudolnego"/>
          <w:rFonts w:asciiTheme="minorHAnsi" w:hAnsiTheme="minorHAnsi"/>
          <w:sz w:val="18"/>
          <w:szCs w:val="18"/>
        </w:rPr>
        <w:footnoteRef/>
      </w:r>
      <w:r w:rsidRPr="005A23C9">
        <w:rPr>
          <w:rFonts w:asciiTheme="minorHAnsi" w:hAnsiTheme="minorHAnsi"/>
          <w:sz w:val="18"/>
          <w:szCs w:val="18"/>
          <w:lang w:val="en-US"/>
        </w:rPr>
        <w:t xml:space="preserve"> Ibid.</w:t>
      </w:r>
    </w:p>
  </w:footnote>
  <w:footnote w:id="134">
    <w:p w:rsidR="00B4606C" w:rsidRPr="00F66FA5" w:rsidRDefault="00B4606C" w:rsidP="00F66FA5">
      <w:pPr>
        <w:pStyle w:val="Tekstprzypisudolnego"/>
        <w:rPr>
          <w:rFonts w:asciiTheme="minorHAnsi" w:hAnsiTheme="minorHAnsi"/>
          <w:color w:val="auto"/>
          <w:sz w:val="18"/>
          <w:szCs w:val="18"/>
          <w:lang w:val="en-US"/>
        </w:rPr>
      </w:pPr>
      <w:r w:rsidRPr="00F66FA5">
        <w:rPr>
          <w:rStyle w:val="Odwoanieprzypisudolnego"/>
          <w:rFonts w:asciiTheme="minorHAnsi" w:hAnsiTheme="minorHAnsi"/>
          <w:color w:val="auto"/>
          <w:sz w:val="18"/>
          <w:szCs w:val="18"/>
        </w:rPr>
        <w:footnoteRef/>
      </w:r>
      <w:r w:rsidRPr="00F66FA5">
        <w:rPr>
          <w:rFonts w:asciiTheme="minorHAnsi" w:hAnsiTheme="minorHAnsi"/>
          <w:color w:val="auto"/>
          <w:sz w:val="18"/>
          <w:szCs w:val="18"/>
          <w:lang w:val="en-US"/>
        </w:rPr>
        <w:t xml:space="preserve"> IACHR, raport „Towards the closure of Guantanamo”, 3.06.2015, pkt 265, dostępny pod adresem:  http://www.oas.org/en/iachr/reports/pdfs/Towards-Closure-Guantanamo.pdf</w:t>
      </w:r>
    </w:p>
  </w:footnote>
  <w:footnote w:id="135">
    <w:p w:rsidR="00B4606C" w:rsidRPr="00F66FA5" w:rsidRDefault="00B4606C" w:rsidP="00F66FA5">
      <w:pPr>
        <w:pStyle w:val="Tekstprzypisudolnego"/>
        <w:rPr>
          <w:rFonts w:asciiTheme="minorHAnsi" w:hAnsiTheme="minorHAnsi"/>
          <w:color w:val="auto"/>
          <w:sz w:val="18"/>
          <w:szCs w:val="18"/>
          <w:lang w:val="en-US"/>
        </w:rPr>
      </w:pPr>
      <w:r w:rsidRPr="00F66FA5">
        <w:rPr>
          <w:rStyle w:val="Odwoanieprzypisudolnego"/>
          <w:rFonts w:asciiTheme="minorHAnsi" w:hAnsiTheme="minorHAnsi"/>
          <w:color w:val="auto"/>
          <w:sz w:val="18"/>
          <w:szCs w:val="18"/>
        </w:rPr>
        <w:footnoteRef/>
      </w:r>
      <w:r w:rsidRPr="00F66FA5">
        <w:rPr>
          <w:rFonts w:asciiTheme="minorHAnsi" w:hAnsiTheme="minorHAnsi"/>
          <w:color w:val="auto"/>
          <w:sz w:val="18"/>
          <w:szCs w:val="18"/>
          <w:lang w:val="en-US"/>
        </w:rPr>
        <w:t xml:space="preserve"> B. Farley, „Who Broke Periodic Review at Guantanamo Bay?,” https://www.lawfareblog.com/who-broke- periodic-review-guantanamo-bay#; zob. także raport organizacji Human Rights First pod adresem: https://www.humanrightsfirst.org/blog/guantanamo-periodic-review-board-hearings-fail-meaningfully-review- detention</w:t>
      </w:r>
    </w:p>
  </w:footnote>
  <w:footnote w:id="136">
    <w:p w:rsidR="00B4606C" w:rsidRPr="005A23C9" w:rsidRDefault="00B4606C" w:rsidP="00F66FA5">
      <w:pPr>
        <w:pStyle w:val="Tekstprzypisudolnego"/>
        <w:rPr>
          <w:rFonts w:asciiTheme="minorHAnsi" w:hAnsiTheme="minorHAnsi"/>
          <w:color w:val="auto"/>
          <w:sz w:val="18"/>
          <w:szCs w:val="18"/>
        </w:rPr>
      </w:pPr>
      <w:r w:rsidRPr="00F66FA5">
        <w:rPr>
          <w:rStyle w:val="Odwoanieprzypisudolnego"/>
          <w:rFonts w:asciiTheme="minorHAnsi" w:hAnsiTheme="minorHAnsi"/>
          <w:color w:val="auto"/>
          <w:sz w:val="18"/>
          <w:szCs w:val="18"/>
        </w:rPr>
        <w:footnoteRef/>
      </w:r>
      <w:r w:rsidRPr="005A23C9">
        <w:rPr>
          <w:rFonts w:asciiTheme="minorHAnsi" w:hAnsiTheme="minorHAnsi"/>
          <w:color w:val="auto"/>
          <w:sz w:val="18"/>
          <w:szCs w:val="18"/>
        </w:rPr>
        <w:t xml:space="preserve"> Raport organizacji Human Rights First z dnia 29 września 2019 r., ibid.</w:t>
      </w:r>
    </w:p>
  </w:footnote>
  <w:footnote w:id="137">
    <w:p w:rsidR="00B4606C" w:rsidRPr="00790C7F" w:rsidRDefault="00B4606C">
      <w:pPr>
        <w:pStyle w:val="Tekstprzypisudolnego"/>
        <w:rPr>
          <w:rFonts w:asciiTheme="minorHAnsi" w:hAnsiTheme="minorHAnsi"/>
          <w:sz w:val="18"/>
          <w:szCs w:val="18"/>
        </w:rPr>
      </w:pPr>
      <w:r w:rsidRPr="00790C7F">
        <w:rPr>
          <w:rStyle w:val="Odwoanieprzypisudolnego"/>
          <w:rFonts w:asciiTheme="minorHAnsi" w:hAnsiTheme="minorHAnsi"/>
          <w:sz w:val="18"/>
          <w:szCs w:val="18"/>
        </w:rPr>
        <w:footnoteRef/>
      </w:r>
      <w:r w:rsidRPr="00790C7F">
        <w:rPr>
          <w:rFonts w:asciiTheme="minorHAnsi" w:hAnsiTheme="minorHAnsi"/>
          <w:sz w:val="18"/>
          <w:szCs w:val="18"/>
        </w:rPr>
        <w:t xml:space="preserve"> Odpowiedź władz (07.03.2019 r.) w związku z komunikacją skarżącego w sprawie Husayn (Abu Zubaydah) (Al Nashiri Group) p</w:t>
      </w:r>
      <w:r>
        <w:rPr>
          <w:rFonts w:asciiTheme="minorHAnsi" w:hAnsiTheme="minorHAnsi"/>
          <w:sz w:val="18"/>
          <w:szCs w:val="18"/>
        </w:rPr>
        <w:t>.</w:t>
      </w:r>
      <w:r w:rsidRPr="00790C7F">
        <w:rPr>
          <w:rFonts w:asciiTheme="minorHAnsi" w:hAnsiTheme="minorHAnsi"/>
          <w:sz w:val="18"/>
          <w:szCs w:val="18"/>
        </w:rPr>
        <w:t xml:space="preserve"> Polsce (skarga nr 7511/13), dostępna pod adresem: https://hudoc.exec.coe.int/eng#{ "fulltext" :["zubaydah"],"EXECIdentifier" :["DH- DD(2019)297E"],"EXECDocumentTypeCollection":["obs"]}</w:t>
      </w:r>
    </w:p>
  </w:footnote>
  <w:footnote w:id="138">
    <w:p w:rsidR="00B4606C" w:rsidRPr="00790C7F" w:rsidRDefault="00B4606C" w:rsidP="00F66FA5">
      <w:pPr>
        <w:pStyle w:val="Tekstprzypisudolnego"/>
        <w:rPr>
          <w:rFonts w:asciiTheme="minorHAnsi" w:hAnsiTheme="minorHAnsi"/>
          <w:sz w:val="18"/>
          <w:szCs w:val="18"/>
        </w:rPr>
      </w:pPr>
      <w:r w:rsidRPr="00790C7F">
        <w:rPr>
          <w:rStyle w:val="Odwoanieprzypisudolnego"/>
          <w:rFonts w:asciiTheme="minorHAnsi" w:hAnsiTheme="minorHAnsi"/>
          <w:sz w:val="18"/>
          <w:szCs w:val="18"/>
        </w:rPr>
        <w:footnoteRef/>
      </w:r>
      <w:r w:rsidRPr="00790C7F">
        <w:rPr>
          <w:rFonts w:asciiTheme="minorHAnsi" w:hAnsiTheme="minorHAnsi"/>
          <w:sz w:val="18"/>
          <w:szCs w:val="18"/>
        </w:rPr>
        <w:t xml:space="preserve"> Ibid; Ministerstwo Spraw Zagranicznych RP, Raport z wykonania wyroków ETPCz w Polsce za rok 2018, s. 108–109, dostępny pod adresem: https://www.gov.pl/web/dyplomacja/raporty-roczne-rzadu-na-temat-wykonywania-orzeczen- etpc.</w:t>
      </w:r>
    </w:p>
  </w:footnote>
  <w:footnote w:id="139">
    <w:p w:rsidR="00B4606C" w:rsidRPr="00790C7F" w:rsidRDefault="00B4606C" w:rsidP="00F66FA5">
      <w:pPr>
        <w:pStyle w:val="Tekstprzypisudolnego"/>
        <w:rPr>
          <w:rFonts w:asciiTheme="minorHAnsi" w:hAnsiTheme="minorHAnsi"/>
          <w:sz w:val="18"/>
          <w:szCs w:val="18"/>
        </w:rPr>
      </w:pPr>
      <w:r w:rsidRPr="00790C7F">
        <w:rPr>
          <w:rStyle w:val="Odwoanieprzypisudolnego"/>
          <w:rFonts w:asciiTheme="minorHAnsi" w:hAnsiTheme="minorHAnsi"/>
          <w:sz w:val="18"/>
          <w:szCs w:val="18"/>
        </w:rPr>
        <w:footnoteRef/>
      </w:r>
      <w:r w:rsidRPr="00790C7F">
        <w:rPr>
          <w:rFonts w:asciiTheme="minorHAnsi" w:hAnsiTheme="minorHAnsi"/>
          <w:sz w:val="18"/>
          <w:szCs w:val="18"/>
        </w:rPr>
        <w:t xml:space="preserve"> Komunikat prasowy Rady Bezpieczeństwa ONZ - https://www.un.org/press/en/2017/sc13144.doc.htm.</w:t>
      </w:r>
    </w:p>
  </w:footnote>
  <w:footnote w:id="140">
    <w:p w:rsidR="00B4606C" w:rsidRDefault="00B4606C" w:rsidP="00F66FA5">
      <w:pPr>
        <w:pStyle w:val="Tekstprzypisudolnego"/>
      </w:pPr>
      <w:r w:rsidRPr="00790C7F">
        <w:rPr>
          <w:rStyle w:val="Odwoanieprzypisudolnego"/>
          <w:rFonts w:asciiTheme="minorHAnsi" w:hAnsiTheme="minorHAnsi"/>
          <w:sz w:val="18"/>
          <w:szCs w:val="18"/>
        </w:rPr>
        <w:footnoteRef/>
      </w:r>
      <w:r w:rsidRPr="00790C7F">
        <w:rPr>
          <w:rFonts w:asciiTheme="minorHAnsi" w:hAnsiTheme="minorHAnsi"/>
          <w:sz w:val="18"/>
          <w:szCs w:val="18"/>
        </w:rPr>
        <w:t xml:space="preserve"> Supra, n. 15.</w:t>
      </w:r>
    </w:p>
  </w:footnote>
  <w:footnote w:id="141">
    <w:p w:rsidR="00B4606C" w:rsidRPr="00F66FA5" w:rsidRDefault="00B4606C">
      <w:pPr>
        <w:pStyle w:val="Tekstprzypisudolnego"/>
        <w:rPr>
          <w:rFonts w:asciiTheme="minorHAnsi" w:hAnsiTheme="minorHAnsi"/>
          <w:sz w:val="18"/>
          <w:szCs w:val="18"/>
        </w:rPr>
      </w:pPr>
      <w:r w:rsidRPr="00F66FA5">
        <w:rPr>
          <w:rStyle w:val="Odwoanieprzypisudolnego"/>
          <w:rFonts w:asciiTheme="minorHAnsi" w:hAnsiTheme="minorHAnsi"/>
          <w:sz w:val="18"/>
          <w:szCs w:val="18"/>
        </w:rPr>
        <w:footnoteRef/>
      </w:r>
      <w:r w:rsidRPr="00F66FA5">
        <w:rPr>
          <w:rFonts w:asciiTheme="minorHAnsi" w:hAnsiTheme="minorHAnsi"/>
          <w:sz w:val="18"/>
          <w:szCs w:val="18"/>
        </w:rPr>
        <w:t xml:space="preserve"> Wiadomość elektroniczna od kancelarii notarialnej do kancelarii pełnomocnika procesowego z dnia 11 grudnia 2019 r.</w:t>
      </w:r>
    </w:p>
  </w:footnote>
  <w:footnote w:id="142">
    <w:p w:rsidR="00B4606C" w:rsidRPr="00F66FA5" w:rsidRDefault="00B4606C">
      <w:pPr>
        <w:pStyle w:val="Tekstprzypisudolnego"/>
        <w:rPr>
          <w:rFonts w:asciiTheme="minorHAnsi" w:hAnsiTheme="minorHAnsi"/>
          <w:sz w:val="18"/>
          <w:szCs w:val="18"/>
        </w:rPr>
      </w:pPr>
      <w:r w:rsidRPr="00F66FA5">
        <w:rPr>
          <w:rStyle w:val="Odwoanieprzypisudolnego"/>
          <w:rFonts w:asciiTheme="minorHAnsi" w:hAnsiTheme="minorHAnsi"/>
          <w:sz w:val="18"/>
          <w:szCs w:val="18"/>
        </w:rPr>
        <w:footnoteRef/>
      </w:r>
      <w:r w:rsidRPr="00F66FA5">
        <w:rPr>
          <w:rFonts w:asciiTheme="minorHAnsi" w:hAnsiTheme="minorHAnsi"/>
          <w:sz w:val="18"/>
          <w:szCs w:val="18"/>
        </w:rPr>
        <w:t xml:space="preserve"> </w:t>
      </w:r>
      <w:r w:rsidRPr="00F66FA5">
        <w:rPr>
          <w:rFonts w:asciiTheme="minorHAnsi" w:hAnsiTheme="minorHAnsi"/>
          <w:i/>
          <w:sz w:val="18"/>
          <w:szCs w:val="18"/>
        </w:rPr>
        <w:t>Abu Zubaydah p. Litwie,</w:t>
      </w:r>
      <w:r w:rsidRPr="00F66FA5">
        <w:rPr>
          <w:rFonts w:asciiTheme="minorHAnsi" w:hAnsiTheme="minorHAnsi"/>
          <w:sz w:val="18"/>
          <w:szCs w:val="18"/>
        </w:rPr>
        <w:t xml:space="preserve"> par. 90.</w:t>
      </w:r>
    </w:p>
  </w:footnote>
  <w:footnote w:id="143">
    <w:p w:rsidR="00B4606C" w:rsidRPr="00F66FA5" w:rsidRDefault="00B4606C">
      <w:pPr>
        <w:pStyle w:val="Tekstprzypisudolnego"/>
        <w:rPr>
          <w:rFonts w:asciiTheme="minorHAnsi" w:hAnsiTheme="minorHAnsi"/>
          <w:sz w:val="18"/>
          <w:szCs w:val="18"/>
        </w:rPr>
      </w:pPr>
      <w:r w:rsidRPr="00F66FA5">
        <w:rPr>
          <w:rStyle w:val="Odwoanieprzypisudolnego"/>
          <w:rFonts w:asciiTheme="minorHAnsi" w:hAnsiTheme="minorHAnsi"/>
          <w:sz w:val="18"/>
          <w:szCs w:val="18"/>
        </w:rPr>
        <w:footnoteRef/>
      </w:r>
      <w:r w:rsidRPr="00F66FA5">
        <w:rPr>
          <w:rFonts w:asciiTheme="minorHAnsi" w:hAnsiTheme="minorHAnsi"/>
          <w:sz w:val="18"/>
          <w:szCs w:val="18"/>
        </w:rPr>
        <w:t xml:space="preserve"> </w:t>
      </w:r>
      <w:r w:rsidRPr="00A41234">
        <w:rPr>
          <w:rFonts w:asciiTheme="minorHAnsi" w:hAnsiTheme="minorHAnsi"/>
          <w:sz w:val="18"/>
          <w:szCs w:val="18"/>
        </w:rPr>
        <w:t>Wiadomość elektroniczna od kancelarii notarialnej do kancelarii pełnomocnika procesowego z dnia 11 grudnia 2019 r.</w:t>
      </w:r>
    </w:p>
  </w:footnote>
  <w:footnote w:id="144">
    <w:p w:rsidR="00B4606C" w:rsidRPr="00F66FA5" w:rsidRDefault="00B4606C">
      <w:pPr>
        <w:pStyle w:val="Tekstprzypisudolnego"/>
        <w:rPr>
          <w:rFonts w:asciiTheme="minorHAnsi" w:hAnsiTheme="minorHAnsi"/>
          <w:sz w:val="18"/>
          <w:szCs w:val="18"/>
        </w:rPr>
      </w:pPr>
      <w:r w:rsidRPr="00F66FA5">
        <w:rPr>
          <w:rStyle w:val="Odwoanieprzypisudolnego"/>
          <w:rFonts w:asciiTheme="minorHAnsi" w:hAnsiTheme="minorHAnsi"/>
          <w:sz w:val="18"/>
          <w:szCs w:val="18"/>
        </w:rPr>
        <w:footnoteRef/>
      </w:r>
      <w:r w:rsidRPr="00F66FA5">
        <w:rPr>
          <w:rFonts w:asciiTheme="minorHAnsi" w:hAnsiTheme="minorHAnsi"/>
          <w:sz w:val="18"/>
          <w:szCs w:val="18"/>
        </w:rPr>
        <w:t xml:space="preserve"> </w:t>
      </w:r>
      <w:r>
        <w:rPr>
          <w:rFonts w:asciiTheme="minorHAnsi" w:hAnsiTheme="minorHAnsi"/>
          <w:sz w:val="18"/>
          <w:szCs w:val="18"/>
        </w:rPr>
        <w:t>Ibid.</w:t>
      </w:r>
    </w:p>
  </w:footnote>
  <w:footnote w:id="145">
    <w:p w:rsidR="00B4606C" w:rsidRPr="00790C7F" w:rsidRDefault="00B4606C">
      <w:pPr>
        <w:pStyle w:val="Tekstprzypisudolnego"/>
        <w:rPr>
          <w:rFonts w:asciiTheme="minorHAnsi" w:hAnsiTheme="minorHAnsi"/>
          <w:sz w:val="18"/>
          <w:szCs w:val="18"/>
        </w:rPr>
      </w:pPr>
      <w:r w:rsidRPr="00790C7F">
        <w:rPr>
          <w:rStyle w:val="Odwoanieprzypisudolnego"/>
          <w:rFonts w:asciiTheme="minorHAnsi" w:hAnsiTheme="minorHAnsi"/>
          <w:sz w:val="18"/>
          <w:szCs w:val="18"/>
        </w:rPr>
        <w:footnoteRef/>
      </w:r>
      <w:r w:rsidRPr="00790C7F">
        <w:rPr>
          <w:rFonts w:asciiTheme="minorHAnsi" w:hAnsiTheme="minorHAnsi"/>
          <w:sz w:val="18"/>
          <w:szCs w:val="18"/>
        </w:rPr>
        <w:t xml:space="preserve"> Raport Ministerstwa Sprawiedliwości po spotkaniu z Komitetem w sprawie postępów w wykonywaniu decyzji w sprawie więzień CIA, dostępny pod adresem: https://tm.lrv.lt/lt/naujienos/et-ministru-komitetas-uzbaige-bylos-pries-lietuva-vykdymo-prieziura</w:t>
      </w:r>
    </w:p>
  </w:footnote>
  <w:footnote w:id="146">
    <w:p w:rsidR="00B4606C" w:rsidRPr="00790C7F" w:rsidRDefault="00B4606C">
      <w:pPr>
        <w:pStyle w:val="Tekstprzypisudolnego"/>
        <w:rPr>
          <w:rFonts w:asciiTheme="minorHAnsi" w:hAnsiTheme="minorHAnsi"/>
          <w:sz w:val="18"/>
          <w:szCs w:val="18"/>
        </w:rPr>
      </w:pPr>
      <w:r w:rsidRPr="00790C7F">
        <w:rPr>
          <w:rStyle w:val="Odwoanieprzypisudolnego"/>
          <w:rFonts w:asciiTheme="minorHAnsi" w:hAnsiTheme="minorHAnsi"/>
          <w:sz w:val="18"/>
          <w:szCs w:val="18"/>
        </w:rPr>
        <w:footnoteRef/>
      </w:r>
      <w:r w:rsidRPr="00790C7F">
        <w:rPr>
          <w:rFonts w:asciiTheme="minorHAnsi" w:hAnsiTheme="minorHAnsi"/>
          <w:sz w:val="18"/>
          <w:szCs w:val="18"/>
        </w:rPr>
        <w:t xml:space="preserve"> 1324. posiedzenie (wrzesień 2018 r.) (DH), Plan działań (21.06.2018 r.) – Komunikacja Polski dotycząca sprawy </w:t>
      </w:r>
      <w:r w:rsidRPr="00790C7F">
        <w:rPr>
          <w:rFonts w:asciiTheme="minorHAnsi" w:hAnsiTheme="minorHAnsi"/>
          <w:i/>
          <w:sz w:val="18"/>
          <w:szCs w:val="18"/>
        </w:rPr>
        <w:t>AL NASHIRI p. Polsce</w:t>
      </w:r>
      <w:r w:rsidRPr="00790C7F">
        <w:rPr>
          <w:rFonts w:asciiTheme="minorHAnsi" w:hAnsiTheme="minorHAnsi"/>
          <w:sz w:val="18"/>
          <w:szCs w:val="18"/>
        </w:rPr>
        <w:t xml:space="preserve"> (skarga nr 28761/11), Zaktualizowany plan działań 3 lutego 2020 r.</w:t>
      </w:r>
    </w:p>
  </w:footnote>
  <w:footnote w:id="147">
    <w:p w:rsidR="00B4606C" w:rsidRPr="00790C7F" w:rsidRDefault="00B4606C">
      <w:pPr>
        <w:pStyle w:val="Tekstprzypisudolnego"/>
        <w:rPr>
          <w:rFonts w:asciiTheme="minorHAnsi" w:hAnsiTheme="minorHAnsi"/>
          <w:sz w:val="18"/>
          <w:szCs w:val="18"/>
        </w:rPr>
      </w:pPr>
      <w:r w:rsidRPr="00790C7F">
        <w:rPr>
          <w:rStyle w:val="Odwoanieprzypisudolnego"/>
          <w:rFonts w:asciiTheme="minorHAnsi" w:hAnsiTheme="minorHAnsi"/>
          <w:sz w:val="18"/>
          <w:szCs w:val="18"/>
        </w:rPr>
        <w:footnoteRef/>
      </w:r>
      <w:r w:rsidRPr="00790C7F">
        <w:rPr>
          <w:rFonts w:asciiTheme="minorHAnsi" w:hAnsiTheme="minorHAnsi"/>
          <w:sz w:val="18"/>
          <w:szCs w:val="18"/>
        </w:rPr>
        <w:t xml:space="preserve"> Supra n. 26, s. 85</w:t>
      </w:r>
    </w:p>
  </w:footnote>
  <w:footnote w:id="148">
    <w:p w:rsidR="00B4606C" w:rsidRPr="001318EE" w:rsidRDefault="00B4606C">
      <w:pPr>
        <w:pStyle w:val="Tekstprzypisudolnego"/>
        <w:rPr>
          <w:rFonts w:asciiTheme="minorHAnsi" w:hAnsiTheme="minorHAnsi"/>
          <w:sz w:val="18"/>
          <w:szCs w:val="18"/>
        </w:rPr>
      </w:pPr>
      <w:r w:rsidRPr="00790C7F">
        <w:rPr>
          <w:rStyle w:val="Odwoanieprzypisudolnego"/>
          <w:rFonts w:asciiTheme="minorHAnsi" w:hAnsiTheme="minorHAnsi"/>
          <w:sz w:val="18"/>
          <w:szCs w:val="18"/>
        </w:rPr>
        <w:footnoteRef/>
      </w:r>
      <w:r w:rsidRPr="00790C7F">
        <w:rPr>
          <w:rFonts w:asciiTheme="minorHAnsi" w:hAnsiTheme="minorHAnsi"/>
          <w:sz w:val="18"/>
          <w:szCs w:val="18"/>
        </w:rPr>
        <w:t xml:space="preserve"> 1369. Posiedzenie, marzec 2020 (DH)</w:t>
      </w:r>
    </w:p>
  </w:footnote>
  <w:footnote w:id="149">
    <w:p w:rsidR="00B4606C" w:rsidRPr="00A41234" w:rsidRDefault="00B4606C" w:rsidP="00A41234">
      <w:pPr>
        <w:pStyle w:val="Tekstprzypisudolnego"/>
        <w:rPr>
          <w:rFonts w:asciiTheme="minorHAnsi" w:hAnsiTheme="minorHAnsi"/>
          <w:sz w:val="18"/>
          <w:szCs w:val="18"/>
        </w:rPr>
      </w:pPr>
      <w:r w:rsidRPr="001318EE">
        <w:rPr>
          <w:rStyle w:val="Odwoanieprzypisudolnego"/>
          <w:rFonts w:asciiTheme="minorHAnsi" w:hAnsiTheme="minorHAnsi"/>
          <w:sz w:val="18"/>
          <w:szCs w:val="18"/>
        </w:rPr>
        <w:footnoteRef/>
      </w:r>
      <w:r w:rsidRPr="001318EE">
        <w:rPr>
          <w:rFonts w:asciiTheme="minorHAnsi" w:hAnsiTheme="minorHAnsi"/>
          <w:sz w:val="18"/>
          <w:szCs w:val="18"/>
        </w:rPr>
        <w:t xml:space="preserve"> </w:t>
      </w:r>
      <w:r w:rsidRPr="00A41234">
        <w:rPr>
          <w:rFonts w:asciiTheme="minorHAnsi" w:hAnsiTheme="minorHAnsi"/>
          <w:sz w:val="18"/>
          <w:szCs w:val="18"/>
        </w:rPr>
        <w:t>Ibid. Władze amerykańskie wyjaśniły m.in., że:</w:t>
      </w:r>
    </w:p>
    <w:p w:rsidR="00B4606C" w:rsidRPr="00A41234" w:rsidRDefault="00B4606C" w:rsidP="00987EB2">
      <w:pPr>
        <w:pStyle w:val="Tekstprzypisudolnego"/>
        <w:numPr>
          <w:ilvl w:val="0"/>
          <w:numId w:val="61"/>
        </w:numPr>
        <w:rPr>
          <w:rFonts w:asciiTheme="minorHAnsi" w:hAnsiTheme="minorHAnsi"/>
          <w:sz w:val="18"/>
          <w:szCs w:val="18"/>
        </w:rPr>
      </w:pPr>
      <w:r w:rsidRPr="00A41234">
        <w:rPr>
          <w:rFonts w:asciiTheme="minorHAnsi" w:hAnsiTheme="minorHAnsi"/>
          <w:sz w:val="18"/>
          <w:szCs w:val="18"/>
        </w:rPr>
        <w:t>Europejska Konwencja Praw Człowieka nie odzwierciedla zobowiązań, jakie prawo międzynarodowe nakłada na Stany Zjednoczone.</w:t>
      </w:r>
    </w:p>
    <w:p w:rsidR="00B4606C" w:rsidRPr="00A41234" w:rsidRDefault="00B4606C" w:rsidP="00987EB2">
      <w:pPr>
        <w:pStyle w:val="Tekstprzypisudolnego"/>
        <w:numPr>
          <w:ilvl w:val="0"/>
          <w:numId w:val="61"/>
        </w:numPr>
        <w:rPr>
          <w:rFonts w:asciiTheme="minorHAnsi" w:hAnsiTheme="minorHAnsi"/>
          <w:sz w:val="18"/>
          <w:szCs w:val="18"/>
        </w:rPr>
      </w:pPr>
      <w:r w:rsidRPr="00A41234">
        <w:rPr>
          <w:rFonts w:asciiTheme="minorHAnsi" w:hAnsiTheme="minorHAnsi"/>
          <w:sz w:val="18"/>
          <w:szCs w:val="18"/>
        </w:rPr>
        <w:t>W ocenie rządu USA komisje wojskowe są organami właściwymi do rozpoznawania spraw osadzonych w Zatoce Guantanamo, a postępowanie przed tymi komisjami obejmuje fundamentalne gwarancje proceduralne wymagane przez art. 3 i art. 15 Konwencji przeciwko torturom oraz II Protokołu do Konwencji genewskiej z 1949 r., a nawet wykraczają poza nie.</w:t>
      </w:r>
    </w:p>
    <w:p w:rsidR="00B4606C" w:rsidRPr="00A41234" w:rsidRDefault="00B4606C" w:rsidP="00987EB2">
      <w:pPr>
        <w:pStyle w:val="Tekstprzypisudolnego"/>
        <w:numPr>
          <w:ilvl w:val="0"/>
          <w:numId w:val="61"/>
        </w:numPr>
        <w:rPr>
          <w:rFonts w:asciiTheme="minorHAnsi" w:hAnsiTheme="minorHAnsi"/>
          <w:sz w:val="18"/>
          <w:szCs w:val="18"/>
        </w:rPr>
      </w:pPr>
      <w:r w:rsidRPr="00A41234">
        <w:rPr>
          <w:rFonts w:asciiTheme="minorHAnsi" w:hAnsiTheme="minorHAnsi"/>
          <w:sz w:val="18"/>
          <w:szCs w:val="18"/>
        </w:rPr>
        <w:t>„na podstawie prawa wojennego Stany Zjednoczone są uprawnione do zatrzymywania osób będących członkami Al-Kaidy, Talibanu lub powiązanych z nimi sił do czasu zakończenia działań wojennych”.</w:t>
      </w:r>
    </w:p>
    <w:p w:rsidR="00B4606C" w:rsidRPr="001318EE" w:rsidRDefault="00B4606C" w:rsidP="00987EB2">
      <w:pPr>
        <w:pStyle w:val="Tekstprzypisudolnego"/>
        <w:numPr>
          <w:ilvl w:val="0"/>
          <w:numId w:val="61"/>
        </w:numPr>
        <w:rPr>
          <w:rFonts w:asciiTheme="minorHAnsi" w:hAnsiTheme="minorHAnsi"/>
          <w:sz w:val="18"/>
          <w:szCs w:val="18"/>
        </w:rPr>
      </w:pPr>
      <w:r w:rsidRPr="00A41234">
        <w:rPr>
          <w:rFonts w:asciiTheme="minorHAnsi" w:hAnsiTheme="minorHAnsi"/>
          <w:sz w:val="18"/>
          <w:szCs w:val="18"/>
        </w:rPr>
        <w:t>osoby pozbawione wolności mają prawo do podważania legalności ich osadzenia przed sądem amerykańskim poprzez wniosek o wydanie nakazu zwolnienia (habeas corpus) (mimo że po 18 latach arbitralnego przetrzymywania i 12 latach od czasu, gdy „prawo” to zostało usankcjonowane przez sądy amerykańskie, nadal nie wydano takiego rozstrzygnięcia).</w:t>
      </w:r>
    </w:p>
  </w:footnote>
  <w:footnote w:id="150">
    <w:p w:rsidR="00B4606C" w:rsidRPr="00790C7F" w:rsidRDefault="00B4606C">
      <w:pPr>
        <w:pStyle w:val="Tekstprzypisudolnego"/>
        <w:rPr>
          <w:rFonts w:asciiTheme="minorHAnsi" w:hAnsiTheme="minorHAnsi"/>
          <w:color w:val="auto"/>
          <w:sz w:val="18"/>
          <w:szCs w:val="18"/>
        </w:rPr>
      </w:pPr>
      <w:r w:rsidRPr="00790C7F">
        <w:rPr>
          <w:rStyle w:val="Odwoanieprzypisudolnego"/>
          <w:rFonts w:asciiTheme="minorHAnsi" w:hAnsiTheme="minorHAnsi"/>
          <w:color w:val="auto"/>
          <w:sz w:val="18"/>
          <w:szCs w:val="18"/>
        </w:rPr>
        <w:footnoteRef/>
      </w:r>
      <w:r w:rsidRPr="00790C7F">
        <w:rPr>
          <w:rFonts w:asciiTheme="minorHAnsi" w:hAnsiTheme="minorHAnsi"/>
          <w:color w:val="auto"/>
          <w:sz w:val="18"/>
          <w:szCs w:val="18"/>
        </w:rPr>
        <w:t xml:space="preserve"> 1348. posiedzenie, 4-6 czerwca 2019 r. (DH)</w:t>
      </w:r>
    </w:p>
  </w:footnote>
  <w:footnote w:id="151">
    <w:p w:rsidR="00B4606C" w:rsidRPr="00790C7F" w:rsidRDefault="00B4606C" w:rsidP="00F66FA5">
      <w:pPr>
        <w:pStyle w:val="Tekstprzypisudolnego"/>
        <w:rPr>
          <w:rFonts w:asciiTheme="minorHAnsi" w:hAnsiTheme="minorHAnsi"/>
          <w:color w:val="auto"/>
          <w:sz w:val="18"/>
          <w:szCs w:val="18"/>
        </w:rPr>
      </w:pPr>
      <w:r w:rsidRPr="00790C7F">
        <w:rPr>
          <w:rStyle w:val="Odwoanieprzypisudolnego"/>
          <w:rFonts w:asciiTheme="minorHAnsi" w:hAnsiTheme="minorHAnsi"/>
          <w:color w:val="auto"/>
          <w:sz w:val="18"/>
          <w:szCs w:val="18"/>
        </w:rPr>
        <w:footnoteRef/>
      </w:r>
      <w:r w:rsidRPr="00790C7F">
        <w:rPr>
          <w:rFonts w:asciiTheme="minorHAnsi" w:hAnsiTheme="minorHAnsi"/>
          <w:color w:val="auto"/>
          <w:sz w:val="18"/>
          <w:szCs w:val="18"/>
        </w:rPr>
        <w:t xml:space="preserve"> Zaktualizowany plan działań z dnia 3 lutego 2020 r.</w:t>
      </w:r>
    </w:p>
  </w:footnote>
  <w:footnote w:id="152">
    <w:p w:rsidR="00B4606C" w:rsidRPr="00790C7F" w:rsidRDefault="00B4606C">
      <w:pPr>
        <w:pStyle w:val="Tekstprzypisudolnego"/>
        <w:rPr>
          <w:rFonts w:asciiTheme="minorHAnsi" w:hAnsiTheme="minorHAnsi"/>
          <w:color w:val="auto"/>
          <w:sz w:val="18"/>
          <w:szCs w:val="18"/>
        </w:rPr>
      </w:pPr>
      <w:r w:rsidRPr="00790C7F">
        <w:rPr>
          <w:rStyle w:val="Odwoanieprzypisudolnego"/>
          <w:rFonts w:asciiTheme="minorHAnsi" w:hAnsiTheme="minorHAnsi"/>
          <w:color w:val="auto"/>
          <w:sz w:val="18"/>
          <w:szCs w:val="18"/>
        </w:rPr>
        <w:footnoteRef/>
      </w:r>
      <w:r w:rsidRPr="00790C7F">
        <w:rPr>
          <w:rFonts w:asciiTheme="minorHAnsi" w:hAnsiTheme="minorHAnsi"/>
          <w:color w:val="auto"/>
          <w:sz w:val="18"/>
          <w:szCs w:val="18"/>
        </w:rPr>
        <w:t xml:space="preserve"> Supra n. 26, s. 102, zaktualizowany plan działań z dnia 3 lutego 2020 r.</w:t>
      </w:r>
    </w:p>
  </w:footnote>
  <w:footnote w:id="153">
    <w:p w:rsidR="00B4606C" w:rsidRDefault="00B4606C">
      <w:pPr>
        <w:pStyle w:val="Tekstprzypisudolnego"/>
      </w:pPr>
      <w:r w:rsidRPr="00790C7F">
        <w:rPr>
          <w:rStyle w:val="Odwoanieprzypisudolnego"/>
          <w:rFonts w:asciiTheme="minorHAnsi" w:hAnsiTheme="minorHAnsi"/>
          <w:color w:val="auto"/>
          <w:sz w:val="18"/>
          <w:szCs w:val="18"/>
        </w:rPr>
        <w:footnoteRef/>
      </w:r>
      <w:r w:rsidRPr="00790C7F">
        <w:rPr>
          <w:rFonts w:asciiTheme="minorHAnsi" w:hAnsiTheme="minorHAnsi"/>
          <w:color w:val="auto"/>
          <w:sz w:val="18"/>
          <w:szCs w:val="18"/>
        </w:rPr>
        <w:t xml:space="preserve"> Supra n. 34, s. 23</w:t>
      </w:r>
    </w:p>
  </w:footnote>
  <w:footnote w:id="154">
    <w:p w:rsidR="00B4606C" w:rsidRPr="00790C7F" w:rsidRDefault="00B4606C">
      <w:pPr>
        <w:pStyle w:val="Tekstprzypisudolnego"/>
        <w:rPr>
          <w:rFonts w:asciiTheme="minorHAnsi" w:hAnsiTheme="minorHAnsi"/>
          <w:color w:val="auto"/>
          <w:sz w:val="18"/>
          <w:szCs w:val="18"/>
        </w:rPr>
      </w:pPr>
      <w:r w:rsidRPr="00790C7F">
        <w:rPr>
          <w:rStyle w:val="Odwoanieprzypisudolnego"/>
          <w:rFonts w:asciiTheme="minorHAnsi" w:hAnsiTheme="minorHAnsi"/>
          <w:color w:val="auto"/>
          <w:sz w:val="18"/>
          <w:szCs w:val="18"/>
        </w:rPr>
        <w:footnoteRef/>
      </w:r>
      <w:r w:rsidRPr="00790C7F">
        <w:rPr>
          <w:rFonts w:asciiTheme="minorHAnsi" w:hAnsiTheme="minorHAnsi"/>
          <w:color w:val="auto"/>
          <w:sz w:val="18"/>
          <w:szCs w:val="18"/>
        </w:rPr>
        <w:t xml:space="preserve"> Supra n. 26, s. 101</w:t>
      </w:r>
    </w:p>
  </w:footnote>
  <w:footnote w:id="155">
    <w:p w:rsidR="00B4606C" w:rsidRPr="003A2BBC" w:rsidRDefault="00B4606C">
      <w:pPr>
        <w:pStyle w:val="Tekstprzypisudolnego"/>
        <w:rPr>
          <w:rFonts w:asciiTheme="minorHAnsi" w:hAnsiTheme="minorHAnsi"/>
          <w:sz w:val="18"/>
          <w:szCs w:val="18"/>
        </w:rPr>
      </w:pPr>
      <w:r w:rsidRPr="00790C7F">
        <w:rPr>
          <w:rStyle w:val="Odwoanieprzypisudolnego"/>
          <w:rFonts w:asciiTheme="minorHAnsi" w:hAnsiTheme="minorHAnsi"/>
          <w:color w:val="auto"/>
          <w:sz w:val="18"/>
          <w:szCs w:val="18"/>
        </w:rPr>
        <w:footnoteRef/>
      </w:r>
      <w:r w:rsidRPr="00790C7F">
        <w:rPr>
          <w:rFonts w:asciiTheme="minorHAnsi" w:hAnsiTheme="minorHAnsi"/>
          <w:color w:val="auto"/>
          <w:sz w:val="18"/>
          <w:szCs w:val="18"/>
        </w:rPr>
        <w:t xml:space="preserve"> Supra n. 34, s. 25</w:t>
      </w:r>
    </w:p>
  </w:footnote>
  <w:footnote w:id="156">
    <w:p w:rsidR="00B4606C" w:rsidRPr="003A2BBC" w:rsidRDefault="00B4606C">
      <w:pPr>
        <w:pStyle w:val="Tekstprzypisudolnego"/>
        <w:rPr>
          <w:rFonts w:asciiTheme="minorHAnsi" w:hAnsiTheme="minorHAnsi"/>
          <w:sz w:val="18"/>
          <w:szCs w:val="18"/>
        </w:rPr>
      </w:pPr>
      <w:r w:rsidRPr="003A2BBC">
        <w:rPr>
          <w:rStyle w:val="Odwoanieprzypisudolnego"/>
          <w:rFonts w:asciiTheme="minorHAnsi" w:hAnsiTheme="minorHAnsi"/>
          <w:sz w:val="18"/>
          <w:szCs w:val="18"/>
        </w:rPr>
        <w:footnoteRef/>
      </w:r>
      <w:r w:rsidRPr="003A2BBC">
        <w:rPr>
          <w:rFonts w:asciiTheme="minorHAnsi" w:hAnsiTheme="minorHAnsi"/>
          <w:sz w:val="18"/>
          <w:szCs w:val="18"/>
        </w:rPr>
        <w:t xml:space="preserve"> </w:t>
      </w:r>
      <w:r w:rsidRPr="00C64435">
        <w:rPr>
          <w:rFonts w:asciiTheme="minorHAnsi" w:hAnsiTheme="minorHAnsi"/>
          <w:sz w:val="18"/>
          <w:szCs w:val="18"/>
        </w:rPr>
        <w:t>https://www.npr.org/2020/01/22/798561799/architect-of-cias-torture-program-says-it-went-too-far.</w:t>
      </w:r>
    </w:p>
  </w:footnote>
  <w:footnote w:id="157">
    <w:p w:rsidR="00B4606C" w:rsidRPr="003A2BBC" w:rsidRDefault="00B4606C">
      <w:pPr>
        <w:pStyle w:val="Tekstprzypisudolnego"/>
        <w:rPr>
          <w:rFonts w:asciiTheme="minorHAnsi" w:hAnsiTheme="minorHAnsi"/>
          <w:sz w:val="18"/>
          <w:szCs w:val="18"/>
        </w:rPr>
      </w:pPr>
      <w:r w:rsidRPr="003A2BBC">
        <w:rPr>
          <w:rStyle w:val="Odwoanieprzypisudolnego"/>
          <w:rFonts w:asciiTheme="minorHAnsi" w:hAnsiTheme="minorHAnsi"/>
          <w:sz w:val="18"/>
          <w:szCs w:val="18"/>
        </w:rPr>
        <w:footnoteRef/>
      </w:r>
      <w:r w:rsidRPr="003A2BBC">
        <w:rPr>
          <w:rFonts w:asciiTheme="minorHAnsi" w:hAnsiTheme="minorHAnsi"/>
          <w:sz w:val="18"/>
          <w:szCs w:val="18"/>
        </w:rPr>
        <w:t xml:space="preserve"> </w:t>
      </w:r>
      <w:r w:rsidRPr="00C64435">
        <w:rPr>
          <w:rFonts w:asciiTheme="minorHAnsi" w:hAnsiTheme="minorHAnsi"/>
          <w:sz w:val="18"/>
          <w:szCs w:val="18"/>
        </w:rPr>
        <w:t>Strona internetowa MTK „Prokurator Międzynarodowego Trybunału Karnego Fatou Bensouda zwraca się do sądu o zgodę na wszczęcie śledztwa w sprawie sytuacji w Islamskiej Republice Afganistanu” ,https://www.icc-cpi.int//Pages/item.aspx?name=171120-otp-stat-afgh.</w:t>
      </w:r>
    </w:p>
  </w:footnote>
  <w:footnote w:id="158">
    <w:p w:rsidR="00B4606C" w:rsidRPr="003A2BBC" w:rsidRDefault="00B4606C">
      <w:pPr>
        <w:pStyle w:val="Tekstprzypisudolnego"/>
        <w:rPr>
          <w:rFonts w:asciiTheme="minorHAnsi" w:hAnsiTheme="minorHAnsi"/>
          <w:sz w:val="18"/>
          <w:szCs w:val="18"/>
        </w:rPr>
      </w:pPr>
      <w:r w:rsidRPr="003A2BBC">
        <w:rPr>
          <w:rStyle w:val="Odwoanieprzypisudolnego"/>
          <w:rFonts w:asciiTheme="minorHAnsi" w:hAnsiTheme="minorHAnsi"/>
          <w:sz w:val="18"/>
          <w:szCs w:val="18"/>
        </w:rPr>
        <w:footnoteRef/>
      </w:r>
      <w:r w:rsidRPr="003A2BBC">
        <w:rPr>
          <w:rFonts w:asciiTheme="minorHAnsi" w:hAnsiTheme="minorHAnsi"/>
          <w:sz w:val="18"/>
          <w:szCs w:val="18"/>
        </w:rPr>
        <w:t xml:space="preserve"> </w:t>
      </w:r>
      <w:r w:rsidRPr="00C64435">
        <w:rPr>
          <w:rFonts w:asciiTheme="minorHAnsi" w:hAnsiTheme="minorHAnsi"/>
          <w:sz w:val="18"/>
          <w:szCs w:val="18"/>
        </w:rPr>
        <w:t>Zob. np. Plan strategiczny prokuratora MTK za 2019 r., cel 6, dotyczący wspierania krajowych wysiłków na rzecz odpowiedzialności.</w:t>
      </w:r>
    </w:p>
  </w:footnote>
  <w:footnote w:id="159">
    <w:p w:rsidR="00B4606C" w:rsidRPr="003A2BBC" w:rsidRDefault="00B4606C">
      <w:pPr>
        <w:pStyle w:val="Tekstprzypisudolnego"/>
        <w:rPr>
          <w:rFonts w:asciiTheme="minorHAnsi" w:hAnsiTheme="minorHAnsi"/>
          <w:sz w:val="18"/>
          <w:szCs w:val="18"/>
        </w:rPr>
      </w:pPr>
      <w:r w:rsidRPr="003A2BBC">
        <w:rPr>
          <w:rStyle w:val="Odwoanieprzypisudolnego"/>
          <w:rFonts w:asciiTheme="minorHAnsi" w:hAnsiTheme="minorHAnsi"/>
          <w:sz w:val="18"/>
          <w:szCs w:val="18"/>
        </w:rPr>
        <w:footnoteRef/>
      </w:r>
      <w:r w:rsidRPr="003A2BBC">
        <w:rPr>
          <w:rFonts w:asciiTheme="minorHAnsi" w:hAnsiTheme="minorHAnsi"/>
          <w:sz w:val="18"/>
          <w:szCs w:val="18"/>
        </w:rPr>
        <w:t xml:space="preserve"> </w:t>
      </w:r>
      <w:r w:rsidRPr="00C64435">
        <w:rPr>
          <w:rFonts w:asciiTheme="minorHAnsi" w:hAnsiTheme="minorHAnsi"/>
          <w:sz w:val="18"/>
          <w:szCs w:val="18"/>
        </w:rPr>
        <w:t xml:space="preserve">Supra n. 34, s. 25, zaktualizowany plan działań </w:t>
      </w:r>
      <w:r>
        <w:rPr>
          <w:rFonts w:asciiTheme="minorHAnsi" w:hAnsiTheme="minorHAnsi"/>
          <w:sz w:val="18"/>
          <w:szCs w:val="18"/>
        </w:rPr>
        <w:t xml:space="preserve">z dnia </w:t>
      </w:r>
      <w:r w:rsidRPr="00C64435">
        <w:rPr>
          <w:rFonts w:asciiTheme="minorHAnsi" w:hAnsiTheme="minorHAnsi"/>
          <w:sz w:val="18"/>
          <w:szCs w:val="18"/>
        </w:rPr>
        <w:t>3 lutego 2020 r., s. 9</w:t>
      </w:r>
    </w:p>
  </w:footnote>
  <w:footnote w:id="160">
    <w:p w:rsidR="00B4606C" w:rsidRPr="003A2BBC" w:rsidRDefault="00B4606C">
      <w:pPr>
        <w:pStyle w:val="Tekstprzypisudolnego"/>
        <w:rPr>
          <w:rFonts w:asciiTheme="minorHAnsi" w:hAnsiTheme="minorHAnsi"/>
          <w:sz w:val="18"/>
          <w:szCs w:val="18"/>
        </w:rPr>
      </w:pPr>
      <w:r w:rsidRPr="003A2BBC">
        <w:rPr>
          <w:rStyle w:val="Odwoanieprzypisudolnego"/>
          <w:rFonts w:asciiTheme="minorHAnsi" w:hAnsiTheme="minorHAnsi"/>
          <w:sz w:val="18"/>
          <w:szCs w:val="18"/>
        </w:rPr>
        <w:footnoteRef/>
      </w:r>
      <w:r>
        <w:rPr>
          <w:rFonts w:asciiTheme="minorHAnsi" w:hAnsiTheme="minorHAnsi"/>
          <w:sz w:val="18"/>
          <w:szCs w:val="18"/>
        </w:rPr>
        <w:t xml:space="preserve"> </w:t>
      </w:r>
      <w:r w:rsidRPr="003A2BBC">
        <w:rPr>
          <w:rFonts w:asciiTheme="minorHAnsi" w:hAnsiTheme="minorHAnsi"/>
          <w:sz w:val="18"/>
          <w:szCs w:val="18"/>
        </w:rPr>
        <w:t xml:space="preserve"> </w:t>
      </w:r>
      <w:r w:rsidRPr="00920B50">
        <w:rPr>
          <w:rFonts w:asciiTheme="minorHAnsi" w:hAnsiTheme="minorHAnsi"/>
          <w:sz w:val="18"/>
          <w:szCs w:val="18"/>
        </w:rPr>
        <w:t>Husayn przeciwko Stanom Zjednoczonym, nr 18-35218 (sąd dla 9. Okręgu, 2019), streszczenie sprawy dostępne jest pod adresem: https://cases.justia.com/federal/appellate-courts/ca9/18-35218/18-35218-2019-09-18.pdf?ts=1568826120 Informacje podstawowe: Pan Zubaydah i jego amerykański obrońca złożyli jednostronny wniosek o ujawnienie informacji zgodnie z sekcją 28, § 1782, amerykańskich przepisów federalnych, i wnieśli o wezwanie Jamesa Mitchella i Johna Jessena do złożenia zeznań na potrzeby śledztwa prowadzonego w Polsce. Sąd amerykański początkowo uwzględnił wniosek o ujawnienie informacji, ale później uchylił wezwania po tym, jak rząd USA powołał się na tajemnicę państwową. Wniesiony w sprawie środek odwoławczy został uwzględniony. Trybunał po raz pierwszy stwierdził, że traktowanie naszego klienta było równoznaczne z „torturami”. Stwierdził również, że „sąd pierwszej instancji popełnił błąd, uchylając wezwania zamiast podjąć próbę oddzielenia informacji jawnych od informacji niejawnych”, s. 5. W najnowszym polskim planie działań, s. 6-7, rząd przyznaje, że jest świadomy tej decyzji</w:t>
      </w:r>
    </w:p>
  </w:footnote>
  <w:footnote w:id="161">
    <w:p w:rsidR="00B4606C" w:rsidRPr="003A2BBC" w:rsidRDefault="00B4606C">
      <w:pPr>
        <w:pStyle w:val="Tekstprzypisudolnego"/>
        <w:rPr>
          <w:rFonts w:asciiTheme="minorHAnsi" w:hAnsiTheme="minorHAnsi"/>
          <w:sz w:val="18"/>
          <w:szCs w:val="18"/>
        </w:rPr>
      </w:pPr>
      <w:r w:rsidRPr="003A2BBC">
        <w:rPr>
          <w:rStyle w:val="Odwoanieprzypisudolnego"/>
          <w:rFonts w:asciiTheme="minorHAnsi" w:hAnsiTheme="minorHAnsi"/>
          <w:sz w:val="18"/>
          <w:szCs w:val="18"/>
        </w:rPr>
        <w:footnoteRef/>
      </w:r>
      <w:r w:rsidRPr="003A2BBC">
        <w:rPr>
          <w:rFonts w:asciiTheme="minorHAnsi" w:hAnsiTheme="minorHAnsi"/>
          <w:sz w:val="18"/>
          <w:szCs w:val="18"/>
        </w:rPr>
        <w:t xml:space="preserve"> </w:t>
      </w:r>
      <w:r w:rsidRPr="00920B50">
        <w:rPr>
          <w:rFonts w:asciiTheme="minorHAnsi" w:hAnsiTheme="minorHAnsi"/>
          <w:sz w:val="18"/>
          <w:szCs w:val="18"/>
        </w:rPr>
        <w:t>Komunikacja Sekretariatu, 1348. posiedzenie Komitetu Ministrów (czerwiec 2019 r.) (DH).</w:t>
      </w:r>
    </w:p>
  </w:footnote>
  <w:footnote w:id="162">
    <w:p w:rsidR="00B4606C" w:rsidRPr="00790C7F" w:rsidRDefault="00B4606C">
      <w:pPr>
        <w:pStyle w:val="Tekstprzypisudolnego"/>
        <w:rPr>
          <w:rFonts w:asciiTheme="minorHAnsi" w:hAnsiTheme="minorHAnsi"/>
          <w:sz w:val="18"/>
          <w:szCs w:val="18"/>
        </w:rPr>
      </w:pPr>
      <w:r w:rsidRPr="00790C7F">
        <w:rPr>
          <w:rStyle w:val="Odwoanieprzypisudolnego"/>
          <w:rFonts w:asciiTheme="minorHAnsi" w:hAnsiTheme="minorHAnsi"/>
          <w:sz w:val="18"/>
          <w:szCs w:val="18"/>
        </w:rPr>
        <w:footnoteRef/>
      </w:r>
      <w:r w:rsidRPr="00790C7F">
        <w:rPr>
          <w:rFonts w:asciiTheme="minorHAnsi" w:hAnsiTheme="minorHAnsi"/>
          <w:sz w:val="18"/>
          <w:szCs w:val="18"/>
        </w:rPr>
        <w:t xml:space="preserve"> Supra n. 26, s. 107.</w:t>
      </w:r>
    </w:p>
  </w:footnote>
  <w:footnote w:id="163">
    <w:p w:rsidR="00B4606C" w:rsidRPr="00790C7F" w:rsidRDefault="00B4606C">
      <w:pPr>
        <w:pStyle w:val="Tekstprzypisudolnego"/>
        <w:rPr>
          <w:rFonts w:asciiTheme="minorHAnsi" w:hAnsiTheme="minorHAnsi"/>
          <w:sz w:val="18"/>
          <w:szCs w:val="18"/>
        </w:rPr>
      </w:pPr>
      <w:r w:rsidRPr="00790C7F">
        <w:rPr>
          <w:rStyle w:val="Odwoanieprzypisudolnego"/>
          <w:rFonts w:asciiTheme="minorHAnsi" w:hAnsiTheme="minorHAnsi"/>
          <w:sz w:val="18"/>
          <w:szCs w:val="18"/>
        </w:rPr>
        <w:footnoteRef/>
      </w:r>
      <w:r w:rsidRPr="00790C7F">
        <w:rPr>
          <w:rFonts w:asciiTheme="minorHAnsi" w:hAnsiTheme="minorHAnsi"/>
          <w:sz w:val="18"/>
          <w:szCs w:val="18"/>
        </w:rPr>
        <w:t xml:space="preserve"> Raport Helsińskiej Fundacji Praw Człowieka dotyczący wykonywania wyroków ETPCz w Polsce „Wyrok w Strasburgu to nie koniec!”, Warszawa listopad 2019 r., s. 16, dostępny pod adresem: http://www.hfhr.pl/wp- content/uploads/2019/11/Wykonywanie-wyroków-ETPC-2019-FIN-web.pdf</w:t>
      </w:r>
    </w:p>
  </w:footnote>
  <w:footnote w:id="164">
    <w:p w:rsidR="00B4606C" w:rsidRPr="00790C7F" w:rsidRDefault="00B4606C">
      <w:pPr>
        <w:pStyle w:val="Tekstprzypisudolnego"/>
        <w:rPr>
          <w:rFonts w:asciiTheme="minorHAnsi" w:hAnsiTheme="minorHAnsi"/>
          <w:sz w:val="18"/>
          <w:szCs w:val="18"/>
        </w:rPr>
      </w:pPr>
      <w:r w:rsidRPr="00790C7F">
        <w:rPr>
          <w:rStyle w:val="Odwoanieprzypisudolnego"/>
          <w:rFonts w:asciiTheme="minorHAnsi" w:hAnsiTheme="minorHAnsi"/>
          <w:sz w:val="18"/>
          <w:szCs w:val="18"/>
        </w:rPr>
        <w:footnoteRef/>
      </w:r>
      <w:r w:rsidRPr="00790C7F">
        <w:rPr>
          <w:rFonts w:asciiTheme="minorHAnsi" w:hAnsiTheme="minorHAnsi"/>
          <w:sz w:val="18"/>
          <w:szCs w:val="18"/>
        </w:rPr>
        <w:t xml:space="preserve"> 1348. posiedzenie, 4-6 czerwca 2019 r. (DH).</w:t>
      </w:r>
    </w:p>
  </w:footnote>
  <w:footnote w:id="165">
    <w:p w:rsidR="00B4606C" w:rsidRDefault="00B4606C">
      <w:pPr>
        <w:pStyle w:val="Tekstprzypisudolnego"/>
      </w:pPr>
      <w:r w:rsidRPr="00790C7F">
        <w:rPr>
          <w:rStyle w:val="Odwoanieprzypisudolnego"/>
          <w:rFonts w:asciiTheme="minorHAnsi" w:hAnsiTheme="minorHAnsi"/>
          <w:sz w:val="18"/>
          <w:szCs w:val="18"/>
        </w:rPr>
        <w:footnoteRef/>
      </w:r>
      <w:r w:rsidRPr="00790C7F">
        <w:rPr>
          <w:rFonts w:asciiTheme="minorHAnsi" w:hAnsiTheme="minorHAnsi"/>
          <w:sz w:val="18"/>
          <w:szCs w:val="18"/>
        </w:rPr>
        <w:t xml:space="preserve"> Supra n. 33.</w:t>
      </w:r>
      <w:r>
        <w:t xml:space="preserve"> </w:t>
      </w:r>
    </w:p>
  </w:footnote>
  <w:footnote w:id="166">
    <w:p w:rsidR="00B4606C" w:rsidRPr="00920B50" w:rsidRDefault="00B4606C" w:rsidP="00920B50">
      <w:pPr>
        <w:pStyle w:val="Tekstprzypisudolnego"/>
        <w:rPr>
          <w:rFonts w:asciiTheme="minorHAnsi" w:hAnsiTheme="minorHAnsi"/>
          <w:color w:val="auto"/>
          <w:sz w:val="18"/>
          <w:szCs w:val="18"/>
        </w:rPr>
      </w:pPr>
      <w:r w:rsidRPr="00920B50">
        <w:rPr>
          <w:rStyle w:val="Odwoanieprzypisudolnego"/>
          <w:rFonts w:asciiTheme="minorHAnsi" w:hAnsiTheme="minorHAnsi"/>
          <w:color w:val="auto"/>
          <w:sz w:val="18"/>
          <w:szCs w:val="18"/>
        </w:rPr>
        <w:footnoteRef/>
      </w:r>
      <w:r w:rsidRPr="00920B50">
        <w:rPr>
          <w:rFonts w:asciiTheme="minorHAnsi" w:hAnsiTheme="minorHAnsi"/>
          <w:color w:val="auto"/>
          <w:sz w:val="18"/>
          <w:szCs w:val="18"/>
        </w:rPr>
        <w:t xml:space="preserve"> Stwierdza się w nim, że władze USA nie są w stanie przekazać wnioskowanych danych ani udzielić odpowiedzi na pytania litewskich prokuratorów; wewnętrzne śledztwo jest w toku, tekst dostępny tutaj: https://www.prokuraturos.lt/lt/naujienos/ikiteisminiai-tyrimai-ir-viesoio-intereso-gynimas/tyrime-del-speiamo-neteiseto-zmoniu-gabenimo-per-valstybes-siena-gautas-atsakymas-is-jav/6098</w:t>
      </w:r>
    </w:p>
  </w:footnote>
  <w:footnote w:id="167">
    <w:p w:rsidR="00B4606C" w:rsidRDefault="00B4606C" w:rsidP="00920B50">
      <w:pPr>
        <w:pStyle w:val="Tekstprzypisudolnego"/>
      </w:pPr>
      <w:r w:rsidRPr="00920B50">
        <w:rPr>
          <w:rStyle w:val="Odwoanieprzypisudolnego"/>
          <w:rFonts w:asciiTheme="minorHAnsi" w:hAnsiTheme="minorHAnsi"/>
          <w:color w:val="auto"/>
          <w:sz w:val="18"/>
          <w:szCs w:val="18"/>
        </w:rPr>
        <w:footnoteRef/>
      </w:r>
      <w:r w:rsidRPr="00920B50">
        <w:rPr>
          <w:rFonts w:asciiTheme="minorHAnsi" w:hAnsiTheme="minorHAnsi"/>
          <w:color w:val="auto"/>
          <w:sz w:val="18"/>
          <w:szCs w:val="18"/>
        </w:rPr>
        <w:t xml:space="preserve"> Litwa odłożyła kwotę 130 000 EUR na wypłatę na rzecz więźnia CIA, śledztwo w sprawie przekwalifikowania, wniosek o gwarancje USA, dostępne tutaj: https://www.15min.lt/naujiena/aktualu/lietuva/lietuva-atidejo-100-tukst-euru-czv-kaliniui-perkvalifikavo-tyrima-praso-jav-garantiju-56-1088562 ; plan działań z czerwca 2019 r., część dotycząca śledztwa krajowego.</w:t>
      </w:r>
    </w:p>
  </w:footnote>
  <w:footnote w:id="168">
    <w:p w:rsidR="00B4606C" w:rsidRPr="00920B50" w:rsidRDefault="00B4606C">
      <w:pPr>
        <w:pStyle w:val="Tekstprzypisudolnego"/>
        <w:rPr>
          <w:rFonts w:asciiTheme="minorHAnsi" w:hAnsiTheme="minorHAnsi"/>
          <w:sz w:val="18"/>
          <w:szCs w:val="18"/>
        </w:rPr>
      </w:pPr>
      <w:r w:rsidRPr="00920B50">
        <w:rPr>
          <w:rStyle w:val="Odwoanieprzypisudolnego"/>
          <w:rFonts w:asciiTheme="minorHAnsi" w:hAnsiTheme="minorHAnsi"/>
          <w:sz w:val="18"/>
          <w:szCs w:val="18"/>
        </w:rPr>
        <w:footnoteRef/>
      </w:r>
      <w:r w:rsidRPr="00920B50">
        <w:rPr>
          <w:rFonts w:asciiTheme="minorHAnsi" w:hAnsiTheme="minorHAnsi"/>
          <w:sz w:val="18"/>
          <w:szCs w:val="18"/>
        </w:rPr>
        <w:t xml:space="preserve"> ETPCz uznał, że Litwa naruszyła cztery artykuły Konwencji w sprawie CIA dotyczącej osoby potajemnie zatrzymanej, tekst dostępny tutaj: http://lrv-atstovas-eztt.lt/naujienos/lietuva-pripazinta-pazeidusia-konvencijos-reikalavimus-byloje-del-czv-slaptai-ikalinto-asmens</w:t>
      </w:r>
    </w:p>
  </w:footnote>
  <w:footnote w:id="169">
    <w:p w:rsidR="00B4606C" w:rsidRPr="00790C7F" w:rsidRDefault="00B4606C">
      <w:pPr>
        <w:pStyle w:val="Tekstprzypisudolnego"/>
        <w:rPr>
          <w:rFonts w:asciiTheme="minorHAnsi" w:hAnsiTheme="minorHAnsi"/>
          <w:color w:val="auto"/>
          <w:sz w:val="18"/>
          <w:szCs w:val="18"/>
        </w:rPr>
      </w:pPr>
      <w:r w:rsidRPr="00790C7F">
        <w:rPr>
          <w:rStyle w:val="Odwoanieprzypisudolnego"/>
          <w:rFonts w:asciiTheme="minorHAnsi" w:hAnsiTheme="minorHAnsi"/>
          <w:color w:val="auto"/>
          <w:sz w:val="18"/>
          <w:szCs w:val="18"/>
        </w:rPr>
        <w:footnoteRef/>
      </w:r>
      <w:r w:rsidRPr="00790C7F">
        <w:rPr>
          <w:rFonts w:asciiTheme="minorHAnsi" w:hAnsiTheme="minorHAnsi"/>
          <w:color w:val="auto"/>
          <w:sz w:val="18"/>
          <w:szCs w:val="18"/>
        </w:rPr>
        <w:t xml:space="preserve"> Donald Tusk, premier w latach 2007-2014, wypowiedział się krytycznie na ten temat: „Niech nie będzie co do tego wątpliwości ani w Polsce, ani po drugiej stronie oceanu” – powiedział ostro. „Polska nie będzie już krajem, w którym politycy, nawet jeśli współpracują z największym mocarstwem świata, mogliby gdzieś pod stołem zawrzeć jakiś układ, a potem nigdy nie ujrzałby on światła dziennego” – powiedział w nawiązaniu do toczącego się śledztwa, które ma zapewnić, że „nic takiego w Polsce już się nie wydarzy”. https://www.rt.com/news/poland-cia-secret-prison-968/</w:t>
      </w:r>
    </w:p>
  </w:footnote>
  <w:footnote w:id="170">
    <w:p w:rsidR="00B4606C" w:rsidRPr="00790C7F" w:rsidRDefault="00B4606C" w:rsidP="00920B50">
      <w:pPr>
        <w:pStyle w:val="Tekstprzypisudolnego"/>
        <w:rPr>
          <w:rFonts w:asciiTheme="minorHAnsi" w:hAnsiTheme="minorHAnsi"/>
          <w:color w:val="auto"/>
          <w:sz w:val="18"/>
          <w:szCs w:val="18"/>
        </w:rPr>
      </w:pPr>
      <w:r w:rsidRPr="00790C7F">
        <w:rPr>
          <w:rStyle w:val="Odwoanieprzypisudolnego"/>
          <w:rFonts w:asciiTheme="minorHAnsi" w:hAnsiTheme="minorHAnsi"/>
          <w:color w:val="auto"/>
          <w:sz w:val="18"/>
          <w:szCs w:val="18"/>
        </w:rPr>
        <w:footnoteRef/>
      </w:r>
      <w:r w:rsidRPr="00790C7F">
        <w:rPr>
          <w:rFonts w:asciiTheme="minorHAnsi" w:hAnsiTheme="minorHAnsi"/>
          <w:color w:val="auto"/>
          <w:sz w:val="18"/>
          <w:szCs w:val="18"/>
        </w:rPr>
        <w:t xml:space="preserve"> Fundacja im. Kazimierza Pułaskiego, Raport o reformie służb wywiadowczych z perspektywy 15 lat, 7.05.2017 r.,</w:t>
      </w:r>
    </w:p>
    <w:p w:rsidR="00B4606C" w:rsidRPr="00790C7F" w:rsidRDefault="00B4606C" w:rsidP="00920B50">
      <w:pPr>
        <w:pStyle w:val="Tekstprzypisudolnego"/>
        <w:rPr>
          <w:rFonts w:asciiTheme="minorHAnsi" w:hAnsiTheme="minorHAnsi"/>
          <w:color w:val="auto"/>
          <w:sz w:val="18"/>
          <w:szCs w:val="18"/>
        </w:rPr>
      </w:pPr>
      <w:r w:rsidRPr="00790C7F">
        <w:rPr>
          <w:rFonts w:asciiTheme="minorHAnsi" w:hAnsiTheme="minorHAnsi"/>
          <w:color w:val="auto"/>
          <w:sz w:val="18"/>
          <w:szCs w:val="18"/>
        </w:rPr>
        <w:t>dostępny pod adresem: https://pulaski.pl/wp-content/uploads/2015/02/Raport_reforma_sluzb__FKP.pdf</w:t>
      </w:r>
    </w:p>
  </w:footnote>
  <w:footnote w:id="171">
    <w:p w:rsidR="00B4606C" w:rsidRPr="00790C7F" w:rsidRDefault="00B4606C">
      <w:pPr>
        <w:pStyle w:val="Tekstprzypisudolnego"/>
        <w:rPr>
          <w:rFonts w:asciiTheme="minorHAnsi" w:hAnsiTheme="minorHAnsi"/>
          <w:color w:val="auto"/>
          <w:sz w:val="18"/>
          <w:szCs w:val="18"/>
        </w:rPr>
      </w:pPr>
      <w:r w:rsidRPr="00790C7F">
        <w:rPr>
          <w:rStyle w:val="Odwoanieprzypisudolnego"/>
          <w:rFonts w:asciiTheme="minorHAnsi" w:hAnsiTheme="minorHAnsi"/>
          <w:color w:val="auto"/>
          <w:sz w:val="18"/>
          <w:szCs w:val="18"/>
        </w:rPr>
        <w:footnoteRef/>
      </w:r>
      <w:r w:rsidRPr="00790C7F">
        <w:rPr>
          <w:rFonts w:asciiTheme="minorHAnsi" w:hAnsiTheme="minorHAnsi"/>
          <w:color w:val="auto"/>
          <w:sz w:val="18"/>
          <w:szCs w:val="18"/>
        </w:rPr>
        <w:t xml:space="preserve"> Plan działań Polski 21.06.2018 r., s. 36 odnosi się do spotkania z dnia 27 marca 2018 r.</w:t>
      </w:r>
    </w:p>
  </w:footnote>
  <w:footnote w:id="172">
    <w:p w:rsidR="00B4606C" w:rsidRDefault="00B4606C">
      <w:pPr>
        <w:pStyle w:val="Tekstprzypisudolnego"/>
      </w:pPr>
      <w:r w:rsidRPr="00790C7F">
        <w:rPr>
          <w:rStyle w:val="Odwoanieprzypisudolnego"/>
          <w:rFonts w:asciiTheme="minorHAnsi" w:hAnsiTheme="minorHAnsi"/>
          <w:color w:val="auto"/>
          <w:sz w:val="18"/>
          <w:szCs w:val="18"/>
        </w:rPr>
        <w:footnoteRef/>
      </w:r>
      <w:r w:rsidRPr="00790C7F">
        <w:rPr>
          <w:rFonts w:asciiTheme="minorHAnsi" w:hAnsiTheme="minorHAnsi"/>
          <w:color w:val="auto"/>
          <w:sz w:val="18"/>
          <w:szCs w:val="18"/>
        </w:rPr>
        <w:t xml:space="preserve"> Na str. 13 wskazano, że wykluczono potrzebę nowelizacji Kodeksu postępowania karnego i uznano za wystarczającą ustawę o ochronie informacji niejawnych, przy czym trwa opracowywanie przepisów dotyczących postępowania z informacjami niejawnymi. </w:t>
      </w:r>
    </w:p>
  </w:footnote>
  <w:footnote w:id="173">
    <w:p w:rsidR="00B4606C" w:rsidRPr="00790C7F" w:rsidRDefault="00B4606C" w:rsidP="00C64435">
      <w:pPr>
        <w:pStyle w:val="Tekstprzypisudolnego"/>
        <w:rPr>
          <w:rFonts w:asciiTheme="minorHAnsi" w:hAnsiTheme="minorHAnsi"/>
          <w:color w:val="auto"/>
          <w:sz w:val="18"/>
          <w:szCs w:val="18"/>
        </w:rPr>
      </w:pPr>
      <w:r w:rsidRPr="00790C7F">
        <w:rPr>
          <w:rStyle w:val="Odwoanieprzypisudolnego"/>
          <w:rFonts w:asciiTheme="minorHAnsi" w:hAnsiTheme="minorHAnsi"/>
          <w:color w:val="auto"/>
          <w:sz w:val="18"/>
          <w:szCs w:val="18"/>
        </w:rPr>
        <w:footnoteRef/>
      </w:r>
      <w:r w:rsidRPr="00790C7F">
        <w:rPr>
          <w:rFonts w:asciiTheme="minorHAnsi" w:hAnsiTheme="minorHAnsi"/>
          <w:color w:val="auto"/>
          <w:sz w:val="18"/>
          <w:szCs w:val="18"/>
        </w:rPr>
        <w:t xml:space="preserve">  1348. posiedzenie (czerwiec 2019 r.) (DH) - Reguła 8.2a Stanowisko władz (26.04.2019) dotyczące grupy spraw </w:t>
      </w:r>
      <w:r w:rsidRPr="00790C7F">
        <w:rPr>
          <w:rFonts w:asciiTheme="minorHAnsi" w:hAnsiTheme="minorHAnsi"/>
          <w:i/>
          <w:color w:val="auto"/>
          <w:sz w:val="18"/>
          <w:szCs w:val="18"/>
        </w:rPr>
        <w:t xml:space="preserve">AL NASHIRI p. Polsce </w:t>
      </w:r>
      <w:r w:rsidRPr="00790C7F">
        <w:rPr>
          <w:rFonts w:asciiTheme="minorHAnsi" w:hAnsiTheme="minorHAnsi"/>
          <w:color w:val="auto"/>
          <w:sz w:val="18"/>
          <w:szCs w:val="18"/>
        </w:rPr>
        <w:t>(skarga nr 28761_11). ABW najwyraźniej uważa, że „obecne przepisy ww. ustawy wraz z przepisami wykonawczymi w sposób wystarczający regulują kwestię udostępniania informacji niejawnych”.</w:t>
      </w:r>
    </w:p>
  </w:footnote>
  <w:footnote w:id="174">
    <w:p w:rsidR="00B4606C" w:rsidRPr="00790C7F" w:rsidRDefault="00B4606C">
      <w:pPr>
        <w:pStyle w:val="Tekstprzypisudolnego"/>
        <w:rPr>
          <w:rFonts w:asciiTheme="minorHAnsi" w:hAnsiTheme="minorHAnsi"/>
          <w:color w:val="auto"/>
          <w:sz w:val="18"/>
          <w:szCs w:val="18"/>
        </w:rPr>
      </w:pPr>
      <w:r w:rsidRPr="00790C7F">
        <w:rPr>
          <w:rStyle w:val="Odwoanieprzypisudolnego"/>
          <w:rFonts w:asciiTheme="minorHAnsi" w:hAnsiTheme="minorHAnsi"/>
          <w:color w:val="auto"/>
          <w:sz w:val="18"/>
          <w:szCs w:val="18"/>
        </w:rPr>
        <w:footnoteRef/>
      </w:r>
      <w:r w:rsidRPr="00790C7F">
        <w:rPr>
          <w:rFonts w:asciiTheme="minorHAnsi" w:hAnsiTheme="minorHAnsi"/>
          <w:color w:val="auto"/>
          <w:sz w:val="18"/>
          <w:szCs w:val="18"/>
        </w:rPr>
        <w:t xml:space="preserve"> Biuro Rzecznika Praw Obywatelskich, Propozycja reformy służb wywiadowczych „Osiodłać Pegaza - Przestrzeganie praw obywatelskich w działalności służb specjalnych - założenia reformy”, wrzesień 2019 r., tekst dostępny pod adresem: https://www.rpo.gov.pl/pl/content/powolajmy-niezalezna-instytucje-do-nadzoru-sluzb-specjalnych-propozycja-ekspertow-i-rpo</w:t>
      </w:r>
    </w:p>
  </w:footnote>
  <w:footnote w:id="175">
    <w:p w:rsidR="00B4606C" w:rsidRPr="00790C7F" w:rsidRDefault="00B4606C">
      <w:pPr>
        <w:pStyle w:val="Tekstprzypisudolnego"/>
        <w:rPr>
          <w:rFonts w:asciiTheme="minorHAnsi" w:hAnsiTheme="minorHAnsi"/>
          <w:color w:val="auto"/>
          <w:sz w:val="18"/>
          <w:szCs w:val="18"/>
        </w:rPr>
      </w:pPr>
      <w:r w:rsidRPr="00790C7F">
        <w:rPr>
          <w:rStyle w:val="Odwoanieprzypisudolnego"/>
          <w:rFonts w:asciiTheme="minorHAnsi" w:hAnsiTheme="minorHAnsi"/>
          <w:color w:val="auto"/>
          <w:sz w:val="18"/>
          <w:szCs w:val="18"/>
        </w:rPr>
        <w:footnoteRef/>
      </w:r>
      <w:r w:rsidRPr="00790C7F">
        <w:rPr>
          <w:rFonts w:asciiTheme="minorHAnsi" w:hAnsiTheme="minorHAnsi"/>
          <w:color w:val="auto"/>
          <w:sz w:val="18"/>
          <w:szCs w:val="18"/>
        </w:rPr>
        <w:t xml:space="preserve"> Ibid., s. 8-9.</w:t>
      </w:r>
    </w:p>
  </w:footnote>
  <w:footnote w:id="176">
    <w:p w:rsidR="00B4606C" w:rsidRPr="00790C7F" w:rsidRDefault="00B4606C">
      <w:pPr>
        <w:pStyle w:val="Tekstprzypisudolnego"/>
        <w:rPr>
          <w:rFonts w:asciiTheme="minorHAnsi" w:hAnsiTheme="minorHAnsi"/>
          <w:color w:val="auto"/>
          <w:sz w:val="18"/>
          <w:szCs w:val="18"/>
        </w:rPr>
      </w:pPr>
      <w:r w:rsidRPr="00790C7F">
        <w:rPr>
          <w:rStyle w:val="Odwoanieprzypisudolnego"/>
          <w:rFonts w:asciiTheme="minorHAnsi" w:hAnsiTheme="minorHAnsi"/>
          <w:color w:val="auto"/>
          <w:sz w:val="18"/>
          <w:szCs w:val="18"/>
        </w:rPr>
        <w:footnoteRef/>
      </w:r>
      <w:r w:rsidRPr="00790C7F">
        <w:rPr>
          <w:rFonts w:asciiTheme="minorHAnsi" w:hAnsiTheme="minorHAnsi"/>
          <w:color w:val="auto"/>
          <w:sz w:val="18"/>
          <w:szCs w:val="18"/>
        </w:rPr>
        <w:t xml:space="preserve"> Opinia nr 839/2016 w sprawie ustawy z dnia 15 stycznia 2016 r. o zmianie ustawy o Policji oraz niektórych innych ustaw, przyjęta przez Komisję Wenecką na 107. sesji plenarnej (Wenecja, 10-11 czerwca 2016 r.), CDL-AD(2016)012-e, pkt 132, dostępna pod adresem https://www.venice.coe.int/webforms/documents/?pdf=CDL-AD%282016%29012-e.</w:t>
      </w:r>
    </w:p>
  </w:footnote>
  <w:footnote w:id="177">
    <w:p w:rsidR="00B4606C" w:rsidRPr="00790C7F" w:rsidRDefault="00B4606C">
      <w:pPr>
        <w:pStyle w:val="Tekstprzypisudolnego"/>
        <w:rPr>
          <w:rFonts w:asciiTheme="minorHAnsi" w:hAnsiTheme="minorHAnsi"/>
          <w:color w:val="auto"/>
          <w:sz w:val="18"/>
          <w:szCs w:val="18"/>
        </w:rPr>
      </w:pPr>
      <w:r w:rsidRPr="00790C7F">
        <w:rPr>
          <w:rStyle w:val="Odwoanieprzypisudolnego"/>
          <w:rFonts w:asciiTheme="minorHAnsi" w:hAnsiTheme="minorHAnsi"/>
          <w:color w:val="auto"/>
          <w:sz w:val="18"/>
          <w:szCs w:val="18"/>
        </w:rPr>
        <w:footnoteRef/>
      </w:r>
      <w:r w:rsidRPr="00790C7F">
        <w:rPr>
          <w:rFonts w:asciiTheme="minorHAnsi" w:hAnsiTheme="minorHAnsi"/>
          <w:color w:val="auto"/>
          <w:sz w:val="18"/>
          <w:szCs w:val="18"/>
        </w:rPr>
        <w:t xml:space="preserve"> 1369. posiedzenie (marzec 2020 r.) (DH) (Zaktualizowany plan działań, w ramach środków generalnych)</w:t>
      </w:r>
    </w:p>
  </w:footnote>
  <w:footnote w:id="178">
    <w:p w:rsidR="00B4606C" w:rsidRPr="00790C7F" w:rsidRDefault="00B4606C">
      <w:pPr>
        <w:pStyle w:val="Tekstprzypisudolnego"/>
        <w:rPr>
          <w:rFonts w:asciiTheme="minorHAnsi" w:hAnsiTheme="minorHAnsi"/>
          <w:color w:val="auto"/>
          <w:sz w:val="18"/>
          <w:szCs w:val="18"/>
        </w:rPr>
      </w:pPr>
      <w:r w:rsidRPr="00790C7F">
        <w:rPr>
          <w:rStyle w:val="Odwoanieprzypisudolnego"/>
          <w:rFonts w:asciiTheme="minorHAnsi" w:hAnsiTheme="minorHAnsi"/>
          <w:color w:val="auto"/>
          <w:sz w:val="18"/>
          <w:szCs w:val="18"/>
        </w:rPr>
        <w:footnoteRef/>
      </w:r>
      <w:r w:rsidRPr="00790C7F">
        <w:rPr>
          <w:rFonts w:asciiTheme="minorHAnsi" w:hAnsiTheme="minorHAnsi"/>
          <w:color w:val="auto"/>
          <w:sz w:val="18"/>
          <w:szCs w:val="18"/>
        </w:rPr>
        <w:t xml:space="preserve"> W części tego raportu zatytułowanej „Śledztwo, prawda i odpowiedzialność”, s. 13.</w:t>
      </w:r>
    </w:p>
  </w:footnote>
  <w:footnote w:id="179">
    <w:p w:rsidR="00B4606C" w:rsidRPr="00790C7F" w:rsidRDefault="00B4606C">
      <w:pPr>
        <w:pStyle w:val="Tekstprzypisudolnego"/>
        <w:rPr>
          <w:rFonts w:asciiTheme="minorHAnsi" w:hAnsiTheme="minorHAnsi"/>
          <w:color w:val="auto"/>
          <w:sz w:val="18"/>
          <w:szCs w:val="18"/>
        </w:rPr>
      </w:pPr>
      <w:r w:rsidRPr="00790C7F">
        <w:rPr>
          <w:rStyle w:val="Odwoanieprzypisudolnego"/>
          <w:rFonts w:asciiTheme="minorHAnsi" w:hAnsiTheme="minorHAnsi"/>
          <w:color w:val="auto"/>
          <w:sz w:val="18"/>
          <w:szCs w:val="18"/>
        </w:rPr>
        <w:footnoteRef/>
      </w:r>
      <w:r w:rsidRPr="00790C7F">
        <w:rPr>
          <w:rFonts w:asciiTheme="minorHAnsi" w:hAnsiTheme="minorHAnsi"/>
          <w:color w:val="auto"/>
          <w:sz w:val="18"/>
          <w:szCs w:val="18"/>
        </w:rPr>
        <w:t xml:space="preserve"> 1348. posiedzenie (czerwiec 2019 r.) (DH), plan działań (8 kwietnia 2019 r.); jego celem było wzmocnienie koordynacji i kontroli służb wywiadowczych oraz udziału urzędników najwyższego szczebla w procesie decyzyjnym i odpowiedzialności służb specjalnych.</w:t>
      </w:r>
    </w:p>
  </w:footnote>
  <w:footnote w:id="180">
    <w:p w:rsidR="00B4606C" w:rsidRPr="00790C7F" w:rsidRDefault="00B4606C">
      <w:pPr>
        <w:pStyle w:val="Tekstprzypisudolnego"/>
        <w:rPr>
          <w:rFonts w:asciiTheme="minorHAnsi" w:hAnsiTheme="minorHAnsi"/>
          <w:color w:val="auto"/>
          <w:sz w:val="18"/>
          <w:szCs w:val="18"/>
        </w:rPr>
      </w:pPr>
      <w:r w:rsidRPr="00790C7F">
        <w:rPr>
          <w:rStyle w:val="Odwoanieprzypisudolnego"/>
          <w:rFonts w:asciiTheme="minorHAnsi" w:hAnsiTheme="minorHAnsi"/>
          <w:color w:val="auto"/>
          <w:sz w:val="18"/>
          <w:szCs w:val="18"/>
        </w:rPr>
        <w:footnoteRef/>
      </w:r>
      <w:r w:rsidRPr="00790C7F">
        <w:rPr>
          <w:rFonts w:asciiTheme="minorHAnsi" w:hAnsiTheme="minorHAnsi"/>
          <w:color w:val="auto"/>
          <w:sz w:val="18"/>
          <w:szCs w:val="18"/>
        </w:rPr>
        <w:t xml:space="preserve"> 1369. Posiedzenie (marzec 2020 r.) (DH)</w:t>
      </w:r>
    </w:p>
  </w:footnote>
  <w:footnote w:id="181">
    <w:p w:rsidR="00B4606C" w:rsidRPr="00790C7F" w:rsidRDefault="00B4606C" w:rsidP="00790C7F">
      <w:pPr>
        <w:pStyle w:val="Tekstprzypisudolnego"/>
        <w:rPr>
          <w:rFonts w:asciiTheme="minorHAnsi" w:hAnsiTheme="minorHAnsi"/>
          <w:color w:val="auto"/>
          <w:sz w:val="18"/>
          <w:szCs w:val="18"/>
        </w:rPr>
      </w:pPr>
      <w:r w:rsidRPr="00790C7F">
        <w:rPr>
          <w:rStyle w:val="Odwoanieprzypisudolnego"/>
          <w:rFonts w:asciiTheme="minorHAnsi" w:hAnsiTheme="minorHAnsi"/>
          <w:color w:val="auto"/>
          <w:sz w:val="18"/>
          <w:szCs w:val="18"/>
        </w:rPr>
        <w:footnoteRef/>
      </w:r>
      <w:r w:rsidRPr="00790C7F">
        <w:rPr>
          <w:rFonts w:asciiTheme="minorHAnsi" w:hAnsiTheme="minorHAnsi"/>
          <w:color w:val="auto"/>
          <w:sz w:val="18"/>
          <w:szCs w:val="18"/>
        </w:rPr>
        <w:t xml:space="preserve"> Np. prezydent Republiki Litewskiej o niewystarczających uprawnieniach organów wywiadowczych://www.lrt.lt/naujienos/lietuvoje/2/1130713/vsd-vadovas-jauniskis-ramina-del-zvalgybos-istatymo- masinio-pilieciu-sekimo-tikrai-nebus;</w:t>
      </w:r>
    </w:p>
    <w:p w:rsidR="00B4606C" w:rsidRDefault="00B4606C" w:rsidP="00790C7F">
      <w:pPr>
        <w:pStyle w:val="Tekstprzypisudolnego"/>
      </w:pPr>
      <w:r w:rsidRPr="00790C7F">
        <w:rPr>
          <w:rFonts w:asciiTheme="minorHAnsi" w:hAnsiTheme="minorHAnsi"/>
          <w:color w:val="auto"/>
          <w:sz w:val="18"/>
          <w:szCs w:val="18"/>
        </w:rPr>
        <w:t>https://m.respublika.lt/lt/naujienos/lietuva/lietuvos_politika/gnauseda_teikia_zvalgybos_istatymo_pataisas/.</w:t>
      </w:r>
    </w:p>
  </w:footnote>
  <w:footnote w:id="182">
    <w:p w:rsidR="00B4606C" w:rsidRPr="00BA2C68" w:rsidRDefault="00B4606C">
      <w:pPr>
        <w:pStyle w:val="Tekstprzypisudolnego"/>
        <w:rPr>
          <w:rFonts w:asciiTheme="minorHAnsi" w:hAnsiTheme="minorHAnsi"/>
          <w:sz w:val="18"/>
          <w:szCs w:val="18"/>
        </w:rPr>
      </w:pPr>
      <w:r w:rsidRPr="00BA2C68">
        <w:rPr>
          <w:rStyle w:val="Odwoanieprzypisudolnego"/>
          <w:rFonts w:asciiTheme="minorHAnsi" w:hAnsiTheme="minorHAnsi"/>
          <w:sz w:val="18"/>
          <w:szCs w:val="18"/>
        </w:rPr>
        <w:footnoteRef/>
      </w:r>
      <w:r w:rsidRPr="00BA2C68">
        <w:rPr>
          <w:rFonts w:asciiTheme="minorHAnsi" w:hAnsiTheme="minorHAnsi"/>
          <w:sz w:val="18"/>
          <w:szCs w:val="18"/>
        </w:rPr>
        <w:t xml:space="preserve"> Na przykład </w:t>
      </w:r>
      <w:r w:rsidRPr="00BA2C68">
        <w:rPr>
          <w:rFonts w:asciiTheme="minorHAnsi" w:hAnsiTheme="minorHAnsi"/>
          <w:i/>
          <w:sz w:val="18"/>
          <w:szCs w:val="18"/>
        </w:rPr>
        <w:t>Cieśla p. Polsce</w:t>
      </w:r>
      <w:r w:rsidRPr="00BA2C68">
        <w:rPr>
          <w:rFonts w:asciiTheme="minorHAnsi" w:hAnsiTheme="minorHAnsi"/>
          <w:sz w:val="18"/>
          <w:szCs w:val="18"/>
        </w:rPr>
        <w:t>, skarga nr 70345/14</w:t>
      </w:r>
    </w:p>
  </w:footnote>
  <w:footnote w:id="183">
    <w:p w:rsidR="00B4606C" w:rsidRDefault="00B4606C" w:rsidP="00916CFB">
      <w:pPr>
        <w:pStyle w:val="Stopka1"/>
        <w:tabs>
          <w:tab w:val="left" w:pos="168"/>
        </w:tabs>
      </w:pPr>
      <w:r w:rsidRPr="00BA2C68">
        <w:rPr>
          <w:rFonts w:asciiTheme="minorHAnsi" w:hAnsiTheme="minorHAnsi"/>
          <w:sz w:val="18"/>
          <w:szCs w:val="18"/>
          <w:shd w:val="clear" w:color="auto" w:fill="FFFFFF"/>
          <w:vertAlign w:val="superscript"/>
        </w:rPr>
        <w:footnoteRef/>
      </w:r>
      <w:r w:rsidRPr="00BA2C68">
        <w:rPr>
          <w:rFonts w:asciiTheme="minorHAnsi" w:hAnsiTheme="minorHAnsi"/>
          <w:sz w:val="18"/>
          <w:szCs w:val="18"/>
        </w:rPr>
        <w:t xml:space="preserve"> Na przykład sprawa </w:t>
      </w:r>
      <w:r w:rsidRPr="00BA2C68">
        <w:rPr>
          <w:rFonts w:asciiTheme="minorHAnsi" w:hAnsiTheme="minorHAnsi"/>
          <w:i/>
          <w:sz w:val="18"/>
          <w:szCs w:val="18"/>
        </w:rPr>
        <w:t>Kasprowicz p. Polsce</w:t>
      </w:r>
      <w:r w:rsidRPr="00BA2C68">
        <w:rPr>
          <w:rFonts w:asciiTheme="minorHAnsi" w:hAnsiTheme="minorHAnsi"/>
          <w:sz w:val="18"/>
          <w:szCs w:val="18"/>
        </w:rPr>
        <w:t>, skarga nr 58400/14.</w:t>
      </w:r>
    </w:p>
  </w:footnote>
  <w:footnote w:id="184">
    <w:p w:rsidR="00B4606C" w:rsidRPr="00BA2C68" w:rsidRDefault="00B4606C" w:rsidP="00916CFB">
      <w:pPr>
        <w:pStyle w:val="Stopka1"/>
        <w:tabs>
          <w:tab w:val="left" w:pos="168"/>
        </w:tabs>
        <w:spacing w:line="257" w:lineRule="auto"/>
        <w:rPr>
          <w:rFonts w:asciiTheme="minorHAnsi" w:hAnsiTheme="minorHAnsi"/>
          <w:sz w:val="18"/>
          <w:szCs w:val="18"/>
        </w:rPr>
      </w:pPr>
      <w:r w:rsidRPr="00BA2C68">
        <w:rPr>
          <w:rFonts w:asciiTheme="minorHAnsi" w:hAnsiTheme="minorHAnsi"/>
          <w:sz w:val="18"/>
          <w:szCs w:val="18"/>
          <w:vertAlign w:val="superscript"/>
        </w:rPr>
        <w:footnoteRef/>
      </w:r>
      <w:r w:rsidRPr="00BA2C68">
        <w:rPr>
          <w:rFonts w:asciiTheme="minorHAnsi" w:hAnsiTheme="minorHAnsi"/>
          <w:sz w:val="18"/>
          <w:szCs w:val="18"/>
        </w:rPr>
        <w:t xml:space="preserve"> Oświadczenie Ministra Sprawiedliwości jest dostępne na stronie: </w:t>
      </w:r>
      <w:hyperlink r:id="rId65" w:history="1">
        <w:r w:rsidRPr="00BA2C68">
          <w:rPr>
            <w:rStyle w:val="Hipercze"/>
            <w:rFonts w:asciiTheme="minorHAnsi" w:hAnsiTheme="minorHAnsi"/>
            <w:sz w:val="18"/>
            <w:szCs w:val="18"/>
          </w:rPr>
          <w:t>https://polskieradio24.pl/5/1222/Artykul/2263491,Wazna-deklaracja-ministra-sprawiedliwosci-ws-art-212-Kodeksu-karnego</w:t>
        </w:r>
      </w:hyperlink>
    </w:p>
  </w:footnote>
  <w:footnote w:id="185">
    <w:p w:rsidR="00B4606C" w:rsidRPr="00BA2C68" w:rsidRDefault="00B4606C" w:rsidP="00916CFB">
      <w:pPr>
        <w:pStyle w:val="Stopka1"/>
        <w:tabs>
          <w:tab w:val="left" w:pos="173"/>
        </w:tabs>
        <w:rPr>
          <w:rFonts w:asciiTheme="minorHAnsi" w:hAnsiTheme="minorHAnsi"/>
          <w:sz w:val="18"/>
          <w:szCs w:val="18"/>
        </w:rPr>
      </w:pPr>
      <w:r w:rsidRPr="00BA2C68">
        <w:rPr>
          <w:rFonts w:asciiTheme="minorHAnsi" w:hAnsiTheme="minorHAnsi"/>
          <w:i/>
          <w:iCs/>
          <w:sz w:val="18"/>
          <w:szCs w:val="18"/>
          <w:vertAlign w:val="superscript"/>
        </w:rPr>
        <w:footnoteRef/>
      </w:r>
      <w:r w:rsidR="00BD3249">
        <w:rPr>
          <w:rFonts w:asciiTheme="minorHAnsi" w:hAnsiTheme="minorHAnsi"/>
          <w:i/>
          <w:iCs/>
          <w:sz w:val="18"/>
          <w:szCs w:val="18"/>
        </w:rPr>
        <w:t xml:space="preserve"> Cumpana i Mazare p.</w:t>
      </w:r>
      <w:r w:rsidRPr="00BA2C68">
        <w:rPr>
          <w:rFonts w:asciiTheme="minorHAnsi" w:hAnsiTheme="minorHAnsi"/>
          <w:i/>
          <w:iCs/>
          <w:sz w:val="18"/>
          <w:szCs w:val="18"/>
        </w:rPr>
        <w:t xml:space="preserve"> Rumunii </w:t>
      </w:r>
      <w:r w:rsidRPr="00BA2C68">
        <w:rPr>
          <w:rFonts w:asciiTheme="minorHAnsi" w:hAnsiTheme="minorHAnsi"/>
          <w:sz w:val="18"/>
          <w:szCs w:val="18"/>
        </w:rPr>
        <w:t xml:space="preserve">[Wielka Izba], skarga nr 33348/96, 17 grudnia 2004 r.; </w:t>
      </w:r>
      <w:r w:rsidRPr="00BA2C68">
        <w:rPr>
          <w:rFonts w:asciiTheme="minorHAnsi" w:hAnsiTheme="minorHAnsi"/>
          <w:i/>
          <w:iCs/>
          <w:sz w:val="18"/>
          <w:szCs w:val="18"/>
        </w:rPr>
        <w:t>Otegi Mondragon p. Hiszpanii</w:t>
      </w:r>
      <w:r w:rsidRPr="00BA2C68">
        <w:rPr>
          <w:rFonts w:asciiTheme="minorHAnsi" w:hAnsiTheme="minorHAnsi"/>
          <w:sz w:val="18"/>
          <w:szCs w:val="18"/>
        </w:rPr>
        <w:t>, skarga nr 2034/07, 15 marca 2011 r.</w:t>
      </w:r>
    </w:p>
  </w:footnote>
  <w:footnote w:id="186">
    <w:p w:rsidR="00B4606C" w:rsidRPr="00BA2C68" w:rsidRDefault="00B4606C" w:rsidP="00916CFB">
      <w:pPr>
        <w:pStyle w:val="Stopka1"/>
        <w:tabs>
          <w:tab w:val="left" w:pos="168"/>
        </w:tabs>
        <w:rPr>
          <w:rFonts w:asciiTheme="minorHAnsi" w:hAnsiTheme="minorHAnsi"/>
          <w:sz w:val="18"/>
          <w:szCs w:val="18"/>
        </w:rPr>
      </w:pPr>
      <w:r w:rsidRPr="00BA2C68">
        <w:rPr>
          <w:rFonts w:asciiTheme="minorHAnsi" w:hAnsiTheme="minorHAnsi"/>
          <w:sz w:val="18"/>
          <w:szCs w:val="18"/>
          <w:vertAlign w:val="superscript"/>
        </w:rPr>
        <w:footnoteRef/>
      </w:r>
      <w:r w:rsidRPr="00BA2C68">
        <w:rPr>
          <w:rFonts w:asciiTheme="minorHAnsi" w:hAnsiTheme="minorHAnsi"/>
          <w:sz w:val="18"/>
          <w:szCs w:val="18"/>
        </w:rPr>
        <w:t xml:space="preserve"> Art. 196 oraz art. 255 – 257 k.k.</w:t>
      </w:r>
    </w:p>
  </w:footnote>
  <w:footnote w:id="187">
    <w:p w:rsidR="00B4606C" w:rsidRPr="00BA2C68" w:rsidRDefault="00B4606C" w:rsidP="00916CFB">
      <w:pPr>
        <w:pStyle w:val="Stopka1"/>
        <w:tabs>
          <w:tab w:val="left" w:pos="163"/>
        </w:tabs>
        <w:rPr>
          <w:rFonts w:asciiTheme="minorHAnsi" w:hAnsiTheme="minorHAnsi"/>
          <w:sz w:val="18"/>
          <w:szCs w:val="18"/>
        </w:rPr>
      </w:pPr>
      <w:r w:rsidRPr="00BA2C68">
        <w:rPr>
          <w:rFonts w:asciiTheme="minorHAnsi" w:hAnsiTheme="minorHAnsi"/>
          <w:sz w:val="18"/>
          <w:szCs w:val="18"/>
          <w:vertAlign w:val="superscript"/>
        </w:rPr>
        <w:footnoteRef/>
      </w:r>
      <w:r w:rsidRPr="00BA2C68">
        <w:rPr>
          <w:rFonts w:asciiTheme="minorHAnsi" w:hAnsiTheme="minorHAnsi"/>
          <w:sz w:val="18"/>
          <w:szCs w:val="18"/>
        </w:rPr>
        <w:t xml:space="preserve"> Zgromadzenie Parlamentarne, rezolucja 1577 (2007) „Ku dekryminalizacji zniesławienia”, przyjęta w dniu 4 października 2007 r.</w:t>
      </w:r>
    </w:p>
  </w:footnote>
  <w:footnote w:id="188">
    <w:p w:rsidR="00B4606C" w:rsidRPr="00BA2C68" w:rsidRDefault="00B4606C" w:rsidP="00916CFB">
      <w:pPr>
        <w:pStyle w:val="Stopka1"/>
        <w:tabs>
          <w:tab w:val="left" w:pos="163"/>
        </w:tabs>
        <w:rPr>
          <w:rFonts w:asciiTheme="minorHAnsi" w:hAnsiTheme="minorHAnsi"/>
          <w:sz w:val="18"/>
          <w:szCs w:val="18"/>
        </w:rPr>
      </w:pPr>
      <w:r w:rsidRPr="00BA2C68">
        <w:rPr>
          <w:rFonts w:asciiTheme="minorHAnsi" w:hAnsiTheme="minorHAnsi"/>
          <w:sz w:val="18"/>
          <w:szCs w:val="18"/>
          <w:vertAlign w:val="superscript"/>
        </w:rPr>
        <w:footnoteRef/>
      </w:r>
      <w:r w:rsidRPr="00BA2C68">
        <w:rPr>
          <w:rFonts w:asciiTheme="minorHAnsi" w:hAnsiTheme="minorHAnsi"/>
          <w:sz w:val="18"/>
          <w:szCs w:val="18"/>
        </w:rPr>
        <w:t xml:space="preserve"> Na przykład sprawa Wojciecha Biedronia opisująca sędziego Łączewskiego.</w:t>
      </w:r>
    </w:p>
  </w:footnote>
  <w:footnote w:id="189">
    <w:p w:rsidR="00B4606C" w:rsidRPr="00BA2C68" w:rsidRDefault="00B4606C" w:rsidP="00916CFB">
      <w:pPr>
        <w:pStyle w:val="Stopka1"/>
        <w:tabs>
          <w:tab w:val="left" w:pos="168"/>
        </w:tabs>
        <w:spacing w:line="257" w:lineRule="auto"/>
        <w:rPr>
          <w:rFonts w:asciiTheme="minorHAnsi" w:hAnsiTheme="minorHAnsi"/>
          <w:sz w:val="18"/>
          <w:szCs w:val="18"/>
        </w:rPr>
      </w:pPr>
      <w:r w:rsidRPr="00BA2C68">
        <w:rPr>
          <w:rFonts w:asciiTheme="minorHAnsi" w:hAnsiTheme="minorHAnsi"/>
          <w:sz w:val="18"/>
          <w:szCs w:val="18"/>
          <w:vertAlign w:val="superscript"/>
        </w:rPr>
        <w:footnoteRef/>
      </w:r>
      <w:r w:rsidRPr="00BA2C68">
        <w:rPr>
          <w:rFonts w:asciiTheme="minorHAnsi" w:hAnsiTheme="minorHAnsi"/>
          <w:sz w:val="18"/>
          <w:szCs w:val="18"/>
        </w:rPr>
        <w:t xml:space="preserve"> Na przykład sprawa </w:t>
      </w:r>
      <w:r w:rsidRPr="00BA2C68">
        <w:rPr>
          <w:rFonts w:asciiTheme="minorHAnsi" w:hAnsiTheme="minorHAnsi"/>
          <w:i/>
          <w:sz w:val="18"/>
          <w:szCs w:val="18"/>
        </w:rPr>
        <w:t>Cieśla p. Polsce</w:t>
      </w:r>
      <w:r w:rsidRPr="00BA2C68">
        <w:rPr>
          <w:rFonts w:asciiTheme="minorHAnsi" w:hAnsiTheme="minorHAnsi"/>
          <w:sz w:val="18"/>
          <w:szCs w:val="18"/>
        </w:rPr>
        <w:t>, skarga nr 70345/14.</w:t>
      </w:r>
    </w:p>
  </w:footnote>
  <w:footnote w:id="190">
    <w:p w:rsidR="00B4606C" w:rsidRPr="00BA2C68" w:rsidRDefault="00B4606C" w:rsidP="00916CFB">
      <w:pPr>
        <w:pStyle w:val="Stopka1"/>
        <w:tabs>
          <w:tab w:val="left" w:pos="173"/>
        </w:tabs>
        <w:spacing w:line="257" w:lineRule="auto"/>
        <w:rPr>
          <w:rFonts w:asciiTheme="minorHAnsi" w:hAnsiTheme="minorHAnsi"/>
          <w:sz w:val="18"/>
          <w:szCs w:val="18"/>
        </w:rPr>
      </w:pPr>
      <w:r w:rsidRPr="00BA2C68">
        <w:rPr>
          <w:rFonts w:asciiTheme="minorHAnsi" w:hAnsiTheme="minorHAnsi"/>
          <w:sz w:val="18"/>
          <w:szCs w:val="18"/>
          <w:vertAlign w:val="superscript"/>
        </w:rPr>
        <w:footnoteRef/>
      </w:r>
      <w:r w:rsidRPr="00BA2C68">
        <w:rPr>
          <w:rFonts w:asciiTheme="minorHAnsi" w:hAnsiTheme="minorHAnsi"/>
          <w:sz w:val="18"/>
          <w:szCs w:val="18"/>
        </w:rPr>
        <w:t xml:space="preserve"> Więcej informacji na temat kampanii można znaleźć na stronie: </w:t>
      </w:r>
      <w:hyperlink r:id="rId66" w:history="1">
        <w:r w:rsidRPr="00BA2C68">
          <w:rPr>
            <w:rStyle w:val="Hipercze"/>
            <w:rFonts w:asciiTheme="minorHAnsi" w:hAnsiTheme="minorHAnsi"/>
            <w:color w:val="auto"/>
            <w:sz w:val="18"/>
            <w:szCs w:val="18"/>
          </w:rPr>
          <w:t>http://www.hfhr.pl/kampania-wykresl-212-kk-wystapienie-do-ms/</w:t>
        </w:r>
      </w:hyperlink>
      <w:r w:rsidRPr="00BA2C68">
        <w:rPr>
          <w:rFonts w:asciiTheme="minorHAnsi" w:hAnsiTheme="minorHAnsi"/>
          <w:sz w:val="18"/>
          <w:szCs w:val="18"/>
        </w:rPr>
        <w:t>.</w:t>
      </w:r>
    </w:p>
  </w:footnote>
  <w:footnote w:id="191">
    <w:p w:rsidR="00B4606C" w:rsidRPr="00BA2C68" w:rsidRDefault="00B4606C" w:rsidP="00916CFB">
      <w:pPr>
        <w:pStyle w:val="Stopka1"/>
        <w:tabs>
          <w:tab w:val="left" w:pos="230"/>
        </w:tabs>
        <w:rPr>
          <w:rFonts w:asciiTheme="minorHAnsi" w:hAnsiTheme="minorHAnsi"/>
          <w:sz w:val="18"/>
          <w:szCs w:val="18"/>
        </w:rPr>
      </w:pPr>
      <w:r w:rsidRPr="00BA2C68">
        <w:rPr>
          <w:rFonts w:asciiTheme="minorHAnsi" w:hAnsiTheme="minorHAnsi"/>
          <w:sz w:val="18"/>
          <w:szCs w:val="18"/>
          <w:vertAlign w:val="superscript"/>
        </w:rPr>
        <w:footnoteRef/>
      </w:r>
      <w:r w:rsidRPr="00BA2C68">
        <w:rPr>
          <w:rFonts w:asciiTheme="minorHAnsi" w:hAnsiTheme="minorHAnsi"/>
          <w:sz w:val="18"/>
          <w:szCs w:val="18"/>
        </w:rPr>
        <w:tab/>
        <w:t>Dane statystyczne zostały przekazane przez Ministerstwo Sprawiedliwości w dniu 20 marca 2019 r. w odpowiedzi na wniosek HFPC o udostępnienie tych informacji na podstawie ustawy o dostępie do informacji.</w:t>
      </w:r>
    </w:p>
  </w:footnote>
  <w:footnote w:id="192">
    <w:p w:rsidR="00B4606C" w:rsidRPr="00BA2C68" w:rsidRDefault="00B4606C" w:rsidP="00916CFB">
      <w:pPr>
        <w:pStyle w:val="Stopka1"/>
        <w:tabs>
          <w:tab w:val="left" w:pos="230"/>
        </w:tabs>
        <w:rPr>
          <w:rFonts w:asciiTheme="minorHAnsi" w:hAnsiTheme="minorHAnsi"/>
          <w:sz w:val="18"/>
          <w:szCs w:val="18"/>
        </w:rPr>
      </w:pPr>
      <w:r w:rsidRPr="00BA2C68">
        <w:rPr>
          <w:rFonts w:asciiTheme="minorHAnsi" w:hAnsiTheme="minorHAnsi"/>
          <w:sz w:val="18"/>
          <w:szCs w:val="18"/>
          <w:vertAlign w:val="superscript"/>
        </w:rPr>
        <w:footnoteRef/>
      </w:r>
      <w:r w:rsidRPr="00BA2C68">
        <w:rPr>
          <w:rFonts w:asciiTheme="minorHAnsi" w:hAnsiTheme="minorHAnsi"/>
          <w:sz w:val="18"/>
          <w:szCs w:val="18"/>
        </w:rPr>
        <w:tab/>
        <w:t>Dane na podstawie wniosku o udzielenie informacji skierowanym do Ministerstwa Sprawiedliwości dotyczącego liczby wyroków skazujących wydanych na podstawie art. 212 ust. 1 i 2.</w:t>
      </w:r>
    </w:p>
  </w:footnote>
  <w:footnote w:id="193">
    <w:p w:rsidR="00B4606C" w:rsidRDefault="00B4606C" w:rsidP="00916CFB">
      <w:pPr>
        <w:pStyle w:val="Stopka1"/>
        <w:tabs>
          <w:tab w:val="left" w:pos="216"/>
        </w:tabs>
      </w:pPr>
      <w:r w:rsidRPr="00BA2C68">
        <w:rPr>
          <w:rFonts w:asciiTheme="minorHAnsi" w:hAnsiTheme="minorHAnsi"/>
          <w:sz w:val="18"/>
          <w:szCs w:val="18"/>
          <w:vertAlign w:val="superscript"/>
        </w:rPr>
        <w:footnoteRef/>
      </w:r>
      <w:r w:rsidRPr="00BA2C68">
        <w:rPr>
          <w:rFonts w:asciiTheme="minorHAnsi" w:hAnsiTheme="minorHAnsi"/>
          <w:sz w:val="18"/>
          <w:szCs w:val="18"/>
        </w:rPr>
        <w:tab/>
        <w:t>W 2018 r. kary pozbawienia wolności orzeczono wobec sześciu osób, przy czym w czterech przypadkach zawieszono ich wykonanie.</w:t>
      </w:r>
    </w:p>
  </w:footnote>
  <w:footnote w:id="194">
    <w:p w:rsidR="00B4606C" w:rsidRPr="00BA2C68" w:rsidRDefault="00B4606C" w:rsidP="00916CFB">
      <w:pPr>
        <w:pStyle w:val="Stopka1"/>
        <w:tabs>
          <w:tab w:val="left" w:pos="230"/>
        </w:tabs>
        <w:rPr>
          <w:rFonts w:asciiTheme="minorHAnsi" w:hAnsiTheme="minorHAnsi"/>
          <w:sz w:val="18"/>
          <w:szCs w:val="18"/>
          <w:lang w:val="en-US"/>
        </w:rPr>
      </w:pPr>
      <w:r w:rsidRPr="00BA2C68">
        <w:rPr>
          <w:rFonts w:asciiTheme="minorHAnsi" w:hAnsiTheme="minorHAnsi"/>
          <w:sz w:val="18"/>
          <w:szCs w:val="18"/>
          <w:vertAlign w:val="superscript"/>
        </w:rPr>
        <w:footnoteRef/>
      </w:r>
      <w:r w:rsidRPr="00BA2C68">
        <w:rPr>
          <w:rFonts w:asciiTheme="minorHAnsi" w:hAnsiTheme="minorHAnsi"/>
          <w:sz w:val="18"/>
          <w:szCs w:val="18"/>
          <w:lang w:val="en-US"/>
        </w:rPr>
        <w:tab/>
        <w:t xml:space="preserve">D. Bychawska-Siniarska, „Criticizing the new President of the Polish Constitutional Court: A Crime against the State?”, Verfassungblog, 6 grudnia 2017 r., artykuł dostępny pod adresem: </w:t>
      </w:r>
      <w:hyperlink r:id="rId67" w:history="1">
        <w:r w:rsidRPr="00BA2C68">
          <w:rPr>
            <w:rStyle w:val="Hipercze"/>
            <w:rFonts w:asciiTheme="minorHAnsi" w:hAnsiTheme="minorHAnsi"/>
            <w:sz w:val="18"/>
            <w:szCs w:val="18"/>
            <w:lang w:val="en-US"/>
          </w:rPr>
          <w:t>https://verfassungsblog.de/criticizing-the-new-president-of-the-polish-constitutional-court-a-crime-against-the-state/</w:t>
        </w:r>
      </w:hyperlink>
    </w:p>
  </w:footnote>
  <w:footnote w:id="195">
    <w:p w:rsidR="00B4606C" w:rsidRPr="00BA2C68" w:rsidRDefault="00B4606C" w:rsidP="00916CFB">
      <w:pPr>
        <w:pStyle w:val="Stopka1"/>
        <w:tabs>
          <w:tab w:val="left" w:pos="216"/>
        </w:tabs>
        <w:rPr>
          <w:rFonts w:asciiTheme="minorHAnsi" w:hAnsiTheme="minorHAnsi"/>
          <w:sz w:val="18"/>
          <w:szCs w:val="18"/>
        </w:rPr>
      </w:pPr>
      <w:r w:rsidRPr="00BA2C68">
        <w:rPr>
          <w:rFonts w:asciiTheme="minorHAnsi" w:hAnsiTheme="minorHAnsi"/>
          <w:sz w:val="18"/>
          <w:szCs w:val="18"/>
          <w:vertAlign w:val="superscript"/>
        </w:rPr>
        <w:footnoteRef/>
      </w:r>
      <w:r w:rsidRPr="00BA2C68">
        <w:rPr>
          <w:rFonts w:asciiTheme="minorHAnsi" w:hAnsiTheme="minorHAnsi"/>
          <w:sz w:val="18"/>
          <w:szCs w:val="18"/>
        </w:rPr>
        <w:tab/>
        <w:t>Postępowanie karne o zniesławienie, sygn. akt IIK 156/18, postępowanie cywilne, sygn. akt I C 1151/19.</w:t>
      </w:r>
    </w:p>
  </w:footnote>
  <w:footnote w:id="196">
    <w:p w:rsidR="00B4606C" w:rsidRPr="00BA2C68" w:rsidRDefault="00B4606C" w:rsidP="00916CFB">
      <w:pPr>
        <w:pStyle w:val="Stopka1"/>
        <w:tabs>
          <w:tab w:val="left" w:pos="211"/>
        </w:tabs>
        <w:rPr>
          <w:rFonts w:asciiTheme="minorHAnsi" w:hAnsiTheme="minorHAnsi"/>
          <w:sz w:val="18"/>
          <w:szCs w:val="18"/>
        </w:rPr>
      </w:pPr>
      <w:r w:rsidRPr="00BA2C68">
        <w:rPr>
          <w:rFonts w:asciiTheme="minorHAnsi" w:hAnsiTheme="minorHAnsi"/>
          <w:sz w:val="18"/>
          <w:szCs w:val="18"/>
          <w:vertAlign w:val="superscript"/>
        </w:rPr>
        <w:footnoteRef/>
      </w:r>
      <w:r w:rsidRPr="00BA2C68">
        <w:rPr>
          <w:rFonts w:asciiTheme="minorHAnsi" w:hAnsiTheme="minorHAnsi"/>
          <w:sz w:val="18"/>
          <w:szCs w:val="18"/>
        </w:rPr>
        <w:tab/>
        <w:t>Art. 23 - 24 k.c.</w:t>
      </w:r>
    </w:p>
  </w:footnote>
  <w:footnote w:id="197">
    <w:p w:rsidR="00B4606C" w:rsidRDefault="00B4606C" w:rsidP="00916CFB">
      <w:pPr>
        <w:pStyle w:val="Stopka1"/>
        <w:tabs>
          <w:tab w:val="left" w:pos="211"/>
        </w:tabs>
      </w:pPr>
      <w:r w:rsidRPr="00BA2C68">
        <w:rPr>
          <w:rFonts w:asciiTheme="minorHAnsi" w:hAnsiTheme="minorHAnsi"/>
          <w:sz w:val="18"/>
          <w:szCs w:val="18"/>
          <w:vertAlign w:val="superscript"/>
        </w:rPr>
        <w:footnoteRef/>
      </w:r>
      <w:r w:rsidRPr="00BA2C68">
        <w:rPr>
          <w:rFonts w:asciiTheme="minorHAnsi" w:hAnsiTheme="minorHAnsi"/>
          <w:sz w:val="18"/>
          <w:szCs w:val="18"/>
        </w:rPr>
        <w:tab/>
        <w:t>Art. 31a - 33 Prawa prasowego.</w:t>
      </w:r>
    </w:p>
  </w:footnote>
  <w:footnote w:id="198">
    <w:p w:rsidR="00B4606C" w:rsidRPr="00BA2C68" w:rsidRDefault="00B4606C" w:rsidP="00916CFB">
      <w:pPr>
        <w:pStyle w:val="Stopka1"/>
        <w:tabs>
          <w:tab w:val="left" w:pos="216"/>
        </w:tabs>
        <w:rPr>
          <w:rFonts w:asciiTheme="minorHAnsi" w:hAnsiTheme="minorHAnsi"/>
          <w:sz w:val="18"/>
          <w:szCs w:val="18"/>
        </w:rPr>
      </w:pPr>
      <w:r w:rsidRPr="00BA2C68">
        <w:rPr>
          <w:rFonts w:asciiTheme="minorHAnsi" w:hAnsiTheme="minorHAnsi"/>
          <w:sz w:val="18"/>
          <w:szCs w:val="18"/>
          <w:vertAlign w:val="superscript"/>
        </w:rPr>
        <w:footnoteRef/>
      </w:r>
      <w:r w:rsidRPr="00BA2C68">
        <w:rPr>
          <w:rFonts w:asciiTheme="minorHAnsi" w:hAnsiTheme="minorHAnsi"/>
          <w:sz w:val="18"/>
          <w:szCs w:val="18"/>
        </w:rPr>
        <w:tab/>
        <w:t xml:space="preserve">Więcej o sprawie: </w:t>
      </w:r>
      <w:hyperlink r:id="rId68" w:history="1">
        <w:r w:rsidRPr="00BA2C68">
          <w:rPr>
            <w:rStyle w:val="Hipercze"/>
            <w:rFonts w:asciiTheme="minorHAnsi" w:hAnsiTheme="minorHAnsi"/>
            <w:sz w:val="18"/>
            <w:szCs w:val="18"/>
          </w:rPr>
          <w:t>https://www.rp.pl/Prawo-karne/302019938-RZECZoPRAWIE---Dariusz-Pluta-karanie-za-znieslawienie-na-mocy-art-212-kk-to-wstyd-dla-Polski.html</w:t>
        </w:r>
      </w:hyperlink>
    </w:p>
  </w:footnote>
  <w:footnote w:id="199">
    <w:p w:rsidR="00B4606C" w:rsidRPr="00BB5897" w:rsidRDefault="00B4606C" w:rsidP="00916CFB">
      <w:pPr>
        <w:pStyle w:val="Teksttreci0"/>
        <w:tabs>
          <w:tab w:val="left" w:leader="hyphen" w:pos="2894"/>
        </w:tabs>
        <w:spacing w:line="199" w:lineRule="auto"/>
        <w:ind w:firstLine="0"/>
      </w:pPr>
      <w:r w:rsidRPr="00BA2C68">
        <w:rPr>
          <w:rStyle w:val="Odwoanieprzypisudolnego"/>
          <w:rFonts w:asciiTheme="minorHAnsi" w:hAnsiTheme="minorHAnsi"/>
          <w:sz w:val="18"/>
          <w:szCs w:val="18"/>
        </w:rPr>
        <w:footnoteRef/>
      </w:r>
      <w:r w:rsidRPr="00BA2C68">
        <w:rPr>
          <w:rFonts w:asciiTheme="minorHAnsi" w:hAnsiTheme="minorHAnsi"/>
          <w:sz w:val="18"/>
          <w:szCs w:val="18"/>
        </w:rPr>
        <w:t xml:space="preserve"> Propozycje Rzecznika są dostępne pod adresem: </w:t>
      </w:r>
      <w:hyperlink r:id="rId69" w:history="1">
        <w:r w:rsidRPr="00BA2C68">
          <w:rPr>
            <w:rStyle w:val="Hipercze"/>
            <w:rFonts w:asciiTheme="minorHAnsi" w:hAnsiTheme="minorHAnsi"/>
            <w:sz w:val="18"/>
            <w:szCs w:val="18"/>
          </w:rPr>
          <w:t>https://www.rpo.gov.pl/pl/content/art-212-rzecznik-proponuje-zmiany-w-przepisach-o-znieslawieniu</w:t>
        </w:r>
      </w:hyperlink>
    </w:p>
  </w:footnote>
  <w:footnote w:id="200">
    <w:p w:rsidR="00B4606C" w:rsidRPr="00B4606C" w:rsidRDefault="00B4606C">
      <w:pPr>
        <w:pStyle w:val="Tekstprzypisudolnego"/>
        <w:rPr>
          <w:rFonts w:asciiTheme="minorHAnsi" w:hAnsiTheme="minorHAnsi"/>
          <w:sz w:val="18"/>
          <w:szCs w:val="18"/>
        </w:rPr>
      </w:pPr>
      <w:r w:rsidRPr="00B4606C">
        <w:rPr>
          <w:rStyle w:val="Odwoanieprzypisudolnego"/>
          <w:rFonts w:asciiTheme="minorHAnsi" w:hAnsiTheme="minorHAnsi"/>
          <w:sz w:val="18"/>
          <w:szCs w:val="18"/>
        </w:rPr>
        <w:footnoteRef/>
      </w:r>
      <w:r w:rsidRPr="00B4606C">
        <w:rPr>
          <w:rFonts w:asciiTheme="minorHAnsi" w:hAnsiTheme="minorHAnsi"/>
          <w:sz w:val="18"/>
          <w:szCs w:val="18"/>
        </w:rPr>
        <w:t xml:space="preserve"> </w:t>
      </w:r>
      <w:r w:rsidRPr="00B4606C">
        <w:rPr>
          <w:rFonts w:asciiTheme="minorHAnsi" w:hAnsiTheme="minorHAnsi"/>
          <w:i/>
          <w:sz w:val="18"/>
          <w:szCs w:val="18"/>
        </w:rPr>
        <w:t>Al Nashiri p. Polsce</w:t>
      </w:r>
      <w:r w:rsidRPr="00B4606C">
        <w:rPr>
          <w:rFonts w:asciiTheme="minorHAnsi" w:hAnsiTheme="minorHAnsi"/>
          <w:sz w:val="18"/>
          <w:szCs w:val="18"/>
        </w:rPr>
        <w:t>, (skarga nr 28761/11), ETPCz, 24 lipca 2014 r.</w:t>
      </w:r>
    </w:p>
  </w:footnote>
  <w:footnote w:id="201">
    <w:p w:rsidR="00B4606C" w:rsidRPr="00B4606C" w:rsidRDefault="00B4606C">
      <w:pPr>
        <w:pStyle w:val="Tekstprzypisudolnego"/>
        <w:rPr>
          <w:rFonts w:asciiTheme="minorHAnsi" w:hAnsiTheme="minorHAnsi"/>
          <w:sz w:val="18"/>
          <w:szCs w:val="18"/>
        </w:rPr>
      </w:pPr>
      <w:r w:rsidRPr="00B4606C">
        <w:rPr>
          <w:rStyle w:val="Odwoanieprzypisudolnego"/>
          <w:rFonts w:asciiTheme="minorHAnsi" w:hAnsiTheme="minorHAnsi"/>
          <w:sz w:val="18"/>
          <w:szCs w:val="18"/>
        </w:rPr>
        <w:footnoteRef/>
      </w:r>
      <w:r w:rsidRPr="00B4606C">
        <w:rPr>
          <w:rFonts w:asciiTheme="minorHAnsi" w:hAnsiTheme="minorHAnsi"/>
          <w:sz w:val="18"/>
          <w:szCs w:val="18"/>
        </w:rPr>
        <w:t xml:space="preserve"> CM/Del/Dec(2019)1348/H46-18, 6 czerwca 2019 r.</w:t>
      </w:r>
    </w:p>
  </w:footnote>
  <w:footnote w:id="202">
    <w:p w:rsidR="00B4606C" w:rsidRPr="00B4606C" w:rsidRDefault="00B4606C">
      <w:pPr>
        <w:pStyle w:val="Tekstprzypisudolnego"/>
        <w:rPr>
          <w:rFonts w:asciiTheme="minorHAnsi" w:hAnsiTheme="minorHAnsi"/>
          <w:sz w:val="18"/>
          <w:szCs w:val="18"/>
        </w:rPr>
      </w:pPr>
      <w:r w:rsidRPr="00B4606C">
        <w:rPr>
          <w:rStyle w:val="Odwoanieprzypisudolnego"/>
          <w:rFonts w:asciiTheme="minorHAnsi" w:hAnsiTheme="minorHAnsi"/>
          <w:sz w:val="18"/>
          <w:szCs w:val="18"/>
        </w:rPr>
        <w:footnoteRef/>
      </w:r>
      <w:r w:rsidRPr="00B4606C">
        <w:rPr>
          <w:rFonts w:asciiTheme="minorHAnsi" w:hAnsiTheme="minorHAnsi"/>
          <w:sz w:val="18"/>
          <w:szCs w:val="18"/>
        </w:rPr>
        <w:t xml:space="preserve"> Zob. np. CM/Del/Dec(2019)1348/H46-18, 6 czerwca 2019 r.; CM/Del/Dec(2018)1324/14, 20 września 2018 r.</w:t>
      </w:r>
    </w:p>
  </w:footnote>
  <w:footnote w:id="203">
    <w:p w:rsidR="00B4606C" w:rsidRDefault="00B4606C">
      <w:pPr>
        <w:pStyle w:val="Tekstprzypisudolnego"/>
      </w:pPr>
      <w:r w:rsidRPr="00B4606C">
        <w:rPr>
          <w:rStyle w:val="Odwoanieprzypisudolnego"/>
          <w:rFonts w:asciiTheme="minorHAnsi" w:hAnsiTheme="minorHAnsi"/>
          <w:sz w:val="18"/>
          <w:szCs w:val="18"/>
        </w:rPr>
        <w:footnoteRef/>
      </w:r>
      <w:r w:rsidRPr="00B4606C">
        <w:rPr>
          <w:rFonts w:asciiTheme="minorHAnsi" w:hAnsiTheme="minorHAnsi"/>
          <w:sz w:val="18"/>
          <w:szCs w:val="18"/>
        </w:rPr>
        <w:t xml:space="preserve"> </w:t>
      </w:r>
      <w:r w:rsidRPr="00B4606C">
        <w:rPr>
          <w:rFonts w:asciiTheme="minorHAnsi" w:hAnsiTheme="minorHAnsi"/>
          <w:i/>
          <w:sz w:val="18"/>
          <w:szCs w:val="18"/>
        </w:rPr>
        <w:t>Al Nashiri p. Polsce,</w:t>
      </w:r>
      <w:r w:rsidRPr="00B4606C">
        <w:rPr>
          <w:rFonts w:asciiTheme="minorHAnsi" w:hAnsiTheme="minorHAnsi"/>
          <w:sz w:val="18"/>
          <w:szCs w:val="18"/>
        </w:rPr>
        <w:t xml:space="preserve"> (skarga nr 28761/11), ETPCz, 24 lipca 2014 r., par. 488.</w:t>
      </w:r>
    </w:p>
  </w:footnote>
  <w:footnote w:id="204">
    <w:p w:rsidR="00B4606C" w:rsidRPr="00B4606C" w:rsidRDefault="00B4606C">
      <w:pPr>
        <w:pStyle w:val="Tekstprzypisudolnego"/>
        <w:rPr>
          <w:rFonts w:asciiTheme="minorHAnsi" w:hAnsiTheme="minorHAnsi"/>
          <w:sz w:val="18"/>
          <w:szCs w:val="18"/>
        </w:rPr>
      </w:pPr>
      <w:r w:rsidRPr="00B4606C">
        <w:rPr>
          <w:rStyle w:val="Odwoanieprzypisudolnego"/>
          <w:rFonts w:asciiTheme="minorHAnsi" w:hAnsiTheme="minorHAnsi"/>
          <w:sz w:val="18"/>
          <w:szCs w:val="18"/>
        </w:rPr>
        <w:footnoteRef/>
      </w:r>
      <w:r w:rsidRPr="00B4606C">
        <w:rPr>
          <w:rFonts w:asciiTheme="minorHAnsi" w:hAnsiTheme="minorHAnsi"/>
          <w:sz w:val="18"/>
          <w:szCs w:val="18"/>
        </w:rPr>
        <w:t xml:space="preserve"> </w:t>
      </w:r>
      <w:r w:rsidRPr="00B4606C">
        <w:rPr>
          <w:rFonts w:asciiTheme="minorHAnsi" w:hAnsiTheme="minorHAnsi"/>
          <w:i/>
          <w:sz w:val="18"/>
          <w:szCs w:val="18"/>
        </w:rPr>
        <w:t>Al Nashiri p. Polsce</w:t>
      </w:r>
      <w:r w:rsidRPr="00B4606C">
        <w:rPr>
          <w:rFonts w:asciiTheme="minorHAnsi" w:hAnsiTheme="minorHAnsi"/>
          <w:sz w:val="18"/>
          <w:szCs w:val="18"/>
        </w:rPr>
        <w:t>, (skarga nr 28761/11), ETPCz, 24 lipca 2014 r., par. 562-68. Mimo że ustawa o komisjach wojskowych wydaje się zabraniać wykorzystywania dowodów uzyskanych wskutek tortur oraz okrutnego, nieludzkiego i poniżającego traktowania, to w rzeczywistości komisje wojskowe dopuszczają dowody uzyskane wskutek tortur. Wynika to po części z interpretacji tego zakazu ustawowego dokonanej w obowiązujących Regułach dla Komisji Wojskowych, które jedynie formalnie zabraniają wykorzystywania wyjaśnień złożonych przez oskarżonego „pod wpływem” tortur. W praktyce oznacza to, że dowód uzyskany wskutek tortur jest niedopuszczalny tylko wtedy, gdy wyjaśnienia odebrano od oskarżonego w czasie, gdy był poddawany torturom. Wyjaśnienia złożone później, w tym tego samego dnia i wobec tych samych osób prowadzących przesłuchanie, uznano za dopuszczalne, o ile oskarżony nie jest w stanie wykazać, że te konkretne wyjaśnienia nie zostały złożone „dobrowolnie”. Ponadto zasady dotyczące zachowania tajemnicy pozwalają oskarżeniu na nieujawnianie dowodów, jeżeli są one objęte tajemnicą, zaś zasady dotyczące dowodu z pogłosek pozwalają oskarżeniu na dopuszczenie zeznań złożonych przez osoby trzecie bez odbierania od nich przysięgi/przyrzeczenia, co jeszcze bardziej osłabia ochronę oskarżonego. Należy oczekiwać, że w sprawie pana Al Nashiriego wszystkie te zasady zostaną wykorzystane.</w:t>
      </w:r>
    </w:p>
  </w:footnote>
  <w:footnote w:id="205">
    <w:p w:rsidR="00B4606C" w:rsidRPr="00B4606C" w:rsidRDefault="00B4606C">
      <w:pPr>
        <w:pStyle w:val="Tekstprzypisudolnego"/>
        <w:rPr>
          <w:rFonts w:asciiTheme="minorHAnsi" w:hAnsiTheme="minorHAnsi"/>
          <w:sz w:val="18"/>
          <w:szCs w:val="18"/>
        </w:rPr>
      </w:pPr>
      <w:r w:rsidRPr="00B4606C">
        <w:rPr>
          <w:rStyle w:val="Odwoanieprzypisudolnego"/>
          <w:rFonts w:asciiTheme="minorHAnsi" w:hAnsiTheme="minorHAnsi"/>
          <w:sz w:val="18"/>
          <w:szCs w:val="18"/>
        </w:rPr>
        <w:footnoteRef/>
      </w:r>
      <w:r w:rsidRPr="00B4606C">
        <w:rPr>
          <w:rFonts w:asciiTheme="minorHAnsi" w:hAnsiTheme="minorHAnsi"/>
          <w:sz w:val="18"/>
          <w:szCs w:val="18"/>
        </w:rPr>
        <w:t xml:space="preserve"> </w:t>
      </w:r>
      <w:r w:rsidRPr="00B4606C">
        <w:rPr>
          <w:rFonts w:asciiTheme="minorHAnsi" w:hAnsiTheme="minorHAnsi"/>
          <w:i/>
          <w:sz w:val="18"/>
          <w:szCs w:val="18"/>
        </w:rPr>
        <w:t>Al Nashiri p. Polsce</w:t>
      </w:r>
      <w:r w:rsidRPr="00B4606C">
        <w:rPr>
          <w:rFonts w:asciiTheme="minorHAnsi" w:hAnsiTheme="minorHAnsi"/>
          <w:sz w:val="18"/>
          <w:szCs w:val="18"/>
        </w:rPr>
        <w:t>, par. 547</w:t>
      </w:r>
    </w:p>
  </w:footnote>
  <w:footnote w:id="206">
    <w:p w:rsidR="00B4606C" w:rsidRPr="00B4606C" w:rsidRDefault="00B4606C">
      <w:pPr>
        <w:pStyle w:val="Tekstprzypisudolnego"/>
        <w:rPr>
          <w:rFonts w:asciiTheme="minorHAnsi" w:hAnsiTheme="minorHAnsi"/>
          <w:sz w:val="18"/>
          <w:szCs w:val="18"/>
        </w:rPr>
      </w:pPr>
      <w:r w:rsidRPr="00B4606C">
        <w:rPr>
          <w:rStyle w:val="Odwoanieprzypisudolnego"/>
          <w:rFonts w:asciiTheme="minorHAnsi" w:hAnsiTheme="minorHAnsi"/>
          <w:sz w:val="18"/>
          <w:szCs w:val="18"/>
        </w:rPr>
        <w:footnoteRef/>
      </w:r>
      <w:r w:rsidRPr="00B4606C">
        <w:rPr>
          <w:rFonts w:asciiTheme="minorHAnsi" w:hAnsiTheme="minorHAnsi"/>
          <w:sz w:val="18"/>
          <w:szCs w:val="18"/>
        </w:rPr>
        <w:t xml:space="preserve"> </w:t>
      </w:r>
      <w:r w:rsidRPr="00B4606C">
        <w:rPr>
          <w:rFonts w:asciiTheme="minorHAnsi" w:hAnsiTheme="minorHAnsi"/>
          <w:i/>
          <w:sz w:val="18"/>
          <w:szCs w:val="18"/>
        </w:rPr>
        <w:t>Al Nashiri p. Polsce</w:t>
      </w:r>
      <w:r w:rsidRPr="00B4606C">
        <w:rPr>
          <w:rFonts w:asciiTheme="minorHAnsi" w:hAnsiTheme="minorHAnsi"/>
          <w:sz w:val="18"/>
          <w:szCs w:val="18"/>
        </w:rPr>
        <w:t>, par. 493.</w:t>
      </w:r>
    </w:p>
  </w:footnote>
  <w:footnote w:id="207">
    <w:p w:rsidR="00B4606C" w:rsidRPr="00B4606C" w:rsidRDefault="00B4606C">
      <w:pPr>
        <w:pStyle w:val="Tekstprzypisudolnego"/>
        <w:rPr>
          <w:rFonts w:asciiTheme="minorHAnsi" w:hAnsiTheme="minorHAnsi"/>
          <w:sz w:val="18"/>
          <w:szCs w:val="18"/>
        </w:rPr>
      </w:pPr>
      <w:r w:rsidRPr="00B4606C">
        <w:rPr>
          <w:rStyle w:val="Odwoanieprzypisudolnego"/>
          <w:rFonts w:asciiTheme="minorHAnsi" w:hAnsiTheme="minorHAnsi"/>
          <w:sz w:val="18"/>
          <w:szCs w:val="18"/>
        </w:rPr>
        <w:footnoteRef/>
      </w:r>
      <w:r w:rsidRPr="00B4606C">
        <w:rPr>
          <w:rFonts w:asciiTheme="minorHAnsi" w:hAnsiTheme="minorHAnsi"/>
          <w:sz w:val="18"/>
          <w:szCs w:val="18"/>
        </w:rPr>
        <w:t xml:space="preserve"> </w:t>
      </w:r>
      <w:r w:rsidRPr="00B4606C">
        <w:rPr>
          <w:rFonts w:asciiTheme="minorHAnsi" w:hAnsiTheme="minorHAnsi"/>
          <w:i/>
          <w:sz w:val="18"/>
          <w:szCs w:val="18"/>
        </w:rPr>
        <w:t>Al Nashiri p. Polsce</w:t>
      </w:r>
      <w:r w:rsidRPr="00B4606C">
        <w:rPr>
          <w:rFonts w:asciiTheme="minorHAnsi" w:hAnsiTheme="minorHAnsi"/>
          <w:sz w:val="18"/>
          <w:szCs w:val="18"/>
        </w:rPr>
        <w:t>, par. 493.</w:t>
      </w:r>
    </w:p>
  </w:footnote>
  <w:footnote w:id="208">
    <w:p w:rsidR="00B4606C" w:rsidRDefault="00B4606C">
      <w:pPr>
        <w:pStyle w:val="Tekstprzypisudolnego"/>
      </w:pPr>
      <w:r w:rsidRPr="00B4606C">
        <w:rPr>
          <w:rStyle w:val="Odwoanieprzypisudolnego"/>
          <w:rFonts w:asciiTheme="minorHAnsi" w:hAnsiTheme="minorHAnsi"/>
          <w:sz w:val="18"/>
          <w:szCs w:val="18"/>
        </w:rPr>
        <w:footnoteRef/>
      </w:r>
      <w:r w:rsidRPr="00B4606C">
        <w:rPr>
          <w:rFonts w:asciiTheme="minorHAnsi" w:hAnsiTheme="minorHAnsi"/>
          <w:sz w:val="18"/>
          <w:szCs w:val="18"/>
        </w:rPr>
        <w:t xml:space="preserve"> 1369. posiedzenie (marzec 2020 r.) (DH) - Zaktualizowany plan działań (03/02/2020) - Komunikacja polskich władz dotycząca grupy spraw AL NASHIRI p. Polsce (skarga nr 28761/11), 9.</w:t>
      </w:r>
    </w:p>
  </w:footnote>
  <w:footnote w:id="209">
    <w:p w:rsidR="00B4606C" w:rsidRPr="00800691" w:rsidRDefault="00B4606C" w:rsidP="00800691">
      <w:pPr>
        <w:pStyle w:val="Tekstprzypisudolnego"/>
        <w:rPr>
          <w:rFonts w:asciiTheme="minorHAnsi" w:hAnsiTheme="minorHAnsi"/>
          <w:sz w:val="18"/>
          <w:szCs w:val="18"/>
        </w:rPr>
      </w:pPr>
      <w:r w:rsidRPr="00800691">
        <w:rPr>
          <w:rStyle w:val="Odwoanieprzypisudolnego"/>
          <w:rFonts w:asciiTheme="minorHAnsi" w:hAnsiTheme="minorHAnsi"/>
          <w:sz w:val="18"/>
          <w:szCs w:val="18"/>
        </w:rPr>
        <w:footnoteRef/>
      </w:r>
      <w:r w:rsidRPr="00800691">
        <w:rPr>
          <w:rFonts w:asciiTheme="minorHAnsi" w:hAnsiTheme="minorHAnsi"/>
          <w:sz w:val="18"/>
          <w:szCs w:val="18"/>
        </w:rPr>
        <w:t xml:space="preserve"> </w:t>
      </w:r>
      <w:r w:rsidR="00800691" w:rsidRPr="00800691">
        <w:rPr>
          <w:rFonts w:asciiTheme="minorHAnsi" w:hAnsiTheme="minorHAnsi"/>
          <w:sz w:val="18"/>
          <w:szCs w:val="18"/>
        </w:rPr>
        <w:t xml:space="preserve">1369. posiedzenie (marzec 2020 r.) (DH) - Zaktualizowany plan działań (03.02.2020 r.) – Komunikacja polskich władz dotycząca grupy spraw </w:t>
      </w:r>
      <w:r w:rsidR="00800691" w:rsidRPr="00800691">
        <w:rPr>
          <w:rFonts w:asciiTheme="minorHAnsi" w:hAnsiTheme="minorHAnsi"/>
          <w:i/>
          <w:sz w:val="18"/>
          <w:szCs w:val="18"/>
        </w:rPr>
        <w:t>AL NASHIRI p. Polsce</w:t>
      </w:r>
      <w:r w:rsidR="00800691" w:rsidRPr="00800691">
        <w:rPr>
          <w:rFonts w:asciiTheme="minorHAnsi" w:hAnsiTheme="minorHAnsi"/>
          <w:sz w:val="18"/>
          <w:szCs w:val="18"/>
        </w:rPr>
        <w:t xml:space="preserve"> (skarga nr 28761/11)</w:t>
      </w:r>
    </w:p>
  </w:footnote>
  <w:footnote w:id="210">
    <w:p w:rsidR="00B4606C" w:rsidRPr="00800691" w:rsidRDefault="00B4606C" w:rsidP="00800691">
      <w:pPr>
        <w:pStyle w:val="Tekstprzypisudolnego"/>
        <w:rPr>
          <w:rFonts w:asciiTheme="minorHAnsi" w:hAnsiTheme="minorHAnsi"/>
          <w:sz w:val="18"/>
          <w:szCs w:val="18"/>
        </w:rPr>
      </w:pPr>
      <w:r w:rsidRPr="00800691">
        <w:rPr>
          <w:rStyle w:val="Odwoanieprzypisudolnego"/>
          <w:rFonts w:asciiTheme="minorHAnsi" w:hAnsiTheme="minorHAnsi"/>
          <w:sz w:val="18"/>
          <w:szCs w:val="18"/>
        </w:rPr>
        <w:footnoteRef/>
      </w:r>
      <w:r w:rsidRPr="00800691">
        <w:rPr>
          <w:rFonts w:asciiTheme="minorHAnsi" w:hAnsiTheme="minorHAnsi"/>
          <w:sz w:val="18"/>
          <w:szCs w:val="18"/>
        </w:rPr>
        <w:t xml:space="preserve"> </w:t>
      </w:r>
      <w:r w:rsidR="00800691" w:rsidRPr="00800691">
        <w:rPr>
          <w:rFonts w:asciiTheme="minorHAnsi" w:hAnsiTheme="minorHAnsi"/>
          <w:sz w:val="18"/>
          <w:szCs w:val="18"/>
        </w:rPr>
        <w:t>CM/Del/Dec(2019)1348/H46-18, 6 czerwca 2019 r.</w:t>
      </w:r>
    </w:p>
  </w:footnote>
  <w:footnote w:id="211">
    <w:p w:rsidR="00B4606C" w:rsidRPr="00800691" w:rsidRDefault="00B4606C" w:rsidP="00800691">
      <w:pPr>
        <w:pStyle w:val="Tekstprzypisudolnego"/>
        <w:rPr>
          <w:rFonts w:asciiTheme="minorHAnsi" w:hAnsiTheme="minorHAnsi"/>
          <w:sz w:val="18"/>
          <w:szCs w:val="18"/>
        </w:rPr>
      </w:pPr>
      <w:r w:rsidRPr="00800691">
        <w:rPr>
          <w:rStyle w:val="Odwoanieprzypisudolnego"/>
          <w:rFonts w:asciiTheme="minorHAnsi" w:hAnsiTheme="minorHAnsi"/>
          <w:sz w:val="18"/>
          <w:szCs w:val="18"/>
        </w:rPr>
        <w:footnoteRef/>
      </w:r>
      <w:r w:rsidRPr="00800691">
        <w:rPr>
          <w:rFonts w:asciiTheme="minorHAnsi" w:hAnsiTheme="minorHAnsi"/>
          <w:sz w:val="18"/>
          <w:szCs w:val="18"/>
        </w:rPr>
        <w:t xml:space="preserve"> </w:t>
      </w:r>
      <w:r w:rsidR="00800691" w:rsidRPr="00800691">
        <w:rPr>
          <w:rFonts w:asciiTheme="minorHAnsi" w:hAnsiTheme="minorHAnsi"/>
          <w:sz w:val="18"/>
          <w:szCs w:val="18"/>
        </w:rPr>
        <w:t xml:space="preserve">Zob.z 1348. posiedzenie (czerwiec 2019 r.) (DH) - Reguła 9.2 Komunikacja organizacji pozarządowej (03.05.2019 r.) w sprawie </w:t>
      </w:r>
      <w:r w:rsidR="00800691" w:rsidRPr="00800691">
        <w:rPr>
          <w:rFonts w:asciiTheme="minorHAnsi" w:hAnsiTheme="minorHAnsi"/>
          <w:i/>
          <w:sz w:val="18"/>
          <w:szCs w:val="18"/>
        </w:rPr>
        <w:t>Al Nashiri p. Rumunii</w:t>
      </w:r>
      <w:r w:rsidR="00800691" w:rsidRPr="00800691">
        <w:rPr>
          <w:rFonts w:asciiTheme="minorHAnsi" w:hAnsiTheme="minorHAnsi"/>
          <w:sz w:val="18"/>
          <w:szCs w:val="18"/>
        </w:rPr>
        <w:t xml:space="preserve"> (skarga nr 33234/12), 4-5.</w:t>
      </w:r>
    </w:p>
  </w:footnote>
  <w:footnote w:id="212">
    <w:p w:rsidR="00800691" w:rsidRPr="00800691" w:rsidRDefault="00800691" w:rsidP="00800691">
      <w:pPr>
        <w:pStyle w:val="Tekstprzypisudolnego"/>
        <w:rPr>
          <w:rFonts w:asciiTheme="minorHAnsi" w:hAnsiTheme="minorHAnsi"/>
          <w:sz w:val="18"/>
          <w:szCs w:val="18"/>
        </w:rPr>
      </w:pPr>
      <w:r w:rsidRPr="00800691">
        <w:rPr>
          <w:rStyle w:val="Odwoanieprzypisudolnego"/>
          <w:rFonts w:asciiTheme="minorHAnsi" w:hAnsiTheme="minorHAnsi"/>
          <w:sz w:val="18"/>
          <w:szCs w:val="18"/>
        </w:rPr>
        <w:footnoteRef/>
      </w:r>
      <w:r w:rsidRPr="00800691">
        <w:rPr>
          <w:rFonts w:asciiTheme="minorHAnsi" w:hAnsiTheme="minorHAnsi"/>
          <w:sz w:val="18"/>
          <w:szCs w:val="18"/>
        </w:rPr>
        <w:t xml:space="preserve"> </w:t>
      </w:r>
      <w:r w:rsidRPr="00800691">
        <w:rPr>
          <w:rFonts w:asciiTheme="minorHAnsi" w:hAnsiTheme="minorHAnsi"/>
          <w:i/>
          <w:sz w:val="18"/>
          <w:szCs w:val="18"/>
        </w:rPr>
        <w:t>Al Nashiri p. Polsce,</w:t>
      </w:r>
      <w:r w:rsidRPr="00800691">
        <w:rPr>
          <w:rFonts w:asciiTheme="minorHAnsi" w:hAnsiTheme="minorHAnsi"/>
          <w:sz w:val="18"/>
          <w:szCs w:val="18"/>
        </w:rPr>
        <w:t xml:space="preserve"> par. 589.</w:t>
      </w:r>
    </w:p>
  </w:footnote>
  <w:footnote w:id="213">
    <w:p w:rsidR="00800691" w:rsidRPr="00800691" w:rsidRDefault="00800691" w:rsidP="00800691">
      <w:pPr>
        <w:pStyle w:val="Tekstprzypisudolnego"/>
        <w:rPr>
          <w:rFonts w:asciiTheme="minorHAnsi" w:hAnsiTheme="minorHAnsi"/>
          <w:sz w:val="18"/>
          <w:szCs w:val="18"/>
        </w:rPr>
      </w:pPr>
      <w:r w:rsidRPr="00800691">
        <w:rPr>
          <w:rStyle w:val="Odwoanieprzypisudolnego"/>
          <w:rFonts w:asciiTheme="minorHAnsi" w:hAnsiTheme="minorHAnsi"/>
          <w:sz w:val="18"/>
          <w:szCs w:val="18"/>
        </w:rPr>
        <w:footnoteRef/>
      </w:r>
      <w:r w:rsidRPr="00800691">
        <w:rPr>
          <w:rFonts w:asciiTheme="minorHAnsi" w:hAnsiTheme="minorHAnsi"/>
          <w:sz w:val="18"/>
          <w:szCs w:val="18"/>
        </w:rPr>
        <w:t xml:space="preserve"> CM/Del/Dec(2019)1348/H46-18, 6 czerwca 2019 r., pkt 12.</w:t>
      </w:r>
    </w:p>
  </w:footnote>
  <w:footnote w:id="214">
    <w:p w:rsidR="00800691" w:rsidRDefault="00800691" w:rsidP="00800691">
      <w:pPr>
        <w:pStyle w:val="Tekstprzypisudolnego"/>
      </w:pPr>
      <w:r w:rsidRPr="00800691">
        <w:rPr>
          <w:rStyle w:val="Odwoanieprzypisudolnego"/>
          <w:rFonts w:asciiTheme="minorHAnsi" w:hAnsiTheme="minorHAnsi"/>
          <w:sz w:val="18"/>
          <w:szCs w:val="18"/>
        </w:rPr>
        <w:footnoteRef/>
      </w:r>
      <w:r w:rsidRPr="00800691">
        <w:rPr>
          <w:rFonts w:asciiTheme="minorHAnsi" w:hAnsiTheme="minorHAnsi"/>
          <w:sz w:val="18"/>
          <w:szCs w:val="18"/>
        </w:rPr>
        <w:t xml:space="preserve"> </w:t>
      </w:r>
      <w:r w:rsidRPr="00800691">
        <w:rPr>
          <w:rFonts w:asciiTheme="minorHAnsi" w:hAnsiTheme="minorHAnsi"/>
          <w:i/>
          <w:sz w:val="18"/>
          <w:szCs w:val="18"/>
        </w:rPr>
        <w:t>Al Nashiri p. Polsce</w:t>
      </w:r>
      <w:r w:rsidRPr="00800691">
        <w:rPr>
          <w:rFonts w:asciiTheme="minorHAnsi" w:hAnsiTheme="minorHAnsi"/>
          <w:sz w:val="18"/>
          <w:szCs w:val="18"/>
        </w:rPr>
        <w:t>, par. 517.</w:t>
      </w:r>
    </w:p>
  </w:footnote>
  <w:footnote w:id="215">
    <w:p w:rsidR="00800691" w:rsidRPr="00800691" w:rsidRDefault="00800691">
      <w:pPr>
        <w:pStyle w:val="Tekstprzypisudolnego"/>
        <w:rPr>
          <w:rFonts w:asciiTheme="minorHAnsi" w:hAnsiTheme="minorHAnsi"/>
          <w:sz w:val="18"/>
          <w:szCs w:val="18"/>
        </w:rPr>
      </w:pPr>
      <w:r w:rsidRPr="00800691">
        <w:rPr>
          <w:rStyle w:val="Odwoanieprzypisudolnego"/>
          <w:rFonts w:asciiTheme="minorHAnsi" w:hAnsiTheme="minorHAnsi"/>
          <w:sz w:val="18"/>
          <w:szCs w:val="18"/>
        </w:rPr>
        <w:footnoteRef/>
      </w:r>
      <w:r w:rsidRPr="00800691">
        <w:rPr>
          <w:rFonts w:asciiTheme="minorHAnsi" w:hAnsiTheme="minorHAnsi"/>
          <w:sz w:val="18"/>
          <w:szCs w:val="18"/>
        </w:rPr>
        <w:t xml:space="preserve"> 1369. posiedzenie (marzec 2020 r.) (DH) - Zaktualizowany plan działań (03.02.2020 r.) - Komunikacja polskich władz dotycząca </w:t>
      </w:r>
      <w:r w:rsidR="00BE52C6">
        <w:rPr>
          <w:rFonts w:asciiTheme="minorHAnsi" w:hAnsiTheme="minorHAnsi"/>
          <w:sz w:val="18"/>
          <w:szCs w:val="18"/>
        </w:rPr>
        <w:t xml:space="preserve">grupy spraw </w:t>
      </w:r>
      <w:r w:rsidR="00BE52C6" w:rsidRPr="00BE52C6">
        <w:rPr>
          <w:rFonts w:asciiTheme="minorHAnsi" w:hAnsiTheme="minorHAnsi"/>
          <w:i/>
          <w:sz w:val="18"/>
          <w:szCs w:val="18"/>
        </w:rPr>
        <w:t>AL NASHIRI p.</w:t>
      </w:r>
      <w:r w:rsidRPr="00BE52C6">
        <w:rPr>
          <w:rFonts w:asciiTheme="minorHAnsi" w:hAnsiTheme="minorHAnsi"/>
          <w:i/>
          <w:sz w:val="18"/>
          <w:szCs w:val="18"/>
        </w:rPr>
        <w:t xml:space="preserve"> Polsce</w:t>
      </w:r>
      <w:r w:rsidRPr="00800691">
        <w:rPr>
          <w:rFonts w:asciiTheme="minorHAnsi" w:hAnsiTheme="minorHAnsi"/>
          <w:sz w:val="18"/>
          <w:szCs w:val="18"/>
        </w:rPr>
        <w:t xml:space="preserve"> (skarga nr 28761/11)</w:t>
      </w:r>
    </w:p>
  </w:footnote>
  <w:footnote w:id="216">
    <w:p w:rsidR="00800691" w:rsidRPr="00800691" w:rsidRDefault="00800691">
      <w:pPr>
        <w:pStyle w:val="Tekstprzypisudolnego"/>
        <w:rPr>
          <w:rFonts w:asciiTheme="minorHAnsi" w:hAnsiTheme="minorHAnsi"/>
          <w:sz w:val="18"/>
          <w:szCs w:val="18"/>
        </w:rPr>
      </w:pPr>
      <w:r w:rsidRPr="00800691">
        <w:rPr>
          <w:rStyle w:val="Odwoanieprzypisudolnego"/>
          <w:rFonts w:asciiTheme="minorHAnsi" w:hAnsiTheme="minorHAnsi"/>
          <w:sz w:val="18"/>
          <w:szCs w:val="18"/>
        </w:rPr>
        <w:footnoteRef/>
      </w:r>
      <w:r w:rsidRPr="00800691">
        <w:rPr>
          <w:rFonts w:asciiTheme="minorHAnsi" w:hAnsiTheme="minorHAnsi"/>
          <w:sz w:val="18"/>
          <w:szCs w:val="18"/>
        </w:rPr>
        <w:t xml:space="preserve"> 1324. posiedzenie (wrzesień 2018 r.) (DH), Plan działań (21/06/35) – Komunikacja polskich władz dotyc</w:t>
      </w:r>
      <w:r w:rsidR="00BE52C6">
        <w:rPr>
          <w:rFonts w:asciiTheme="minorHAnsi" w:hAnsiTheme="minorHAnsi"/>
          <w:sz w:val="18"/>
          <w:szCs w:val="18"/>
        </w:rPr>
        <w:t xml:space="preserve">ząca sprawy </w:t>
      </w:r>
      <w:r w:rsidR="00BE52C6" w:rsidRPr="00BE52C6">
        <w:rPr>
          <w:rFonts w:asciiTheme="minorHAnsi" w:hAnsiTheme="minorHAnsi"/>
          <w:i/>
          <w:sz w:val="18"/>
          <w:szCs w:val="18"/>
        </w:rPr>
        <w:t>AL NASHIRI p.</w:t>
      </w:r>
      <w:r w:rsidRPr="00BE52C6">
        <w:rPr>
          <w:rFonts w:asciiTheme="minorHAnsi" w:hAnsiTheme="minorHAnsi"/>
          <w:i/>
          <w:sz w:val="18"/>
          <w:szCs w:val="18"/>
        </w:rPr>
        <w:t xml:space="preserve"> Polsce</w:t>
      </w:r>
      <w:r w:rsidRPr="00800691">
        <w:rPr>
          <w:rFonts w:asciiTheme="minorHAnsi" w:hAnsiTheme="minorHAnsi"/>
          <w:sz w:val="18"/>
          <w:szCs w:val="18"/>
        </w:rPr>
        <w:t xml:space="preserve"> (skarga nr 28761/11), 35.</w:t>
      </w:r>
    </w:p>
  </w:footnote>
  <w:footnote w:id="217">
    <w:p w:rsidR="00800691" w:rsidRPr="00800691" w:rsidRDefault="00800691">
      <w:pPr>
        <w:pStyle w:val="Tekstprzypisudolnego"/>
        <w:rPr>
          <w:rFonts w:asciiTheme="minorHAnsi" w:hAnsiTheme="minorHAnsi"/>
          <w:sz w:val="18"/>
          <w:szCs w:val="18"/>
        </w:rPr>
      </w:pPr>
      <w:r w:rsidRPr="00800691">
        <w:rPr>
          <w:rStyle w:val="Odwoanieprzypisudolnego"/>
          <w:rFonts w:asciiTheme="minorHAnsi" w:hAnsiTheme="minorHAnsi"/>
          <w:sz w:val="18"/>
          <w:szCs w:val="18"/>
        </w:rPr>
        <w:footnoteRef/>
      </w:r>
      <w:r w:rsidRPr="00800691">
        <w:rPr>
          <w:rFonts w:asciiTheme="minorHAnsi" w:hAnsiTheme="minorHAnsi"/>
          <w:sz w:val="18"/>
          <w:szCs w:val="18"/>
        </w:rPr>
        <w:t xml:space="preserve"> 1348. posiedzenie (czerwiec 2019 r.) (DH) - Reguła 8.2a Komunikacja władz (26.04.2019 r.) dotycząca </w:t>
      </w:r>
      <w:r w:rsidR="00BE52C6">
        <w:rPr>
          <w:rFonts w:asciiTheme="minorHAnsi" w:hAnsiTheme="minorHAnsi"/>
          <w:sz w:val="18"/>
          <w:szCs w:val="18"/>
        </w:rPr>
        <w:t xml:space="preserve">grupy spraw </w:t>
      </w:r>
      <w:r w:rsidR="00BE52C6" w:rsidRPr="00BE52C6">
        <w:rPr>
          <w:rFonts w:asciiTheme="minorHAnsi" w:hAnsiTheme="minorHAnsi"/>
          <w:i/>
          <w:sz w:val="18"/>
          <w:szCs w:val="18"/>
        </w:rPr>
        <w:t>AL NASHIRI p.</w:t>
      </w:r>
      <w:r w:rsidRPr="00BE52C6">
        <w:rPr>
          <w:rFonts w:asciiTheme="minorHAnsi" w:hAnsiTheme="minorHAnsi"/>
          <w:i/>
          <w:sz w:val="18"/>
          <w:szCs w:val="18"/>
        </w:rPr>
        <w:t xml:space="preserve"> Polsce</w:t>
      </w:r>
      <w:r w:rsidRPr="00800691">
        <w:rPr>
          <w:rFonts w:asciiTheme="minorHAnsi" w:hAnsiTheme="minorHAnsi"/>
          <w:sz w:val="18"/>
          <w:szCs w:val="18"/>
        </w:rPr>
        <w:t xml:space="preserve"> (skarga nr 28761/11),</w:t>
      </w:r>
    </w:p>
  </w:footnote>
  <w:footnote w:id="218">
    <w:p w:rsidR="00800691" w:rsidRDefault="00800691" w:rsidP="00BE52C6">
      <w:pPr>
        <w:pStyle w:val="Tekstprzypisudolnego"/>
      </w:pPr>
      <w:r w:rsidRPr="00800691">
        <w:rPr>
          <w:rStyle w:val="Odwoanieprzypisudolnego"/>
          <w:rFonts w:asciiTheme="minorHAnsi" w:hAnsiTheme="minorHAnsi"/>
          <w:sz w:val="18"/>
          <w:szCs w:val="18"/>
        </w:rPr>
        <w:footnoteRef/>
      </w:r>
      <w:r w:rsidRPr="00800691">
        <w:rPr>
          <w:rFonts w:asciiTheme="minorHAnsi" w:hAnsiTheme="minorHAnsi"/>
          <w:sz w:val="18"/>
          <w:szCs w:val="18"/>
        </w:rPr>
        <w:t xml:space="preserve"> „Osiodłać Pegaza”: Przestrzeganie praw obywatelskich w działalności służb specjalnych – założenia reformy,</w:t>
      </w:r>
      <w:r w:rsidRPr="00800691">
        <w:rPr>
          <w:rFonts w:asciiTheme="minorHAnsi" w:hAnsiTheme="minorHAnsi"/>
          <w:sz w:val="18"/>
          <w:szCs w:val="18"/>
        </w:rPr>
        <w:tab/>
        <w:t>Adam</w:t>
      </w:r>
      <w:r>
        <w:rPr>
          <w:rFonts w:asciiTheme="minorHAnsi" w:hAnsiTheme="minorHAnsi"/>
          <w:sz w:val="18"/>
          <w:szCs w:val="18"/>
        </w:rPr>
        <w:t xml:space="preserve"> </w:t>
      </w:r>
      <w:r w:rsidRPr="00800691">
        <w:rPr>
          <w:rFonts w:asciiTheme="minorHAnsi" w:hAnsiTheme="minorHAnsi"/>
          <w:sz w:val="18"/>
          <w:szCs w:val="18"/>
        </w:rPr>
        <w:t>Bodnar</w:t>
      </w:r>
      <w:r w:rsidRPr="00800691">
        <w:rPr>
          <w:rFonts w:asciiTheme="minorHAnsi" w:hAnsiTheme="minorHAnsi"/>
          <w:sz w:val="18"/>
          <w:szCs w:val="18"/>
        </w:rPr>
        <w:tab/>
        <w:t>i in.,</w:t>
      </w:r>
      <w:r w:rsidRPr="00800691">
        <w:rPr>
          <w:rFonts w:asciiTheme="minorHAnsi" w:hAnsiTheme="minorHAnsi"/>
          <w:sz w:val="18"/>
          <w:szCs w:val="18"/>
        </w:rPr>
        <w:tab/>
        <w:t>2019,</w:t>
      </w:r>
      <w:r w:rsidRPr="00800691">
        <w:rPr>
          <w:rFonts w:asciiTheme="minorHAnsi" w:hAnsiTheme="minorHAnsi"/>
          <w:sz w:val="18"/>
          <w:szCs w:val="18"/>
        </w:rPr>
        <w:tab/>
        <w:t xml:space="preserve">tekst w języku polskim dostępny pod adresem: </w:t>
      </w:r>
      <w:r>
        <w:rPr>
          <w:rFonts w:asciiTheme="minorHAnsi" w:hAnsiTheme="minorHAnsi"/>
          <w:sz w:val="18"/>
          <w:szCs w:val="18"/>
        </w:rPr>
        <w:t xml:space="preserve"> h</w:t>
      </w:r>
      <w:r w:rsidRPr="00800691">
        <w:rPr>
          <w:rFonts w:asciiTheme="minorHAnsi" w:hAnsiTheme="minorHAnsi"/>
          <w:sz w:val="18"/>
          <w:szCs w:val="18"/>
        </w:rPr>
        <w:t>ttps://panoptykon.org/sites/default/files/osiodlac_pegaza-jak_powinien_wygladac_nadzor_nad_sluzbami._raport_ekspertow.pdf</w:t>
      </w:r>
    </w:p>
  </w:footnote>
  <w:footnote w:id="219">
    <w:p w:rsidR="00B4606C" w:rsidRPr="00BE52C6" w:rsidRDefault="00B4606C" w:rsidP="006B2CF8">
      <w:pPr>
        <w:pStyle w:val="Stopka1"/>
        <w:rPr>
          <w:rFonts w:asciiTheme="minorHAnsi" w:hAnsiTheme="minorHAnsi"/>
          <w:sz w:val="18"/>
          <w:szCs w:val="18"/>
        </w:rPr>
      </w:pPr>
      <w:r w:rsidRPr="00BE52C6">
        <w:rPr>
          <w:rStyle w:val="Odwoanieprzypisudolnego"/>
          <w:rFonts w:asciiTheme="minorHAnsi" w:eastAsia="Arial Unicode MS" w:hAnsiTheme="minorHAnsi" w:cs="Arial Unicode MS"/>
          <w:sz w:val="18"/>
          <w:szCs w:val="18"/>
        </w:rPr>
        <w:footnoteRef/>
      </w:r>
      <w:r w:rsidRPr="00BE52C6">
        <w:rPr>
          <w:rFonts w:asciiTheme="minorHAnsi" w:hAnsiTheme="minorHAnsi"/>
          <w:sz w:val="18"/>
          <w:szCs w:val="18"/>
        </w:rPr>
        <w:t xml:space="preserve"> Wyrok ETPCz z dnia 13 czerwca 2019 r. w sprawie </w:t>
      </w:r>
      <w:r w:rsidRPr="00BE52C6">
        <w:rPr>
          <w:rFonts w:asciiTheme="minorHAnsi" w:hAnsiTheme="minorHAnsi"/>
          <w:i/>
          <w:iCs/>
          <w:sz w:val="18"/>
          <w:szCs w:val="18"/>
        </w:rPr>
        <w:t>Bednarz p. Polsce</w:t>
      </w:r>
      <w:r w:rsidRPr="00BE52C6">
        <w:rPr>
          <w:rFonts w:asciiTheme="minorHAnsi" w:hAnsiTheme="minorHAnsi"/>
          <w:sz w:val="18"/>
          <w:szCs w:val="18"/>
        </w:rPr>
        <w:t>, skarga nr 76505/14.</w:t>
      </w:r>
    </w:p>
  </w:footnote>
  <w:footnote w:id="220">
    <w:p w:rsidR="00B4606C" w:rsidRPr="00953037" w:rsidRDefault="00B4606C" w:rsidP="006B2CF8">
      <w:pPr>
        <w:pStyle w:val="Stopka1"/>
        <w:tabs>
          <w:tab w:val="left" w:pos="283"/>
        </w:tabs>
        <w:spacing w:line="252" w:lineRule="auto"/>
        <w:rPr>
          <w:rFonts w:asciiTheme="minorHAnsi" w:hAnsiTheme="minorHAnsi"/>
          <w:sz w:val="18"/>
          <w:szCs w:val="18"/>
        </w:rPr>
      </w:pPr>
      <w:r w:rsidRPr="00953037">
        <w:rPr>
          <w:rFonts w:asciiTheme="minorHAnsi" w:hAnsiTheme="minorHAnsi"/>
          <w:sz w:val="18"/>
          <w:szCs w:val="18"/>
          <w:vertAlign w:val="superscript"/>
        </w:rPr>
        <w:footnoteRef/>
      </w:r>
      <w:r w:rsidR="00953037" w:rsidRPr="00953037">
        <w:rPr>
          <w:rFonts w:asciiTheme="minorHAnsi" w:hAnsiTheme="minorHAnsi"/>
          <w:sz w:val="18"/>
          <w:szCs w:val="18"/>
        </w:rPr>
        <w:t xml:space="preserve"> Komunikacja r</w:t>
      </w:r>
      <w:r w:rsidRPr="00953037">
        <w:rPr>
          <w:rFonts w:asciiTheme="minorHAnsi" w:hAnsiTheme="minorHAnsi"/>
          <w:sz w:val="18"/>
          <w:szCs w:val="18"/>
        </w:rPr>
        <w:t xml:space="preserve">ządu Rzeczypospolitej Polskiej z dnia 9 stycznia 2020 r., s. 2., </w:t>
      </w:r>
      <w:hyperlink r:id="rId70" w:history="1">
        <w:r w:rsidRPr="00953037">
          <w:rPr>
            <w:rStyle w:val="Hipercze"/>
            <w:rFonts w:asciiTheme="minorHAnsi" w:hAnsiTheme="minorHAnsi"/>
            <w:sz w:val="18"/>
            <w:szCs w:val="18"/>
          </w:rPr>
          <w:t>https://search.coe.int/cm/Pages/result_details.aspx?ObjectId=0900001680996961</w:t>
        </w:r>
      </w:hyperlink>
      <w:r w:rsidRPr="00953037">
        <w:rPr>
          <w:rFonts w:asciiTheme="minorHAnsi" w:hAnsiTheme="minorHAnsi"/>
          <w:sz w:val="18"/>
          <w:szCs w:val="18"/>
        </w:rPr>
        <w:t>(dostęp: 17-02-2020 r.).</w:t>
      </w:r>
    </w:p>
  </w:footnote>
  <w:footnote w:id="221">
    <w:p w:rsidR="00B4606C" w:rsidRPr="00953037" w:rsidRDefault="00B4606C" w:rsidP="006B2CF8">
      <w:pPr>
        <w:pStyle w:val="Stopka1"/>
        <w:tabs>
          <w:tab w:val="left" w:pos="163"/>
        </w:tabs>
        <w:spacing w:line="252" w:lineRule="auto"/>
        <w:rPr>
          <w:rFonts w:asciiTheme="minorHAnsi" w:hAnsiTheme="minorHAnsi"/>
          <w:sz w:val="18"/>
          <w:szCs w:val="18"/>
        </w:rPr>
      </w:pPr>
      <w:r w:rsidRPr="00953037">
        <w:rPr>
          <w:rFonts w:asciiTheme="minorHAnsi" w:hAnsiTheme="minorHAnsi"/>
          <w:iCs/>
          <w:sz w:val="18"/>
          <w:szCs w:val="18"/>
          <w:vertAlign w:val="superscript"/>
        </w:rPr>
        <w:footnoteRef/>
      </w:r>
      <w:r w:rsidR="00953037" w:rsidRPr="00953037">
        <w:rPr>
          <w:rFonts w:asciiTheme="minorHAnsi" w:hAnsiTheme="minorHAnsi"/>
          <w:iCs/>
          <w:sz w:val="18"/>
          <w:szCs w:val="18"/>
        </w:rPr>
        <w:t xml:space="preserve"> </w:t>
      </w:r>
      <w:r w:rsidRPr="00953037">
        <w:rPr>
          <w:rFonts w:asciiTheme="minorHAnsi" w:hAnsiTheme="minorHAnsi"/>
          <w:iCs/>
          <w:sz w:val="18"/>
          <w:szCs w:val="18"/>
        </w:rPr>
        <w:t>Ibid.,</w:t>
      </w:r>
      <w:r w:rsidRPr="00953037">
        <w:rPr>
          <w:rFonts w:asciiTheme="minorHAnsi" w:hAnsiTheme="minorHAnsi"/>
          <w:sz w:val="18"/>
          <w:szCs w:val="18"/>
        </w:rPr>
        <w:t xml:space="preserve"> s. 2.</w:t>
      </w:r>
    </w:p>
  </w:footnote>
  <w:footnote w:id="222">
    <w:p w:rsidR="00B4606C" w:rsidRPr="00953037" w:rsidRDefault="00B4606C" w:rsidP="006B2CF8">
      <w:pPr>
        <w:pStyle w:val="Stopka1"/>
        <w:tabs>
          <w:tab w:val="left" w:pos="163"/>
        </w:tabs>
        <w:spacing w:line="252" w:lineRule="auto"/>
        <w:rPr>
          <w:rFonts w:asciiTheme="minorHAnsi" w:hAnsiTheme="minorHAnsi"/>
          <w:sz w:val="18"/>
          <w:szCs w:val="18"/>
        </w:rPr>
      </w:pPr>
      <w:r w:rsidRPr="00953037">
        <w:rPr>
          <w:rFonts w:asciiTheme="minorHAnsi" w:hAnsiTheme="minorHAnsi"/>
          <w:iCs/>
          <w:sz w:val="18"/>
          <w:szCs w:val="18"/>
          <w:vertAlign w:val="superscript"/>
        </w:rPr>
        <w:footnoteRef/>
      </w:r>
      <w:r w:rsidR="00953037" w:rsidRPr="00953037">
        <w:rPr>
          <w:rFonts w:asciiTheme="minorHAnsi" w:hAnsiTheme="minorHAnsi"/>
          <w:iCs/>
          <w:sz w:val="18"/>
          <w:szCs w:val="18"/>
        </w:rPr>
        <w:t xml:space="preserve"> </w:t>
      </w:r>
      <w:r w:rsidRPr="00953037">
        <w:rPr>
          <w:rFonts w:asciiTheme="minorHAnsi" w:hAnsiTheme="minorHAnsi"/>
          <w:iCs/>
          <w:sz w:val="18"/>
          <w:szCs w:val="18"/>
        </w:rPr>
        <w:t>Ibid.,</w:t>
      </w:r>
      <w:r w:rsidRPr="00953037">
        <w:rPr>
          <w:rFonts w:asciiTheme="minorHAnsi" w:hAnsiTheme="minorHAnsi"/>
          <w:sz w:val="18"/>
          <w:szCs w:val="18"/>
        </w:rPr>
        <w:t xml:space="preserve"> s. 3.</w:t>
      </w:r>
    </w:p>
  </w:footnote>
  <w:footnote w:id="223">
    <w:p w:rsidR="00B4606C" w:rsidRPr="00953037" w:rsidRDefault="00B4606C" w:rsidP="006B2CF8">
      <w:pPr>
        <w:pStyle w:val="Stopka1"/>
        <w:tabs>
          <w:tab w:val="left" w:pos="336"/>
        </w:tabs>
        <w:spacing w:line="252" w:lineRule="auto"/>
        <w:rPr>
          <w:rFonts w:asciiTheme="minorHAnsi" w:hAnsiTheme="minorHAnsi"/>
          <w:sz w:val="18"/>
          <w:szCs w:val="18"/>
        </w:rPr>
      </w:pPr>
      <w:r w:rsidRPr="00953037">
        <w:rPr>
          <w:rFonts w:asciiTheme="minorHAnsi" w:hAnsiTheme="minorHAnsi"/>
          <w:sz w:val="18"/>
          <w:szCs w:val="18"/>
          <w:vertAlign w:val="superscript"/>
        </w:rPr>
        <w:footnoteRef/>
      </w:r>
      <w:r w:rsidRPr="00953037">
        <w:rPr>
          <w:rFonts w:asciiTheme="minorHAnsi" w:hAnsiTheme="minorHAnsi"/>
          <w:sz w:val="18"/>
          <w:szCs w:val="18"/>
        </w:rPr>
        <w:t xml:space="preserve"> Komunikacja </w:t>
      </w:r>
      <w:r w:rsidR="00BD3249">
        <w:rPr>
          <w:rFonts w:asciiTheme="minorHAnsi" w:hAnsiTheme="minorHAnsi"/>
          <w:sz w:val="18"/>
          <w:szCs w:val="18"/>
        </w:rPr>
        <w:t>r</w:t>
      </w:r>
      <w:r w:rsidRPr="00953037">
        <w:rPr>
          <w:rFonts w:asciiTheme="minorHAnsi" w:hAnsiTheme="minorHAnsi"/>
          <w:sz w:val="18"/>
          <w:szCs w:val="18"/>
        </w:rPr>
        <w:t xml:space="preserve">ządu Rzeczypospolitej Polskiej z dnia 29 kwietnia 2016 r., </w:t>
      </w:r>
      <w:hyperlink r:id="rId71" w:history="1">
        <w:r w:rsidRPr="00953037">
          <w:rPr>
            <w:rStyle w:val="Hipercze"/>
            <w:rFonts w:asciiTheme="minorHAnsi" w:hAnsiTheme="minorHAnsi"/>
            <w:sz w:val="18"/>
            <w:szCs w:val="18"/>
          </w:rPr>
          <w:t xml:space="preserve"> https://search.coe.int/cm/Pages/result_details.aspx?ObjectId=090000168064a9db </w:t>
        </w:r>
      </w:hyperlink>
      <w:r w:rsidRPr="00953037">
        <w:rPr>
          <w:rFonts w:asciiTheme="minorHAnsi" w:hAnsiTheme="minorHAnsi"/>
          <w:sz w:val="18"/>
          <w:szCs w:val="18"/>
        </w:rPr>
        <w:t>(dostęp: 17-02-2020 r.).</w:t>
      </w:r>
    </w:p>
  </w:footnote>
  <w:footnote w:id="224">
    <w:p w:rsidR="00B4606C" w:rsidRPr="00953037" w:rsidRDefault="00B4606C" w:rsidP="006B2CF8">
      <w:pPr>
        <w:pStyle w:val="Stopka1"/>
        <w:spacing w:line="252" w:lineRule="auto"/>
        <w:rPr>
          <w:rFonts w:asciiTheme="minorHAnsi" w:hAnsiTheme="minorHAnsi"/>
          <w:sz w:val="18"/>
          <w:szCs w:val="18"/>
        </w:rPr>
      </w:pPr>
      <w:r w:rsidRPr="00953037">
        <w:rPr>
          <w:rFonts w:asciiTheme="minorHAnsi" w:hAnsiTheme="minorHAnsi"/>
          <w:i/>
          <w:iCs/>
          <w:sz w:val="18"/>
          <w:szCs w:val="18"/>
          <w:shd w:val="clear" w:color="auto" w:fill="FFFFFF"/>
          <w:vertAlign w:val="superscript"/>
        </w:rPr>
        <w:footnoteRef/>
      </w:r>
      <w:r w:rsidRPr="00953037">
        <w:rPr>
          <w:rFonts w:asciiTheme="minorHAnsi" w:hAnsiTheme="minorHAnsi"/>
          <w:i/>
          <w:iCs/>
          <w:sz w:val="18"/>
          <w:szCs w:val="18"/>
        </w:rPr>
        <w:t xml:space="preserve"> Konkluzje i zalecenia Komitetu przeciwko Torturom, </w:t>
      </w:r>
      <w:r w:rsidRPr="00953037">
        <w:rPr>
          <w:rFonts w:asciiTheme="minorHAnsi" w:hAnsiTheme="minorHAnsi"/>
          <w:iCs/>
          <w:sz w:val="18"/>
          <w:szCs w:val="18"/>
        </w:rPr>
        <w:t>29 stycznia 2019 r</w:t>
      </w:r>
      <w:r w:rsidRPr="00953037">
        <w:rPr>
          <w:rFonts w:asciiTheme="minorHAnsi" w:hAnsiTheme="minorHAnsi"/>
          <w:i/>
          <w:iCs/>
          <w:sz w:val="18"/>
          <w:szCs w:val="18"/>
        </w:rPr>
        <w:t>.</w:t>
      </w:r>
      <w:r w:rsidRPr="00953037">
        <w:rPr>
          <w:rFonts w:asciiTheme="minorHAnsi" w:hAnsiTheme="minorHAnsi"/>
          <w:sz w:val="18"/>
          <w:szCs w:val="18"/>
        </w:rPr>
        <w:t>, CAT/C/POL/CO/%2f7 http://docstore.ohchr.org/SelfServices/FilesHandler.ashx?enc=6QkGldPPRiCAqhKb7yhsr0yVMLY8Itqp7elpaWy9zgK85rCNbhNbl9H5MRxZAXmuNhsk4JqsXXRXi01JSmNO2LTxqrAW4v8kVPp6X0aQ98slsGb0RhGPf2PnHHbX%2f(%2b%2f(dostęp z dnia: 17-02- 2020 r.).</w:t>
      </w:r>
    </w:p>
  </w:footnote>
  <w:footnote w:id="225">
    <w:p w:rsidR="00B4606C" w:rsidRPr="00953037" w:rsidRDefault="00B4606C" w:rsidP="006B2CF8">
      <w:pPr>
        <w:pStyle w:val="Stopka1"/>
        <w:spacing w:line="252" w:lineRule="auto"/>
        <w:rPr>
          <w:rFonts w:asciiTheme="minorHAnsi" w:hAnsiTheme="minorHAnsi"/>
          <w:sz w:val="18"/>
          <w:szCs w:val="18"/>
          <w:lang w:val="en-US"/>
        </w:rPr>
      </w:pPr>
      <w:r w:rsidRPr="00953037">
        <w:rPr>
          <w:rFonts w:asciiTheme="minorHAnsi" w:hAnsiTheme="minorHAnsi"/>
          <w:iCs/>
          <w:sz w:val="18"/>
          <w:szCs w:val="18"/>
          <w:shd w:val="clear" w:color="auto" w:fill="FFFFFF"/>
          <w:vertAlign w:val="superscript"/>
        </w:rPr>
        <w:footnoteRef/>
      </w:r>
      <w:r w:rsidRPr="00953037">
        <w:rPr>
          <w:rFonts w:asciiTheme="minorHAnsi" w:hAnsiTheme="minorHAnsi"/>
          <w:iCs/>
          <w:sz w:val="18"/>
          <w:szCs w:val="18"/>
          <w:lang w:val="en-US"/>
        </w:rPr>
        <w:t xml:space="preserve"> Ibid.,</w:t>
      </w:r>
      <w:r w:rsidRPr="00953037">
        <w:rPr>
          <w:rFonts w:asciiTheme="minorHAnsi" w:hAnsiTheme="minorHAnsi"/>
          <w:sz w:val="18"/>
          <w:szCs w:val="18"/>
          <w:lang w:val="en-US"/>
        </w:rPr>
        <w:t xml:space="preserve"> s. 6.</w:t>
      </w:r>
    </w:p>
  </w:footnote>
  <w:footnote w:id="226">
    <w:p w:rsidR="00B4606C" w:rsidRPr="00953037" w:rsidRDefault="00B4606C" w:rsidP="006B2CF8">
      <w:pPr>
        <w:pStyle w:val="Stopka1"/>
        <w:tabs>
          <w:tab w:val="left" w:pos="168"/>
        </w:tabs>
        <w:spacing w:line="252" w:lineRule="auto"/>
        <w:rPr>
          <w:rFonts w:asciiTheme="minorHAnsi" w:hAnsiTheme="minorHAnsi"/>
          <w:sz w:val="18"/>
          <w:szCs w:val="18"/>
          <w:lang w:val="en-US"/>
        </w:rPr>
      </w:pPr>
      <w:r w:rsidRPr="00953037">
        <w:rPr>
          <w:rFonts w:asciiTheme="minorHAnsi" w:hAnsiTheme="minorHAnsi"/>
          <w:iCs/>
          <w:sz w:val="18"/>
          <w:szCs w:val="18"/>
          <w:vertAlign w:val="superscript"/>
        </w:rPr>
        <w:footnoteRef/>
      </w:r>
      <w:r w:rsidRPr="00953037">
        <w:rPr>
          <w:rFonts w:asciiTheme="minorHAnsi" w:hAnsiTheme="minorHAnsi"/>
          <w:iCs/>
          <w:sz w:val="18"/>
          <w:szCs w:val="18"/>
          <w:lang w:val="en-US"/>
        </w:rPr>
        <w:t xml:space="preserve"> Ibid.,</w:t>
      </w:r>
      <w:r w:rsidRPr="00953037">
        <w:rPr>
          <w:rFonts w:asciiTheme="minorHAnsi" w:hAnsiTheme="minorHAnsi"/>
          <w:sz w:val="18"/>
          <w:szCs w:val="18"/>
          <w:lang w:val="en-US"/>
        </w:rPr>
        <w:t xml:space="preserve"> s. 6.</w:t>
      </w:r>
    </w:p>
  </w:footnote>
  <w:footnote w:id="227">
    <w:p w:rsidR="00B4606C" w:rsidRPr="00953037" w:rsidRDefault="00B4606C" w:rsidP="006B2CF8">
      <w:pPr>
        <w:pStyle w:val="Tekstprzypisudolnego"/>
        <w:rPr>
          <w:rFonts w:asciiTheme="minorHAnsi" w:hAnsiTheme="minorHAnsi"/>
          <w:sz w:val="18"/>
          <w:szCs w:val="18"/>
          <w:lang w:val="en-US"/>
        </w:rPr>
      </w:pPr>
      <w:r w:rsidRPr="00953037">
        <w:rPr>
          <w:rStyle w:val="Odwoanieprzypisudolnego"/>
          <w:rFonts w:asciiTheme="minorHAnsi" w:hAnsiTheme="minorHAnsi" w:cs="Times New Roman"/>
          <w:sz w:val="18"/>
          <w:szCs w:val="18"/>
        </w:rPr>
        <w:footnoteRef/>
      </w:r>
      <w:r w:rsidRPr="00953037">
        <w:rPr>
          <w:rFonts w:asciiTheme="minorHAnsi" w:hAnsiTheme="minorHAnsi"/>
          <w:iCs/>
          <w:sz w:val="18"/>
          <w:szCs w:val="18"/>
          <w:lang w:val="en-US"/>
        </w:rPr>
        <w:t xml:space="preserve"> Ibid.,</w:t>
      </w:r>
      <w:r w:rsidRPr="00953037">
        <w:rPr>
          <w:rFonts w:asciiTheme="minorHAnsi" w:hAnsiTheme="minorHAnsi"/>
          <w:sz w:val="18"/>
          <w:szCs w:val="18"/>
          <w:lang w:val="en-US"/>
        </w:rPr>
        <w:t xml:space="preserve"> s. 7</w:t>
      </w:r>
    </w:p>
  </w:footnote>
  <w:footnote w:id="228">
    <w:p w:rsidR="00B4606C" w:rsidRPr="00953037" w:rsidRDefault="00B4606C" w:rsidP="006B2CF8">
      <w:pPr>
        <w:pStyle w:val="Tekstprzypisudolnego"/>
        <w:rPr>
          <w:rFonts w:asciiTheme="minorHAnsi" w:hAnsiTheme="minorHAnsi" w:cs="Times New Roman"/>
          <w:i/>
          <w:sz w:val="18"/>
          <w:szCs w:val="18"/>
        </w:rPr>
      </w:pPr>
      <w:r w:rsidRPr="00953037">
        <w:rPr>
          <w:rStyle w:val="Odwoanieprzypisudolnego"/>
          <w:rFonts w:asciiTheme="minorHAnsi" w:hAnsiTheme="minorHAnsi" w:cs="Times New Roman"/>
          <w:sz w:val="18"/>
          <w:szCs w:val="18"/>
        </w:rPr>
        <w:footnoteRef/>
      </w:r>
      <w:r w:rsidRPr="00953037">
        <w:rPr>
          <w:rFonts w:asciiTheme="minorHAnsi" w:hAnsiTheme="minorHAnsi" w:cs="Times New Roman"/>
          <w:i/>
          <w:sz w:val="18"/>
          <w:szCs w:val="18"/>
        </w:rPr>
        <w:t xml:space="preserve">Zalecenia i uwagi Podkomitetu do spraw Zapobiegania Torturom oraz Innemu Okrutnemu, Nieludzkiemu lub Poniżającemu Traktowaniu albo Karaniu, </w:t>
      </w:r>
      <w:r w:rsidRPr="00953037">
        <w:rPr>
          <w:rFonts w:asciiTheme="minorHAnsi" w:hAnsiTheme="minorHAnsi" w:cs="Times New Roman"/>
          <w:sz w:val="18"/>
          <w:szCs w:val="18"/>
        </w:rPr>
        <w:t>21 stycznia 2020 r.,</w:t>
      </w:r>
      <w:r w:rsidRPr="00953037">
        <w:rPr>
          <w:rFonts w:asciiTheme="minorHAnsi" w:hAnsiTheme="minorHAnsi" w:cs="Times New Roman"/>
          <w:i/>
          <w:sz w:val="18"/>
          <w:szCs w:val="18"/>
        </w:rPr>
        <w:t xml:space="preserve"> </w:t>
      </w:r>
      <w:r w:rsidRPr="00953037">
        <w:rPr>
          <w:rFonts w:asciiTheme="minorHAnsi" w:hAnsiTheme="minorHAnsi" w:cs="Times New Roman"/>
          <w:sz w:val="18"/>
          <w:szCs w:val="18"/>
        </w:rPr>
        <w:t xml:space="preserve">CAT/OP/POL/ROSP/1,%2f%2b%2b%2b%2b%2b http://docstore.ohchr.org/SelfServices/FilesHandler.ashx?enc=6QkG1dPPRiCAqhKb7yhsgTHcJAn7chEDeinKNx3uFkhELVEDCoZnflCLrDigABiXi8d75i41P9EIP3v4e9fvSVpXHZYPCWK0H5JC41r5umtpPPYjaxyzDxaQp%2f (dostęp z dnia: 17-02-2020 r.). </w:t>
      </w:r>
    </w:p>
  </w:footnote>
  <w:footnote w:id="229">
    <w:p w:rsidR="00B4606C" w:rsidRPr="00953037" w:rsidRDefault="00B4606C" w:rsidP="006B2CF8">
      <w:pPr>
        <w:pStyle w:val="Stopka1"/>
        <w:tabs>
          <w:tab w:val="left" w:pos="216"/>
        </w:tabs>
        <w:spacing w:line="252" w:lineRule="auto"/>
        <w:rPr>
          <w:rFonts w:asciiTheme="minorHAnsi" w:hAnsiTheme="minorHAnsi"/>
          <w:sz w:val="18"/>
          <w:szCs w:val="18"/>
          <w:lang w:val="en-US"/>
        </w:rPr>
      </w:pPr>
      <w:r w:rsidRPr="00953037">
        <w:rPr>
          <w:rFonts w:asciiTheme="minorHAnsi" w:hAnsiTheme="minorHAnsi"/>
          <w:iCs/>
          <w:sz w:val="18"/>
          <w:szCs w:val="18"/>
          <w:vertAlign w:val="superscript"/>
        </w:rPr>
        <w:footnoteRef/>
      </w:r>
      <w:r w:rsidRPr="00953037">
        <w:rPr>
          <w:rFonts w:asciiTheme="minorHAnsi" w:hAnsiTheme="minorHAnsi"/>
          <w:iCs/>
          <w:sz w:val="18"/>
          <w:szCs w:val="18"/>
          <w:lang w:val="en-US"/>
        </w:rPr>
        <w:tab/>
        <w:t>Ibid.,</w:t>
      </w:r>
      <w:r w:rsidRPr="00953037">
        <w:rPr>
          <w:rFonts w:asciiTheme="minorHAnsi" w:hAnsiTheme="minorHAnsi"/>
          <w:sz w:val="18"/>
          <w:szCs w:val="18"/>
          <w:lang w:val="en-US"/>
        </w:rPr>
        <w:t xml:space="preserve"> s. 8.</w:t>
      </w:r>
    </w:p>
  </w:footnote>
  <w:footnote w:id="230">
    <w:p w:rsidR="00B4606C" w:rsidRPr="006B2CF8" w:rsidRDefault="00B4606C" w:rsidP="006B2CF8">
      <w:pPr>
        <w:pStyle w:val="Tekstprzypisudolnego"/>
        <w:rPr>
          <w:rFonts w:asciiTheme="minorHAnsi" w:hAnsiTheme="minorHAnsi" w:cs="Times New Roman"/>
          <w:sz w:val="19"/>
          <w:szCs w:val="19"/>
          <w:lang w:val="en-US"/>
        </w:rPr>
      </w:pPr>
      <w:r w:rsidRPr="00953037">
        <w:rPr>
          <w:rStyle w:val="Odwoanieprzypisudolnego"/>
          <w:rFonts w:asciiTheme="minorHAnsi" w:hAnsiTheme="minorHAnsi" w:cs="Times New Roman"/>
          <w:sz w:val="18"/>
          <w:szCs w:val="18"/>
        </w:rPr>
        <w:footnoteRef/>
      </w:r>
      <w:r w:rsidRPr="00953037">
        <w:rPr>
          <w:rFonts w:asciiTheme="minorHAnsi" w:hAnsiTheme="minorHAnsi" w:cs="Times New Roman"/>
          <w:iCs/>
          <w:sz w:val="18"/>
          <w:szCs w:val="18"/>
          <w:lang w:val="en-US"/>
        </w:rPr>
        <w:t xml:space="preserve"> Ibid.,</w:t>
      </w:r>
      <w:r w:rsidRPr="00953037">
        <w:rPr>
          <w:rFonts w:asciiTheme="minorHAnsi" w:hAnsiTheme="minorHAnsi" w:cs="Times New Roman"/>
          <w:sz w:val="18"/>
          <w:szCs w:val="18"/>
          <w:lang w:val="en-US"/>
        </w:rPr>
        <w:t xml:space="preserve"> s. 8.</w:t>
      </w:r>
    </w:p>
  </w:footnote>
  <w:footnote w:id="231">
    <w:p w:rsidR="00B4606C" w:rsidRPr="00953037" w:rsidRDefault="00B4606C" w:rsidP="006B2CF8">
      <w:pPr>
        <w:pStyle w:val="Tekstprzypisudolnego"/>
        <w:rPr>
          <w:rFonts w:asciiTheme="minorHAnsi" w:hAnsiTheme="minorHAnsi" w:cs="Times New Roman"/>
          <w:sz w:val="18"/>
          <w:szCs w:val="18"/>
          <w:lang w:val="en-US"/>
        </w:rPr>
      </w:pPr>
      <w:r w:rsidRPr="00953037">
        <w:rPr>
          <w:rStyle w:val="Odwoanieprzypisudolnego"/>
          <w:rFonts w:asciiTheme="minorHAnsi" w:hAnsiTheme="minorHAnsi" w:cs="Times New Roman"/>
          <w:sz w:val="18"/>
          <w:szCs w:val="18"/>
        </w:rPr>
        <w:footnoteRef/>
      </w:r>
      <w:r w:rsidRPr="00953037">
        <w:rPr>
          <w:rFonts w:asciiTheme="minorHAnsi" w:hAnsiTheme="minorHAnsi" w:cs="Times New Roman"/>
          <w:iCs/>
          <w:sz w:val="18"/>
          <w:szCs w:val="18"/>
          <w:lang w:val="en-US"/>
        </w:rPr>
        <w:t xml:space="preserve"> Ibid.,</w:t>
      </w:r>
      <w:r w:rsidRPr="00953037">
        <w:rPr>
          <w:rFonts w:asciiTheme="minorHAnsi" w:hAnsiTheme="minorHAnsi" w:cs="Times New Roman"/>
          <w:sz w:val="18"/>
          <w:szCs w:val="18"/>
          <w:lang w:val="en-US"/>
        </w:rPr>
        <w:t xml:space="preserve"> s. 8.</w:t>
      </w:r>
    </w:p>
  </w:footnote>
  <w:footnote w:id="232">
    <w:p w:rsidR="00B4606C" w:rsidRPr="00953037" w:rsidRDefault="00B4606C" w:rsidP="006B2CF8">
      <w:pPr>
        <w:pStyle w:val="Stopka1"/>
        <w:tabs>
          <w:tab w:val="left" w:pos="254"/>
        </w:tabs>
        <w:spacing w:line="252" w:lineRule="auto"/>
        <w:rPr>
          <w:rFonts w:asciiTheme="minorHAnsi" w:hAnsiTheme="minorHAnsi"/>
          <w:sz w:val="18"/>
          <w:szCs w:val="18"/>
        </w:rPr>
      </w:pPr>
      <w:r w:rsidRPr="00953037">
        <w:rPr>
          <w:rFonts w:asciiTheme="minorHAnsi" w:hAnsiTheme="minorHAnsi"/>
          <w:sz w:val="18"/>
          <w:szCs w:val="18"/>
          <w:vertAlign w:val="superscript"/>
        </w:rPr>
        <w:footnoteRef/>
      </w:r>
      <w:r w:rsidRPr="00953037">
        <w:rPr>
          <w:rFonts w:asciiTheme="minorHAnsi" w:hAnsiTheme="minorHAnsi"/>
          <w:sz w:val="18"/>
          <w:szCs w:val="18"/>
        </w:rPr>
        <w:tab/>
        <w:t xml:space="preserve">CPT/Inf (2018) 39, Sekcja: 6/42, 27 listopada 2017 r., </w:t>
      </w:r>
      <w:hyperlink r:id="rId72" w:history="1">
        <w:r w:rsidRPr="00953037">
          <w:rPr>
            <w:rStyle w:val="Hipercze"/>
            <w:rFonts w:asciiTheme="minorHAnsi" w:hAnsiTheme="minorHAnsi"/>
            <w:color w:val="auto"/>
            <w:sz w:val="18"/>
            <w:szCs w:val="18"/>
          </w:rPr>
          <w:t>http://hudoc.cpt.coe.int/eng?i=p-pol-20170511-en-6</w:t>
        </w:r>
      </w:hyperlink>
      <w:r w:rsidRPr="00953037">
        <w:rPr>
          <w:rFonts w:asciiTheme="minorHAnsi" w:hAnsiTheme="minorHAnsi"/>
          <w:sz w:val="18"/>
          <w:szCs w:val="18"/>
        </w:rPr>
        <w:t xml:space="preserve"> (dostęp: 17-02-2020 r.).</w:t>
      </w:r>
    </w:p>
  </w:footnote>
  <w:footnote w:id="233">
    <w:p w:rsidR="00B4606C" w:rsidRPr="00953037" w:rsidRDefault="00B4606C" w:rsidP="006B2CF8">
      <w:pPr>
        <w:pStyle w:val="Tekstprzypisudolnego"/>
        <w:rPr>
          <w:rFonts w:asciiTheme="minorHAnsi" w:hAnsiTheme="minorHAnsi" w:cs="Times New Roman"/>
          <w:sz w:val="18"/>
          <w:szCs w:val="18"/>
        </w:rPr>
      </w:pPr>
      <w:r w:rsidRPr="00953037">
        <w:rPr>
          <w:rStyle w:val="Odwoanieprzypisudolnego"/>
          <w:rFonts w:asciiTheme="minorHAnsi" w:hAnsiTheme="minorHAnsi" w:cs="Times New Roman"/>
          <w:sz w:val="18"/>
          <w:szCs w:val="18"/>
        </w:rPr>
        <w:footnoteRef/>
      </w:r>
      <w:r w:rsidRPr="00953037">
        <w:rPr>
          <w:rFonts w:asciiTheme="minorHAnsi" w:hAnsiTheme="minorHAnsi" w:cs="Times New Roman"/>
          <w:sz w:val="18"/>
          <w:szCs w:val="18"/>
        </w:rPr>
        <w:t>Ibid.</w:t>
      </w:r>
    </w:p>
  </w:footnote>
  <w:footnote w:id="234">
    <w:p w:rsidR="00B4606C" w:rsidRPr="00953037" w:rsidRDefault="00B4606C" w:rsidP="006B2CF8">
      <w:pPr>
        <w:pStyle w:val="Tekstprzypisudolnego"/>
        <w:rPr>
          <w:rFonts w:asciiTheme="minorHAnsi" w:hAnsiTheme="minorHAnsi"/>
          <w:sz w:val="18"/>
          <w:szCs w:val="18"/>
        </w:rPr>
      </w:pPr>
      <w:r w:rsidRPr="00953037">
        <w:rPr>
          <w:rStyle w:val="Odwoanieprzypisudolnego"/>
          <w:rFonts w:asciiTheme="minorHAnsi" w:hAnsiTheme="minorHAnsi" w:cs="Times New Roman"/>
          <w:sz w:val="18"/>
          <w:szCs w:val="18"/>
        </w:rPr>
        <w:footnoteRef/>
      </w:r>
      <w:r w:rsidRPr="00953037">
        <w:rPr>
          <w:rFonts w:asciiTheme="minorHAnsi" w:hAnsiTheme="minorHAnsi" w:cs="Times New Roman"/>
          <w:sz w:val="18"/>
          <w:szCs w:val="18"/>
        </w:rPr>
        <w:t xml:space="preserve">A. Klepczyński, </w:t>
      </w:r>
      <w:r w:rsidRPr="00953037">
        <w:rPr>
          <w:rFonts w:asciiTheme="minorHAnsi" w:hAnsiTheme="minorHAnsi" w:cs="Times New Roman"/>
          <w:i/>
          <w:iCs/>
          <w:sz w:val="18"/>
          <w:szCs w:val="18"/>
        </w:rPr>
        <w:t>Złe traktowanie osób podejrzanych i zatrzymanych przez funkcjonariuszy Policji. Raport z badania ankietowego</w:t>
      </w:r>
      <w:r w:rsidRPr="00953037">
        <w:rPr>
          <w:rFonts w:asciiTheme="minorHAnsi" w:hAnsiTheme="minorHAnsi"/>
          <w:i/>
          <w:iCs/>
          <w:sz w:val="18"/>
          <w:szCs w:val="18"/>
        </w:rPr>
        <w:t xml:space="preserve"> przeprowadzonego wśród adwokatów,</w:t>
      </w:r>
      <w:r w:rsidRPr="00953037">
        <w:rPr>
          <w:rFonts w:asciiTheme="minorHAnsi" w:hAnsiTheme="minorHAnsi"/>
          <w:sz w:val="18"/>
          <w:szCs w:val="18"/>
        </w:rPr>
        <w:t xml:space="preserve"> Warszawa 2018, s. 7, </w:t>
      </w:r>
      <w:hyperlink r:id="rId73" w:history="1">
        <w:r w:rsidRPr="00953037">
          <w:rPr>
            <w:rStyle w:val="Hipercze"/>
            <w:rFonts w:asciiTheme="minorHAnsi" w:hAnsiTheme="minorHAnsi"/>
            <w:sz w:val="18"/>
            <w:szCs w:val="18"/>
          </w:rPr>
          <w:t>http://www.hfhr.pl/wp-content/uploads/2018/05/HFPC-z%C5%82e-traktowanie-podejrzanvch-i-zatrzymanych-badanie-ankietowe.pdf</w:t>
        </w:r>
      </w:hyperlink>
      <w:r w:rsidRPr="00953037">
        <w:rPr>
          <w:rFonts w:asciiTheme="minorHAnsi" w:hAnsiTheme="minorHAnsi"/>
          <w:color w:val="auto"/>
          <w:sz w:val="18"/>
          <w:szCs w:val="18"/>
        </w:rPr>
        <w:t xml:space="preserve"> (dostęp: 17-02-2020 r.).</w:t>
      </w:r>
    </w:p>
  </w:footnote>
  <w:footnote w:id="235">
    <w:p w:rsidR="00B4606C" w:rsidRPr="00953037" w:rsidRDefault="00B4606C" w:rsidP="006B2CF8">
      <w:pPr>
        <w:pStyle w:val="Tekstprzypisudolnego"/>
        <w:rPr>
          <w:rFonts w:asciiTheme="minorHAnsi" w:hAnsiTheme="minorHAnsi" w:cs="Times New Roman"/>
          <w:sz w:val="19"/>
          <w:szCs w:val="19"/>
        </w:rPr>
      </w:pPr>
      <w:r w:rsidRPr="00953037">
        <w:rPr>
          <w:rStyle w:val="Odwoanieprzypisudolnego"/>
          <w:rFonts w:asciiTheme="minorHAnsi" w:hAnsiTheme="minorHAnsi" w:cs="Times New Roman"/>
          <w:sz w:val="18"/>
          <w:szCs w:val="18"/>
        </w:rPr>
        <w:footnoteRef/>
      </w:r>
      <w:r w:rsidRPr="00953037">
        <w:rPr>
          <w:rFonts w:asciiTheme="minorHAnsi" w:hAnsiTheme="minorHAnsi" w:cs="Times New Roman"/>
          <w:iCs/>
          <w:sz w:val="18"/>
          <w:szCs w:val="18"/>
        </w:rPr>
        <w:t>Ibid.,</w:t>
      </w:r>
      <w:r w:rsidRPr="00953037">
        <w:rPr>
          <w:rFonts w:asciiTheme="minorHAnsi" w:hAnsiTheme="minorHAnsi" w:cs="Times New Roman"/>
          <w:sz w:val="18"/>
          <w:szCs w:val="18"/>
        </w:rPr>
        <w:t xml:space="preserve"> s. 8</w:t>
      </w:r>
    </w:p>
  </w:footnote>
  <w:footnote w:id="236">
    <w:p w:rsidR="00B4606C" w:rsidRPr="00953037" w:rsidRDefault="00B4606C" w:rsidP="006B2CF8">
      <w:pPr>
        <w:pStyle w:val="Stopka1"/>
        <w:pBdr>
          <w:top w:val="single" w:sz="4" w:space="0" w:color="auto"/>
        </w:pBdr>
        <w:tabs>
          <w:tab w:val="left" w:pos="206"/>
        </w:tabs>
        <w:rPr>
          <w:rFonts w:asciiTheme="minorHAnsi" w:hAnsiTheme="minorHAnsi"/>
          <w:sz w:val="18"/>
          <w:szCs w:val="18"/>
        </w:rPr>
      </w:pPr>
      <w:r w:rsidRPr="00953037">
        <w:rPr>
          <w:rFonts w:asciiTheme="minorHAnsi" w:hAnsiTheme="minorHAnsi"/>
          <w:iCs/>
          <w:sz w:val="18"/>
          <w:szCs w:val="18"/>
          <w:vertAlign w:val="superscript"/>
        </w:rPr>
        <w:footnoteRef/>
      </w:r>
      <w:r w:rsidRPr="00953037">
        <w:rPr>
          <w:rFonts w:asciiTheme="minorHAnsi" w:hAnsiTheme="minorHAnsi"/>
          <w:iCs/>
          <w:sz w:val="18"/>
          <w:szCs w:val="18"/>
        </w:rPr>
        <w:tab/>
        <w:t>Ibid.,</w:t>
      </w:r>
      <w:r w:rsidRPr="00953037">
        <w:rPr>
          <w:rFonts w:asciiTheme="minorHAnsi" w:hAnsiTheme="minorHAnsi"/>
          <w:sz w:val="18"/>
          <w:szCs w:val="18"/>
        </w:rPr>
        <w:t xml:space="preserve"> s. 8.</w:t>
      </w:r>
    </w:p>
  </w:footnote>
  <w:footnote w:id="237">
    <w:p w:rsidR="00B4606C" w:rsidRPr="00953037" w:rsidRDefault="00B4606C" w:rsidP="006B2CF8">
      <w:pPr>
        <w:pStyle w:val="Stopka1"/>
        <w:tabs>
          <w:tab w:val="left" w:pos="461"/>
        </w:tabs>
        <w:rPr>
          <w:rFonts w:asciiTheme="minorHAnsi" w:hAnsiTheme="minorHAnsi"/>
          <w:sz w:val="18"/>
          <w:szCs w:val="18"/>
        </w:rPr>
      </w:pPr>
      <w:r w:rsidRPr="00953037">
        <w:rPr>
          <w:rFonts w:asciiTheme="minorHAnsi" w:hAnsiTheme="minorHAnsi"/>
          <w:i/>
          <w:iCs/>
          <w:sz w:val="18"/>
          <w:szCs w:val="18"/>
          <w:vertAlign w:val="superscript"/>
        </w:rPr>
        <w:footnoteRef/>
      </w:r>
      <w:r w:rsidRPr="00953037">
        <w:rPr>
          <w:rFonts w:asciiTheme="minorHAnsi" w:hAnsiTheme="minorHAnsi"/>
          <w:i/>
          <w:iCs/>
          <w:sz w:val="18"/>
          <w:szCs w:val="18"/>
        </w:rPr>
        <w:t xml:space="preserve"> Opinia amicus curiae Naczelnej Rady Adwokackiej,</w:t>
      </w:r>
      <w:r w:rsidRPr="00953037">
        <w:rPr>
          <w:rFonts w:asciiTheme="minorHAnsi" w:hAnsiTheme="minorHAnsi"/>
          <w:sz w:val="18"/>
          <w:szCs w:val="18"/>
        </w:rPr>
        <w:t xml:space="preserve"> Warszawa, 26 kwietnia 2018 r., </w:t>
      </w:r>
      <w:hyperlink r:id="rId74" w:history="1">
        <w:r w:rsidRPr="00953037">
          <w:rPr>
            <w:rStyle w:val="Hipercze"/>
            <w:rFonts w:asciiTheme="minorHAnsi" w:hAnsiTheme="minorHAnsi"/>
            <w:sz w:val="18"/>
            <w:szCs w:val="18"/>
          </w:rPr>
          <w:t>http://www.adwokatura.pl/admin/wgrane_pliki/file-amicuskuchtameteletpcz-22949.pdf</w:t>
        </w:r>
      </w:hyperlink>
      <w:r w:rsidRPr="00953037">
        <w:rPr>
          <w:rFonts w:asciiTheme="minorHAnsi" w:hAnsiTheme="minorHAnsi"/>
          <w:sz w:val="18"/>
          <w:szCs w:val="18"/>
        </w:rPr>
        <w:t xml:space="preserve"> (dostęp: 17-02- 2020 r.).</w:t>
      </w:r>
    </w:p>
  </w:footnote>
  <w:footnote w:id="238">
    <w:p w:rsidR="00B4606C" w:rsidRPr="00953037" w:rsidRDefault="00B4606C" w:rsidP="006B2CF8">
      <w:pPr>
        <w:pStyle w:val="Stopka1"/>
        <w:tabs>
          <w:tab w:val="left" w:pos="230"/>
        </w:tabs>
        <w:rPr>
          <w:rFonts w:asciiTheme="minorHAnsi" w:hAnsiTheme="minorHAnsi"/>
          <w:sz w:val="18"/>
          <w:szCs w:val="18"/>
          <w:lang w:val="en-US"/>
        </w:rPr>
      </w:pPr>
      <w:r w:rsidRPr="00953037">
        <w:rPr>
          <w:rFonts w:asciiTheme="minorHAnsi" w:hAnsiTheme="minorHAnsi"/>
          <w:iCs/>
          <w:sz w:val="18"/>
          <w:szCs w:val="18"/>
          <w:vertAlign w:val="superscript"/>
        </w:rPr>
        <w:footnoteRef/>
      </w:r>
      <w:r w:rsidRPr="00953037">
        <w:rPr>
          <w:rFonts w:asciiTheme="minorHAnsi" w:hAnsiTheme="minorHAnsi"/>
          <w:iCs/>
          <w:sz w:val="18"/>
          <w:szCs w:val="18"/>
          <w:lang w:val="en-US"/>
        </w:rPr>
        <w:tab/>
        <w:t>Ibid.,</w:t>
      </w:r>
      <w:r w:rsidRPr="00953037">
        <w:rPr>
          <w:rFonts w:asciiTheme="minorHAnsi" w:hAnsiTheme="minorHAnsi"/>
          <w:sz w:val="18"/>
          <w:szCs w:val="18"/>
          <w:lang w:val="en-US"/>
        </w:rPr>
        <w:t xml:space="preserve"> s. 9.</w:t>
      </w:r>
    </w:p>
  </w:footnote>
  <w:footnote w:id="239">
    <w:p w:rsidR="00B4606C" w:rsidRPr="00953037" w:rsidRDefault="00B4606C" w:rsidP="006B2CF8">
      <w:pPr>
        <w:pStyle w:val="Stopka1"/>
        <w:tabs>
          <w:tab w:val="left" w:pos="226"/>
        </w:tabs>
        <w:rPr>
          <w:sz w:val="18"/>
          <w:szCs w:val="18"/>
          <w:lang w:val="en-US"/>
        </w:rPr>
      </w:pPr>
      <w:r w:rsidRPr="00953037">
        <w:rPr>
          <w:rFonts w:asciiTheme="minorHAnsi" w:hAnsiTheme="minorHAnsi"/>
          <w:iCs/>
          <w:sz w:val="18"/>
          <w:szCs w:val="18"/>
          <w:vertAlign w:val="superscript"/>
        </w:rPr>
        <w:footnoteRef/>
      </w:r>
      <w:r w:rsidRPr="00953037">
        <w:rPr>
          <w:rFonts w:asciiTheme="minorHAnsi" w:hAnsiTheme="minorHAnsi"/>
          <w:iCs/>
          <w:sz w:val="18"/>
          <w:szCs w:val="18"/>
          <w:lang w:val="en-US"/>
        </w:rPr>
        <w:tab/>
        <w:t>Ibid.,</w:t>
      </w:r>
      <w:r w:rsidRPr="00953037">
        <w:rPr>
          <w:rFonts w:asciiTheme="minorHAnsi" w:hAnsiTheme="minorHAnsi"/>
          <w:sz w:val="18"/>
          <w:szCs w:val="18"/>
          <w:lang w:val="en-US"/>
        </w:rPr>
        <w:t xml:space="preserve"> s. 9.</w:t>
      </w:r>
    </w:p>
  </w:footnote>
  <w:footnote w:id="240">
    <w:p w:rsidR="00B4606C" w:rsidRPr="00953037" w:rsidRDefault="00B4606C" w:rsidP="006B2CF8">
      <w:pPr>
        <w:pStyle w:val="Stopka1"/>
        <w:tabs>
          <w:tab w:val="left" w:pos="235"/>
        </w:tabs>
        <w:rPr>
          <w:rFonts w:asciiTheme="minorHAnsi" w:hAnsiTheme="minorHAnsi"/>
          <w:sz w:val="18"/>
          <w:szCs w:val="18"/>
          <w:lang w:val="en-US"/>
        </w:rPr>
      </w:pPr>
      <w:r w:rsidRPr="00953037">
        <w:rPr>
          <w:rFonts w:asciiTheme="minorHAnsi" w:hAnsiTheme="minorHAnsi"/>
          <w:iCs/>
          <w:sz w:val="18"/>
          <w:szCs w:val="18"/>
          <w:vertAlign w:val="superscript"/>
        </w:rPr>
        <w:footnoteRef/>
      </w:r>
      <w:r w:rsidRPr="00953037">
        <w:rPr>
          <w:rFonts w:asciiTheme="minorHAnsi" w:hAnsiTheme="minorHAnsi"/>
          <w:iCs/>
          <w:sz w:val="18"/>
          <w:szCs w:val="18"/>
          <w:lang w:val="en-US"/>
        </w:rPr>
        <w:tab/>
        <w:t>Ibid.,</w:t>
      </w:r>
      <w:r w:rsidRPr="00953037">
        <w:rPr>
          <w:rFonts w:asciiTheme="minorHAnsi" w:hAnsiTheme="minorHAnsi"/>
          <w:sz w:val="18"/>
          <w:szCs w:val="18"/>
          <w:lang w:val="en-US"/>
        </w:rPr>
        <w:t xml:space="preserve"> s. 9.</w:t>
      </w:r>
    </w:p>
  </w:footnote>
  <w:footnote w:id="241">
    <w:p w:rsidR="00B4606C" w:rsidRPr="00953037" w:rsidRDefault="00B4606C" w:rsidP="006B2CF8">
      <w:pPr>
        <w:pStyle w:val="Stopka1"/>
        <w:tabs>
          <w:tab w:val="left" w:pos="230"/>
        </w:tabs>
        <w:rPr>
          <w:rFonts w:asciiTheme="minorHAnsi" w:hAnsiTheme="minorHAnsi"/>
          <w:sz w:val="18"/>
          <w:szCs w:val="18"/>
          <w:lang w:val="en-US"/>
        </w:rPr>
      </w:pPr>
      <w:r w:rsidRPr="00953037">
        <w:rPr>
          <w:rStyle w:val="Odwoanieprzypisudolnego"/>
          <w:rFonts w:asciiTheme="minorHAnsi" w:hAnsiTheme="minorHAnsi"/>
          <w:sz w:val="18"/>
          <w:szCs w:val="18"/>
        </w:rPr>
        <w:footnoteRef/>
      </w:r>
      <w:r w:rsidRPr="00953037">
        <w:rPr>
          <w:rFonts w:asciiTheme="minorHAnsi" w:hAnsiTheme="minorHAnsi"/>
          <w:iCs/>
          <w:sz w:val="18"/>
          <w:szCs w:val="18"/>
          <w:lang w:val="en-US"/>
        </w:rPr>
        <w:tab/>
        <w:t>Ibid.,</w:t>
      </w:r>
      <w:r w:rsidRPr="00953037">
        <w:rPr>
          <w:rFonts w:asciiTheme="minorHAnsi" w:hAnsiTheme="minorHAnsi"/>
          <w:sz w:val="18"/>
          <w:szCs w:val="18"/>
          <w:lang w:val="en-US"/>
        </w:rPr>
        <w:t xml:space="preserve"> s. 9.</w:t>
      </w:r>
    </w:p>
  </w:footnote>
  <w:footnote w:id="242">
    <w:p w:rsidR="00B4606C" w:rsidRPr="00953037" w:rsidRDefault="00B4606C" w:rsidP="006B2CF8">
      <w:pPr>
        <w:pStyle w:val="Stopka1"/>
        <w:tabs>
          <w:tab w:val="left" w:pos="230"/>
        </w:tabs>
        <w:rPr>
          <w:rFonts w:asciiTheme="minorHAnsi" w:hAnsiTheme="minorHAnsi"/>
          <w:sz w:val="18"/>
          <w:szCs w:val="18"/>
          <w:lang w:val="en-US"/>
        </w:rPr>
      </w:pPr>
      <w:r w:rsidRPr="00953037">
        <w:rPr>
          <w:rFonts w:asciiTheme="minorHAnsi" w:hAnsiTheme="minorHAnsi"/>
          <w:iCs/>
          <w:sz w:val="18"/>
          <w:szCs w:val="18"/>
          <w:vertAlign w:val="superscript"/>
        </w:rPr>
        <w:footnoteRef/>
      </w:r>
      <w:r w:rsidRPr="00953037">
        <w:rPr>
          <w:rFonts w:asciiTheme="minorHAnsi" w:hAnsiTheme="minorHAnsi"/>
          <w:iCs/>
          <w:sz w:val="18"/>
          <w:szCs w:val="18"/>
          <w:lang w:val="en-US"/>
        </w:rPr>
        <w:tab/>
        <w:t>Ibid.,</w:t>
      </w:r>
      <w:r w:rsidRPr="00953037">
        <w:rPr>
          <w:rFonts w:asciiTheme="minorHAnsi" w:hAnsiTheme="minorHAnsi"/>
          <w:sz w:val="18"/>
          <w:szCs w:val="18"/>
          <w:lang w:val="en-US"/>
        </w:rPr>
        <w:t xml:space="preserve"> s. 9.</w:t>
      </w:r>
    </w:p>
  </w:footnote>
  <w:footnote w:id="243">
    <w:p w:rsidR="00B4606C" w:rsidRPr="00953037" w:rsidRDefault="00B4606C" w:rsidP="006B2CF8">
      <w:pPr>
        <w:pStyle w:val="Stopka1"/>
        <w:tabs>
          <w:tab w:val="left" w:pos="235"/>
        </w:tabs>
        <w:rPr>
          <w:rFonts w:asciiTheme="minorHAnsi" w:hAnsiTheme="minorHAnsi"/>
          <w:sz w:val="18"/>
          <w:szCs w:val="18"/>
          <w:lang w:val="en-US"/>
        </w:rPr>
      </w:pPr>
      <w:r w:rsidRPr="00953037">
        <w:rPr>
          <w:rFonts w:asciiTheme="minorHAnsi" w:hAnsiTheme="minorHAnsi"/>
          <w:iCs/>
          <w:sz w:val="18"/>
          <w:szCs w:val="18"/>
          <w:vertAlign w:val="superscript"/>
        </w:rPr>
        <w:footnoteRef/>
      </w:r>
      <w:r w:rsidRPr="00953037">
        <w:rPr>
          <w:rFonts w:asciiTheme="minorHAnsi" w:hAnsiTheme="minorHAnsi"/>
          <w:iCs/>
          <w:sz w:val="18"/>
          <w:szCs w:val="18"/>
          <w:lang w:val="en-US"/>
        </w:rPr>
        <w:tab/>
        <w:t>Ibid.,</w:t>
      </w:r>
      <w:r w:rsidRPr="00953037">
        <w:rPr>
          <w:rFonts w:asciiTheme="minorHAnsi" w:hAnsiTheme="minorHAnsi"/>
          <w:sz w:val="18"/>
          <w:szCs w:val="18"/>
          <w:lang w:val="en-US"/>
        </w:rPr>
        <w:t xml:space="preserve"> s. 9.</w:t>
      </w:r>
    </w:p>
  </w:footnote>
  <w:footnote w:id="244">
    <w:p w:rsidR="00B4606C" w:rsidRPr="00953037" w:rsidRDefault="00B4606C" w:rsidP="006B2CF8">
      <w:pPr>
        <w:pStyle w:val="Stopka1"/>
        <w:tabs>
          <w:tab w:val="left" w:pos="235"/>
        </w:tabs>
        <w:rPr>
          <w:rFonts w:asciiTheme="minorHAnsi" w:hAnsiTheme="minorHAnsi"/>
          <w:sz w:val="18"/>
          <w:szCs w:val="18"/>
        </w:rPr>
      </w:pPr>
      <w:r w:rsidRPr="00953037">
        <w:rPr>
          <w:rFonts w:asciiTheme="minorHAnsi" w:hAnsiTheme="minorHAnsi"/>
          <w:iCs/>
          <w:sz w:val="18"/>
          <w:szCs w:val="18"/>
          <w:vertAlign w:val="superscript"/>
        </w:rPr>
        <w:footnoteRef/>
      </w:r>
      <w:r w:rsidRPr="00953037">
        <w:rPr>
          <w:rFonts w:asciiTheme="minorHAnsi" w:hAnsiTheme="minorHAnsi"/>
          <w:iCs/>
          <w:sz w:val="18"/>
          <w:szCs w:val="18"/>
        </w:rPr>
        <w:tab/>
        <w:t>Ibid.,</w:t>
      </w:r>
      <w:r w:rsidRPr="00953037">
        <w:rPr>
          <w:rFonts w:asciiTheme="minorHAnsi" w:hAnsiTheme="minorHAnsi"/>
          <w:sz w:val="18"/>
          <w:szCs w:val="18"/>
        </w:rPr>
        <w:t xml:space="preserve"> s. 9.</w:t>
      </w:r>
    </w:p>
  </w:footnote>
  <w:footnote w:id="245">
    <w:p w:rsidR="00B4606C" w:rsidRPr="0096211C" w:rsidRDefault="00B4606C" w:rsidP="006B2CF8">
      <w:pPr>
        <w:pStyle w:val="Tekstprzypisudolnego"/>
        <w:rPr>
          <w:rFonts w:asciiTheme="minorHAnsi" w:hAnsiTheme="minorHAnsi"/>
        </w:rPr>
      </w:pPr>
      <w:r w:rsidRPr="00953037">
        <w:rPr>
          <w:rStyle w:val="Odwoanieprzypisudolnego"/>
          <w:rFonts w:asciiTheme="minorHAnsi" w:hAnsiTheme="minorHAnsi" w:cs="Times New Roman"/>
          <w:sz w:val="18"/>
          <w:szCs w:val="18"/>
        </w:rPr>
        <w:footnoteRef/>
      </w:r>
      <w:r w:rsidRPr="00953037">
        <w:rPr>
          <w:rFonts w:asciiTheme="minorHAnsi" w:hAnsiTheme="minorHAnsi"/>
          <w:sz w:val="18"/>
          <w:szCs w:val="18"/>
        </w:rPr>
        <w:t>Tabela opracowana na podstawie danych udostępnionych przez Komendę Główną Policji drogą elektroniczną w dniu 11 lutego 2020 r. na podstawie wniosku o udzielenie informacji publicznej w trybie ustawy z dnia 6 września 2001 r. o dostępie do informacji publicznej (wersja ostateczna: Dz.U. z 2019 r., poz. 1429, z późn. zm.), dalej: dostęp do informacji publicznej.</w:t>
      </w:r>
    </w:p>
  </w:footnote>
  <w:footnote w:id="246">
    <w:p w:rsidR="00B4606C" w:rsidRPr="0096211C" w:rsidRDefault="00B4606C" w:rsidP="006B2CF8">
      <w:pPr>
        <w:pStyle w:val="Stopka1"/>
        <w:tabs>
          <w:tab w:val="left" w:pos="230"/>
        </w:tabs>
        <w:jc w:val="both"/>
        <w:rPr>
          <w:rFonts w:asciiTheme="minorHAnsi" w:hAnsiTheme="minorHAnsi"/>
        </w:rPr>
      </w:pPr>
      <w:r w:rsidRPr="0096211C">
        <w:rPr>
          <w:rFonts w:asciiTheme="minorHAnsi" w:hAnsiTheme="minorHAnsi"/>
          <w:vertAlign w:val="superscript"/>
        </w:rPr>
        <w:footnoteRef/>
      </w:r>
      <w:r w:rsidRPr="0096211C">
        <w:rPr>
          <w:rFonts w:asciiTheme="minorHAnsi" w:hAnsiTheme="minorHAnsi"/>
        </w:rPr>
        <w:tab/>
        <w:t>KGP zwróciła uwagę, że przez skargi rozpatrzone jako „inne” należy rozumieć skargi w toku, skargi, w których nie określono przedmiotu skargi, a także skargi wycofane lub przekazane do celów informacyjnych.</w:t>
      </w:r>
    </w:p>
  </w:footnote>
  <w:footnote w:id="247">
    <w:p w:rsidR="00B4606C" w:rsidRPr="00953037" w:rsidRDefault="00B4606C" w:rsidP="006B2CF8">
      <w:pPr>
        <w:pStyle w:val="Stopka1"/>
        <w:tabs>
          <w:tab w:val="left" w:pos="230"/>
        </w:tabs>
        <w:jc w:val="both"/>
        <w:rPr>
          <w:rFonts w:asciiTheme="minorHAnsi" w:hAnsiTheme="minorHAnsi"/>
          <w:sz w:val="18"/>
          <w:szCs w:val="18"/>
        </w:rPr>
      </w:pPr>
      <w:r w:rsidRPr="00953037">
        <w:rPr>
          <w:rStyle w:val="Odwoanieprzypisudolnego"/>
          <w:rFonts w:asciiTheme="minorHAnsi" w:hAnsiTheme="minorHAnsi"/>
          <w:sz w:val="18"/>
          <w:szCs w:val="18"/>
        </w:rPr>
        <w:footnoteRef/>
      </w:r>
      <w:r w:rsidRPr="00953037">
        <w:rPr>
          <w:rFonts w:asciiTheme="minorHAnsi" w:hAnsiTheme="minorHAnsi"/>
          <w:sz w:val="18"/>
          <w:szCs w:val="18"/>
        </w:rPr>
        <w:t xml:space="preserve"> Tabela opracowana na podstawie danych przekazanych przez KGP drogą elektroniczną w dniu 11 lutego 2020 r.</w:t>
      </w:r>
    </w:p>
  </w:footnote>
  <w:footnote w:id="248">
    <w:p w:rsidR="00B4606C" w:rsidRPr="00953037" w:rsidRDefault="00B4606C" w:rsidP="006B2CF8">
      <w:pPr>
        <w:pStyle w:val="Tekstprzypisudolnego"/>
        <w:rPr>
          <w:rFonts w:asciiTheme="minorHAnsi" w:hAnsiTheme="minorHAnsi"/>
          <w:sz w:val="18"/>
          <w:szCs w:val="18"/>
        </w:rPr>
      </w:pPr>
      <w:r w:rsidRPr="00953037">
        <w:rPr>
          <w:rStyle w:val="Odwoanieprzypisudolnego"/>
          <w:rFonts w:asciiTheme="minorHAnsi" w:hAnsiTheme="minorHAnsi" w:cs="Times New Roman"/>
          <w:sz w:val="18"/>
          <w:szCs w:val="18"/>
        </w:rPr>
        <w:footnoteRef/>
      </w:r>
      <w:r w:rsidRPr="00953037">
        <w:rPr>
          <w:rFonts w:asciiTheme="minorHAnsi" w:hAnsiTheme="minorHAnsi" w:cs="Times New Roman"/>
          <w:sz w:val="18"/>
          <w:szCs w:val="18"/>
        </w:rPr>
        <w:t>KGP zwróciła</w:t>
      </w:r>
      <w:r w:rsidRPr="00953037">
        <w:rPr>
          <w:rFonts w:asciiTheme="minorHAnsi" w:hAnsiTheme="minorHAnsi"/>
          <w:sz w:val="18"/>
          <w:szCs w:val="18"/>
        </w:rPr>
        <w:t xml:space="preserve"> uwagę, że przez skargi rozpatrzone jako „inne” należy rozumieć skargi oczekujące na rozpatrzenie, skargi, w których nie określono przedmiotu skargi, a także skargi wycofane lub przekazane do celów informacyjnych.</w:t>
      </w:r>
    </w:p>
  </w:footnote>
  <w:footnote w:id="249">
    <w:p w:rsidR="00B4606C" w:rsidRPr="00953037" w:rsidRDefault="00B4606C" w:rsidP="006B2CF8">
      <w:pPr>
        <w:pStyle w:val="Stopka1"/>
        <w:tabs>
          <w:tab w:val="left" w:pos="235"/>
        </w:tabs>
        <w:rPr>
          <w:rFonts w:asciiTheme="minorHAnsi" w:hAnsiTheme="minorHAnsi"/>
          <w:sz w:val="18"/>
          <w:szCs w:val="18"/>
        </w:rPr>
      </w:pPr>
      <w:r w:rsidRPr="00953037">
        <w:rPr>
          <w:rFonts w:asciiTheme="minorHAnsi" w:hAnsiTheme="minorHAnsi"/>
          <w:sz w:val="18"/>
          <w:szCs w:val="18"/>
          <w:vertAlign w:val="superscript"/>
        </w:rPr>
        <w:footnoteRef/>
      </w:r>
      <w:r w:rsidRPr="00953037">
        <w:rPr>
          <w:rFonts w:asciiTheme="minorHAnsi" w:hAnsiTheme="minorHAnsi"/>
          <w:sz w:val="18"/>
          <w:szCs w:val="18"/>
        </w:rPr>
        <w:tab/>
        <w:t>Odpowiedź KGP na wniosek HFPC o dostęp do informacji publicznej z dnia 11 lutego 2020 r., pismo na papierze urzędowym KGP, I p. 20.2020.</w:t>
      </w:r>
    </w:p>
  </w:footnote>
  <w:footnote w:id="250">
    <w:p w:rsidR="00B4606C" w:rsidRPr="00953037" w:rsidRDefault="00B4606C" w:rsidP="006B2CF8">
      <w:pPr>
        <w:pStyle w:val="Stopka1"/>
        <w:tabs>
          <w:tab w:val="left" w:pos="269"/>
        </w:tabs>
        <w:jc w:val="both"/>
        <w:rPr>
          <w:rFonts w:asciiTheme="minorHAnsi" w:hAnsiTheme="minorHAnsi"/>
          <w:sz w:val="18"/>
          <w:szCs w:val="18"/>
        </w:rPr>
      </w:pPr>
      <w:r w:rsidRPr="00953037">
        <w:rPr>
          <w:rFonts w:asciiTheme="minorHAnsi" w:hAnsiTheme="minorHAnsi"/>
          <w:sz w:val="18"/>
          <w:szCs w:val="18"/>
          <w:vertAlign w:val="superscript"/>
        </w:rPr>
        <w:footnoteRef/>
      </w:r>
      <w:r w:rsidRPr="00953037">
        <w:rPr>
          <w:rFonts w:asciiTheme="minorHAnsi" w:hAnsiTheme="minorHAnsi"/>
          <w:sz w:val="18"/>
          <w:szCs w:val="18"/>
        </w:rPr>
        <w:tab/>
        <w:t xml:space="preserve">Wytyczne Prokuratora Generalnego z dnia 27 czerwca 2014 r., sygn. PG VII G 021/4/14, dostęp: </w:t>
      </w:r>
      <w:hyperlink r:id="rId75" w:history="1">
        <w:r w:rsidRPr="00953037">
          <w:rPr>
            <w:rStyle w:val="Hipercze"/>
            <w:rFonts w:asciiTheme="minorHAnsi" w:hAnsiTheme="minorHAnsi"/>
            <w:color w:val="477BAF"/>
            <w:sz w:val="18"/>
            <w:szCs w:val="18"/>
          </w:rPr>
          <w:t>https://pk.gov.pl/wp-contenuuploads/2014/07/022cl()a03902eSd3</w:t>
        </w:r>
      </w:hyperlink>
      <w:r w:rsidRPr="00953037">
        <w:rPr>
          <w:rFonts w:asciiTheme="minorHAnsi" w:hAnsiTheme="minorHAnsi"/>
          <w:color w:val="477BAF"/>
          <w:sz w:val="18"/>
          <w:szCs w:val="18"/>
        </w:rPr>
        <w:t>9</w:t>
      </w:r>
      <w:r w:rsidRPr="00953037">
        <w:rPr>
          <w:rFonts w:asciiTheme="minorHAnsi" w:hAnsiTheme="minorHAnsi"/>
          <w:color w:val="477BAF"/>
          <w:sz w:val="18"/>
          <w:szCs w:val="18"/>
          <w:u w:val="single"/>
        </w:rPr>
        <w:t>rd</w:t>
      </w:r>
      <w:r w:rsidRPr="00953037">
        <w:rPr>
          <w:rFonts w:asciiTheme="minorHAnsi" w:hAnsiTheme="minorHAnsi"/>
          <w:color w:val="477BAF"/>
          <w:sz w:val="18"/>
          <w:szCs w:val="18"/>
          <w:u w:val="single"/>
          <w:vertAlign w:val="superscript"/>
        </w:rPr>
        <w:t>L</w:t>
      </w:r>
      <w:r w:rsidRPr="00953037">
        <w:rPr>
          <w:rFonts w:asciiTheme="minorHAnsi" w:hAnsiTheme="minorHAnsi"/>
          <w:color w:val="477BAF"/>
          <w:sz w:val="18"/>
          <w:szCs w:val="18"/>
          <w:u w:val="single"/>
        </w:rPr>
        <w:t>&gt;5</w:t>
      </w:r>
      <w:r w:rsidRPr="00953037">
        <w:rPr>
          <w:rFonts w:asciiTheme="minorHAnsi" w:hAnsiTheme="minorHAnsi"/>
          <w:color w:val="477BAF"/>
          <w:sz w:val="18"/>
          <w:szCs w:val="18"/>
        </w:rPr>
        <w:t>7</w:t>
      </w:r>
      <w:r w:rsidRPr="00953037">
        <w:rPr>
          <w:rFonts w:asciiTheme="minorHAnsi" w:hAnsiTheme="minorHAnsi"/>
          <w:color w:val="477BAF"/>
          <w:sz w:val="18"/>
          <w:szCs w:val="18"/>
          <w:u w:val="single"/>
        </w:rPr>
        <w:t>SH590691da.pdr</w:t>
      </w:r>
      <w:r w:rsidRPr="00953037">
        <w:rPr>
          <w:rFonts w:asciiTheme="minorHAnsi" w:hAnsiTheme="minorHAnsi"/>
          <w:sz w:val="18"/>
          <w:szCs w:val="18"/>
        </w:rPr>
        <w:t>(dostęp z dnia: 17-02-2020 r.).</w:t>
      </w:r>
    </w:p>
  </w:footnote>
  <w:footnote w:id="251">
    <w:p w:rsidR="00B4606C" w:rsidRPr="00953037" w:rsidRDefault="00B4606C" w:rsidP="006B2CF8">
      <w:pPr>
        <w:pStyle w:val="Stopka1"/>
        <w:tabs>
          <w:tab w:val="left" w:pos="230"/>
        </w:tabs>
        <w:jc w:val="both"/>
        <w:rPr>
          <w:rFonts w:asciiTheme="minorHAnsi" w:hAnsiTheme="minorHAnsi"/>
          <w:sz w:val="18"/>
          <w:szCs w:val="18"/>
        </w:rPr>
      </w:pPr>
      <w:r w:rsidRPr="00953037">
        <w:rPr>
          <w:rFonts w:asciiTheme="minorHAnsi" w:hAnsiTheme="minorHAnsi"/>
          <w:sz w:val="18"/>
          <w:szCs w:val="18"/>
          <w:vertAlign w:val="superscript"/>
        </w:rPr>
        <w:footnoteRef/>
      </w:r>
      <w:r w:rsidRPr="00953037">
        <w:rPr>
          <w:rFonts w:asciiTheme="minorHAnsi" w:hAnsiTheme="minorHAnsi"/>
          <w:sz w:val="18"/>
          <w:szCs w:val="18"/>
        </w:rPr>
        <w:tab/>
        <w:t>Badanie stanowi część raportu sporządzonego przez Synergion Michał Kochanowski spółka komandytowa. HFPC uzyskała dostęp do raportu w ramach wniosku o dostęp do informacji publicznej złożonego na podstawie przepisów ustawy o dostępie.</w:t>
      </w:r>
    </w:p>
  </w:footnote>
  <w:footnote w:id="252">
    <w:p w:rsidR="00B4606C" w:rsidRPr="00953037" w:rsidRDefault="00B4606C" w:rsidP="006B2CF8">
      <w:pPr>
        <w:pStyle w:val="Stopka1"/>
        <w:tabs>
          <w:tab w:val="left" w:pos="235"/>
        </w:tabs>
        <w:rPr>
          <w:rFonts w:asciiTheme="minorHAnsi" w:hAnsiTheme="minorHAnsi"/>
          <w:sz w:val="18"/>
          <w:szCs w:val="18"/>
          <w:lang w:val="en-US"/>
        </w:rPr>
      </w:pPr>
      <w:r w:rsidRPr="00953037">
        <w:rPr>
          <w:rFonts w:asciiTheme="minorHAnsi" w:hAnsiTheme="minorHAnsi"/>
          <w:iCs/>
          <w:sz w:val="18"/>
          <w:szCs w:val="18"/>
          <w:vertAlign w:val="superscript"/>
        </w:rPr>
        <w:footnoteRef/>
      </w:r>
      <w:r w:rsidRPr="00953037">
        <w:rPr>
          <w:rFonts w:asciiTheme="minorHAnsi" w:hAnsiTheme="minorHAnsi"/>
          <w:iCs/>
          <w:sz w:val="18"/>
          <w:szCs w:val="18"/>
          <w:lang w:val="en-US"/>
        </w:rPr>
        <w:tab/>
        <w:t>Ibid.,</w:t>
      </w:r>
      <w:r w:rsidRPr="00953037">
        <w:rPr>
          <w:rFonts w:asciiTheme="minorHAnsi" w:hAnsiTheme="minorHAnsi"/>
          <w:sz w:val="18"/>
          <w:szCs w:val="18"/>
          <w:lang w:val="en-US"/>
        </w:rPr>
        <w:t xml:space="preserve"> s. 34-35</w:t>
      </w:r>
    </w:p>
  </w:footnote>
  <w:footnote w:id="253">
    <w:p w:rsidR="00B4606C" w:rsidRPr="00953037" w:rsidRDefault="00B4606C" w:rsidP="006B2CF8">
      <w:pPr>
        <w:pStyle w:val="Stopka1"/>
        <w:tabs>
          <w:tab w:val="left" w:pos="230"/>
        </w:tabs>
        <w:rPr>
          <w:rFonts w:asciiTheme="minorHAnsi" w:hAnsiTheme="minorHAnsi"/>
          <w:sz w:val="18"/>
          <w:szCs w:val="18"/>
          <w:lang w:val="en-US"/>
        </w:rPr>
      </w:pPr>
      <w:r w:rsidRPr="00953037">
        <w:rPr>
          <w:rFonts w:asciiTheme="minorHAnsi" w:hAnsiTheme="minorHAnsi"/>
          <w:iCs/>
          <w:sz w:val="18"/>
          <w:szCs w:val="18"/>
          <w:vertAlign w:val="superscript"/>
        </w:rPr>
        <w:footnoteRef/>
      </w:r>
      <w:r w:rsidRPr="00953037">
        <w:rPr>
          <w:rFonts w:asciiTheme="minorHAnsi" w:hAnsiTheme="minorHAnsi"/>
          <w:iCs/>
          <w:sz w:val="18"/>
          <w:szCs w:val="18"/>
          <w:lang w:val="en-US"/>
        </w:rPr>
        <w:tab/>
        <w:t>Ibid.,</w:t>
      </w:r>
      <w:r w:rsidRPr="00953037">
        <w:rPr>
          <w:rFonts w:asciiTheme="minorHAnsi" w:hAnsiTheme="minorHAnsi"/>
          <w:sz w:val="18"/>
          <w:szCs w:val="18"/>
          <w:lang w:val="en-US"/>
        </w:rPr>
        <w:t xml:space="preserve"> s. 5.</w:t>
      </w:r>
    </w:p>
  </w:footnote>
  <w:footnote w:id="254">
    <w:p w:rsidR="00B4606C" w:rsidRPr="00953037" w:rsidRDefault="00B4606C" w:rsidP="006B2CF8">
      <w:pPr>
        <w:pStyle w:val="Stopka1"/>
        <w:tabs>
          <w:tab w:val="left" w:pos="230"/>
        </w:tabs>
        <w:rPr>
          <w:rFonts w:asciiTheme="minorHAnsi" w:hAnsiTheme="minorHAnsi"/>
          <w:sz w:val="18"/>
          <w:szCs w:val="18"/>
          <w:lang w:val="en-US"/>
        </w:rPr>
      </w:pPr>
      <w:r w:rsidRPr="00953037">
        <w:rPr>
          <w:rFonts w:asciiTheme="minorHAnsi" w:hAnsiTheme="minorHAnsi"/>
          <w:iCs/>
          <w:sz w:val="18"/>
          <w:szCs w:val="18"/>
          <w:vertAlign w:val="superscript"/>
        </w:rPr>
        <w:footnoteRef/>
      </w:r>
      <w:r w:rsidRPr="00953037">
        <w:rPr>
          <w:rFonts w:asciiTheme="minorHAnsi" w:hAnsiTheme="minorHAnsi"/>
          <w:iCs/>
          <w:sz w:val="18"/>
          <w:szCs w:val="18"/>
          <w:lang w:val="en-US"/>
        </w:rPr>
        <w:tab/>
        <w:t>Ibid.,</w:t>
      </w:r>
      <w:r w:rsidRPr="00953037">
        <w:rPr>
          <w:rFonts w:asciiTheme="minorHAnsi" w:hAnsiTheme="minorHAnsi"/>
          <w:sz w:val="18"/>
          <w:szCs w:val="18"/>
          <w:lang w:val="en-US"/>
        </w:rPr>
        <w:t xml:space="preserve"> s. 6.</w:t>
      </w:r>
    </w:p>
  </w:footnote>
  <w:footnote w:id="255">
    <w:p w:rsidR="00B4606C" w:rsidRPr="00953037" w:rsidRDefault="00B4606C" w:rsidP="00953037">
      <w:pPr>
        <w:pStyle w:val="Tekstprzypisudolnego"/>
        <w:tabs>
          <w:tab w:val="left" w:pos="6093"/>
        </w:tabs>
        <w:rPr>
          <w:rFonts w:asciiTheme="minorHAnsi" w:hAnsiTheme="minorHAnsi" w:cs="Times New Roman"/>
          <w:sz w:val="19"/>
          <w:szCs w:val="19"/>
          <w:lang w:val="en-US"/>
        </w:rPr>
      </w:pPr>
      <w:r w:rsidRPr="00953037">
        <w:rPr>
          <w:rStyle w:val="Odwoanieprzypisudolnego"/>
          <w:rFonts w:asciiTheme="minorHAnsi" w:hAnsiTheme="minorHAnsi" w:cs="Times New Roman"/>
          <w:sz w:val="18"/>
          <w:szCs w:val="18"/>
        </w:rPr>
        <w:footnoteRef/>
      </w:r>
      <w:r w:rsidRPr="00953037">
        <w:rPr>
          <w:rFonts w:asciiTheme="minorHAnsi" w:hAnsiTheme="minorHAnsi" w:cs="Times New Roman"/>
          <w:iCs/>
          <w:sz w:val="18"/>
          <w:szCs w:val="18"/>
          <w:lang w:val="en-US"/>
        </w:rPr>
        <w:t>Ibid.</w:t>
      </w:r>
      <w:r w:rsidRPr="00953037">
        <w:rPr>
          <w:rFonts w:asciiTheme="minorHAnsi" w:hAnsiTheme="minorHAnsi" w:cs="Times New Roman"/>
          <w:sz w:val="18"/>
          <w:szCs w:val="18"/>
          <w:lang w:val="en-US"/>
        </w:rPr>
        <w:t>, s. 7.</w:t>
      </w:r>
      <w:r w:rsidR="00953037">
        <w:rPr>
          <w:rFonts w:asciiTheme="minorHAnsi" w:hAnsiTheme="minorHAnsi" w:cs="Times New Roman"/>
          <w:sz w:val="18"/>
          <w:szCs w:val="18"/>
          <w:lang w:val="en-US"/>
        </w:rPr>
        <w:tab/>
      </w:r>
    </w:p>
  </w:footnote>
  <w:footnote w:id="256">
    <w:p w:rsidR="00B4606C" w:rsidRPr="006B2CF8" w:rsidRDefault="00B4606C" w:rsidP="006B2CF8">
      <w:pPr>
        <w:pStyle w:val="Tekstprzypisudolnego"/>
        <w:rPr>
          <w:rFonts w:asciiTheme="minorHAnsi" w:hAnsiTheme="minorHAnsi"/>
          <w:sz w:val="19"/>
          <w:szCs w:val="19"/>
          <w:lang w:val="en-US"/>
        </w:rPr>
      </w:pPr>
      <w:r w:rsidRPr="00953037">
        <w:rPr>
          <w:rStyle w:val="Odwoanieprzypisudolnego"/>
          <w:rFonts w:asciiTheme="minorHAnsi" w:hAnsiTheme="minorHAnsi"/>
          <w:sz w:val="19"/>
          <w:szCs w:val="19"/>
        </w:rPr>
        <w:footnoteRef/>
      </w:r>
      <w:r w:rsidRPr="00953037">
        <w:rPr>
          <w:rFonts w:asciiTheme="minorHAnsi" w:hAnsiTheme="minorHAnsi"/>
          <w:iCs/>
          <w:sz w:val="19"/>
          <w:szCs w:val="19"/>
          <w:lang w:val="en-US"/>
        </w:rPr>
        <w:t>Ibid.</w:t>
      </w:r>
      <w:r w:rsidRPr="00953037">
        <w:rPr>
          <w:rFonts w:asciiTheme="minorHAnsi" w:hAnsiTheme="minorHAnsi"/>
          <w:sz w:val="19"/>
          <w:szCs w:val="19"/>
          <w:lang w:val="en-US"/>
        </w:rPr>
        <w:t>, s. 7.</w:t>
      </w:r>
    </w:p>
  </w:footnote>
  <w:footnote w:id="257">
    <w:p w:rsidR="00B4606C" w:rsidRPr="00953037" w:rsidRDefault="00B4606C" w:rsidP="006B2CF8">
      <w:pPr>
        <w:pStyle w:val="Stopka1"/>
        <w:pBdr>
          <w:top w:val="single" w:sz="4" w:space="0" w:color="auto"/>
        </w:pBdr>
        <w:tabs>
          <w:tab w:val="left" w:pos="230"/>
        </w:tabs>
        <w:rPr>
          <w:rFonts w:asciiTheme="minorHAnsi" w:hAnsiTheme="minorHAnsi"/>
          <w:sz w:val="18"/>
          <w:szCs w:val="18"/>
          <w:lang w:val="en-US"/>
        </w:rPr>
      </w:pPr>
      <w:r w:rsidRPr="00953037">
        <w:rPr>
          <w:rFonts w:asciiTheme="minorHAnsi" w:hAnsiTheme="minorHAnsi"/>
          <w:iCs/>
          <w:sz w:val="18"/>
          <w:szCs w:val="18"/>
          <w:vertAlign w:val="superscript"/>
        </w:rPr>
        <w:footnoteRef/>
      </w:r>
      <w:r w:rsidRPr="00953037">
        <w:rPr>
          <w:rFonts w:asciiTheme="minorHAnsi" w:hAnsiTheme="minorHAnsi"/>
          <w:iCs/>
          <w:sz w:val="18"/>
          <w:szCs w:val="18"/>
          <w:lang w:val="en-US"/>
        </w:rPr>
        <w:tab/>
        <w:t>Ibid.,</w:t>
      </w:r>
      <w:r w:rsidRPr="00953037">
        <w:rPr>
          <w:rFonts w:asciiTheme="minorHAnsi" w:hAnsiTheme="minorHAnsi"/>
          <w:sz w:val="18"/>
          <w:szCs w:val="18"/>
          <w:lang w:val="en-US"/>
        </w:rPr>
        <w:t xml:space="preserve"> s. 7.</w:t>
      </w:r>
    </w:p>
  </w:footnote>
  <w:footnote w:id="258">
    <w:p w:rsidR="00B4606C" w:rsidRPr="00953037" w:rsidRDefault="00B4606C" w:rsidP="006B2CF8">
      <w:pPr>
        <w:pStyle w:val="Stopka1"/>
        <w:tabs>
          <w:tab w:val="left" w:pos="230"/>
        </w:tabs>
        <w:rPr>
          <w:rFonts w:asciiTheme="minorHAnsi" w:hAnsiTheme="minorHAnsi"/>
          <w:sz w:val="18"/>
          <w:szCs w:val="18"/>
        </w:rPr>
      </w:pPr>
      <w:r w:rsidRPr="00953037">
        <w:rPr>
          <w:rFonts w:asciiTheme="minorHAnsi" w:hAnsiTheme="minorHAnsi"/>
          <w:iCs/>
          <w:sz w:val="18"/>
          <w:szCs w:val="18"/>
          <w:vertAlign w:val="superscript"/>
        </w:rPr>
        <w:footnoteRef/>
      </w:r>
      <w:r w:rsidRPr="00953037">
        <w:rPr>
          <w:rFonts w:asciiTheme="minorHAnsi" w:hAnsiTheme="minorHAnsi"/>
          <w:iCs/>
          <w:sz w:val="18"/>
          <w:szCs w:val="18"/>
        </w:rPr>
        <w:tab/>
        <w:t>Ibid.,</w:t>
      </w:r>
      <w:r w:rsidRPr="00953037">
        <w:rPr>
          <w:rFonts w:asciiTheme="minorHAnsi" w:hAnsiTheme="minorHAnsi"/>
          <w:sz w:val="18"/>
          <w:szCs w:val="18"/>
        </w:rPr>
        <w:t xml:space="preserve"> s. 8.</w:t>
      </w:r>
    </w:p>
  </w:footnote>
  <w:footnote w:id="259">
    <w:p w:rsidR="00B4606C" w:rsidRPr="00953037" w:rsidRDefault="00B4606C" w:rsidP="006B2CF8">
      <w:pPr>
        <w:pStyle w:val="Stopka1"/>
        <w:tabs>
          <w:tab w:val="left" w:pos="235"/>
        </w:tabs>
        <w:rPr>
          <w:sz w:val="18"/>
          <w:szCs w:val="18"/>
        </w:rPr>
      </w:pPr>
      <w:r w:rsidRPr="00953037">
        <w:rPr>
          <w:rFonts w:asciiTheme="minorHAnsi" w:hAnsiTheme="minorHAnsi"/>
          <w:iCs/>
          <w:sz w:val="18"/>
          <w:szCs w:val="18"/>
          <w:vertAlign w:val="superscript"/>
        </w:rPr>
        <w:footnoteRef/>
      </w:r>
      <w:r w:rsidRPr="00953037">
        <w:rPr>
          <w:rFonts w:asciiTheme="minorHAnsi" w:hAnsiTheme="minorHAnsi"/>
          <w:iCs/>
          <w:sz w:val="18"/>
          <w:szCs w:val="18"/>
        </w:rPr>
        <w:tab/>
        <w:t>Ibid.,</w:t>
      </w:r>
      <w:r w:rsidRPr="00953037">
        <w:rPr>
          <w:rFonts w:asciiTheme="minorHAnsi" w:hAnsiTheme="minorHAnsi"/>
          <w:sz w:val="18"/>
          <w:szCs w:val="18"/>
        </w:rPr>
        <w:t xml:space="preserve"> s. 8.</w:t>
      </w:r>
    </w:p>
  </w:footnote>
  <w:footnote w:id="260">
    <w:p w:rsidR="00B4606C" w:rsidRPr="00953037" w:rsidRDefault="00B4606C" w:rsidP="006B2CF8">
      <w:pPr>
        <w:pStyle w:val="Stopka1"/>
        <w:tabs>
          <w:tab w:val="left" w:pos="250"/>
        </w:tabs>
        <w:rPr>
          <w:rFonts w:asciiTheme="minorHAnsi" w:hAnsiTheme="minorHAnsi"/>
          <w:sz w:val="18"/>
          <w:szCs w:val="18"/>
        </w:rPr>
      </w:pPr>
      <w:r w:rsidRPr="00953037">
        <w:rPr>
          <w:rFonts w:asciiTheme="minorHAnsi" w:hAnsiTheme="minorHAnsi"/>
          <w:sz w:val="18"/>
          <w:szCs w:val="18"/>
          <w:vertAlign w:val="superscript"/>
        </w:rPr>
        <w:footnoteRef/>
      </w:r>
      <w:r w:rsidRPr="00953037">
        <w:rPr>
          <w:rFonts w:asciiTheme="minorHAnsi" w:hAnsiTheme="minorHAnsi"/>
          <w:sz w:val="18"/>
          <w:szCs w:val="18"/>
        </w:rPr>
        <w:tab/>
        <w:t>Informacje przekazane przez KGP za pośrednictwem poczty elektronicznej w dniu 11 lutego 2020 r.</w:t>
      </w:r>
    </w:p>
  </w:footnote>
  <w:footnote w:id="261">
    <w:p w:rsidR="00B4606C" w:rsidRPr="006B2CF8" w:rsidRDefault="00B4606C" w:rsidP="006B2CF8">
      <w:pPr>
        <w:pStyle w:val="Stopka1"/>
        <w:tabs>
          <w:tab w:val="left" w:pos="250"/>
        </w:tabs>
        <w:jc w:val="both"/>
        <w:rPr>
          <w:rFonts w:asciiTheme="minorHAnsi" w:hAnsiTheme="minorHAnsi"/>
        </w:rPr>
      </w:pPr>
      <w:r w:rsidRPr="00953037">
        <w:rPr>
          <w:rFonts w:asciiTheme="minorHAnsi" w:hAnsiTheme="minorHAnsi"/>
          <w:sz w:val="18"/>
          <w:szCs w:val="18"/>
          <w:vertAlign w:val="superscript"/>
        </w:rPr>
        <w:footnoteRef/>
      </w:r>
      <w:r w:rsidRPr="00953037">
        <w:rPr>
          <w:rFonts w:asciiTheme="minorHAnsi" w:hAnsiTheme="minorHAnsi"/>
          <w:sz w:val="18"/>
          <w:szCs w:val="18"/>
        </w:rPr>
        <w:tab/>
        <w:t>Informacja przekazana przez Wyższą Szkołę Policji w Słupsku na wniosek HFPC o dostęp do informacji publicznej z dnia 7 lutego 2020 r., znak pisma: AWIP-7/20.</w:t>
      </w:r>
    </w:p>
  </w:footnote>
  <w:footnote w:id="262">
    <w:p w:rsidR="00B4606C" w:rsidRPr="00953037" w:rsidRDefault="00B4606C" w:rsidP="006B2CF8">
      <w:pPr>
        <w:pStyle w:val="Stopka1"/>
        <w:tabs>
          <w:tab w:val="left" w:pos="254"/>
        </w:tabs>
        <w:jc w:val="both"/>
        <w:rPr>
          <w:rFonts w:asciiTheme="minorHAnsi" w:hAnsiTheme="minorHAnsi"/>
          <w:sz w:val="18"/>
          <w:szCs w:val="18"/>
        </w:rPr>
      </w:pPr>
      <w:r w:rsidRPr="00953037">
        <w:rPr>
          <w:rFonts w:asciiTheme="minorHAnsi" w:hAnsiTheme="minorHAnsi"/>
          <w:sz w:val="18"/>
          <w:szCs w:val="18"/>
          <w:vertAlign w:val="superscript"/>
        </w:rPr>
        <w:footnoteRef/>
      </w:r>
      <w:r w:rsidRPr="00953037">
        <w:rPr>
          <w:rFonts w:asciiTheme="minorHAnsi" w:hAnsiTheme="minorHAnsi"/>
          <w:sz w:val="18"/>
          <w:szCs w:val="18"/>
        </w:rPr>
        <w:tab/>
        <w:t>Informacja udostępniona przez Wyższą Szkołę Policji w Szczytnie na wniosek HFPC o udostępnienie informacji publicznej z dnia 7 lutego 2020 r., znak pisma: ZP-29/20.</w:t>
      </w:r>
    </w:p>
  </w:footnote>
  <w:footnote w:id="263">
    <w:p w:rsidR="00B4606C" w:rsidRPr="00953037" w:rsidRDefault="00B4606C" w:rsidP="006B2CF8">
      <w:pPr>
        <w:pStyle w:val="Tekstprzypisudolnego"/>
        <w:rPr>
          <w:rFonts w:asciiTheme="minorHAnsi" w:hAnsiTheme="minorHAnsi" w:cs="Times New Roman"/>
          <w:sz w:val="18"/>
          <w:szCs w:val="18"/>
        </w:rPr>
      </w:pPr>
      <w:r w:rsidRPr="00953037">
        <w:rPr>
          <w:rStyle w:val="Odwoanieprzypisudolnego"/>
          <w:rFonts w:asciiTheme="minorHAnsi" w:hAnsiTheme="minorHAnsi" w:cs="Times New Roman"/>
          <w:sz w:val="18"/>
          <w:szCs w:val="18"/>
        </w:rPr>
        <w:footnoteRef/>
      </w:r>
      <w:r w:rsidRPr="00953037">
        <w:rPr>
          <w:rFonts w:asciiTheme="minorHAnsi" w:hAnsiTheme="minorHAnsi"/>
          <w:sz w:val="18"/>
          <w:szCs w:val="18"/>
        </w:rPr>
        <w:t xml:space="preserve"> Informacja przekazana przez Wyższą Szkołę Policji w Szczytnie na wniosek HFPC o udostępnienie informacji publicznej z dnia 6 lutego 2020 r., znak pisma: CD/575/DK/20.</w:t>
      </w:r>
    </w:p>
  </w:footnote>
  <w:footnote w:id="264">
    <w:p w:rsidR="00B4606C" w:rsidRPr="00953037" w:rsidRDefault="00B4606C" w:rsidP="006B2CF8">
      <w:pPr>
        <w:pStyle w:val="Tekstprzypisudolnego"/>
        <w:rPr>
          <w:rFonts w:asciiTheme="minorHAnsi" w:hAnsiTheme="minorHAnsi" w:cs="Times New Roman"/>
          <w:sz w:val="18"/>
          <w:szCs w:val="18"/>
        </w:rPr>
      </w:pPr>
      <w:r w:rsidRPr="00953037">
        <w:rPr>
          <w:rStyle w:val="Odwoanieprzypisudolnego"/>
          <w:rFonts w:asciiTheme="minorHAnsi" w:hAnsiTheme="minorHAnsi" w:cs="Times New Roman"/>
          <w:sz w:val="18"/>
          <w:szCs w:val="18"/>
        </w:rPr>
        <w:footnoteRef/>
      </w:r>
      <w:r w:rsidRPr="00953037">
        <w:rPr>
          <w:rFonts w:asciiTheme="minorHAnsi" w:hAnsiTheme="minorHAnsi"/>
          <w:sz w:val="18"/>
          <w:szCs w:val="18"/>
        </w:rPr>
        <w:t xml:space="preserve"> Informacja przekazana przez Wyższą Szkołę Policji w Słupsku na wniosek HFPC o dostęp do informacji publicznej z dnia 7 lutego 2020 r., znak pisma: AWIP-7/20, oraz informacje przekazane przez Centrum Szkolenia Policji w Legionowie na wniosek HFPC o dostęp do informacji publicznej z dnia 6 lutego 2020 r., znak: CD/575/DK/20.</w:t>
      </w:r>
    </w:p>
  </w:footnote>
  <w:footnote w:id="265">
    <w:p w:rsidR="00B4606C" w:rsidRPr="00953037" w:rsidRDefault="00B4606C" w:rsidP="006B2CF8">
      <w:pPr>
        <w:pStyle w:val="Stopka1"/>
        <w:tabs>
          <w:tab w:val="left" w:pos="259"/>
        </w:tabs>
        <w:jc w:val="both"/>
        <w:rPr>
          <w:rFonts w:asciiTheme="minorHAnsi" w:hAnsiTheme="minorHAnsi"/>
          <w:sz w:val="18"/>
          <w:szCs w:val="18"/>
        </w:rPr>
      </w:pPr>
      <w:r w:rsidRPr="00953037">
        <w:rPr>
          <w:rFonts w:asciiTheme="minorHAnsi" w:hAnsiTheme="minorHAnsi"/>
          <w:sz w:val="18"/>
          <w:szCs w:val="18"/>
          <w:vertAlign w:val="superscript"/>
        </w:rPr>
        <w:footnoteRef/>
      </w:r>
      <w:r w:rsidRPr="00953037">
        <w:rPr>
          <w:rFonts w:asciiTheme="minorHAnsi" w:hAnsiTheme="minorHAnsi"/>
          <w:sz w:val="18"/>
          <w:szCs w:val="18"/>
        </w:rPr>
        <w:tab/>
        <w:t>Informacja udostępniona przez Wyższą Szkołę Policji w Szczytnie na wniosek HFPC o udostępnienie informacji publicznej z dnia 7 lutego 2020 r., znak pisma: ZP-29/20.</w:t>
      </w:r>
    </w:p>
  </w:footnote>
  <w:footnote w:id="266">
    <w:p w:rsidR="00B4606C" w:rsidRDefault="00B4606C" w:rsidP="006B2CF8">
      <w:pPr>
        <w:pStyle w:val="Stopka1"/>
        <w:tabs>
          <w:tab w:val="left" w:pos="240"/>
        </w:tabs>
      </w:pPr>
      <w:r w:rsidRPr="00953037">
        <w:rPr>
          <w:rFonts w:asciiTheme="minorHAnsi" w:hAnsiTheme="minorHAnsi"/>
          <w:sz w:val="18"/>
          <w:szCs w:val="18"/>
          <w:vertAlign w:val="superscript"/>
        </w:rPr>
        <w:footnoteRef/>
      </w:r>
      <w:r w:rsidRPr="00953037">
        <w:rPr>
          <w:rFonts w:asciiTheme="minorHAnsi" w:hAnsiTheme="minorHAnsi"/>
          <w:sz w:val="18"/>
          <w:szCs w:val="18"/>
        </w:rPr>
        <w:tab/>
        <w:t>Informacje przekazane przez KGP za pośrednictwem poczty elektronicznej w dniu 11 lutego 2020 r.</w:t>
      </w:r>
    </w:p>
  </w:footnote>
  <w:footnote w:id="267">
    <w:p w:rsidR="00B4606C" w:rsidRPr="00953037" w:rsidRDefault="00B4606C" w:rsidP="006B2CF8">
      <w:pPr>
        <w:pStyle w:val="Stopka1"/>
        <w:tabs>
          <w:tab w:val="left" w:pos="235"/>
        </w:tabs>
        <w:rPr>
          <w:rFonts w:asciiTheme="minorHAnsi" w:hAnsiTheme="minorHAnsi"/>
          <w:sz w:val="18"/>
          <w:szCs w:val="18"/>
        </w:rPr>
      </w:pPr>
      <w:r w:rsidRPr="00953037">
        <w:rPr>
          <w:rFonts w:asciiTheme="minorHAnsi" w:hAnsiTheme="minorHAnsi"/>
          <w:sz w:val="18"/>
          <w:szCs w:val="18"/>
          <w:shd w:val="clear" w:color="auto" w:fill="FFFFFF"/>
          <w:vertAlign w:val="superscript"/>
        </w:rPr>
        <w:footnoteRef/>
      </w:r>
      <w:r w:rsidRPr="00953037">
        <w:rPr>
          <w:rFonts w:asciiTheme="minorHAnsi" w:hAnsiTheme="minorHAnsi"/>
          <w:sz w:val="18"/>
          <w:szCs w:val="18"/>
        </w:rPr>
        <w:tab/>
        <w:t xml:space="preserve">Por. </w:t>
      </w:r>
      <w:r w:rsidRPr="00953037">
        <w:rPr>
          <w:rFonts w:asciiTheme="minorHAnsi" w:hAnsiTheme="minorHAnsi"/>
          <w:i/>
          <w:iCs/>
          <w:sz w:val="18"/>
          <w:szCs w:val="18"/>
        </w:rPr>
        <w:t>Wnioski i zalecenia Komitetu Przeciwko Torturom</w:t>
      </w:r>
      <w:r w:rsidRPr="00953037">
        <w:rPr>
          <w:rFonts w:asciiTheme="minorHAnsi" w:hAnsiTheme="minorHAnsi"/>
          <w:sz w:val="18"/>
          <w:szCs w:val="18"/>
        </w:rPr>
        <w:t xml:space="preserve">, 29 stycznia 2019 r. CAT/C/POL/CO/7, s. 7. Uwagi końcowe do siódmego raportu okresowego Polski, 23 listopada 2016 r., CCPR/C/POL/CO/7, s. 5; </w:t>
      </w:r>
      <w:r w:rsidRPr="00953037">
        <w:rPr>
          <w:rFonts w:asciiTheme="minorHAnsi" w:hAnsiTheme="minorHAnsi"/>
          <w:i/>
          <w:iCs/>
          <w:sz w:val="18"/>
          <w:szCs w:val="18"/>
        </w:rPr>
        <w:t xml:space="preserve">Zalecenia i uwagi Podkomitetu do spraw Zapobiegania Torturom oraz Innemu Okrutnemu, Nieludzkiemu lub Poniżającemu Traktowaniu albo Karaniu, 21 stycznia 2020 r., </w:t>
      </w:r>
      <w:r w:rsidRPr="00953037">
        <w:rPr>
          <w:rFonts w:asciiTheme="minorHAnsi" w:hAnsiTheme="minorHAnsi"/>
          <w:sz w:val="18"/>
          <w:szCs w:val="18"/>
        </w:rPr>
        <w:t>CAT/OP/POL/ROSP/1, s. 8.</w:t>
      </w:r>
    </w:p>
  </w:footnote>
  <w:footnote w:id="268">
    <w:p w:rsidR="00B4606C" w:rsidRPr="00953037" w:rsidRDefault="00B4606C" w:rsidP="006B2CF8">
      <w:pPr>
        <w:pStyle w:val="Stopka1"/>
        <w:rPr>
          <w:rFonts w:asciiTheme="minorHAnsi" w:hAnsiTheme="minorHAnsi"/>
          <w:sz w:val="18"/>
          <w:szCs w:val="18"/>
        </w:rPr>
      </w:pPr>
      <w:r w:rsidRPr="00953037">
        <w:rPr>
          <w:rFonts w:asciiTheme="minorHAnsi" w:hAnsiTheme="minorHAnsi"/>
          <w:sz w:val="18"/>
          <w:szCs w:val="18"/>
          <w:vertAlign w:val="superscript"/>
        </w:rPr>
        <w:t>50</w:t>
      </w:r>
      <w:r w:rsidRPr="00953037">
        <w:rPr>
          <w:rFonts w:asciiTheme="minorHAnsi" w:hAnsiTheme="minorHAnsi"/>
          <w:sz w:val="18"/>
          <w:szCs w:val="18"/>
        </w:rPr>
        <w:t xml:space="preserve"> Por. </w:t>
      </w:r>
      <w:r w:rsidRPr="00953037">
        <w:rPr>
          <w:rFonts w:asciiTheme="minorHAnsi" w:hAnsiTheme="minorHAnsi"/>
          <w:i/>
          <w:iCs/>
          <w:sz w:val="18"/>
          <w:szCs w:val="18"/>
        </w:rPr>
        <w:t>Wnioski i zalecenia Komitetu Przeciwko Torturom</w:t>
      </w:r>
      <w:r w:rsidRPr="00953037">
        <w:rPr>
          <w:rFonts w:asciiTheme="minorHAnsi" w:hAnsiTheme="minorHAnsi"/>
          <w:sz w:val="18"/>
          <w:szCs w:val="18"/>
        </w:rPr>
        <w:t>, 29 stycznia 2019 r., CAT/C/POL/CO/7, s. 7.</w:t>
      </w:r>
    </w:p>
  </w:footnote>
  <w:footnote w:id="269">
    <w:p w:rsidR="00B4606C" w:rsidRPr="00953037" w:rsidRDefault="00B4606C" w:rsidP="006B2CF8">
      <w:pPr>
        <w:pStyle w:val="Stopka1"/>
        <w:tabs>
          <w:tab w:val="left" w:pos="230"/>
        </w:tabs>
        <w:rPr>
          <w:rFonts w:asciiTheme="minorHAnsi" w:hAnsiTheme="minorHAnsi"/>
          <w:sz w:val="18"/>
          <w:szCs w:val="18"/>
        </w:rPr>
      </w:pPr>
      <w:r w:rsidRPr="00953037">
        <w:rPr>
          <w:rFonts w:asciiTheme="minorHAnsi" w:hAnsiTheme="minorHAnsi"/>
          <w:sz w:val="18"/>
          <w:szCs w:val="18"/>
          <w:vertAlign w:val="superscript"/>
        </w:rPr>
        <w:footnoteRef/>
      </w:r>
      <w:r w:rsidRPr="00953037">
        <w:rPr>
          <w:rFonts w:asciiTheme="minorHAnsi" w:hAnsiTheme="minorHAnsi"/>
          <w:sz w:val="18"/>
          <w:szCs w:val="18"/>
        </w:rPr>
        <w:tab/>
        <w:t>Por. Wnioski i zalecenia Komitetu Przeciwko Torturom, 29 stycznia 2019 r., CAT/C/POL/CO/7, s. 7, Zalecenia i uwagi Podkomitetu do Spraw Zapobiegania Torturom oraz Innemu Okrutnemu, Nieludzkiemu lub Poniżającemu Traktowaniu albo Karaniu, 21 stycznia 2020 r. CAT/OP/POL/ROSP/1, s. 9.</w:t>
      </w:r>
    </w:p>
  </w:footnote>
  <w:footnote w:id="270">
    <w:p w:rsidR="00B4606C" w:rsidRPr="00953037" w:rsidRDefault="00B4606C" w:rsidP="006B2CF8">
      <w:pPr>
        <w:pStyle w:val="Stopka1"/>
        <w:tabs>
          <w:tab w:val="left" w:pos="235"/>
        </w:tabs>
        <w:rPr>
          <w:rFonts w:asciiTheme="minorHAnsi" w:hAnsiTheme="minorHAnsi"/>
          <w:sz w:val="18"/>
          <w:szCs w:val="18"/>
        </w:rPr>
      </w:pPr>
      <w:r w:rsidRPr="00953037">
        <w:rPr>
          <w:rFonts w:asciiTheme="minorHAnsi" w:hAnsiTheme="minorHAnsi"/>
          <w:sz w:val="18"/>
          <w:szCs w:val="18"/>
          <w:vertAlign w:val="superscript"/>
        </w:rPr>
        <w:footnoteRef/>
      </w:r>
      <w:r w:rsidRPr="00953037">
        <w:rPr>
          <w:rFonts w:asciiTheme="minorHAnsi" w:hAnsiTheme="minorHAnsi"/>
          <w:sz w:val="18"/>
          <w:szCs w:val="18"/>
        </w:rPr>
        <w:tab/>
        <w:t xml:space="preserve">Por. Wnioski i zalecenia Komitetu Przeciwko Torturom, 29 stycznia 2019 r., CAT/C/POL/CO/7, s. 7, Zalecenia i uwagi Podkomitetu do Spraw Zapobiegania Torturom oraz Innemu Okrutnemu, Nieludzkiemu lub Poniżającemu Traktowaniu albo Karaniu, 21 stycznia 2020 r., CAT/OP/POL/ROSP/1, s. 9. </w:t>
      </w:r>
    </w:p>
  </w:footnote>
  <w:footnote w:id="271">
    <w:p w:rsidR="00B4606C" w:rsidRPr="00953037" w:rsidRDefault="00B4606C" w:rsidP="006B2CF8">
      <w:pPr>
        <w:pStyle w:val="Tekstprzypisudolnego"/>
        <w:rPr>
          <w:rFonts w:asciiTheme="minorHAnsi" w:hAnsiTheme="minorHAnsi" w:cs="Times New Roman"/>
          <w:sz w:val="18"/>
          <w:szCs w:val="18"/>
        </w:rPr>
      </w:pPr>
      <w:r w:rsidRPr="00953037">
        <w:rPr>
          <w:rStyle w:val="Odwoanieprzypisudolnego"/>
          <w:rFonts w:asciiTheme="minorHAnsi" w:hAnsiTheme="minorHAnsi" w:cs="Times New Roman"/>
          <w:sz w:val="18"/>
          <w:szCs w:val="18"/>
        </w:rPr>
        <w:footnoteRef/>
      </w:r>
      <w:r w:rsidRPr="00953037">
        <w:rPr>
          <w:rFonts w:asciiTheme="minorHAnsi" w:hAnsiTheme="minorHAnsi" w:cs="Times New Roman"/>
          <w:sz w:val="18"/>
          <w:szCs w:val="18"/>
        </w:rPr>
        <w:t xml:space="preserve"> Por. Wnioski i zalecenia Komitetu Przeciwko Torturom, 29 stycznia 2019 r., CAT/C/POL/CO/7, s. 11.</w:t>
      </w:r>
    </w:p>
  </w:footnote>
  <w:footnote w:id="272">
    <w:p w:rsidR="00B4606C" w:rsidRPr="00953037" w:rsidRDefault="00B4606C" w:rsidP="006B2CF8">
      <w:pPr>
        <w:pStyle w:val="Stopka1"/>
        <w:rPr>
          <w:sz w:val="18"/>
          <w:szCs w:val="18"/>
        </w:rPr>
      </w:pPr>
      <w:r w:rsidRPr="00953037">
        <w:rPr>
          <w:rFonts w:asciiTheme="minorHAnsi" w:hAnsiTheme="minorHAnsi"/>
          <w:sz w:val="18"/>
          <w:szCs w:val="18"/>
          <w:vertAlign w:val="superscript"/>
        </w:rPr>
        <w:footnoteRef/>
      </w:r>
      <w:r w:rsidRPr="00953037">
        <w:rPr>
          <w:rFonts w:asciiTheme="minorHAnsi" w:hAnsiTheme="minorHAnsi"/>
          <w:sz w:val="18"/>
          <w:szCs w:val="18"/>
        </w:rPr>
        <w:t xml:space="preserve"> Protokół Stambulski został przekazany Wysokiemu Komisarzowi Narodów Zjednoczonych ds. Praw Człowieka w dniu 9 sierpnia 1999 r. Professional Training Series No. 8/Rev.l, Organizacja Narodów Zjednoczonych, Nowy Jork i Genewa, 2004.</w:t>
      </w:r>
    </w:p>
  </w:footnote>
  <w:footnote w:id="273">
    <w:p w:rsidR="00B4606C" w:rsidRPr="000A28CE" w:rsidRDefault="00B4606C" w:rsidP="00684137">
      <w:pPr>
        <w:pStyle w:val="Stopka1"/>
        <w:tabs>
          <w:tab w:val="left" w:pos="134"/>
        </w:tabs>
        <w:jc w:val="both"/>
        <w:rPr>
          <w:rFonts w:asciiTheme="minorHAnsi" w:hAnsiTheme="minorHAnsi"/>
          <w:sz w:val="18"/>
          <w:szCs w:val="18"/>
        </w:rPr>
      </w:pPr>
      <w:r w:rsidRPr="000A28CE">
        <w:rPr>
          <w:rFonts w:asciiTheme="minorHAnsi" w:hAnsiTheme="minorHAnsi"/>
          <w:iCs/>
          <w:sz w:val="18"/>
          <w:szCs w:val="18"/>
          <w:vertAlign w:val="superscript"/>
        </w:rPr>
        <w:footnoteRef/>
      </w:r>
      <w:r w:rsidR="000A28CE" w:rsidRPr="000A28CE">
        <w:rPr>
          <w:rFonts w:asciiTheme="minorHAnsi" w:hAnsiTheme="minorHAnsi"/>
          <w:iCs/>
          <w:sz w:val="18"/>
          <w:szCs w:val="18"/>
        </w:rPr>
        <w:t xml:space="preserve"> </w:t>
      </w:r>
      <w:r w:rsidRPr="000A28CE">
        <w:rPr>
          <w:rFonts w:asciiTheme="minorHAnsi" w:hAnsiTheme="minorHAnsi"/>
          <w:iCs/>
          <w:sz w:val="18"/>
          <w:szCs w:val="18"/>
        </w:rPr>
        <w:t>„Tajne więzienia, tajne postępowanie, jawna (nie)odpowiedzialność – czego nadal nie wiemy o więzieniach CIA w Polsce?”</w:t>
      </w:r>
      <w:r w:rsidRPr="000A28CE">
        <w:rPr>
          <w:rFonts w:asciiTheme="minorHAnsi" w:hAnsiTheme="minorHAnsi"/>
          <w:sz w:val="18"/>
          <w:szCs w:val="18"/>
        </w:rPr>
        <w:t xml:space="preserve">, </w:t>
      </w:r>
      <w:hyperlink r:id="rId76" w:history="1">
        <w:r w:rsidRPr="000A28CE">
          <w:rPr>
            <w:rStyle w:val="Hipercze"/>
            <w:rFonts w:asciiTheme="minorHAnsi" w:hAnsiTheme="minorHAnsi"/>
            <w:sz w:val="18"/>
            <w:szCs w:val="18"/>
          </w:rPr>
          <w:t>http://www.hfhr.pl/wp-content/uploads/2020/01/CIA-FlN-web.pdf</w:t>
        </w:r>
      </w:hyperlink>
      <w:r w:rsidRPr="000A28CE">
        <w:rPr>
          <w:rFonts w:asciiTheme="minorHAnsi" w:hAnsiTheme="minorHAnsi"/>
          <w:sz w:val="18"/>
          <w:szCs w:val="18"/>
        </w:rPr>
        <w:t xml:space="preserve"> [dostęp: 13.02.2020 r.],</w:t>
      </w:r>
    </w:p>
  </w:footnote>
  <w:footnote w:id="274">
    <w:p w:rsidR="00B4606C" w:rsidRPr="000A28CE" w:rsidRDefault="00B4606C" w:rsidP="00684137">
      <w:pPr>
        <w:pStyle w:val="Stopka1"/>
        <w:tabs>
          <w:tab w:val="left" w:pos="144"/>
        </w:tabs>
        <w:rPr>
          <w:rFonts w:asciiTheme="minorHAnsi" w:hAnsiTheme="minorHAnsi"/>
          <w:sz w:val="18"/>
          <w:szCs w:val="18"/>
        </w:rPr>
      </w:pPr>
      <w:r w:rsidRPr="000A28CE">
        <w:rPr>
          <w:rFonts w:asciiTheme="minorHAnsi" w:hAnsiTheme="minorHAnsi"/>
          <w:sz w:val="18"/>
          <w:szCs w:val="18"/>
          <w:vertAlign w:val="superscript"/>
        </w:rPr>
        <w:footnoteRef/>
      </w:r>
      <w:r w:rsidR="000A28CE" w:rsidRPr="000A28CE">
        <w:rPr>
          <w:rFonts w:asciiTheme="minorHAnsi" w:hAnsiTheme="minorHAnsi"/>
          <w:sz w:val="18"/>
          <w:szCs w:val="18"/>
        </w:rPr>
        <w:t xml:space="preserve"> </w:t>
      </w:r>
      <w:r w:rsidRPr="000A28CE">
        <w:rPr>
          <w:rFonts w:asciiTheme="minorHAnsi" w:hAnsiTheme="minorHAnsi"/>
          <w:sz w:val="18"/>
          <w:szCs w:val="18"/>
        </w:rPr>
        <w:t>Debata helsińska pt. „Tajne więzienia, tajne postępowanie, jawna (nie)odpowiedzialność – czego nadal nie wiemy o więzieniach CIA w Polsce?”</w:t>
      </w:r>
      <w:r w:rsidRPr="000A28CE">
        <w:rPr>
          <w:rFonts w:asciiTheme="minorHAnsi" w:hAnsiTheme="minorHAnsi"/>
          <w:iCs/>
          <w:sz w:val="18"/>
          <w:szCs w:val="18"/>
        </w:rPr>
        <w:t>,</w:t>
      </w:r>
      <w:hyperlink r:id="rId77" w:history="1">
        <w:r w:rsidRPr="000A28CE">
          <w:rPr>
            <w:rStyle w:val="Hipercze"/>
            <w:rFonts w:asciiTheme="minorHAnsi" w:hAnsiTheme="minorHAnsi"/>
            <w:sz w:val="18"/>
            <w:szCs w:val="18"/>
          </w:rPr>
          <w:t>http://www.hfhr.pl/debata-helsinska-tajne-wiezienia-tajne-postepowanie- jawna-nieodpowiedzialnosc-czego-nadal-nie-wiemy-o-wiezieniach-cia-w-polsce/</w:t>
        </w:r>
      </w:hyperlink>
      <w:r w:rsidRPr="000A28CE">
        <w:rPr>
          <w:rFonts w:asciiTheme="minorHAnsi" w:hAnsiTheme="minorHAnsi"/>
          <w:sz w:val="18"/>
          <w:szCs w:val="18"/>
        </w:rPr>
        <w:t>,</w:t>
      </w:r>
    </w:p>
    <w:p w:rsidR="00B4606C" w:rsidRDefault="007F0472" w:rsidP="00684137">
      <w:pPr>
        <w:pStyle w:val="Stopka1"/>
        <w:tabs>
          <w:tab w:val="left" w:pos="7608"/>
        </w:tabs>
      </w:pPr>
      <w:hyperlink r:id="rId78" w:history="1">
        <w:r w:rsidR="00B4606C" w:rsidRPr="000A28CE">
          <w:rPr>
            <w:rStyle w:val="Hipercze"/>
            <w:rFonts w:asciiTheme="minorHAnsi" w:hAnsiTheme="minorHAnsi"/>
            <w:sz w:val="18"/>
            <w:szCs w:val="18"/>
          </w:rPr>
          <w:t>https://www.rpo.gov.pl/pl/content/debata-hfpc-o-tajnych-wiezieniach-cia-z-udzialem-rpo</w:t>
        </w:r>
      </w:hyperlink>
      <w:r w:rsidR="00B4606C" w:rsidRPr="000A28CE">
        <w:rPr>
          <w:rFonts w:asciiTheme="minorHAnsi" w:hAnsiTheme="minorHAnsi"/>
          <w:sz w:val="18"/>
          <w:szCs w:val="18"/>
        </w:rPr>
        <w:t xml:space="preserve"> [dostęp: 13.02.2020 r.].</w:t>
      </w:r>
    </w:p>
  </w:footnote>
  <w:footnote w:id="275">
    <w:p w:rsidR="00B4606C" w:rsidRPr="000A28CE" w:rsidRDefault="00B4606C" w:rsidP="00684137">
      <w:pPr>
        <w:pStyle w:val="Stopka1"/>
        <w:tabs>
          <w:tab w:val="left" w:pos="178"/>
        </w:tabs>
        <w:rPr>
          <w:rFonts w:asciiTheme="minorHAnsi" w:hAnsiTheme="minorHAnsi"/>
          <w:sz w:val="18"/>
          <w:szCs w:val="18"/>
        </w:rPr>
      </w:pPr>
      <w:r w:rsidRPr="000A28CE">
        <w:rPr>
          <w:rFonts w:asciiTheme="minorHAnsi" w:hAnsiTheme="minorHAnsi"/>
          <w:sz w:val="18"/>
          <w:szCs w:val="18"/>
          <w:vertAlign w:val="superscript"/>
        </w:rPr>
        <w:footnoteRef/>
      </w:r>
      <w:r w:rsidR="000A28CE" w:rsidRPr="000A28CE">
        <w:rPr>
          <w:rFonts w:asciiTheme="minorHAnsi" w:hAnsiTheme="minorHAnsi"/>
          <w:sz w:val="18"/>
          <w:szCs w:val="18"/>
        </w:rPr>
        <w:t xml:space="preserve"> </w:t>
      </w:r>
      <w:r w:rsidRPr="000A28CE">
        <w:rPr>
          <w:rFonts w:asciiTheme="minorHAnsi" w:hAnsiTheme="minorHAnsi"/>
          <w:sz w:val="18"/>
          <w:szCs w:val="18"/>
        </w:rPr>
        <w:t>Plan działań (21/06/2018) - Komunikacja polskich władz dotyc</w:t>
      </w:r>
      <w:r w:rsidR="008E32CB">
        <w:rPr>
          <w:rFonts w:asciiTheme="minorHAnsi" w:hAnsiTheme="minorHAnsi"/>
          <w:sz w:val="18"/>
          <w:szCs w:val="18"/>
        </w:rPr>
        <w:t xml:space="preserve">ząca sprawy </w:t>
      </w:r>
      <w:r w:rsidR="008E32CB" w:rsidRPr="008E32CB">
        <w:rPr>
          <w:rFonts w:asciiTheme="minorHAnsi" w:hAnsiTheme="minorHAnsi"/>
          <w:i/>
          <w:sz w:val="18"/>
          <w:szCs w:val="18"/>
        </w:rPr>
        <w:t>Al Nashiri p.</w:t>
      </w:r>
      <w:r w:rsidRPr="008E32CB">
        <w:rPr>
          <w:rFonts w:asciiTheme="minorHAnsi" w:hAnsiTheme="minorHAnsi"/>
          <w:i/>
          <w:sz w:val="18"/>
          <w:szCs w:val="18"/>
        </w:rPr>
        <w:t xml:space="preserve"> Polsce</w:t>
      </w:r>
      <w:r w:rsidRPr="000A28CE">
        <w:rPr>
          <w:rFonts w:asciiTheme="minorHAnsi" w:hAnsiTheme="minorHAnsi"/>
          <w:sz w:val="18"/>
          <w:szCs w:val="18"/>
        </w:rPr>
        <w:t xml:space="preserve"> (skarga nr 28761/11), 1324. posiedzenie (wrzesień 2018 r.) (DH), s. 24.</w:t>
      </w:r>
    </w:p>
  </w:footnote>
  <w:footnote w:id="276">
    <w:p w:rsidR="00B4606C" w:rsidRPr="000A28CE" w:rsidRDefault="00B4606C" w:rsidP="00684137">
      <w:pPr>
        <w:pStyle w:val="Stopka1"/>
        <w:tabs>
          <w:tab w:val="left" w:pos="168"/>
        </w:tabs>
        <w:rPr>
          <w:rFonts w:asciiTheme="minorHAnsi" w:hAnsiTheme="minorHAnsi"/>
          <w:sz w:val="18"/>
          <w:szCs w:val="18"/>
        </w:rPr>
      </w:pPr>
      <w:r w:rsidRPr="000A28CE">
        <w:rPr>
          <w:rFonts w:asciiTheme="minorHAnsi" w:hAnsiTheme="minorHAnsi"/>
          <w:sz w:val="18"/>
          <w:szCs w:val="18"/>
          <w:vertAlign w:val="superscript"/>
        </w:rPr>
        <w:footnoteRef/>
      </w:r>
      <w:r w:rsidR="000A28CE" w:rsidRPr="000A28CE">
        <w:rPr>
          <w:rFonts w:asciiTheme="minorHAnsi" w:hAnsiTheme="minorHAnsi"/>
          <w:sz w:val="18"/>
          <w:szCs w:val="18"/>
        </w:rPr>
        <w:t xml:space="preserve"> </w:t>
      </w:r>
      <w:r w:rsidRPr="000A28CE">
        <w:rPr>
          <w:rFonts w:asciiTheme="minorHAnsi" w:hAnsiTheme="minorHAnsi"/>
          <w:sz w:val="18"/>
          <w:szCs w:val="18"/>
        </w:rPr>
        <w:t xml:space="preserve">Zaktualizowany plan działań (03/02/2020) - Komunikacja władz polskich dotycząca grupy spraw </w:t>
      </w:r>
      <w:r w:rsidRPr="008E32CB">
        <w:rPr>
          <w:rFonts w:asciiTheme="minorHAnsi" w:hAnsiTheme="minorHAnsi"/>
          <w:i/>
          <w:sz w:val="18"/>
          <w:szCs w:val="18"/>
        </w:rPr>
        <w:t>A</w:t>
      </w:r>
      <w:r w:rsidR="008E32CB" w:rsidRPr="008E32CB">
        <w:rPr>
          <w:rFonts w:asciiTheme="minorHAnsi" w:hAnsiTheme="minorHAnsi"/>
          <w:i/>
          <w:sz w:val="18"/>
          <w:szCs w:val="18"/>
        </w:rPr>
        <w:t>l</w:t>
      </w:r>
      <w:r w:rsidRPr="008E32CB">
        <w:rPr>
          <w:rFonts w:asciiTheme="minorHAnsi" w:hAnsiTheme="minorHAnsi"/>
          <w:i/>
          <w:sz w:val="18"/>
          <w:szCs w:val="18"/>
        </w:rPr>
        <w:t xml:space="preserve"> </w:t>
      </w:r>
      <w:r w:rsidR="008E32CB" w:rsidRPr="008E32CB">
        <w:rPr>
          <w:rFonts w:asciiTheme="minorHAnsi" w:hAnsiTheme="minorHAnsi"/>
          <w:i/>
          <w:sz w:val="18"/>
          <w:szCs w:val="18"/>
        </w:rPr>
        <w:t xml:space="preserve">Nashiri </w:t>
      </w:r>
      <w:r w:rsidRPr="008E32CB">
        <w:rPr>
          <w:rFonts w:asciiTheme="minorHAnsi" w:hAnsiTheme="minorHAnsi"/>
          <w:i/>
          <w:sz w:val="18"/>
          <w:szCs w:val="18"/>
        </w:rPr>
        <w:t>p</w:t>
      </w:r>
      <w:r w:rsidR="008E32CB" w:rsidRPr="008E32CB">
        <w:rPr>
          <w:rFonts w:asciiTheme="minorHAnsi" w:hAnsiTheme="minorHAnsi"/>
          <w:i/>
          <w:sz w:val="18"/>
          <w:szCs w:val="18"/>
        </w:rPr>
        <w:t xml:space="preserve">. </w:t>
      </w:r>
      <w:r w:rsidRPr="008E32CB">
        <w:rPr>
          <w:rFonts w:asciiTheme="minorHAnsi" w:hAnsiTheme="minorHAnsi"/>
          <w:i/>
          <w:sz w:val="18"/>
          <w:szCs w:val="18"/>
        </w:rPr>
        <w:t>Polsce</w:t>
      </w:r>
      <w:r w:rsidRPr="000A28CE">
        <w:rPr>
          <w:rFonts w:asciiTheme="minorHAnsi" w:hAnsiTheme="minorHAnsi"/>
          <w:sz w:val="18"/>
          <w:szCs w:val="18"/>
        </w:rPr>
        <w:t xml:space="preserve"> (skarga nr 28761/11), 1369. posiedzenie (marzec 2020 r.).</w:t>
      </w:r>
    </w:p>
  </w:footnote>
  <w:footnote w:id="277">
    <w:p w:rsidR="00B4606C" w:rsidRPr="000A28CE" w:rsidRDefault="00B4606C" w:rsidP="00684137">
      <w:pPr>
        <w:pStyle w:val="Stopka1"/>
        <w:tabs>
          <w:tab w:val="left" w:pos="163"/>
        </w:tabs>
        <w:rPr>
          <w:rFonts w:asciiTheme="minorHAnsi" w:hAnsiTheme="minorHAnsi"/>
          <w:sz w:val="18"/>
          <w:szCs w:val="18"/>
          <w:lang w:val="en-US"/>
        </w:rPr>
      </w:pPr>
      <w:r w:rsidRPr="000A28CE">
        <w:rPr>
          <w:rFonts w:asciiTheme="minorHAnsi" w:hAnsiTheme="minorHAnsi"/>
          <w:iCs/>
          <w:sz w:val="18"/>
          <w:szCs w:val="18"/>
          <w:vertAlign w:val="superscript"/>
        </w:rPr>
        <w:footnoteRef/>
      </w:r>
      <w:r w:rsidR="000A28CE" w:rsidRPr="000A28CE">
        <w:rPr>
          <w:rFonts w:asciiTheme="minorHAnsi" w:hAnsiTheme="minorHAnsi"/>
          <w:iCs/>
          <w:sz w:val="18"/>
          <w:szCs w:val="18"/>
          <w:lang w:val="en-US"/>
        </w:rPr>
        <w:t xml:space="preserve"> </w:t>
      </w:r>
      <w:r w:rsidRPr="000A28CE">
        <w:rPr>
          <w:rFonts w:asciiTheme="minorHAnsi" w:hAnsiTheme="minorHAnsi"/>
          <w:iCs/>
          <w:sz w:val="18"/>
          <w:szCs w:val="18"/>
          <w:lang w:val="en-US"/>
        </w:rPr>
        <w:t>Ibid.,</w:t>
      </w:r>
      <w:r w:rsidRPr="000A28CE">
        <w:rPr>
          <w:rFonts w:asciiTheme="minorHAnsi" w:hAnsiTheme="minorHAnsi"/>
          <w:sz w:val="18"/>
          <w:szCs w:val="18"/>
          <w:lang w:val="en-US"/>
        </w:rPr>
        <w:t xml:space="preserve"> s. 7.</w:t>
      </w:r>
    </w:p>
  </w:footnote>
  <w:footnote w:id="278">
    <w:p w:rsidR="00B4606C" w:rsidRPr="000A28CE" w:rsidRDefault="00B4606C" w:rsidP="00684137">
      <w:pPr>
        <w:pStyle w:val="Stopka1"/>
        <w:tabs>
          <w:tab w:val="left" w:pos="158"/>
        </w:tabs>
        <w:rPr>
          <w:rFonts w:asciiTheme="minorHAnsi" w:hAnsiTheme="minorHAnsi"/>
          <w:sz w:val="18"/>
          <w:szCs w:val="18"/>
          <w:lang w:val="en-US"/>
        </w:rPr>
      </w:pPr>
      <w:r w:rsidRPr="000A28CE">
        <w:rPr>
          <w:rFonts w:asciiTheme="minorHAnsi" w:hAnsiTheme="minorHAnsi"/>
          <w:iCs/>
          <w:sz w:val="18"/>
          <w:szCs w:val="18"/>
          <w:vertAlign w:val="superscript"/>
        </w:rPr>
        <w:footnoteRef/>
      </w:r>
      <w:r w:rsidR="000A28CE" w:rsidRPr="000A28CE">
        <w:rPr>
          <w:rFonts w:asciiTheme="minorHAnsi" w:hAnsiTheme="minorHAnsi"/>
          <w:iCs/>
          <w:sz w:val="18"/>
          <w:szCs w:val="18"/>
          <w:lang w:val="en-US"/>
        </w:rPr>
        <w:t xml:space="preserve"> </w:t>
      </w:r>
      <w:r w:rsidRPr="000A28CE">
        <w:rPr>
          <w:rFonts w:asciiTheme="minorHAnsi" w:hAnsiTheme="minorHAnsi"/>
          <w:iCs/>
          <w:sz w:val="18"/>
          <w:szCs w:val="18"/>
          <w:lang w:val="en-US"/>
        </w:rPr>
        <w:t>Ibid.,</w:t>
      </w:r>
      <w:r w:rsidRPr="000A28CE">
        <w:rPr>
          <w:rFonts w:asciiTheme="minorHAnsi" w:hAnsiTheme="minorHAnsi"/>
          <w:sz w:val="18"/>
          <w:szCs w:val="18"/>
          <w:lang w:val="en-US"/>
        </w:rPr>
        <w:t xml:space="preserve"> s. 7-10.</w:t>
      </w:r>
    </w:p>
  </w:footnote>
  <w:footnote w:id="279">
    <w:p w:rsidR="00B4606C" w:rsidRPr="000A28CE" w:rsidRDefault="00B4606C" w:rsidP="00684137">
      <w:pPr>
        <w:pStyle w:val="Stopka1"/>
        <w:tabs>
          <w:tab w:val="left" w:pos="158"/>
        </w:tabs>
        <w:rPr>
          <w:rFonts w:asciiTheme="minorHAnsi" w:hAnsiTheme="minorHAnsi"/>
          <w:sz w:val="18"/>
          <w:szCs w:val="18"/>
          <w:lang w:val="en-US"/>
        </w:rPr>
      </w:pPr>
      <w:r w:rsidRPr="000A28CE">
        <w:rPr>
          <w:rFonts w:asciiTheme="minorHAnsi" w:hAnsiTheme="minorHAnsi"/>
          <w:iCs/>
          <w:sz w:val="18"/>
          <w:szCs w:val="18"/>
          <w:vertAlign w:val="superscript"/>
        </w:rPr>
        <w:footnoteRef/>
      </w:r>
      <w:r w:rsidR="000A28CE" w:rsidRPr="000A28CE">
        <w:rPr>
          <w:rFonts w:asciiTheme="minorHAnsi" w:hAnsiTheme="minorHAnsi"/>
          <w:iCs/>
          <w:sz w:val="18"/>
          <w:szCs w:val="18"/>
          <w:lang w:val="en-US"/>
        </w:rPr>
        <w:t xml:space="preserve"> </w:t>
      </w:r>
      <w:r w:rsidRPr="000A28CE">
        <w:rPr>
          <w:rFonts w:asciiTheme="minorHAnsi" w:hAnsiTheme="minorHAnsi"/>
          <w:iCs/>
          <w:sz w:val="18"/>
          <w:szCs w:val="18"/>
          <w:lang w:val="en-US"/>
        </w:rPr>
        <w:t>Ibid.,</w:t>
      </w:r>
      <w:r w:rsidRPr="000A28CE">
        <w:rPr>
          <w:rFonts w:asciiTheme="minorHAnsi" w:hAnsiTheme="minorHAnsi"/>
          <w:sz w:val="18"/>
          <w:szCs w:val="18"/>
          <w:lang w:val="en-US"/>
        </w:rPr>
        <w:t xml:space="preserve"> s. 10.</w:t>
      </w:r>
    </w:p>
  </w:footnote>
  <w:footnote w:id="280">
    <w:p w:rsidR="00B4606C" w:rsidRPr="000A28CE" w:rsidRDefault="00B4606C" w:rsidP="00684137">
      <w:pPr>
        <w:pStyle w:val="Stopka1"/>
        <w:tabs>
          <w:tab w:val="left" w:pos="178"/>
        </w:tabs>
        <w:jc w:val="both"/>
        <w:rPr>
          <w:rFonts w:asciiTheme="minorHAnsi" w:hAnsiTheme="minorHAnsi"/>
          <w:sz w:val="18"/>
          <w:szCs w:val="18"/>
        </w:rPr>
      </w:pPr>
      <w:r w:rsidRPr="000A28CE">
        <w:rPr>
          <w:rFonts w:asciiTheme="minorHAnsi" w:hAnsiTheme="minorHAnsi"/>
          <w:sz w:val="18"/>
          <w:szCs w:val="18"/>
          <w:vertAlign w:val="superscript"/>
        </w:rPr>
        <w:footnoteRef/>
      </w:r>
      <w:r w:rsidR="000A28CE" w:rsidRPr="000A28CE">
        <w:rPr>
          <w:rFonts w:asciiTheme="minorHAnsi" w:hAnsiTheme="minorHAnsi"/>
          <w:sz w:val="18"/>
          <w:szCs w:val="18"/>
        </w:rPr>
        <w:t xml:space="preserve"> </w:t>
      </w:r>
      <w:r w:rsidRPr="000A28CE">
        <w:rPr>
          <w:rFonts w:asciiTheme="minorHAnsi" w:hAnsiTheme="minorHAnsi"/>
          <w:sz w:val="18"/>
          <w:szCs w:val="18"/>
        </w:rPr>
        <w:t xml:space="preserve">Jedynym wyjątkiem jest artykuł pt. </w:t>
      </w:r>
      <w:r w:rsidRPr="000A28CE">
        <w:rPr>
          <w:rFonts w:asciiTheme="minorHAnsi" w:hAnsiTheme="minorHAnsi"/>
          <w:iCs/>
          <w:sz w:val="18"/>
          <w:szCs w:val="18"/>
        </w:rPr>
        <w:t>Od 11 lat szukają dowodów tortur w więzieniach CIA w Polsce</w:t>
      </w:r>
      <w:r w:rsidRPr="000A28CE">
        <w:rPr>
          <w:rFonts w:asciiTheme="minorHAnsi" w:hAnsiTheme="minorHAnsi"/>
          <w:sz w:val="18"/>
          <w:szCs w:val="18"/>
        </w:rPr>
        <w:t xml:space="preserve">, </w:t>
      </w:r>
      <w:hyperlink r:id="rId79" w:history="1">
        <w:r w:rsidRPr="000A28CE">
          <w:rPr>
            <w:rStyle w:val="Hipercze"/>
            <w:rFonts w:asciiTheme="minorHAnsi" w:hAnsiTheme="minorHAnsi"/>
            <w:sz w:val="18"/>
            <w:szCs w:val="18"/>
          </w:rPr>
          <w:t>https://dziennikpolski24.pl/od-ll-lat-szukaja-dowodow-tortur-w-wiezieniach-cia-w-polsce/ar/cl-14317219</w:t>
        </w:r>
      </w:hyperlink>
      <w:r w:rsidRPr="000A28CE">
        <w:rPr>
          <w:rFonts w:asciiTheme="minorHAnsi" w:hAnsiTheme="minorHAnsi"/>
          <w:sz w:val="18"/>
          <w:szCs w:val="18"/>
        </w:rPr>
        <w:t xml:space="preserve">. </w:t>
      </w:r>
    </w:p>
    <w:p w:rsidR="00B4606C" w:rsidRPr="000A28CE" w:rsidRDefault="00B4606C" w:rsidP="00684137">
      <w:pPr>
        <w:pStyle w:val="Stopka1"/>
        <w:tabs>
          <w:tab w:val="left" w:pos="178"/>
        </w:tabs>
        <w:jc w:val="both"/>
        <w:rPr>
          <w:rFonts w:asciiTheme="minorHAnsi" w:hAnsiTheme="minorHAnsi"/>
          <w:sz w:val="18"/>
          <w:szCs w:val="18"/>
        </w:rPr>
      </w:pPr>
      <w:r w:rsidRPr="000A28CE">
        <w:rPr>
          <w:rFonts w:asciiTheme="minorHAnsi" w:hAnsiTheme="minorHAnsi"/>
          <w:sz w:val="18"/>
          <w:szCs w:val="18"/>
        </w:rPr>
        <w:t>W artykule tym napisano: „Prokuratura Regionalna w Krakowie wystąpiła do Prokuratury Krajowej z wnioskiem o przedłużenie o kolejne pół roku śledztwa w sprawie więzień CIA w Polsce. Nic nie wskazuje jednak na to, że po sześciu miesiącach postępowanie, które prowadzone jest już 11 lat, dobiegnie końca. - W sytuacji, kiedy prokuratura współpracuje z zagranicznymi instytucjami, w tym przypadku Departamentem Sprawiedliwości USA, wszystkie procedury wydłużają się. Obrót prawny za granicą odbywa się niestety powyżej granic czasowych, które nam wydają się nie do przyjęcia - wyjaśnia prok. Zbigniew Gabryś z Prokuratury Regionalnej”.</w:t>
      </w:r>
    </w:p>
  </w:footnote>
  <w:footnote w:id="281">
    <w:p w:rsidR="00B4606C" w:rsidRDefault="00B4606C" w:rsidP="00684137">
      <w:pPr>
        <w:pStyle w:val="Stopka1"/>
        <w:tabs>
          <w:tab w:val="left" w:pos="173"/>
        </w:tabs>
      </w:pPr>
      <w:r w:rsidRPr="000A28CE">
        <w:rPr>
          <w:rFonts w:asciiTheme="minorHAnsi" w:hAnsiTheme="minorHAnsi"/>
          <w:sz w:val="18"/>
          <w:szCs w:val="18"/>
          <w:vertAlign w:val="superscript"/>
        </w:rPr>
        <w:footnoteRef/>
      </w:r>
      <w:r w:rsidR="000A28CE" w:rsidRPr="000A28CE">
        <w:rPr>
          <w:rFonts w:asciiTheme="minorHAnsi" w:hAnsiTheme="minorHAnsi"/>
          <w:sz w:val="18"/>
          <w:szCs w:val="18"/>
        </w:rPr>
        <w:t xml:space="preserve"> </w:t>
      </w:r>
      <w:r w:rsidRPr="000A28CE">
        <w:rPr>
          <w:rFonts w:asciiTheme="minorHAnsi" w:hAnsiTheme="minorHAnsi"/>
          <w:sz w:val="18"/>
          <w:szCs w:val="18"/>
        </w:rPr>
        <w:t>Plan działań (21/06/2018). s. 31.</w:t>
      </w:r>
    </w:p>
  </w:footnote>
  <w:footnote w:id="282">
    <w:p w:rsidR="00B4606C" w:rsidRPr="000A28CE" w:rsidRDefault="00B4606C" w:rsidP="00684137">
      <w:pPr>
        <w:pStyle w:val="Stopka1"/>
        <w:tabs>
          <w:tab w:val="left" w:pos="240"/>
        </w:tabs>
        <w:rPr>
          <w:rFonts w:asciiTheme="minorHAnsi" w:hAnsiTheme="minorHAnsi"/>
          <w:sz w:val="18"/>
          <w:szCs w:val="18"/>
        </w:rPr>
      </w:pPr>
      <w:r w:rsidRPr="000A28CE">
        <w:rPr>
          <w:rFonts w:asciiTheme="minorHAnsi" w:hAnsiTheme="minorHAnsi"/>
          <w:sz w:val="18"/>
          <w:szCs w:val="18"/>
          <w:vertAlign w:val="superscript"/>
        </w:rPr>
        <w:footnoteRef/>
      </w:r>
      <w:r w:rsidRPr="000A28CE">
        <w:rPr>
          <w:rFonts w:asciiTheme="minorHAnsi" w:hAnsiTheme="minorHAnsi"/>
          <w:sz w:val="18"/>
          <w:szCs w:val="18"/>
        </w:rPr>
        <w:tab/>
        <w:t>Helsińska Fundacja Praw Człowieka, Wniosek o dostęp do informacji publicznej z dnia 8 listopada 2019 r., sygn. 1681/2019/PSP/JG/KJ.</w:t>
      </w:r>
    </w:p>
  </w:footnote>
  <w:footnote w:id="283">
    <w:p w:rsidR="00B4606C" w:rsidRPr="000A28CE" w:rsidRDefault="00B4606C" w:rsidP="00684137">
      <w:pPr>
        <w:pStyle w:val="Stopka1"/>
        <w:tabs>
          <w:tab w:val="left" w:pos="221"/>
        </w:tabs>
        <w:rPr>
          <w:rFonts w:asciiTheme="minorHAnsi" w:hAnsiTheme="minorHAnsi"/>
          <w:sz w:val="18"/>
          <w:szCs w:val="18"/>
        </w:rPr>
      </w:pPr>
      <w:r w:rsidRPr="000A28CE">
        <w:rPr>
          <w:rFonts w:asciiTheme="minorHAnsi" w:hAnsiTheme="minorHAnsi"/>
          <w:sz w:val="18"/>
          <w:szCs w:val="18"/>
          <w:vertAlign w:val="superscript"/>
        </w:rPr>
        <w:footnoteRef/>
      </w:r>
      <w:r w:rsidRPr="000A28CE">
        <w:rPr>
          <w:rFonts w:asciiTheme="minorHAnsi" w:hAnsiTheme="minorHAnsi"/>
          <w:sz w:val="18"/>
          <w:szCs w:val="18"/>
        </w:rPr>
        <w:tab/>
        <w:t>Prokurator Okręgowy w Krakowie, Odpowiedź na wniosek HFPC o dostęp do informacji publicznej z dnia 8 listopada br. sygn. RP III Ip 41.2019.</w:t>
      </w:r>
    </w:p>
  </w:footnote>
  <w:footnote w:id="284">
    <w:p w:rsidR="00B4606C" w:rsidRPr="000A28CE" w:rsidRDefault="00B4606C" w:rsidP="00684137">
      <w:pPr>
        <w:pStyle w:val="Stopka1"/>
        <w:tabs>
          <w:tab w:val="left" w:pos="240"/>
        </w:tabs>
        <w:rPr>
          <w:rFonts w:asciiTheme="minorHAnsi" w:hAnsiTheme="minorHAnsi"/>
          <w:sz w:val="18"/>
          <w:szCs w:val="18"/>
        </w:rPr>
      </w:pPr>
      <w:r w:rsidRPr="000A28CE">
        <w:rPr>
          <w:rFonts w:asciiTheme="minorHAnsi" w:hAnsiTheme="minorHAnsi"/>
          <w:sz w:val="18"/>
          <w:szCs w:val="18"/>
          <w:vertAlign w:val="superscript"/>
        </w:rPr>
        <w:footnoteRef/>
      </w:r>
      <w:r w:rsidRPr="000A28CE">
        <w:rPr>
          <w:rFonts w:asciiTheme="minorHAnsi" w:hAnsiTheme="minorHAnsi"/>
          <w:sz w:val="18"/>
          <w:szCs w:val="18"/>
        </w:rPr>
        <w:tab/>
        <w:t>Helsińska Fundacja Praw Człowieka, Wniosek o dostęp do informacji publicznej z dnia piątek, 24 stycznia 2020 r., sygn. 152/2020/PSP/JG/KJ.</w:t>
      </w:r>
    </w:p>
  </w:footnote>
  <w:footnote w:id="285">
    <w:p w:rsidR="00B4606C" w:rsidRPr="000A28CE" w:rsidRDefault="00B4606C" w:rsidP="00684137">
      <w:pPr>
        <w:pStyle w:val="Stopka1"/>
        <w:tabs>
          <w:tab w:val="left" w:pos="221"/>
        </w:tabs>
        <w:rPr>
          <w:rFonts w:asciiTheme="minorHAnsi" w:hAnsiTheme="minorHAnsi"/>
          <w:sz w:val="18"/>
          <w:szCs w:val="18"/>
        </w:rPr>
      </w:pPr>
      <w:r w:rsidRPr="000A28CE">
        <w:rPr>
          <w:rFonts w:asciiTheme="minorHAnsi" w:hAnsiTheme="minorHAnsi"/>
          <w:sz w:val="18"/>
          <w:szCs w:val="18"/>
          <w:vertAlign w:val="superscript"/>
        </w:rPr>
        <w:footnoteRef/>
      </w:r>
      <w:r w:rsidRPr="000A28CE">
        <w:rPr>
          <w:rFonts w:asciiTheme="minorHAnsi" w:hAnsiTheme="minorHAnsi"/>
          <w:sz w:val="18"/>
          <w:szCs w:val="18"/>
        </w:rPr>
        <w:tab/>
        <w:t>Prokurator Okręgowy w Krakowie, Odpowiedź na wniosek HFPC o dostęp do informacji publicznej z dnia 24 stycznia br.sygn. RP III Ip 6.2020.</w:t>
      </w:r>
    </w:p>
  </w:footnote>
  <w:footnote w:id="286">
    <w:p w:rsidR="00B4606C" w:rsidRPr="000A28CE" w:rsidRDefault="00B4606C" w:rsidP="00684137">
      <w:pPr>
        <w:pStyle w:val="Stopka1"/>
        <w:tabs>
          <w:tab w:val="left" w:pos="211"/>
        </w:tabs>
        <w:rPr>
          <w:rFonts w:asciiTheme="minorHAnsi" w:hAnsiTheme="minorHAnsi"/>
          <w:sz w:val="18"/>
          <w:szCs w:val="18"/>
        </w:rPr>
      </w:pPr>
      <w:r w:rsidRPr="000A28CE">
        <w:rPr>
          <w:rFonts w:asciiTheme="minorHAnsi" w:hAnsiTheme="minorHAnsi"/>
          <w:sz w:val="18"/>
          <w:szCs w:val="18"/>
          <w:vertAlign w:val="superscript"/>
        </w:rPr>
        <w:footnoteRef/>
      </w:r>
      <w:r w:rsidRPr="000A28CE">
        <w:rPr>
          <w:rFonts w:asciiTheme="minorHAnsi" w:hAnsiTheme="minorHAnsi"/>
          <w:sz w:val="18"/>
          <w:szCs w:val="18"/>
        </w:rPr>
        <w:tab/>
        <w:t>Plan działań (21/06/2018)..., s. 33.</w:t>
      </w:r>
    </w:p>
  </w:footnote>
  <w:footnote w:id="287">
    <w:p w:rsidR="00B4606C" w:rsidRPr="000A28CE" w:rsidRDefault="00B4606C" w:rsidP="00684137">
      <w:pPr>
        <w:pStyle w:val="Stopka1"/>
        <w:tabs>
          <w:tab w:val="left" w:pos="240"/>
        </w:tabs>
        <w:rPr>
          <w:rFonts w:asciiTheme="minorHAnsi" w:hAnsiTheme="minorHAnsi"/>
          <w:sz w:val="18"/>
          <w:szCs w:val="18"/>
        </w:rPr>
      </w:pPr>
      <w:r w:rsidRPr="000A28CE">
        <w:rPr>
          <w:rFonts w:asciiTheme="minorHAnsi" w:hAnsiTheme="minorHAnsi"/>
          <w:sz w:val="18"/>
          <w:szCs w:val="18"/>
          <w:vertAlign w:val="superscript"/>
        </w:rPr>
        <w:footnoteRef/>
      </w:r>
      <w:r w:rsidRPr="000A28CE">
        <w:rPr>
          <w:rFonts w:asciiTheme="minorHAnsi" w:hAnsiTheme="minorHAnsi"/>
          <w:sz w:val="18"/>
          <w:szCs w:val="18"/>
        </w:rPr>
        <w:tab/>
        <w:t xml:space="preserve">A. Bodnar, T. Borkowski, J. Cichocki, W Klicki, P. Kładoczny, A. Rapacki, Z. Rudzińska-Bluszcz, </w:t>
      </w:r>
      <w:r w:rsidRPr="000A28CE">
        <w:rPr>
          <w:rFonts w:asciiTheme="minorHAnsi" w:hAnsiTheme="minorHAnsi"/>
          <w:i/>
          <w:iCs/>
          <w:sz w:val="18"/>
          <w:szCs w:val="18"/>
        </w:rPr>
        <w:t>Osiodłać Pegaza. Przestrzeganie praw obywatelskich w działaniach służb specjalnych - założenia reformy,</w:t>
      </w:r>
      <w:r w:rsidRPr="000A28CE">
        <w:rPr>
          <w:rFonts w:asciiTheme="minorHAnsi" w:hAnsiTheme="minorHAnsi"/>
          <w:sz w:val="18"/>
          <w:szCs w:val="18"/>
        </w:rPr>
        <w:t xml:space="preserve"> Warszawa 2019, </w:t>
      </w:r>
      <w:hyperlink r:id="rId80" w:history="1">
        <w:r w:rsidRPr="000A28CE">
          <w:rPr>
            <w:rStyle w:val="Hipercze"/>
            <w:rFonts w:asciiTheme="minorHAnsi" w:hAnsiTheme="minorHAnsi"/>
            <w:sz w:val="18"/>
            <w:szCs w:val="18"/>
          </w:rPr>
          <w:t>https://panoptykon.org/sites/default/files/osiodlac_pegaza_-_iak_powinien_wygladac_nadzor_nad_sluzbami,_raport_ekspertow.pdf</w:t>
        </w:r>
      </w:hyperlink>
      <w:r w:rsidRPr="000A28CE">
        <w:rPr>
          <w:rFonts w:asciiTheme="minorHAnsi" w:hAnsiTheme="minorHAnsi"/>
          <w:sz w:val="18"/>
          <w:szCs w:val="18"/>
        </w:rPr>
        <w:t xml:space="preserve"> [dostęp: 13.02.2020 r.].</w:t>
      </w:r>
    </w:p>
  </w:footnote>
  <w:footnote w:id="288">
    <w:p w:rsidR="00B4606C" w:rsidRPr="000A28CE" w:rsidRDefault="00B4606C" w:rsidP="00684137">
      <w:pPr>
        <w:pStyle w:val="Stopka1"/>
        <w:pBdr>
          <w:top w:val="single" w:sz="4" w:space="0" w:color="auto"/>
        </w:pBdr>
        <w:tabs>
          <w:tab w:val="left" w:pos="216"/>
        </w:tabs>
      </w:pPr>
      <w:r w:rsidRPr="000A28CE">
        <w:rPr>
          <w:rFonts w:asciiTheme="minorHAnsi" w:hAnsiTheme="minorHAnsi"/>
          <w:iCs/>
          <w:sz w:val="18"/>
          <w:szCs w:val="18"/>
          <w:vertAlign w:val="superscript"/>
        </w:rPr>
        <w:footnoteRef/>
      </w:r>
      <w:r w:rsidRPr="000A28CE">
        <w:rPr>
          <w:rFonts w:asciiTheme="minorHAnsi" w:hAnsiTheme="minorHAnsi"/>
          <w:iCs/>
          <w:sz w:val="18"/>
          <w:szCs w:val="18"/>
        </w:rPr>
        <w:tab/>
        <w:t>Ibid.,</w:t>
      </w:r>
      <w:r w:rsidRPr="000A28CE">
        <w:rPr>
          <w:rFonts w:asciiTheme="minorHAnsi" w:hAnsiTheme="minorHAnsi"/>
          <w:sz w:val="18"/>
          <w:szCs w:val="18"/>
        </w:rPr>
        <w:t xml:space="preserve"> s. 7.</w:t>
      </w:r>
    </w:p>
  </w:footnote>
  <w:footnote w:id="289">
    <w:p w:rsidR="00B4606C" w:rsidRPr="000A28CE" w:rsidRDefault="00B4606C" w:rsidP="00684137">
      <w:pPr>
        <w:pStyle w:val="Stopka1"/>
        <w:tabs>
          <w:tab w:val="left" w:pos="226"/>
        </w:tabs>
        <w:rPr>
          <w:rFonts w:asciiTheme="minorHAnsi" w:hAnsiTheme="minorHAnsi"/>
          <w:sz w:val="18"/>
          <w:szCs w:val="18"/>
        </w:rPr>
      </w:pPr>
      <w:r w:rsidRPr="000A28CE">
        <w:rPr>
          <w:rFonts w:asciiTheme="minorHAnsi" w:hAnsiTheme="minorHAnsi"/>
          <w:sz w:val="18"/>
          <w:szCs w:val="18"/>
          <w:vertAlign w:val="superscript"/>
        </w:rPr>
        <w:footnoteRef/>
      </w:r>
      <w:r w:rsidRPr="000A28CE">
        <w:rPr>
          <w:rFonts w:asciiTheme="minorHAnsi" w:hAnsiTheme="minorHAnsi"/>
          <w:sz w:val="18"/>
          <w:szCs w:val="18"/>
        </w:rPr>
        <w:tab/>
        <w:t>Plan działań (21/06/2018)..., s. 36.</w:t>
      </w:r>
    </w:p>
  </w:footnote>
  <w:footnote w:id="290">
    <w:p w:rsidR="00B4606C" w:rsidRPr="000A28CE" w:rsidRDefault="00B4606C" w:rsidP="00684137">
      <w:pPr>
        <w:pStyle w:val="Stopka1"/>
        <w:tabs>
          <w:tab w:val="left" w:pos="221"/>
        </w:tabs>
        <w:rPr>
          <w:rFonts w:asciiTheme="minorHAnsi" w:hAnsiTheme="minorHAnsi"/>
          <w:sz w:val="18"/>
          <w:szCs w:val="18"/>
        </w:rPr>
      </w:pPr>
      <w:r w:rsidRPr="000A28CE">
        <w:rPr>
          <w:rFonts w:asciiTheme="minorHAnsi" w:hAnsiTheme="minorHAnsi"/>
          <w:sz w:val="18"/>
          <w:szCs w:val="18"/>
          <w:vertAlign w:val="superscript"/>
        </w:rPr>
        <w:footnoteRef/>
      </w:r>
      <w:r w:rsidRPr="000A28CE">
        <w:rPr>
          <w:rFonts w:asciiTheme="minorHAnsi" w:hAnsiTheme="minorHAnsi"/>
          <w:sz w:val="18"/>
          <w:szCs w:val="18"/>
        </w:rPr>
        <w:tab/>
        <w:t>Zaktualizowany plan działań (21/06/2018)..., s. 12.</w:t>
      </w:r>
    </w:p>
  </w:footnote>
  <w:footnote w:id="291">
    <w:p w:rsidR="00B4606C" w:rsidRPr="000A28CE" w:rsidRDefault="00B4606C" w:rsidP="00684137">
      <w:pPr>
        <w:pStyle w:val="Stopka1"/>
        <w:tabs>
          <w:tab w:val="left" w:pos="240"/>
        </w:tabs>
        <w:rPr>
          <w:rFonts w:asciiTheme="minorHAnsi" w:hAnsiTheme="minorHAnsi"/>
          <w:sz w:val="18"/>
          <w:szCs w:val="18"/>
        </w:rPr>
      </w:pPr>
      <w:r w:rsidRPr="000A28CE">
        <w:rPr>
          <w:rFonts w:asciiTheme="minorHAnsi" w:hAnsiTheme="minorHAnsi"/>
          <w:sz w:val="18"/>
          <w:szCs w:val="18"/>
          <w:vertAlign w:val="superscript"/>
        </w:rPr>
        <w:footnoteRef/>
      </w:r>
      <w:r w:rsidRPr="000A28CE">
        <w:rPr>
          <w:rFonts w:asciiTheme="minorHAnsi" w:hAnsiTheme="minorHAnsi"/>
          <w:sz w:val="18"/>
          <w:szCs w:val="18"/>
        </w:rPr>
        <w:tab/>
        <w:t xml:space="preserve">A. Bodnar, T. Borkowski, J. Cichocki, W Klicki, P. Kładoczny, A. Rapacki, Z. Rudzińska-Bluszcz, </w:t>
      </w:r>
      <w:r w:rsidRPr="000A28CE">
        <w:rPr>
          <w:rFonts w:asciiTheme="minorHAnsi" w:hAnsiTheme="minorHAnsi"/>
          <w:iCs/>
          <w:sz w:val="18"/>
          <w:szCs w:val="18"/>
        </w:rPr>
        <w:t xml:space="preserve">Osiodłać Pegaza…, </w:t>
      </w:r>
      <w:r w:rsidRPr="000A28CE">
        <w:rPr>
          <w:rFonts w:asciiTheme="minorHAnsi" w:hAnsiTheme="minorHAnsi"/>
          <w:sz w:val="18"/>
          <w:szCs w:val="18"/>
        </w:rPr>
        <w:t>s. 8-9.</w:t>
      </w:r>
    </w:p>
  </w:footnote>
  <w:footnote w:id="292">
    <w:p w:rsidR="00B4606C" w:rsidRPr="000A28CE" w:rsidRDefault="00B4606C" w:rsidP="00684137">
      <w:pPr>
        <w:pStyle w:val="Stopka1"/>
        <w:pBdr>
          <w:bottom w:val="single" w:sz="4" w:space="0" w:color="auto"/>
        </w:pBdr>
        <w:tabs>
          <w:tab w:val="left" w:pos="317"/>
        </w:tabs>
        <w:spacing w:line="230" w:lineRule="auto"/>
        <w:rPr>
          <w:rFonts w:asciiTheme="minorHAnsi" w:hAnsiTheme="minorHAnsi"/>
          <w:sz w:val="18"/>
          <w:szCs w:val="18"/>
        </w:rPr>
      </w:pPr>
      <w:r w:rsidRPr="000A28CE">
        <w:rPr>
          <w:rFonts w:asciiTheme="minorHAnsi" w:hAnsiTheme="minorHAnsi"/>
          <w:iCs/>
          <w:sz w:val="18"/>
          <w:szCs w:val="18"/>
          <w:vertAlign w:val="superscript"/>
        </w:rPr>
        <w:footnoteRef/>
      </w:r>
      <w:r w:rsidRPr="000A28CE">
        <w:rPr>
          <w:rFonts w:asciiTheme="minorHAnsi" w:hAnsiTheme="minorHAnsi"/>
          <w:sz w:val="18"/>
          <w:szCs w:val="18"/>
          <w:shd w:val="clear" w:color="auto" w:fill="FFFFFF"/>
        </w:rPr>
        <w:t xml:space="preserve"> Komitet Przeciwko Torturom, </w:t>
      </w:r>
      <w:r w:rsidRPr="000A28CE">
        <w:rPr>
          <w:rFonts w:asciiTheme="minorHAnsi" w:hAnsiTheme="minorHAnsi"/>
          <w:iCs/>
          <w:sz w:val="18"/>
          <w:szCs w:val="18"/>
          <w:shd w:val="clear" w:color="auto" w:fill="FFFFFF"/>
        </w:rPr>
        <w:t xml:space="preserve">Uwagi końcowe dotyczące siódmego raportu okresowego Polski, </w:t>
      </w:r>
      <w:hyperlink r:id="rId81" w:history="1">
        <w:r w:rsidRPr="000A28CE">
          <w:rPr>
            <w:rStyle w:val="Hipercze"/>
            <w:rFonts w:asciiTheme="minorHAnsi" w:hAnsiTheme="minorHAnsi"/>
            <w:iCs/>
            <w:sz w:val="18"/>
            <w:szCs w:val="18"/>
            <w:shd w:val="clear" w:color="auto" w:fill="FFFFFF"/>
          </w:rPr>
          <w:t>https://tbinternet.ohchr.org/Treaties/CAT/Shared%20Documents/POL/CAT_C_POL_CO_7_35715_E.pdf</w:t>
        </w:r>
      </w:hyperlink>
      <w:r w:rsidRPr="000A28CE">
        <w:rPr>
          <w:rFonts w:asciiTheme="minorHAnsi" w:hAnsiTheme="minorHAnsi"/>
          <w:sz w:val="18"/>
          <w:szCs w:val="18"/>
        </w:rPr>
        <w:t>[dostęp: 14.02.2020 r.],</w:t>
      </w:r>
    </w:p>
  </w:footnote>
  <w:footnote w:id="293">
    <w:p w:rsidR="00B4606C" w:rsidRPr="000A28CE" w:rsidRDefault="00B4606C" w:rsidP="00684137">
      <w:pPr>
        <w:pStyle w:val="Stopka1"/>
        <w:tabs>
          <w:tab w:val="left" w:pos="226"/>
        </w:tabs>
        <w:spacing w:line="230" w:lineRule="auto"/>
        <w:rPr>
          <w:rFonts w:asciiTheme="minorHAnsi" w:hAnsiTheme="minorHAnsi"/>
          <w:sz w:val="18"/>
          <w:szCs w:val="18"/>
        </w:rPr>
      </w:pPr>
      <w:r w:rsidRPr="000A28CE">
        <w:rPr>
          <w:rFonts w:asciiTheme="minorHAnsi" w:hAnsiTheme="minorHAnsi"/>
          <w:iCs/>
          <w:sz w:val="18"/>
          <w:szCs w:val="18"/>
          <w:vertAlign w:val="superscript"/>
        </w:rPr>
        <w:footnoteRef/>
      </w:r>
      <w:r w:rsidRPr="000A28CE">
        <w:rPr>
          <w:rFonts w:asciiTheme="minorHAnsi" w:hAnsiTheme="minorHAnsi"/>
          <w:iCs/>
          <w:sz w:val="18"/>
          <w:szCs w:val="18"/>
        </w:rPr>
        <w:tab/>
        <w:t>Ibid.,</w:t>
      </w:r>
      <w:r w:rsidRPr="000A28CE">
        <w:rPr>
          <w:rFonts w:asciiTheme="minorHAnsi" w:hAnsiTheme="minorHAnsi"/>
          <w:sz w:val="18"/>
          <w:szCs w:val="18"/>
        </w:rPr>
        <w:t xml:space="preserve"> s. 7.</w:t>
      </w:r>
    </w:p>
  </w:footnote>
  <w:footnote w:id="294">
    <w:p w:rsidR="00B4606C" w:rsidRPr="000A28CE" w:rsidRDefault="00B4606C" w:rsidP="00684137">
      <w:pPr>
        <w:pStyle w:val="Stopka1"/>
        <w:tabs>
          <w:tab w:val="left" w:pos="226"/>
        </w:tabs>
        <w:spacing w:line="230" w:lineRule="auto"/>
      </w:pPr>
      <w:r w:rsidRPr="000A28CE">
        <w:rPr>
          <w:iCs/>
          <w:vertAlign w:val="superscript"/>
        </w:rPr>
        <w:footnoteRef/>
      </w:r>
      <w:r w:rsidRPr="000A28CE">
        <w:rPr>
          <w:iCs/>
        </w:rPr>
        <w:tab/>
        <w:t>Ibid.,</w:t>
      </w:r>
      <w:r w:rsidRPr="000A28CE">
        <w:t xml:space="preserve"> s. 7.</w:t>
      </w:r>
    </w:p>
  </w:footnote>
  <w:footnote w:id="295">
    <w:p w:rsidR="00B4606C" w:rsidRPr="008E32CB" w:rsidRDefault="00B4606C" w:rsidP="004E1166">
      <w:pPr>
        <w:pStyle w:val="Tekstprzypisudolnego"/>
        <w:jc w:val="both"/>
        <w:rPr>
          <w:rFonts w:asciiTheme="minorHAnsi" w:hAnsiTheme="minorHAnsi" w:cs="Times New Roman"/>
          <w:sz w:val="18"/>
          <w:szCs w:val="18"/>
        </w:rPr>
      </w:pPr>
      <w:r w:rsidRPr="008E32CB">
        <w:rPr>
          <w:rStyle w:val="Odwoanieprzypisudolnego"/>
          <w:rFonts w:asciiTheme="minorHAnsi" w:hAnsiTheme="minorHAnsi" w:cs="Times New Roman"/>
          <w:sz w:val="18"/>
          <w:szCs w:val="18"/>
        </w:rPr>
        <w:footnoteRef/>
      </w:r>
      <w:r w:rsidRPr="008E32CB">
        <w:rPr>
          <w:rFonts w:asciiTheme="minorHAnsi" w:hAnsiTheme="minorHAnsi"/>
          <w:sz w:val="18"/>
          <w:szCs w:val="18"/>
        </w:rPr>
        <w:t xml:space="preserve"> P. Ostaszewski, E. Melaniuk, </w:t>
      </w:r>
      <w:r w:rsidRPr="008E32CB">
        <w:rPr>
          <w:rFonts w:asciiTheme="minorHAnsi" w:hAnsiTheme="minorHAnsi"/>
          <w:i/>
          <w:sz w:val="18"/>
          <w:szCs w:val="18"/>
        </w:rPr>
        <w:t>Kwerenda spraw ze skargi na przewlekłość postępowania sądowego, Instytut Wymiaru Sprawiedliwości</w:t>
      </w:r>
      <w:r w:rsidRPr="008E32CB">
        <w:rPr>
          <w:rFonts w:asciiTheme="minorHAnsi" w:hAnsiTheme="minorHAnsi"/>
          <w:sz w:val="18"/>
          <w:szCs w:val="18"/>
        </w:rPr>
        <w:t xml:space="preserve">, Warszawa 2019, dostęp: </w:t>
      </w:r>
      <w:hyperlink r:id="rId82" w:history="1">
        <w:r w:rsidRPr="008E32CB">
          <w:rPr>
            <w:rStyle w:val="Hipercze"/>
            <w:rFonts w:asciiTheme="minorHAnsi" w:hAnsiTheme="minorHAnsi"/>
            <w:sz w:val="18"/>
            <w:szCs w:val="18"/>
          </w:rPr>
          <w:t>https://iws.gov.pl/wp-content/uploads/2020/01/IWS_Ostaszewski-P.-Melaniul-E._Kwarenda-spraw-ze-skargi-na-przewlek%C5%82o%C5%9B%C4%87-post%C4%99powania-s%C4%85dowego.pdf</w:t>
        </w:r>
      </w:hyperlink>
      <w:r w:rsidRPr="008E32CB">
        <w:rPr>
          <w:rFonts w:asciiTheme="minorHAnsi" w:hAnsiTheme="minorHAnsi"/>
          <w:sz w:val="18"/>
          <w:szCs w:val="18"/>
        </w:rPr>
        <w:t xml:space="preserve"> (data dostępu: -04-2020).</w:t>
      </w:r>
    </w:p>
  </w:footnote>
  <w:footnote w:id="296">
    <w:p w:rsidR="00B4606C" w:rsidRPr="00E61311" w:rsidRDefault="00B4606C" w:rsidP="004E1166">
      <w:pPr>
        <w:pStyle w:val="Tekstprzypisudolnego"/>
        <w:jc w:val="both"/>
        <w:rPr>
          <w:rFonts w:ascii="Times New Roman" w:hAnsi="Times New Roman" w:cs="Times New Roman"/>
          <w:sz w:val="19"/>
          <w:szCs w:val="19"/>
        </w:rPr>
      </w:pPr>
      <w:r w:rsidRPr="008E32CB">
        <w:rPr>
          <w:rStyle w:val="Odwoanieprzypisudolnego"/>
          <w:rFonts w:asciiTheme="minorHAnsi" w:hAnsiTheme="minorHAnsi" w:cs="Times New Roman"/>
          <w:sz w:val="18"/>
          <w:szCs w:val="18"/>
        </w:rPr>
        <w:footnoteRef/>
      </w:r>
      <w:r w:rsidRPr="008E32CB">
        <w:rPr>
          <w:rFonts w:asciiTheme="minorHAnsi" w:hAnsiTheme="minorHAnsi"/>
          <w:sz w:val="18"/>
          <w:szCs w:val="18"/>
        </w:rPr>
        <w:t xml:space="preserve"> Komunikacja organizacji pozarządowej (11.09.2019 r.) i odpowiedź władz (25.09.2019 r.) w przedmiocie grupy spraw </w:t>
      </w:r>
      <w:r w:rsidR="008E32CB">
        <w:rPr>
          <w:rFonts w:asciiTheme="minorHAnsi" w:hAnsiTheme="minorHAnsi"/>
          <w:i/>
          <w:iCs/>
          <w:sz w:val="18"/>
          <w:szCs w:val="18"/>
        </w:rPr>
        <w:t>Rutkowski p.</w:t>
      </w:r>
      <w:r w:rsidRPr="008E32CB">
        <w:rPr>
          <w:rFonts w:asciiTheme="minorHAnsi" w:hAnsiTheme="minorHAnsi"/>
          <w:i/>
          <w:iCs/>
          <w:sz w:val="18"/>
          <w:szCs w:val="18"/>
        </w:rPr>
        <w:t xml:space="preserve"> Polsce</w:t>
      </w:r>
      <w:r w:rsidRPr="008E32CB">
        <w:rPr>
          <w:rFonts w:asciiTheme="minorHAnsi" w:hAnsiTheme="minorHAnsi"/>
          <w:sz w:val="18"/>
          <w:szCs w:val="18"/>
        </w:rPr>
        <w:t xml:space="preserve">, s. 2, dostęp: </w:t>
      </w:r>
      <w:hyperlink r:id="rId83" w:history="1">
        <w:r w:rsidRPr="008E32CB">
          <w:rPr>
            <w:rStyle w:val="Hipercze"/>
            <w:rFonts w:asciiTheme="minorHAnsi" w:hAnsiTheme="minorHAnsi"/>
            <w:sz w:val="18"/>
            <w:szCs w:val="18"/>
          </w:rPr>
          <w:t>http://hudoc.exec.coe.int/eng?i=DH-DD(2019)1081E</w:t>
        </w:r>
      </w:hyperlink>
      <w:r w:rsidRPr="008E32CB">
        <w:rPr>
          <w:rFonts w:asciiTheme="minorHAnsi" w:hAnsiTheme="minorHAnsi"/>
          <w:sz w:val="18"/>
          <w:szCs w:val="18"/>
        </w:rPr>
        <w:t xml:space="preserve"> (data dostępu: -04- 2020).</w:t>
      </w:r>
    </w:p>
  </w:footnote>
  <w:footnote w:id="297">
    <w:p w:rsidR="00B4606C" w:rsidRPr="008E32CB" w:rsidRDefault="00B4606C" w:rsidP="004E1166">
      <w:pPr>
        <w:pStyle w:val="Tekstprzypisudolnego"/>
        <w:jc w:val="both"/>
        <w:rPr>
          <w:rFonts w:asciiTheme="minorHAnsi" w:hAnsiTheme="minorHAnsi" w:cs="Times New Roman"/>
          <w:sz w:val="18"/>
          <w:szCs w:val="18"/>
        </w:rPr>
      </w:pPr>
      <w:r w:rsidRPr="008E32CB">
        <w:rPr>
          <w:rStyle w:val="Odwoanieprzypisudolnego"/>
          <w:rFonts w:asciiTheme="minorHAnsi" w:hAnsiTheme="minorHAnsi" w:cs="Times New Roman"/>
          <w:sz w:val="18"/>
          <w:szCs w:val="18"/>
        </w:rPr>
        <w:footnoteRef/>
      </w:r>
      <w:r w:rsidRPr="008E32CB">
        <w:rPr>
          <w:rFonts w:asciiTheme="minorHAnsi" w:hAnsiTheme="minorHAnsi"/>
          <w:sz w:val="18"/>
          <w:szCs w:val="18"/>
        </w:rPr>
        <w:t xml:space="preserve"> P. Ostaszewski, E. Melaniuk, Kwerenda spraw ze skargi na przewlekłość postępowania sądowego..., s. 5.</w:t>
      </w:r>
    </w:p>
  </w:footnote>
  <w:footnote w:id="298">
    <w:p w:rsidR="00B4606C" w:rsidRPr="008E32CB" w:rsidRDefault="00B4606C" w:rsidP="004E1166">
      <w:pPr>
        <w:pStyle w:val="Tekstprzypisudolnego"/>
        <w:jc w:val="both"/>
        <w:rPr>
          <w:rFonts w:asciiTheme="minorHAnsi" w:hAnsiTheme="minorHAnsi" w:cs="Times New Roman"/>
          <w:sz w:val="18"/>
          <w:szCs w:val="18"/>
        </w:rPr>
      </w:pPr>
      <w:r w:rsidRPr="008E32CB">
        <w:rPr>
          <w:rStyle w:val="Odwoanieprzypisudolnego"/>
          <w:rFonts w:asciiTheme="minorHAnsi" w:hAnsiTheme="minorHAnsi" w:cs="Times New Roman"/>
          <w:sz w:val="18"/>
          <w:szCs w:val="18"/>
        </w:rPr>
        <w:footnoteRef/>
      </w:r>
      <w:r w:rsidRPr="008E32CB">
        <w:rPr>
          <w:rFonts w:asciiTheme="minorHAnsi" w:hAnsiTheme="minorHAnsi"/>
          <w:sz w:val="18"/>
          <w:szCs w:val="18"/>
        </w:rPr>
        <w:t xml:space="preserve"> </w:t>
      </w:r>
      <w:r w:rsidRPr="008E32CB">
        <w:rPr>
          <w:rFonts w:asciiTheme="minorHAnsi" w:hAnsiTheme="minorHAnsi" w:cs="Times New Roman"/>
          <w:sz w:val="18"/>
          <w:szCs w:val="18"/>
        </w:rPr>
        <w:t>Ibid., s. 18-19.</w:t>
      </w:r>
    </w:p>
  </w:footnote>
  <w:footnote w:id="299">
    <w:p w:rsidR="00B4606C" w:rsidRPr="008E32CB" w:rsidRDefault="00B4606C" w:rsidP="004E1166">
      <w:pPr>
        <w:pStyle w:val="Tekstprzypisudolnego"/>
        <w:jc w:val="both"/>
        <w:rPr>
          <w:rFonts w:asciiTheme="minorHAnsi" w:hAnsiTheme="minorHAnsi" w:cs="Times New Roman"/>
          <w:sz w:val="18"/>
          <w:szCs w:val="18"/>
        </w:rPr>
      </w:pPr>
      <w:r w:rsidRPr="008E32CB">
        <w:rPr>
          <w:rStyle w:val="Odwoanieprzypisudolnego"/>
          <w:rFonts w:asciiTheme="minorHAnsi" w:hAnsiTheme="minorHAnsi" w:cs="Times New Roman"/>
          <w:sz w:val="18"/>
          <w:szCs w:val="18"/>
        </w:rPr>
        <w:footnoteRef/>
      </w:r>
      <w:r w:rsidRPr="008E32CB">
        <w:rPr>
          <w:rFonts w:asciiTheme="minorHAnsi" w:hAnsiTheme="minorHAnsi" w:cs="Times New Roman"/>
          <w:iCs/>
          <w:sz w:val="18"/>
          <w:szCs w:val="18"/>
        </w:rPr>
        <w:t xml:space="preserve"> Ibid.,</w:t>
      </w:r>
      <w:r w:rsidRPr="008E32CB">
        <w:rPr>
          <w:rFonts w:asciiTheme="minorHAnsi" w:hAnsiTheme="minorHAnsi" w:cs="Times New Roman"/>
          <w:sz w:val="18"/>
          <w:szCs w:val="18"/>
        </w:rPr>
        <w:t xml:space="preserve"> s. 22.</w:t>
      </w:r>
    </w:p>
  </w:footnote>
  <w:footnote w:id="300">
    <w:p w:rsidR="00B4606C" w:rsidRPr="008E32CB" w:rsidRDefault="00B4606C" w:rsidP="004E1166">
      <w:pPr>
        <w:pStyle w:val="Tekstprzypisudolnego"/>
        <w:jc w:val="both"/>
        <w:rPr>
          <w:rFonts w:asciiTheme="minorHAnsi" w:hAnsiTheme="minorHAnsi" w:cs="Times New Roman"/>
          <w:sz w:val="18"/>
          <w:szCs w:val="18"/>
        </w:rPr>
      </w:pPr>
      <w:r w:rsidRPr="008E32CB">
        <w:rPr>
          <w:rStyle w:val="Odwoanieprzypisudolnego"/>
          <w:rFonts w:asciiTheme="minorHAnsi" w:hAnsiTheme="minorHAnsi" w:cs="Times New Roman"/>
          <w:sz w:val="18"/>
          <w:szCs w:val="18"/>
        </w:rPr>
        <w:footnoteRef/>
      </w:r>
      <w:r w:rsidRPr="008E32CB">
        <w:rPr>
          <w:rFonts w:asciiTheme="minorHAnsi" w:hAnsiTheme="minorHAnsi"/>
          <w:iCs/>
          <w:sz w:val="18"/>
          <w:szCs w:val="18"/>
        </w:rPr>
        <w:t xml:space="preserve"> Wersja ostateczna: Dz. U. z 2018 r., poz. 75, z późn. zm.</w:t>
      </w:r>
    </w:p>
  </w:footnote>
  <w:footnote w:id="301">
    <w:p w:rsidR="00B4606C" w:rsidRPr="008E32CB" w:rsidRDefault="00B4606C" w:rsidP="00BB66BF">
      <w:pPr>
        <w:pStyle w:val="Stopka1"/>
        <w:tabs>
          <w:tab w:val="left" w:pos="158"/>
        </w:tabs>
        <w:jc w:val="both"/>
        <w:rPr>
          <w:rFonts w:asciiTheme="minorHAnsi" w:hAnsiTheme="minorHAnsi"/>
          <w:sz w:val="18"/>
          <w:szCs w:val="18"/>
          <w:lang w:val="en-US"/>
        </w:rPr>
      </w:pPr>
      <w:r w:rsidRPr="008E32CB">
        <w:rPr>
          <w:rStyle w:val="Odwoanieprzypisudolnego"/>
          <w:rFonts w:asciiTheme="minorHAnsi" w:eastAsia="Arial Unicode MS" w:hAnsiTheme="minorHAnsi"/>
          <w:color w:val="000000"/>
          <w:sz w:val="18"/>
          <w:szCs w:val="18"/>
          <w:lang w:bidi="en-US"/>
        </w:rPr>
        <w:footnoteRef/>
      </w:r>
      <w:r w:rsidRPr="008E32CB">
        <w:rPr>
          <w:rFonts w:asciiTheme="minorHAnsi" w:hAnsiTheme="minorHAnsi"/>
          <w:iCs/>
          <w:sz w:val="18"/>
          <w:szCs w:val="18"/>
          <w:lang w:val="en-US"/>
        </w:rPr>
        <w:t xml:space="preserve"> Ibid., s. 47.</w:t>
      </w:r>
    </w:p>
  </w:footnote>
  <w:footnote w:id="302">
    <w:p w:rsidR="00B4606C" w:rsidRPr="008E32CB" w:rsidRDefault="00B4606C" w:rsidP="004E1166">
      <w:pPr>
        <w:pStyle w:val="Stopka1"/>
        <w:tabs>
          <w:tab w:val="left" w:pos="158"/>
        </w:tabs>
        <w:jc w:val="both"/>
        <w:rPr>
          <w:rFonts w:asciiTheme="minorHAnsi" w:hAnsiTheme="minorHAnsi"/>
          <w:sz w:val="18"/>
          <w:szCs w:val="18"/>
          <w:lang w:val="en-US"/>
        </w:rPr>
      </w:pPr>
      <w:r w:rsidRPr="008E32CB">
        <w:rPr>
          <w:rFonts w:asciiTheme="minorHAnsi" w:hAnsiTheme="minorHAnsi"/>
          <w:iCs/>
          <w:color w:val="000000"/>
          <w:sz w:val="18"/>
          <w:szCs w:val="18"/>
          <w:vertAlign w:val="superscript"/>
        </w:rPr>
        <w:footnoteRef/>
      </w:r>
      <w:r w:rsidR="00BB66BF" w:rsidRPr="008E32CB">
        <w:rPr>
          <w:rFonts w:asciiTheme="minorHAnsi" w:hAnsiTheme="minorHAnsi"/>
          <w:sz w:val="18"/>
          <w:szCs w:val="18"/>
          <w:lang w:val="en-US"/>
        </w:rPr>
        <w:t xml:space="preserve"> </w:t>
      </w:r>
      <w:r w:rsidRPr="008E32CB">
        <w:rPr>
          <w:rFonts w:asciiTheme="minorHAnsi" w:hAnsiTheme="minorHAnsi"/>
          <w:sz w:val="18"/>
          <w:szCs w:val="18"/>
          <w:lang w:val="en-US"/>
        </w:rPr>
        <w:t>Ibid., s. 47.</w:t>
      </w:r>
    </w:p>
  </w:footnote>
  <w:footnote w:id="303">
    <w:p w:rsidR="00B4606C" w:rsidRPr="008E32CB" w:rsidRDefault="00B4606C" w:rsidP="004E1166">
      <w:pPr>
        <w:pStyle w:val="Stopka1"/>
        <w:tabs>
          <w:tab w:val="left" w:pos="158"/>
        </w:tabs>
        <w:jc w:val="both"/>
        <w:rPr>
          <w:rFonts w:asciiTheme="minorHAnsi" w:hAnsiTheme="minorHAnsi"/>
          <w:sz w:val="18"/>
          <w:szCs w:val="18"/>
          <w:lang w:val="en-US"/>
        </w:rPr>
      </w:pPr>
      <w:r w:rsidRPr="008E32CB">
        <w:rPr>
          <w:rFonts w:asciiTheme="minorHAnsi" w:hAnsiTheme="minorHAnsi"/>
          <w:iCs/>
          <w:color w:val="000000"/>
          <w:sz w:val="18"/>
          <w:szCs w:val="18"/>
          <w:vertAlign w:val="superscript"/>
        </w:rPr>
        <w:footnoteRef/>
      </w:r>
      <w:r w:rsidR="00BB66BF" w:rsidRPr="008E32CB">
        <w:rPr>
          <w:rFonts w:asciiTheme="minorHAnsi" w:hAnsiTheme="minorHAnsi"/>
          <w:iCs/>
          <w:color w:val="000000"/>
          <w:sz w:val="18"/>
          <w:szCs w:val="18"/>
          <w:lang w:val="en-US"/>
        </w:rPr>
        <w:t xml:space="preserve"> </w:t>
      </w:r>
      <w:r w:rsidRPr="008E32CB">
        <w:rPr>
          <w:rFonts w:asciiTheme="minorHAnsi" w:hAnsiTheme="minorHAnsi"/>
          <w:iCs/>
          <w:color w:val="000000"/>
          <w:sz w:val="18"/>
          <w:szCs w:val="18"/>
          <w:lang w:val="en-US"/>
        </w:rPr>
        <w:t>Ibid.,</w:t>
      </w:r>
      <w:r w:rsidRPr="008E32CB">
        <w:rPr>
          <w:rFonts w:asciiTheme="minorHAnsi" w:hAnsiTheme="minorHAnsi"/>
          <w:color w:val="000000"/>
          <w:sz w:val="18"/>
          <w:szCs w:val="18"/>
          <w:lang w:val="en-US"/>
        </w:rPr>
        <w:t xml:space="preserve"> tabela 58, s. 48</w:t>
      </w:r>
    </w:p>
  </w:footnote>
  <w:footnote w:id="304">
    <w:p w:rsidR="00B4606C" w:rsidRPr="008E32CB" w:rsidRDefault="00B4606C" w:rsidP="004E1166">
      <w:pPr>
        <w:pStyle w:val="Stopka1"/>
        <w:tabs>
          <w:tab w:val="left" w:pos="206"/>
        </w:tabs>
        <w:jc w:val="both"/>
        <w:rPr>
          <w:rFonts w:asciiTheme="minorHAnsi" w:hAnsiTheme="minorHAnsi"/>
          <w:sz w:val="18"/>
          <w:szCs w:val="18"/>
          <w:lang w:val="en-US"/>
        </w:rPr>
      </w:pPr>
      <w:r w:rsidRPr="008E32CB">
        <w:rPr>
          <w:rFonts w:asciiTheme="minorHAnsi" w:hAnsiTheme="minorHAnsi"/>
          <w:iCs/>
          <w:color w:val="000000"/>
          <w:sz w:val="18"/>
          <w:szCs w:val="18"/>
          <w:vertAlign w:val="superscript"/>
        </w:rPr>
        <w:footnoteRef/>
      </w:r>
      <w:r w:rsidRPr="008E32CB">
        <w:rPr>
          <w:rFonts w:asciiTheme="minorHAnsi" w:hAnsiTheme="minorHAnsi"/>
          <w:iCs/>
          <w:sz w:val="18"/>
          <w:szCs w:val="18"/>
          <w:lang w:val="en-US"/>
        </w:rPr>
        <w:tab/>
      </w:r>
      <w:r w:rsidR="00BB66BF" w:rsidRPr="008E32CB">
        <w:rPr>
          <w:rFonts w:asciiTheme="minorHAnsi" w:hAnsiTheme="minorHAnsi"/>
          <w:iCs/>
          <w:sz w:val="18"/>
          <w:szCs w:val="18"/>
          <w:lang w:val="en-US"/>
        </w:rPr>
        <w:t xml:space="preserve"> </w:t>
      </w:r>
      <w:r w:rsidRPr="008E32CB">
        <w:rPr>
          <w:rFonts w:asciiTheme="minorHAnsi" w:hAnsiTheme="minorHAnsi"/>
          <w:iCs/>
          <w:sz w:val="18"/>
          <w:szCs w:val="18"/>
          <w:lang w:val="en-US"/>
        </w:rPr>
        <w:t>Ibid.,</w:t>
      </w:r>
      <w:r w:rsidRPr="008E32CB">
        <w:rPr>
          <w:rFonts w:asciiTheme="minorHAnsi" w:hAnsiTheme="minorHAnsi"/>
          <w:sz w:val="18"/>
          <w:szCs w:val="18"/>
          <w:lang w:val="en-US"/>
        </w:rPr>
        <w:t xml:space="preserve"> s. 47.</w:t>
      </w:r>
    </w:p>
  </w:footnote>
  <w:footnote w:id="305">
    <w:p w:rsidR="00B4606C" w:rsidRPr="008E32CB" w:rsidRDefault="00B4606C" w:rsidP="004E1166">
      <w:pPr>
        <w:pStyle w:val="Tekstprzypisudolnego"/>
        <w:jc w:val="both"/>
        <w:rPr>
          <w:rFonts w:asciiTheme="minorHAnsi" w:hAnsiTheme="minorHAnsi" w:cs="Times New Roman"/>
          <w:sz w:val="18"/>
          <w:szCs w:val="18"/>
          <w:lang w:val="en-US"/>
        </w:rPr>
      </w:pPr>
      <w:r w:rsidRPr="008E32CB">
        <w:rPr>
          <w:rStyle w:val="Odwoanieprzypisudolnego"/>
          <w:rFonts w:asciiTheme="minorHAnsi" w:hAnsiTheme="minorHAnsi" w:cs="Times New Roman"/>
          <w:sz w:val="18"/>
          <w:szCs w:val="18"/>
        </w:rPr>
        <w:footnoteRef/>
      </w:r>
      <w:r w:rsidRPr="008E32CB">
        <w:rPr>
          <w:rFonts w:asciiTheme="minorHAnsi" w:hAnsiTheme="minorHAnsi"/>
          <w:iCs/>
          <w:sz w:val="18"/>
          <w:szCs w:val="18"/>
          <w:lang w:val="en-US"/>
        </w:rPr>
        <w:t xml:space="preserve"> Ibid., s.</w:t>
      </w:r>
      <w:r w:rsidRPr="008E32CB">
        <w:rPr>
          <w:rFonts w:asciiTheme="minorHAnsi" w:hAnsiTheme="minorHAnsi"/>
          <w:sz w:val="18"/>
          <w:szCs w:val="18"/>
          <w:lang w:val="en-US"/>
        </w:rPr>
        <w:t xml:space="preserve"> 49.</w:t>
      </w:r>
    </w:p>
  </w:footnote>
  <w:footnote w:id="306">
    <w:p w:rsidR="00B4606C" w:rsidRPr="00EB0342" w:rsidRDefault="00B4606C" w:rsidP="004E1166">
      <w:pPr>
        <w:pStyle w:val="Tekstprzypisudolnego"/>
        <w:jc w:val="both"/>
        <w:rPr>
          <w:rFonts w:ascii="Times New Roman" w:hAnsi="Times New Roman" w:cs="Times New Roman"/>
          <w:sz w:val="19"/>
          <w:szCs w:val="19"/>
          <w:lang w:val="en-US"/>
        </w:rPr>
      </w:pPr>
      <w:r w:rsidRPr="008E32CB">
        <w:rPr>
          <w:rStyle w:val="Odwoanieprzypisudolnego"/>
          <w:rFonts w:asciiTheme="minorHAnsi" w:hAnsiTheme="minorHAnsi" w:cs="Times New Roman"/>
          <w:sz w:val="18"/>
          <w:szCs w:val="18"/>
        </w:rPr>
        <w:footnoteRef/>
      </w:r>
      <w:r w:rsidRPr="008E32CB">
        <w:rPr>
          <w:rFonts w:asciiTheme="minorHAnsi" w:hAnsiTheme="minorHAnsi"/>
          <w:iCs/>
          <w:sz w:val="18"/>
          <w:szCs w:val="18"/>
          <w:lang w:val="en-US"/>
        </w:rPr>
        <w:t xml:space="preserve"> Ibid., s.</w:t>
      </w:r>
      <w:r w:rsidRPr="008E32CB">
        <w:rPr>
          <w:rFonts w:asciiTheme="minorHAnsi" w:hAnsiTheme="minorHAnsi"/>
          <w:sz w:val="18"/>
          <w:szCs w:val="18"/>
          <w:lang w:val="en-US"/>
        </w:rPr>
        <w:t xml:space="preserve"> 51.</w:t>
      </w:r>
    </w:p>
  </w:footnote>
  <w:footnote w:id="307">
    <w:p w:rsidR="00B4606C" w:rsidRPr="00BD3249" w:rsidRDefault="00B4606C" w:rsidP="004E1166">
      <w:pPr>
        <w:pStyle w:val="Tekstprzypisudolnego"/>
        <w:jc w:val="both"/>
        <w:rPr>
          <w:rFonts w:asciiTheme="minorHAnsi" w:hAnsiTheme="minorHAnsi"/>
          <w:sz w:val="18"/>
          <w:szCs w:val="18"/>
          <w:lang w:val="en-US"/>
        </w:rPr>
      </w:pPr>
      <w:r w:rsidRPr="00BD3249">
        <w:rPr>
          <w:rStyle w:val="Odwoanieprzypisudolnego"/>
          <w:rFonts w:asciiTheme="minorHAnsi" w:hAnsiTheme="minorHAnsi" w:cs="Times New Roman"/>
          <w:sz w:val="18"/>
          <w:szCs w:val="18"/>
        </w:rPr>
        <w:footnoteRef/>
      </w:r>
      <w:r w:rsidRPr="00BD3249">
        <w:rPr>
          <w:rFonts w:asciiTheme="minorHAnsi" w:hAnsiTheme="minorHAnsi"/>
          <w:iCs/>
          <w:sz w:val="18"/>
          <w:szCs w:val="18"/>
          <w:lang w:val="en-US"/>
        </w:rPr>
        <w:t>Ibid., s.</w:t>
      </w:r>
      <w:r w:rsidRPr="00BD3249">
        <w:rPr>
          <w:rFonts w:asciiTheme="minorHAnsi" w:hAnsiTheme="minorHAnsi"/>
          <w:sz w:val="18"/>
          <w:szCs w:val="18"/>
          <w:lang w:val="en-US"/>
        </w:rPr>
        <w:t xml:space="preserve"> 14.</w:t>
      </w:r>
    </w:p>
  </w:footnote>
  <w:footnote w:id="308">
    <w:p w:rsidR="00B4606C" w:rsidRPr="00751592" w:rsidRDefault="00B4606C" w:rsidP="00751592">
      <w:pPr>
        <w:pStyle w:val="Tekstprzypisudolnego"/>
        <w:rPr>
          <w:lang w:val="en-US"/>
        </w:rPr>
      </w:pPr>
      <w:r>
        <w:rPr>
          <w:rStyle w:val="Odwoanieprzypisudolnego"/>
        </w:rPr>
        <w:footnoteRef/>
      </w:r>
      <w:r w:rsidRPr="00751592">
        <w:rPr>
          <w:lang w:val="en-US"/>
        </w:rPr>
        <w:t xml:space="preserve"> </w:t>
      </w:r>
      <w:hyperlink r:id="rId84" w:history="1">
        <w:r w:rsidRPr="00384ADB">
          <w:rPr>
            <w:rStyle w:val="Hipercze"/>
            <w:rFonts w:asciiTheme="minorHAnsi" w:hAnsiTheme="minorHAnsi"/>
            <w:sz w:val="18"/>
            <w:szCs w:val="18"/>
            <w:lang w:val="en-US"/>
          </w:rPr>
          <w:t>https://iws.gov.pl/wp-content/uploads/2020/01/IWS_Ostaszewski-P.-Melaniuk-E._Kwerenda-spraw-ze-skargi-na-przewlek%C5%82o%C5%9B%C4%87-post%C4%99powania-s%C4%85dowego.pdf</w:t>
        </w:r>
      </w:hyperlink>
      <w:r w:rsidRPr="00751592">
        <w:rPr>
          <w:lang w:val="en-US"/>
        </w:rPr>
        <w:t xml:space="preserve"> </w:t>
      </w:r>
    </w:p>
  </w:footnote>
  <w:footnote w:id="309">
    <w:p w:rsidR="00B4606C" w:rsidRPr="00833628" w:rsidRDefault="00B4606C" w:rsidP="00833628">
      <w:pPr>
        <w:pStyle w:val="Stopka1"/>
        <w:jc w:val="both"/>
        <w:rPr>
          <w:rFonts w:asciiTheme="minorHAnsi" w:hAnsiTheme="minorHAnsi"/>
          <w:sz w:val="18"/>
          <w:szCs w:val="18"/>
        </w:rPr>
      </w:pPr>
      <w:r w:rsidRPr="00833628">
        <w:rPr>
          <w:rFonts w:asciiTheme="minorHAnsi" w:hAnsiTheme="minorHAnsi"/>
          <w:sz w:val="18"/>
          <w:szCs w:val="18"/>
          <w:vertAlign w:val="superscript"/>
          <w:lang w:val="pl"/>
        </w:rPr>
        <w:footnoteRef/>
      </w:r>
      <w:r w:rsidR="008E32CB">
        <w:rPr>
          <w:rFonts w:asciiTheme="minorHAnsi" w:hAnsiTheme="minorHAnsi"/>
          <w:sz w:val="18"/>
          <w:szCs w:val="18"/>
          <w:lang w:val="pl"/>
        </w:rPr>
        <w:t xml:space="preserve"> Odpowiedź r</w:t>
      </w:r>
      <w:r w:rsidRPr="00833628">
        <w:rPr>
          <w:rFonts w:asciiTheme="minorHAnsi" w:hAnsiTheme="minorHAnsi"/>
          <w:sz w:val="18"/>
          <w:szCs w:val="18"/>
          <w:lang w:val="pl"/>
        </w:rPr>
        <w:t xml:space="preserve">ządu na komunikację HFPC z dnia 12 września 2019 r., DPT.432.103.2019/9, str. 1, </w:t>
      </w:r>
      <w:hyperlink r:id="rId85" w:history="1">
        <w:r w:rsidRPr="00833628">
          <w:rPr>
            <w:rFonts w:asciiTheme="minorHAnsi" w:hAnsiTheme="minorHAnsi"/>
            <w:sz w:val="18"/>
            <w:szCs w:val="18"/>
            <w:u w:val="single"/>
            <w:lang w:val="pl"/>
          </w:rPr>
          <w:t>http://hudoc.exec.coe.int/eng?i=DH-DD(2019)1066E</w:t>
        </w:r>
      </w:hyperlink>
      <w:r w:rsidRPr="00833628">
        <w:rPr>
          <w:rFonts w:asciiTheme="minorHAnsi" w:hAnsiTheme="minorHAnsi"/>
          <w:sz w:val="18"/>
          <w:szCs w:val="18"/>
          <w:lang w:val="pl"/>
        </w:rPr>
        <w:t xml:space="preserve">, Zaktualizowany Raport z Wykonania z dnia 6 lutego 2020 r., DH-DD(2020)115, str. 4, </w:t>
      </w:r>
      <w:hyperlink r:id="rId86" w:history="1">
        <w:r w:rsidRPr="00833628">
          <w:rPr>
            <w:rFonts w:asciiTheme="minorHAnsi" w:hAnsiTheme="minorHAnsi"/>
            <w:sz w:val="18"/>
            <w:szCs w:val="18"/>
            <w:u w:val="single"/>
            <w:lang w:val="pl"/>
          </w:rPr>
          <w:t>http://hudoc.exec.coe.int/eng?i=DH-DD(2020)115E</w:t>
        </w:r>
      </w:hyperlink>
      <w:r w:rsidRPr="00833628">
        <w:rPr>
          <w:rFonts w:asciiTheme="minorHAnsi" w:hAnsiTheme="minorHAnsi"/>
          <w:sz w:val="18"/>
          <w:szCs w:val="18"/>
          <w:lang w:val="pl"/>
        </w:rPr>
        <w:t>.</w:t>
      </w:r>
    </w:p>
  </w:footnote>
  <w:footnote w:id="310">
    <w:p w:rsidR="00B4606C" w:rsidRPr="00833628" w:rsidRDefault="00B4606C" w:rsidP="00833628">
      <w:pPr>
        <w:spacing w:after="0" w:line="240" w:lineRule="auto"/>
        <w:rPr>
          <w:sz w:val="18"/>
          <w:szCs w:val="18"/>
        </w:rPr>
      </w:pPr>
      <w:r w:rsidRPr="00833628">
        <w:rPr>
          <w:rStyle w:val="Odwoanieprzypisudolnego"/>
          <w:sz w:val="18"/>
          <w:szCs w:val="18"/>
          <w:lang w:val="pl"/>
        </w:rPr>
        <w:footnoteRef/>
      </w:r>
      <w:r w:rsidRPr="00833628">
        <w:rPr>
          <w:sz w:val="18"/>
          <w:szCs w:val="18"/>
          <w:lang w:val="pl"/>
        </w:rPr>
        <w:t xml:space="preserve"> Informacja dotycząca działań podjętych w celu zastosowania się do wyroków w sprawach </w:t>
      </w:r>
      <w:r w:rsidRPr="00833628">
        <w:rPr>
          <w:i/>
          <w:sz w:val="18"/>
          <w:szCs w:val="18"/>
          <w:lang w:val="pl"/>
        </w:rPr>
        <w:t>Parol p. Polsce</w:t>
      </w:r>
      <w:r w:rsidRPr="00833628">
        <w:rPr>
          <w:sz w:val="18"/>
          <w:szCs w:val="18"/>
          <w:lang w:val="pl"/>
        </w:rPr>
        <w:t xml:space="preserve"> i </w:t>
      </w:r>
      <w:r w:rsidRPr="00833628">
        <w:rPr>
          <w:i/>
          <w:sz w:val="18"/>
          <w:szCs w:val="18"/>
          <w:lang w:val="pl"/>
        </w:rPr>
        <w:t>Adamkowski p. Polsce</w:t>
      </w:r>
      <w:r w:rsidRPr="00833628">
        <w:rPr>
          <w:sz w:val="18"/>
          <w:szCs w:val="18"/>
          <w:lang w:val="pl"/>
        </w:rPr>
        <w:t xml:space="preserve"> przedstawiona przez Rząd RP Komitetowi Ministrów w dniu 21 sierpnia 2019 r., </w:t>
      </w:r>
      <w:hyperlink r:id="rId87" w:history="1">
        <w:r w:rsidRPr="00CF1B80">
          <w:rPr>
            <w:rStyle w:val="Hipercze"/>
            <w:sz w:val="18"/>
            <w:szCs w:val="18"/>
            <w:lang w:val="pl"/>
          </w:rPr>
          <w:t>https://search.coe.int/cm/Pages/result_details.aspx?0bjectId=090000168096fb5b</w:t>
        </w:r>
      </w:hyperlink>
      <w:r>
        <w:rPr>
          <w:sz w:val="18"/>
          <w:szCs w:val="18"/>
          <w:lang w:val="pl"/>
        </w:rPr>
        <w:t xml:space="preserve"> </w:t>
      </w:r>
    </w:p>
  </w:footnote>
  <w:footnote w:id="311">
    <w:p w:rsidR="00B4606C" w:rsidRPr="008C1DB6" w:rsidRDefault="00B4606C" w:rsidP="00833628">
      <w:pPr>
        <w:pStyle w:val="Stopka1"/>
        <w:tabs>
          <w:tab w:val="left" w:pos="154"/>
        </w:tabs>
      </w:pPr>
      <w:r w:rsidRPr="00833628">
        <w:rPr>
          <w:rFonts w:asciiTheme="minorHAnsi" w:hAnsiTheme="minorHAnsi"/>
          <w:sz w:val="18"/>
          <w:szCs w:val="18"/>
          <w:shd w:val="clear" w:color="auto" w:fill="FFFFFF"/>
          <w:vertAlign w:val="superscript"/>
          <w:lang w:val="pl"/>
        </w:rPr>
        <w:footnoteRef/>
      </w:r>
      <w:r w:rsidR="00BB66BF">
        <w:rPr>
          <w:rFonts w:asciiTheme="minorHAnsi" w:hAnsiTheme="minorHAnsi"/>
          <w:sz w:val="18"/>
          <w:szCs w:val="18"/>
          <w:lang w:val="pl"/>
        </w:rPr>
        <w:t xml:space="preserve"> </w:t>
      </w:r>
      <w:r w:rsidRPr="00833628">
        <w:rPr>
          <w:rFonts w:asciiTheme="minorHAnsi" w:hAnsiTheme="minorHAnsi"/>
          <w:sz w:val="18"/>
          <w:szCs w:val="18"/>
          <w:lang w:val="pl"/>
        </w:rPr>
        <w:t>Dziennik Ustaw („Dz.U.”) 2019, poz. 1469.</w:t>
      </w:r>
    </w:p>
  </w:footnote>
  <w:footnote w:id="312">
    <w:p w:rsidR="00B4606C" w:rsidRPr="00833628" w:rsidRDefault="00B4606C" w:rsidP="00833628">
      <w:pPr>
        <w:pStyle w:val="Stopka1"/>
        <w:tabs>
          <w:tab w:val="left" w:pos="221"/>
        </w:tabs>
        <w:rPr>
          <w:rFonts w:asciiTheme="minorHAnsi" w:hAnsiTheme="minorHAnsi"/>
          <w:sz w:val="18"/>
          <w:szCs w:val="18"/>
        </w:rPr>
      </w:pPr>
      <w:r w:rsidRPr="00833628">
        <w:rPr>
          <w:rFonts w:asciiTheme="minorHAnsi" w:hAnsiTheme="minorHAnsi"/>
          <w:sz w:val="18"/>
          <w:szCs w:val="18"/>
          <w:vertAlign w:val="superscript"/>
          <w:lang w:val="pl"/>
        </w:rPr>
        <w:footnoteRef/>
      </w:r>
      <w:r w:rsidRPr="00833628">
        <w:rPr>
          <w:rFonts w:asciiTheme="minorHAnsi" w:hAnsiTheme="minorHAnsi"/>
          <w:sz w:val="18"/>
          <w:szCs w:val="18"/>
          <w:lang w:val="pl"/>
        </w:rPr>
        <w:tab/>
        <w:t xml:space="preserve">Pismo Rzecznika Praw Obywatelskich do Ministra Sprawiedliwości z dnia 8 stycznia 2020 r., nr ref. IV.510.50.2019.KPa, </w:t>
      </w:r>
      <w:hyperlink r:id="rId88" w:history="1">
        <w:r w:rsidRPr="00833628">
          <w:rPr>
            <w:rFonts w:asciiTheme="minorHAnsi" w:hAnsiTheme="minorHAnsi"/>
            <w:sz w:val="18"/>
            <w:szCs w:val="18"/>
            <w:u w:val="single"/>
            <w:lang w:val="pl"/>
          </w:rPr>
          <w:t>https://www.rpo.gov.pl/sites/default/files/Wyst%C4%85pienie%20do%20MS%20%20ws.%20wzor%C3%B3w</w:t>
        </w:r>
      </w:hyperlink>
      <w:r w:rsidRPr="00833628">
        <w:rPr>
          <w:rFonts w:asciiTheme="minorHAnsi" w:hAnsiTheme="minorHAnsi"/>
          <w:sz w:val="18"/>
          <w:szCs w:val="18"/>
          <w:u w:val="single"/>
          <w:lang w:val="pl"/>
        </w:rPr>
        <w:t xml:space="preserve"> %20poucze%C5%84%20w%20procedurze%20cywilnej.%208.01.2010.pdf</w:t>
      </w:r>
      <w:r w:rsidRPr="00833628">
        <w:rPr>
          <w:rFonts w:asciiTheme="minorHAnsi" w:hAnsiTheme="minorHAnsi"/>
          <w:sz w:val="18"/>
          <w:szCs w:val="18"/>
          <w:lang w:val="pl"/>
        </w:rPr>
        <w:t>.</w:t>
      </w:r>
    </w:p>
  </w:footnote>
  <w:footnote w:id="313">
    <w:p w:rsidR="00B4606C" w:rsidRPr="00833628" w:rsidRDefault="00B4606C" w:rsidP="00833628">
      <w:pPr>
        <w:pStyle w:val="Stopka1"/>
        <w:tabs>
          <w:tab w:val="left" w:pos="154"/>
        </w:tabs>
        <w:rPr>
          <w:rFonts w:asciiTheme="minorHAnsi" w:hAnsiTheme="minorHAnsi"/>
          <w:sz w:val="18"/>
          <w:szCs w:val="18"/>
        </w:rPr>
      </w:pPr>
      <w:r w:rsidRPr="00833628">
        <w:rPr>
          <w:rFonts w:asciiTheme="minorHAnsi" w:hAnsiTheme="minorHAnsi"/>
          <w:i/>
          <w:iCs/>
          <w:sz w:val="18"/>
          <w:szCs w:val="18"/>
          <w:vertAlign w:val="superscript"/>
          <w:lang w:val="pl"/>
        </w:rPr>
        <w:footnoteRef/>
      </w:r>
      <w:r>
        <w:rPr>
          <w:rFonts w:asciiTheme="minorHAnsi" w:hAnsiTheme="minorHAnsi"/>
          <w:sz w:val="18"/>
          <w:szCs w:val="18"/>
          <w:lang w:val="pl"/>
        </w:rPr>
        <w:t xml:space="preserve"> </w:t>
      </w:r>
      <w:r w:rsidRPr="00BB66BF">
        <w:rPr>
          <w:rFonts w:asciiTheme="minorHAnsi" w:hAnsiTheme="minorHAnsi"/>
          <w:iCs/>
          <w:sz w:val="18"/>
          <w:szCs w:val="18"/>
          <w:lang w:val="pl"/>
        </w:rPr>
        <w:t>Tamże.</w:t>
      </w:r>
    </w:p>
  </w:footnote>
  <w:footnote w:id="314">
    <w:p w:rsidR="00B4606C" w:rsidRPr="00833628" w:rsidRDefault="00B4606C" w:rsidP="00833628">
      <w:pPr>
        <w:pStyle w:val="Stopka1"/>
        <w:tabs>
          <w:tab w:val="left" w:pos="158"/>
        </w:tabs>
        <w:rPr>
          <w:rFonts w:asciiTheme="minorHAnsi" w:hAnsiTheme="minorHAnsi"/>
          <w:sz w:val="18"/>
          <w:szCs w:val="18"/>
        </w:rPr>
      </w:pPr>
      <w:r w:rsidRPr="00833628">
        <w:rPr>
          <w:rFonts w:asciiTheme="minorHAnsi" w:hAnsiTheme="minorHAnsi"/>
          <w:sz w:val="18"/>
          <w:szCs w:val="18"/>
          <w:vertAlign w:val="superscript"/>
          <w:lang w:val="pl"/>
        </w:rPr>
        <w:footnoteRef/>
      </w:r>
      <w:r>
        <w:rPr>
          <w:rFonts w:asciiTheme="minorHAnsi" w:hAnsiTheme="minorHAnsi"/>
          <w:sz w:val="18"/>
          <w:szCs w:val="18"/>
          <w:lang w:val="pl"/>
        </w:rPr>
        <w:t xml:space="preserve"> </w:t>
      </w:r>
      <w:r w:rsidRPr="00833628">
        <w:rPr>
          <w:rFonts w:asciiTheme="minorHAnsi" w:hAnsiTheme="minorHAnsi"/>
          <w:sz w:val="18"/>
          <w:szCs w:val="18"/>
          <w:lang w:val="pl"/>
        </w:rPr>
        <w:t xml:space="preserve">Odpowiedź Ministerstwa Sprawiedliwości z dnia 3 lutego 2020 r. na pismo Rzecznika Praw Obywatelskich, nr ref. DLPC-V.053.3.2019, </w:t>
      </w:r>
      <w:r w:rsidRPr="00833628">
        <w:rPr>
          <w:rFonts w:asciiTheme="minorHAnsi" w:hAnsiTheme="minorHAnsi"/>
          <w:sz w:val="18"/>
          <w:szCs w:val="18"/>
          <w:u w:val="single"/>
          <w:lang w:val="pl"/>
        </w:rPr>
        <w:t>https://www.rpo.gov.pl/sites/default/files/Odpowied%C5%BA%20MS%2C%20%203.02.2020.pdf</w:t>
      </w:r>
      <w:r w:rsidRPr="00833628">
        <w:rPr>
          <w:rFonts w:asciiTheme="minorHAnsi" w:hAnsiTheme="minorHAnsi"/>
          <w:sz w:val="18"/>
          <w:szCs w:val="18"/>
          <w:lang w:val="pl"/>
        </w:rPr>
        <w:t>.</w:t>
      </w:r>
    </w:p>
  </w:footnote>
  <w:footnote w:id="315">
    <w:p w:rsidR="00B4606C" w:rsidRPr="00833628" w:rsidRDefault="00B4606C" w:rsidP="00833628">
      <w:pPr>
        <w:pStyle w:val="Stopka1"/>
        <w:tabs>
          <w:tab w:val="left" w:pos="154"/>
        </w:tabs>
        <w:rPr>
          <w:rFonts w:asciiTheme="minorHAnsi" w:hAnsiTheme="minorHAnsi"/>
          <w:sz w:val="18"/>
          <w:szCs w:val="18"/>
        </w:rPr>
      </w:pPr>
      <w:r w:rsidRPr="00833628">
        <w:rPr>
          <w:rFonts w:asciiTheme="minorHAnsi" w:hAnsiTheme="minorHAnsi"/>
          <w:iCs/>
          <w:sz w:val="18"/>
          <w:szCs w:val="18"/>
          <w:vertAlign w:val="superscript"/>
          <w:lang w:val="pl"/>
        </w:rPr>
        <w:footnoteRef/>
      </w:r>
      <w:r w:rsidRPr="00833628">
        <w:rPr>
          <w:rFonts w:asciiTheme="minorHAnsi" w:hAnsiTheme="minorHAnsi"/>
          <w:sz w:val="18"/>
          <w:szCs w:val="18"/>
          <w:lang w:val="pl"/>
        </w:rPr>
        <w:t xml:space="preserve"> </w:t>
      </w:r>
      <w:r w:rsidRPr="00833628">
        <w:rPr>
          <w:rFonts w:asciiTheme="minorHAnsi" w:hAnsiTheme="minorHAnsi"/>
          <w:iCs/>
          <w:sz w:val="18"/>
          <w:szCs w:val="18"/>
          <w:lang w:val="pl"/>
        </w:rPr>
        <w:t>Tamże.</w:t>
      </w:r>
    </w:p>
  </w:footnote>
  <w:footnote w:id="316">
    <w:p w:rsidR="00B4606C" w:rsidRPr="00833628" w:rsidRDefault="00B4606C" w:rsidP="00833628">
      <w:pPr>
        <w:pStyle w:val="Tekstprzypisudolnego"/>
        <w:rPr>
          <w:rFonts w:asciiTheme="minorHAnsi" w:hAnsiTheme="minorHAnsi"/>
          <w:sz w:val="18"/>
          <w:szCs w:val="18"/>
        </w:rPr>
      </w:pPr>
      <w:r w:rsidRPr="00833628">
        <w:rPr>
          <w:rStyle w:val="Odwoanieprzypisudolnego"/>
          <w:rFonts w:asciiTheme="minorHAnsi" w:hAnsiTheme="minorHAnsi"/>
          <w:sz w:val="18"/>
          <w:szCs w:val="18"/>
          <w:lang w:val="pl"/>
        </w:rPr>
        <w:footnoteRef/>
      </w:r>
      <w:r w:rsidRPr="00833628">
        <w:rPr>
          <w:rFonts w:asciiTheme="minorHAnsi" w:hAnsiTheme="minorHAnsi"/>
          <w:sz w:val="18"/>
          <w:szCs w:val="18"/>
          <w:lang w:val="pl"/>
        </w:rPr>
        <w:t xml:space="preserve"> Dz.U. 2020, poz. 1086</w:t>
      </w:r>
    </w:p>
  </w:footnote>
  <w:footnote w:id="317">
    <w:p w:rsidR="00B4606C" w:rsidRPr="00833628" w:rsidRDefault="00B4606C" w:rsidP="00833628">
      <w:pPr>
        <w:pStyle w:val="Stopka1"/>
        <w:tabs>
          <w:tab w:val="left" w:pos="163"/>
        </w:tabs>
        <w:rPr>
          <w:rFonts w:asciiTheme="minorHAnsi" w:hAnsiTheme="minorHAnsi"/>
          <w:sz w:val="18"/>
          <w:szCs w:val="18"/>
        </w:rPr>
      </w:pPr>
      <w:r w:rsidRPr="00833628">
        <w:rPr>
          <w:rStyle w:val="Odwoanieprzypisudolnego"/>
          <w:rFonts w:asciiTheme="minorHAnsi" w:hAnsiTheme="minorHAnsi"/>
          <w:sz w:val="18"/>
          <w:szCs w:val="18"/>
          <w:lang w:val="pl"/>
        </w:rPr>
        <w:footnoteRef/>
      </w:r>
      <w:r w:rsidRPr="00833628">
        <w:rPr>
          <w:rFonts w:asciiTheme="minorHAnsi" w:hAnsiTheme="minorHAnsi"/>
          <w:sz w:val="18"/>
          <w:szCs w:val="18"/>
          <w:lang w:val="pl"/>
        </w:rPr>
        <w:t xml:space="preserve"> Uzasadnienie projektu Ustawy o dopłatach do oprocentowania kredytów bankowych udzielanych przedsiębiorcom</w:t>
      </w:r>
    </w:p>
    <w:p w:rsidR="00B4606C" w:rsidRPr="00833628" w:rsidRDefault="00B4606C" w:rsidP="00833628">
      <w:pPr>
        <w:pStyle w:val="Stopka1"/>
        <w:tabs>
          <w:tab w:val="left" w:pos="1406"/>
          <w:tab w:val="left" w:pos="2851"/>
          <w:tab w:val="left" w:pos="4344"/>
          <w:tab w:val="left" w:pos="5693"/>
          <w:tab w:val="left" w:pos="7085"/>
          <w:tab w:val="left" w:pos="8294"/>
        </w:tabs>
        <w:rPr>
          <w:rFonts w:asciiTheme="minorHAnsi" w:hAnsiTheme="minorHAnsi"/>
          <w:sz w:val="18"/>
          <w:szCs w:val="18"/>
        </w:rPr>
      </w:pPr>
      <w:r w:rsidRPr="00833628">
        <w:rPr>
          <w:rFonts w:asciiTheme="minorHAnsi" w:hAnsiTheme="minorHAnsi"/>
          <w:sz w:val="18"/>
          <w:szCs w:val="18"/>
          <w:lang w:val="pl"/>
        </w:rPr>
        <w:t>dotkniętym skutkami COVID-19 oraz o uproszczonym postępowaniu o zatwierdzenie układu w z</w:t>
      </w:r>
      <w:r>
        <w:rPr>
          <w:rFonts w:asciiTheme="minorHAnsi" w:hAnsiTheme="minorHAnsi"/>
          <w:sz w:val="18"/>
          <w:szCs w:val="18"/>
          <w:lang w:val="pl"/>
        </w:rPr>
        <w:t xml:space="preserve">wiązku z wystąpieniem COVID-19, </w:t>
      </w:r>
      <w:r w:rsidRPr="00833628">
        <w:rPr>
          <w:rFonts w:asciiTheme="minorHAnsi" w:hAnsiTheme="minorHAnsi"/>
          <w:sz w:val="18"/>
          <w:szCs w:val="18"/>
          <w:lang w:val="pl"/>
        </w:rPr>
        <w:t>druk</w:t>
      </w:r>
      <w:r>
        <w:rPr>
          <w:rFonts w:asciiTheme="minorHAnsi" w:hAnsiTheme="minorHAnsi"/>
          <w:sz w:val="18"/>
          <w:szCs w:val="18"/>
          <w:lang w:val="pl"/>
        </w:rPr>
        <w:t xml:space="preserve"> </w:t>
      </w:r>
      <w:r w:rsidRPr="00833628">
        <w:rPr>
          <w:rFonts w:asciiTheme="minorHAnsi" w:hAnsiTheme="minorHAnsi"/>
          <w:sz w:val="18"/>
          <w:szCs w:val="18"/>
          <w:lang w:val="pl"/>
        </w:rPr>
        <w:t>sejmowy</w:t>
      </w:r>
      <w:r>
        <w:rPr>
          <w:rFonts w:asciiTheme="minorHAnsi" w:hAnsiTheme="minorHAnsi"/>
          <w:sz w:val="18"/>
          <w:szCs w:val="18"/>
          <w:lang w:val="pl"/>
        </w:rPr>
        <w:t xml:space="preserve"> </w:t>
      </w:r>
      <w:r w:rsidRPr="00833628">
        <w:rPr>
          <w:rFonts w:asciiTheme="minorHAnsi" w:hAnsiTheme="minorHAnsi"/>
          <w:sz w:val="18"/>
          <w:szCs w:val="18"/>
          <w:lang w:val="pl"/>
        </w:rPr>
        <w:t>nr</w:t>
      </w:r>
      <w:r>
        <w:rPr>
          <w:rFonts w:asciiTheme="minorHAnsi" w:hAnsiTheme="minorHAnsi"/>
          <w:sz w:val="18"/>
          <w:szCs w:val="18"/>
          <w:lang w:val="pl"/>
        </w:rPr>
        <w:t xml:space="preserve"> </w:t>
      </w:r>
      <w:r w:rsidRPr="00833628">
        <w:rPr>
          <w:rFonts w:asciiTheme="minorHAnsi" w:hAnsiTheme="minorHAnsi"/>
          <w:sz w:val="18"/>
          <w:szCs w:val="18"/>
          <w:lang w:val="pl"/>
        </w:rPr>
        <w:t>382,</w:t>
      </w:r>
      <w:r>
        <w:rPr>
          <w:rFonts w:asciiTheme="minorHAnsi" w:hAnsiTheme="minorHAnsi"/>
          <w:sz w:val="18"/>
          <w:szCs w:val="18"/>
          <w:lang w:val="pl"/>
        </w:rPr>
        <w:t xml:space="preserve"> </w:t>
      </w:r>
      <w:r w:rsidRPr="00833628">
        <w:rPr>
          <w:rFonts w:asciiTheme="minorHAnsi" w:hAnsiTheme="minorHAnsi"/>
          <w:sz w:val="18"/>
          <w:szCs w:val="18"/>
          <w:lang w:val="pl"/>
        </w:rPr>
        <w:t>str.</w:t>
      </w:r>
      <w:r>
        <w:rPr>
          <w:rFonts w:asciiTheme="minorHAnsi" w:hAnsiTheme="minorHAnsi"/>
          <w:sz w:val="18"/>
          <w:szCs w:val="18"/>
          <w:lang w:val="pl"/>
        </w:rPr>
        <w:t xml:space="preserve"> </w:t>
      </w:r>
      <w:r w:rsidRPr="00833628">
        <w:rPr>
          <w:rFonts w:asciiTheme="minorHAnsi" w:hAnsiTheme="minorHAnsi"/>
          <w:sz w:val="18"/>
          <w:szCs w:val="18"/>
          <w:lang w:val="pl"/>
        </w:rPr>
        <w:t>46,</w:t>
      </w:r>
      <w:r>
        <w:rPr>
          <w:rFonts w:asciiTheme="minorHAnsi" w:hAnsiTheme="minorHAnsi"/>
          <w:sz w:val="18"/>
          <w:szCs w:val="18"/>
          <w:lang w:val="pl"/>
        </w:rPr>
        <w:t xml:space="preserve"> </w:t>
      </w:r>
      <w:hyperlink r:id="rId89" w:history="1">
        <w:r w:rsidRPr="00833628">
          <w:rPr>
            <w:rFonts w:asciiTheme="minorHAnsi" w:hAnsiTheme="minorHAnsi"/>
            <w:sz w:val="18"/>
            <w:szCs w:val="18"/>
            <w:u w:val="single"/>
            <w:lang w:val="pl"/>
          </w:rPr>
          <w:t>http://orka.sejm.gov.pl/Druki9ka.nsf/0/B2E9AA1082EE4696C12585700042D075/%24File/382.pdf</w:t>
        </w:r>
      </w:hyperlink>
      <w:r w:rsidRPr="00833628">
        <w:rPr>
          <w:rFonts w:asciiTheme="minorHAnsi" w:hAnsiTheme="minorHAnsi"/>
          <w:sz w:val="18"/>
          <w:szCs w:val="18"/>
          <w:lang w:val="pl"/>
        </w:rPr>
        <w:t xml:space="preserve">. </w:t>
      </w:r>
    </w:p>
  </w:footnote>
  <w:footnote w:id="318">
    <w:p w:rsidR="00B4606C" w:rsidRPr="00833628" w:rsidRDefault="00B4606C" w:rsidP="00833628">
      <w:pPr>
        <w:pStyle w:val="Tekstprzypisudolnego"/>
        <w:rPr>
          <w:rFonts w:asciiTheme="minorHAnsi" w:hAnsiTheme="minorHAnsi"/>
          <w:sz w:val="18"/>
          <w:szCs w:val="18"/>
        </w:rPr>
      </w:pPr>
      <w:r w:rsidRPr="00833628">
        <w:rPr>
          <w:rStyle w:val="Odwoanieprzypisudolnego"/>
          <w:rFonts w:asciiTheme="minorHAnsi" w:hAnsiTheme="minorHAnsi"/>
          <w:sz w:val="18"/>
          <w:szCs w:val="18"/>
          <w:lang w:val="pl"/>
        </w:rPr>
        <w:footnoteRef/>
      </w:r>
      <w:r w:rsidRPr="00833628">
        <w:rPr>
          <w:rFonts w:asciiTheme="minorHAnsi" w:hAnsiTheme="minorHAnsi"/>
          <w:iCs/>
          <w:sz w:val="18"/>
          <w:szCs w:val="18"/>
          <w:lang w:val="pl"/>
        </w:rPr>
        <w:t>Tamże</w:t>
      </w:r>
      <w:r w:rsidRPr="00833628">
        <w:rPr>
          <w:rFonts w:asciiTheme="minorHAnsi" w:hAnsiTheme="minorHAnsi"/>
          <w:sz w:val="18"/>
          <w:szCs w:val="18"/>
          <w:lang w:val="pl"/>
        </w:rPr>
        <w:t>.</w:t>
      </w:r>
    </w:p>
  </w:footnote>
  <w:footnote w:id="319">
    <w:p w:rsidR="00B4606C" w:rsidRPr="00833628" w:rsidRDefault="00B4606C" w:rsidP="00833628">
      <w:pPr>
        <w:pStyle w:val="Tekstprzypisudolnego"/>
        <w:rPr>
          <w:rFonts w:asciiTheme="minorHAnsi" w:hAnsiTheme="minorHAnsi"/>
          <w:sz w:val="18"/>
          <w:szCs w:val="18"/>
        </w:rPr>
      </w:pPr>
      <w:r w:rsidRPr="00833628">
        <w:rPr>
          <w:rStyle w:val="Odwoanieprzypisudolnego"/>
          <w:rFonts w:asciiTheme="minorHAnsi" w:hAnsiTheme="minorHAnsi"/>
          <w:sz w:val="18"/>
          <w:szCs w:val="18"/>
          <w:lang w:val="pl"/>
        </w:rPr>
        <w:footnoteRef/>
      </w:r>
      <w:r w:rsidRPr="00833628">
        <w:rPr>
          <w:rFonts w:asciiTheme="minorHAnsi" w:hAnsiTheme="minorHAnsi"/>
          <w:iCs/>
          <w:sz w:val="18"/>
          <w:szCs w:val="18"/>
          <w:lang w:val="pl"/>
        </w:rPr>
        <w:t>Tamże</w:t>
      </w:r>
      <w:r w:rsidRPr="00833628">
        <w:rPr>
          <w:rFonts w:asciiTheme="minorHAnsi" w:hAnsiTheme="minorHAnsi"/>
          <w:sz w:val="18"/>
          <w:szCs w:val="18"/>
          <w:lang w:val="pl"/>
        </w:rPr>
        <w:t>.</w:t>
      </w:r>
    </w:p>
  </w:footnote>
  <w:footnote w:id="320">
    <w:p w:rsidR="00B4606C" w:rsidRPr="00BC226A" w:rsidRDefault="00B4606C" w:rsidP="00833628">
      <w:pPr>
        <w:pStyle w:val="Tekstprzypisudolnego"/>
      </w:pPr>
      <w:r w:rsidRPr="00833628">
        <w:rPr>
          <w:rStyle w:val="Odwoanieprzypisudolnego"/>
          <w:rFonts w:asciiTheme="minorHAnsi" w:hAnsiTheme="minorHAnsi"/>
          <w:sz w:val="18"/>
          <w:szCs w:val="18"/>
          <w:lang w:val="pl"/>
        </w:rPr>
        <w:footnoteRef/>
      </w:r>
      <w:r w:rsidRPr="00833628">
        <w:rPr>
          <w:rFonts w:asciiTheme="minorHAnsi" w:hAnsiTheme="minorHAnsi"/>
          <w:iCs/>
          <w:sz w:val="18"/>
          <w:szCs w:val="18"/>
          <w:lang w:val="pl"/>
        </w:rPr>
        <w:t>Tamże</w:t>
      </w:r>
      <w:r w:rsidRPr="00833628">
        <w:rPr>
          <w:rFonts w:asciiTheme="minorHAnsi" w:hAnsiTheme="minorHAnsi"/>
          <w:sz w:val="18"/>
          <w:szCs w:val="18"/>
          <w:lang w:val="pl"/>
        </w:rPr>
        <w:t>.</w:t>
      </w:r>
    </w:p>
  </w:footnote>
  <w:footnote w:id="321">
    <w:p w:rsidR="00B4606C" w:rsidRPr="00384ADB" w:rsidRDefault="00B4606C" w:rsidP="00221AE5">
      <w:pPr>
        <w:pStyle w:val="Tekstprzypisudolnego"/>
        <w:rPr>
          <w:rFonts w:asciiTheme="minorHAnsi" w:hAnsiTheme="minorHAnsi"/>
          <w:sz w:val="18"/>
          <w:szCs w:val="18"/>
        </w:rPr>
      </w:pPr>
      <w:r w:rsidRPr="00384ADB">
        <w:rPr>
          <w:rStyle w:val="Odwoanieprzypisudolnego"/>
          <w:rFonts w:asciiTheme="minorHAnsi" w:hAnsiTheme="minorHAnsi"/>
          <w:sz w:val="18"/>
          <w:szCs w:val="18"/>
          <w:lang w:val="pl"/>
        </w:rPr>
        <w:footnoteRef/>
      </w:r>
      <w:r w:rsidRPr="00384ADB">
        <w:rPr>
          <w:rFonts w:asciiTheme="minorHAnsi" w:hAnsiTheme="minorHAnsi"/>
          <w:iCs/>
          <w:sz w:val="18"/>
          <w:szCs w:val="18"/>
          <w:lang w:val="pl"/>
        </w:rPr>
        <w:t>Tamże</w:t>
      </w:r>
      <w:r w:rsidRPr="00384ADB">
        <w:rPr>
          <w:rFonts w:asciiTheme="minorHAnsi" w:hAnsiTheme="minorHAnsi"/>
          <w:sz w:val="18"/>
          <w:szCs w:val="18"/>
          <w:lang w:val="pl"/>
        </w:rPr>
        <w:t>.</w:t>
      </w:r>
    </w:p>
  </w:footnote>
  <w:footnote w:id="322">
    <w:p w:rsidR="00B4606C" w:rsidRPr="00384ADB" w:rsidRDefault="00B4606C" w:rsidP="00221AE5">
      <w:pPr>
        <w:pStyle w:val="Tekstprzypisudolnego"/>
        <w:rPr>
          <w:rFonts w:asciiTheme="minorHAnsi" w:hAnsiTheme="minorHAnsi"/>
          <w:sz w:val="18"/>
          <w:szCs w:val="18"/>
        </w:rPr>
      </w:pPr>
      <w:r w:rsidRPr="00384ADB">
        <w:rPr>
          <w:rStyle w:val="Odwoanieprzypisudolnego"/>
          <w:rFonts w:asciiTheme="minorHAnsi" w:hAnsiTheme="minorHAnsi"/>
          <w:sz w:val="18"/>
          <w:szCs w:val="18"/>
          <w:lang w:val="pl"/>
        </w:rPr>
        <w:footnoteRef/>
      </w:r>
      <w:r w:rsidRPr="00384ADB">
        <w:rPr>
          <w:rFonts w:asciiTheme="minorHAnsi" w:hAnsiTheme="minorHAnsi"/>
          <w:iCs/>
          <w:sz w:val="18"/>
          <w:szCs w:val="18"/>
          <w:lang w:val="pl"/>
        </w:rPr>
        <w:t>Tamże</w:t>
      </w:r>
      <w:r w:rsidRPr="00384ADB">
        <w:rPr>
          <w:rFonts w:asciiTheme="minorHAnsi" w:hAnsiTheme="minorHAnsi"/>
          <w:sz w:val="18"/>
          <w:szCs w:val="18"/>
          <w:lang w:val="pl"/>
        </w:rPr>
        <w:t>, str. 47.</w:t>
      </w:r>
    </w:p>
  </w:footnote>
  <w:footnote w:id="323">
    <w:p w:rsidR="00B4606C" w:rsidRPr="00384ADB" w:rsidRDefault="00B4606C" w:rsidP="00221AE5">
      <w:pPr>
        <w:pStyle w:val="Tekstprzypisudolnego"/>
        <w:rPr>
          <w:rFonts w:asciiTheme="minorHAnsi" w:hAnsiTheme="minorHAnsi"/>
          <w:sz w:val="18"/>
          <w:szCs w:val="18"/>
        </w:rPr>
      </w:pPr>
      <w:r w:rsidRPr="00384ADB">
        <w:rPr>
          <w:rStyle w:val="Odwoanieprzypisudolnego"/>
          <w:rFonts w:asciiTheme="minorHAnsi" w:hAnsiTheme="minorHAnsi"/>
          <w:sz w:val="18"/>
          <w:szCs w:val="18"/>
          <w:lang w:val="pl"/>
        </w:rPr>
        <w:footnoteRef/>
      </w:r>
      <w:r w:rsidRPr="00384ADB">
        <w:rPr>
          <w:rFonts w:asciiTheme="minorHAnsi" w:hAnsiTheme="minorHAnsi"/>
          <w:iCs/>
          <w:sz w:val="18"/>
          <w:szCs w:val="18"/>
          <w:lang w:val="pl"/>
        </w:rPr>
        <w:t>Tamże</w:t>
      </w:r>
      <w:r w:rsidRPr="00384ADB">
        <w:rPr>
          <w:rFonts w:asciiTheme="minorHAnsi" w:hAnsiTheme="minorHAnsi"/>
          <w:sz w:val="18"/>
          <w:szCs w:val="18"/>
          <w:lang w:val="pl"/>
        </w:rPr>
        <w:t>.</w:t>
      </w:r>
    </w:p>
  </w:footnote>
  <w:footnote w:id="324">
    <w:p w:rsidR="00B4606C" w:rsidRPr="00384ADB" w:rsidRDefault="00B4606C" w:rsidP="00221AE5">
      <w:pPr>
        <w:pStyle w:val="Stopka1"/>
        <w:tabs>
          <w:tab w:val="left" w:pos="226"/>
        </w:tabs>
        <w:jc w:val="both"/>
        <w:rPr>
          <w:rFonts w:asciiTheme="minorHAnsi" w:hAnsiTheme="minorHAnsi"/>
          <w:sz w:val="18"/>
          <w:szCs w:val="18"/>
        </w:rPr>
      </w:pPr>
      <w:r w:rsidRPr="00384ADB">
        <w:rPr>
          <w:rFonts w:asciiTheme="minorHAnsi" w:hAnsiTheme="minorHAnsi"/>
          <w:sz w:val="18"/>
          <w:szCs w:val="18"/>
          <w:shd w:val="clear" w:color="auto" w:fill="FFFFFF"/>
          <w:vertAlign w:val="superscript"/>
          <w:lang w:val="pl"/>
        </w:rPr>
        <w:footnoteRef/>
      </w:r>
      <w:r w:rsidRPr="00384ADB">
        <w:rPr>
          <w:rFonts w:asciiTheme="minorHAnsi" w:hAnsiTheme="minorHAnsi"/>
          <w:sz w:val="18"/>
          <w:szCs w:val="18"/>
          <w:lang w:val="pl"/>
        </w:rPr>
        <w:tab/>
        <w:t xml:space="preserve">Opinia Biura Legislacyjnego Kancelarii Senatu do ustawy o dopłatach do oprocentowania kredytów bankowych udzielanych na zapewnienie płynności finansowej przedsiębiorcom dotkniętym skutkami COVID-19, druk sejmowy nr 142, str. 28, </w:t>
      </w:r>
      <w:hyperlink r:id="rId90" w:history="1">
        <w:r w:rsidRPr="00384ADB">
          <w:rPr>
            <w:rStyle w:val="Hipercze"/>
            <w:rFonts w:asciiTheme="minorHAnsi" w:hAnsiTheme="minorHAnsi"/>
            <w:sz w:val="18"/>
            <w:szCs w:val="18"/>
            <w:lang w:val="pl"/>
          </w:rPr>
          <w:t>https://www.senat.gov.pl/download/gfx/senat/pl/senatekspertyzy/5539/plik/142o.pdf</w:t>
        </w:r>
      </w:hyperlink>
      <w:r w:rsidRPr="00384ADB">
        <w:rPr>
          <w:rFonts w:asciiTheme="minorHAnsi" w:hAnsiTheme="minorHAnsi"/>
          <w:sz w:val="18"/>
          <w:szCs w:val="18"/>
          <w:lang w:val="pl"/>
        </w:rPr>
        <w:t>.</w:t>
      </w:r>
    </w:p>
  </w:footnote>
  <w:footnote w:id="325">
    <w:p w:rsidR="00B4606C" w:rsidRPr="00384ADB" w:rsidRDefault="00B4606C" w:rsidP="00221AE5">
      <w:pPr>
        <w:pStyle w:val="Stopka1"/>
        <w:tabs>
          <w:tab w:val="left" w:pos="206"/>
        </w:tabs>
        <w:rPr>
          <w:rFonts w:asciiTheme="minorHAnsi" w:hAnsiTheme="minorHAnsi"/>
          <w:sz w:val="18"/>
          <w:szCs w:val="18"/>
        </w:rPr>
      </w:pPr>
      <w:r w:rsidRPr="00384ADB">
        <w:rPr>
          <w:rFonts w:asciiTheme="minorHAnsi" w:hAnsiTheme="minorHAnsi"/>
          <w:sz w:val="18"/>
          <w:szCs w:val="18"/>
          <w:vertAlign w:val="superscript"/>
          <w:lang w:val="pl"/>
        </w:rPr>
        <w:footnoteRef/>
      </w:r>
      <w:r w:rsidRPr="00384ADB">
        <w:rPr>
          <w:rFonts w:asciiTheme="minorHAnsi" w:hAnsiTheme="minorHAnsi"/>
          <w:sz w:val="18"/>
          <w:szCs w:val="18"/>
          <w:lang w:val="pl"/>
        </w:rPr>
        <w:tab/>
        <w:t>Wniosek HFPC o dostęp do informacji publicznej z dnia 22 lipca 2020 r., nr ref. 762/2020/PSP/AK.</w:t>
      </w:r>
    </w:p>
  </w:footnote>
  <w:footnote w:id="326">
    <w:p w:rsidR="00B4606C" w:rsidRPr="00384ADB" w:rsidRDefault="00B4606C" w:rsidP="00221AE5">
      <w:pPr>
        <w:pStyle w:val="Stopka1"/>
        <w:tabs>
          <w:tab w:val="left" w:pos="211"/>
        </w:tabs>
        <w:rPr>
          <w:rFonts w:asciiTheme="minorHAnsi" w:hAnsiTheme="minorHAnsi"/>
          <w:sz w:val="18"/>
          <w:szCs w:val="18"/>
        </w:rPr>
      </w:pPr>
      <w:r w:rsidRPr="00384ADB">
        <w:rPr>
          <w:rFonts w:asciiTheme="minorHAnsi" w:hAnsiTheme="minorHAnsi"/>
          <w:sz w:val="18"/>
          <w:szCs w:val="18"/>
          <w:vertAlign w:val="superscript"/>
          <w:lang w:val="pl"/>
        </w:rPr>
        <w:footnoteRef/>
      </w:r>
      <w:r w:rsidRPr="00384ADB">
        <w:rPr>
          <w:rFonts w:asciiTheme="minorHAnsi" w:hAnsiTheme="minorHAnsi"/>
          <w:sz w:val="18"/>
          <w:szCs w:val="18"/>
          <w:lang w:val="pl"/>
        </w:rPr>
        <w:tab/>
        <w:t>Odpowiedź Ministerstwa Sprawiedliwości z dnia 3 sierpnia 2020 r., nr ref. DLPC-V.082.3.2020.</w:t>
      </w:r>
    </w:p>
  </w:footnote>
  <w:footnote w:id="327">
    <w:p w:rsidR="00B4606C" w:rsidRDefault="00B4606C" w:rsidP="00221AE5">
      <w:pPr>
        <w:pStyle w:val="Stopka1"/>
        <w:tabs>
          <w:tab w:val="left" w:pos="202"/>
        </w:tabs>
      </w:pPr>
      <w:r w:rsidRPr="00384ADB">
        <w:rPr>
          <w:rFonts w:asciiTheme="minorHAnsi" w:hAnsiTheme="minorHAnsi"/>
          <w:iCs/>
          <w:sz w:val="18"/>
          <w:szCs w:val="18"/>
          <w:vertAlign w:val="superscript"/>
          <w:lang w:val="pl"/>
        </w:rPr>
        <w:footnoteRef/>
      </w:r>
      <w:r w:rsidRPr="00384ADB">
        <w:rPr>
          <w:rFonts w:asciiTheme="minorHAnsi" w:hAnsiTheme="minorHAnsi"/>
          <w:sz w:val="18"/>
          <w:szCs w:val="18"/>
          <w:lang w:val="pl"/>
        </w:rPr>
        <w:tab/>
      </w:r>
      <w:r w:rsidRPr="00384ADB">
        <w:rPr>
          <w:rFonts w:asciiTheme="minorHAnsi" w:hAnsiTheme="minorHAnsi"/>
          <w:iCs/>
          <w:sz w:val="18"/>
          <w:szCs w:val="18"/>
          <w:lang w:val="pl"/>
        </w:rPr>
        <w:t>Tamże.</w:t>
      </w:r>
    </w:p>
  </w:footnote>
  <w:footnote w:id="328">
    <w:p w:rsidR="00B4606C" w:rsidRPr="00833628" w:rsidRDefault="00B4606C">
      <w:pPr>
        <w:pStyle w:val="Tekstprzypisudolnego"/>
        <w:rPr>
          <w:rFonts w:asciiTheme="minorHAnsi" w:hAnsiTheme="minorHAnsi"/>
          <w:sz w:val="18"/>
          <w:szCs w:val="18"/>
        </w:rPr>
      </w:pPr>
      <w:r w:rsidRPr="00833628">
        <w:rPr>
          <w:rStyle w:val="Odwoanieprzypisudolnego"/>
          <w:rFonts w:asciiTheme="minorHAnsi" w:hAnsiTheme="minorHAnsi"/>
          <w:sz w:val="18"/>
          <w:szCs w:val="18"/>
        </w:rPr>
        <w:footnoteRef/>
      </w:r>
      <w:r w:rsidRPr="00833628">
        <w:rPr>
          <w:rFonts w:asciiTheme="minorHAnsi" w:hAnsiTheme="minorHAnsi"/>
          <w:sz w:val="18"/>
          <w:szCs w:val="18"/>
        </w:rPr>
        <w:t xml:space="preserve"> </w:t>
      </w:r>
      <w:r w:rsidRPr="00833628">
        <w:rPr>
          <w:rFonts w:asciiTheme="minorHAnsi" w:hAnsiTheme="minorHAnsi"/>
          <w:i/>
          <w:sz w:val="18"/>
          <w:szCs w:val="18"/>
        </w:rPr>
        <w:t>Al Nashiri p. Polsce</w:t>
      </w:r>
      <w:r w:rsidRPr="00833628">
        <w:rPr>
          <w:rFonts w:asciiTheme="minorHAnsi" w:hAnsiTheme="minorHAnsi"/>
          <w:sz w:val="18"/>
          <w:szCs w:val="18"/>
        </w:rPr>
        <w:t xml:space="preserve">, (skarga nr 28761/11), ETPCz, 24 lipca 2014 r.; 1390. posiedzenie (grudzień 2020 r.) (DH) - komunikacja władz (15/10/2020) w grupie spraw </w:t>
      </w:r>
      <w:r w:rsidRPr="00833628">
        <w:rPr>
          <w:rFonts w:asciiTheme="minorHAnsi" w:hAnsiTheme="minorHAnsi"/>
          <w:i/>
          <w:sz w:val="18"/>
          <w:szCs w:val="18"/>
        </w:rPr>
        <w:t>Al Nashiri p. Polsce</w:t>
      </w:r>
      <w:r w:rsidRPr="00833628">
        <w:rPr>
          <w:rFonts w:asciiTheme="minorHAnsi" w:hAnsiTheme="minorHAnsi"/>
          <w:sz w:val="18"/>
          <w:szCs w:val="18"/>
        </w:rPr>
        <w:t xml:space="preserve"> (skarga nr 28761/11)</w:t>
      </w:r>
    </w:p>
  </w:footnote>
  <w:footnote w:id="329">
    <w:p w:rsidR="00B4606C" w:rsidRPr="00833628" w:rsidRDefault="00B4606C">
      <w:pPr>
        <w:pStyle w:val="Tekstprzypisudolnego"/>
        <w:rPr>
          <w:rFonts w:asciiTheme="minorHAnsi" w:hAnsiTheme="minorHAnsi"/>
          <w:sz w:val="18"/>
          <w:szCs w:val="18"/>
        </w:rPr>
      </w:pPr>
      <w:r w:rsidRPr="00833628">
        <w:rPr>
          <w:rStyle w:val="Odwoanieprzypisudolnego"/>
          <w:rFonts w:asciiTheme="minorHAnsi" w:hAnsiTheme="minorHAnsi"/>
          <w:sz w:val="18"/>
          <w:szCs w:val="18"/>
        </w:rPr>
        <w:footnoteRef/>
      </w:r>
      <w:r w:rsidRPr="00833628">
        <w:rPr>
          <w:rFonts w:asciiTheme="minorHAnsi" w:hAnsiTheme="minorHAnsi"/>
          <w:sz w:val="18"/>
          <w:szCs w:val="18"/>
        </w:rPr>
        <w:t xml:space="preserve"> 1390. posiedzenie (grudzień 2020 r.) (DH) - komunikacja władz (15/10/2020) w grupie spraw </w:t>
      </w:r>
      <w:r w:rsidRPr="00833628">
        <w:rPr>
          <w:rFonts w:asciiTheme="minorHAnsi" w:hAnsiTheme="minorHAnsi"/>
          <w:i/>
          <w:sz w:val="18"/>
          <w:szCs w:val="18"/>
        </w:rPr>
        <w:t>Al Nashiri p. Polsce</w:t>
      </w:r>
      <w:r w:rsidRPr="00833628">
        <w:rPr>
          <w:rFonts w:asciiTheme="minorHAnsi" w:hAnsiTheme="minorHAnsi"/>
          <w:sz w:val="18"/>
          <w:szCs w:val="18"/>
        </w:rPr>
        <w:t xml:space="preserve"> (skarga nr 28761/11), 2.</w:t>
      </w:r>
    </w:p>
  </w:footnote>
  <w:footnote w:id="330">
    <w:p w:rsidR="00B4606C" w:rsidRPr="00833628" w:rsidRDefault="00B4606C">
      <w:pPr>
        <w:pStyle w:val="Tekstprzypisudolnego"/>
        <w:rPr>
          <w:rFonts w:asciiTheme="minorHAnsi" w:hAnsiTheme="minorHAnsi"/>
          <w:sz w:val="18"/>
          <w:szCs w:val="18"/>
        </w:rPr>
      </w:pPr>
      <w:r w:rsidRPr="00833628">
        <w:rPr>
          <w:rStyle w:val="Odwoanieprzypisudolnego"/>
          <w:rFonts w:asciiTheme="minorHAnsi" w:hAnsiTheme="minorHAnsi"/>
          <w:sz w:val="18"/>
          <w:szCs w:val="18"/>
        </w:rPr>
        <w:footnoteRef/>
      </w:r>
      <w:r w:rsidRPr="00833628">
        <w:rPr>
          <w:rFonts w:asciiTheme="minorHAnsi" w:hAnsiTheme="minorHAnsi"/>
          <w:sz w:val="18"/>
          <w:szCs w:val="18"/>
        </w:rPr>
        <w:t xml:space="preserve"> Ibid.; 1369. posiedzenie (marzec 2020 r.) (DH) - Zaktualizowany plan działań (03/02/2020) - komunikacja Polski dotycząca grupy spraw </w:t>
      </w:r>
      <w:r w:rsidRPr="00833628">
        <w:rPr>
          <w:rFonts w:asciiTheme="minorHAnsi" w:hAnsiTheme="minorHAnsi"/>
          <w:i/>
          <w:sz w:val="18"/>
          <w:szCs w:val="18"/>
        </w:rPr>
        <w:t>Al Nashiri p. Polsce</w:t>
      </w:r>
      <w:r w:rsidRPr="00833628">
        <w:rPr>
          <w:rFonts w:asciiTheme="minorHAnsi" w:hAnsiTheme="minorHAnsi"/>
          <w:sz w:val="18"/>
          <w:szCs w:val="18"/>
        </w:rPr>
        <w:t xml:space="preserve"> (skarga nr 28761/11).</w:t>
      </w:r>
    </w:p>
  </w:footnote>
  <w:footnote w:id="331">
    <w:p w:rsidR="00B4606C" w:rsidRDefault="00B4606C">
      <w:pPr>
        <w:pStyle w:val="Tekstprzypisudolnego"/>
      </w:pPr>
      <w:r w:rsidRPr="00833628">
        <w:rPr>
          <w:rStyle w:val="Odwoanieprzypisudolnego"/>
          <w:rFonts w:asciiTheme="minorHAnsi" w:hAnsiTheme="minorHAnsi"/>
          <w:sz w:val="18"/>
          <w:szCs w:val="18"/>
        </w:rPr>
        <w:footnoteRef/>
      </w:r>
      <w:r w:rsidRPr="00833628">
        <w:rPr>
          <w:rFonts w:asciiTheme="minorHAnsi" w:hAnsiTheme="minorHAnsi"/>
          <w:sz w:val="18"/>
          <w:szCs w:val="18"/>
        </w:rPr>
        <w:t xml:space="preserve"> CM/Del/Dec(2019)1348/H46-18, 6 czerwca 2019 r.</w:t>
      </w:r>
      <w:r>
        <w:t xml:space="preserve"> </w:t>
      </w:r>
    </w:p>
  </w:footnote>
  <w:footnote w:id="332">
    <w:p w:rsidR="00B4606C" w:rsidRPr="006F039D" w:rsidRDefault="00B4606C">
      <w:pPr>
        <w:pStyle w:val="Tekstprzypisudolnego"/>
        <w:rPr>
          <w:rFonts w:asciiTheme="minorHAnsi" w:hAnsiTheme="minorHAnsi"/>
          <w:sz w:val="18"/>
          <w:szCs w:val="18"/>
        </w:rPr>
      </w:pPr>
      <w:r w:rsidRPr="006F039D">
        <w:rPr>
          <w:rStyle w:val="Odwoanieprzypisudolnego"/>
          <w:rFonts w:asciiTheme="minorHAnsi" w:hAnsiTheme="minorHAnsi"/>
          <w:sz w:val="18"/>
          <w:szCs w:val="18"/>
        </w:rPr>
        <w:footnoteRef/>
      </w:r>
      <w:r w:rsidRPr="006F039D">
        <w:rPr>
          <w:rFonts w:asciiTheme="minorHAnsi" w:hAnsiTheme="minorHAnsi"/>
          <w:sz w:val="18"/>
          <w:szCs w:val="18"/>
        </w:rPr>
        <w:t xml:space="preserve"> Zob. 1348. posiedzenie (czerwiec 2019) (DH) - Reguła 9.2 komunikacja wniesiona przez NGO (03/05/2019) w sprawie </w:t>
      </w:r>
      <w:r w:rsidRPr="00833628">
        <w:rPr>
          <w:rFonts w:asciiTheme="minorHAnsi" w:hAnsiTheme="minorHAnsi"/>
          <w:i/>
          <w:sz w:val="18"/>
          <w:szCs w:val="18"/>
        </w:rPr>
        <w:t>Al Nashiri p. Rumunii</w:t>
      </w:r>
      <w:r w:rsidRPr="006F039D">
        <w:rPr>
          <w:rFonts w:asciiTheme="minorHAnsi" w:hAnsiTheme="minorHAnsi"/>
          <w:sz w:val="18"/>
          <w:szCs w:val="18"/>
        </w:rPr>
        <w:t xml:space="preserve"> (skarga nr 33234/12), 4-5.</w:t>
      </w:r>
    </w:p>
  </w:footnote>
  <w:footnote w:id="333">
    <w:p w:rsidR="00B4606C" w:rsidRPr="006F039D" w:rsidRDefault="00B4606C">
      <w:pPr>
        <w:pStyle w:val="Tekstprzypisudolnego"/>
        <w:rPr>
          <w:rFonts w:asciiTheme="minorHAnsi" w:hAnsiTheme="minorHAnsi"/>
          <w:sz w:val="18"/>
          <w:szCs w:val="18"/>
        </w:rPr>
      </w:pPr>
      <w:r w:rsidRPr="006F039D">
        <w:rPr>
          <w:rStyle w:val="Odwoanieprzypisudolnego"/>
          <w:rFonts w:asciiTheme="minorHAnsi" w:hAnsiTheme="minorHAnsi"/>
          <w:sz w:val="18"/>
          <w:szCs w:val="18"/>
        </w:rPr>
        <w:footnoteRef/>
      </w:r>
      <w:r w:rsidRPr="006F039D">
        <w:rPr>
          <w:rFonts w:asciiTheme="minorHAnsi" w:hAnsiTheme="minorHAnsi"/>
          <w:sz w:val="18"/>
          <w:szCs w:val="18"/>
        </w:rPr>
        <w:t xml:space="preserve"> 1390. posiedzenie (grudzień 2020 r.) (DH) - komunikacja władz (15/10/2020) w grupie spraw </w:t>
      </w:r>
      <w:r w:rsidRPr="00833628">
        <w:rPr>
          <w:rFonts w:asciiTheme="minorHAnsi" w:hAnsiTheme="minorHAnsi"/>
          <w:i/>
          <w:sz w:val="18"/>
          <w:szCs w:val="18"/>
        </w:rPr>
        <w:t>Al Nashiri p. Polsce</w:t>
      </w:r>
      <w:r w:rsidRPr="006F039D">
        <w:rPr>
          <w:rFonts w:asciiTheme="minorHAnsi" w:hAnsiTheme="minorHAnsi"/>
          <w:sz w:val="18"/>
          <w:szCs w:val="18"/>
        </w:rPr>
        <w:t xml:space="preserve"> (skarga nr 28761/11)4.</w:t>
      </w:r>
    </w:p>
  </w:footnote>
  <w:footnote w:id="334">
    <w:p w:rsidR="00B4606C" w:rsidRPr="006F039D" w:rsidRDefault="00B4606C">
      <w:pPr>
        <w:pStyle w:val="Tekstprzypisudolnego"/>
        <w:rPr>
          <w:rFonts w:asciiTheme="minorHAnsi" w:hAnsiTheme="minorHAnsi"/>
          <w:sz w:val="18"/>
          <w:szCs w:val="18"/>
        </w:rPr>
      </w:pPr>
      <w:r w:rsidRPr="006F039D">
        <w:rPr>
          <w:rStyle w:val="Odwoanieprzypisudolnego"/>
          <w:rFonts w:asciiTheme="minorHAnsi" w:hAnsiTheme="minorHAnsi"/>
          <w:sz w:val="18"/>
          <w:szCs w:val="18"/>
        </w:rPr>
        <w:footnoteRef/>
      </w:r>
      <w:r w:rsidRPr="006F039D">
        <w:rPr>
          <w:rFonts w:asciiTheme="minorHAnsi" w:hAnsiTheme="minorHAnsi"/>
          <w:sz w:val="18"/>
          <w:szCs w:val="18"/>
        </w:rPr>
        <w:t xml:space="preserve"> W raporcie „Osiodłać Pegaza” opublikowanym przez Biuro Rzecznika Praw Obywatelskich we wrześniu 2019 r. zau</w:t>
      </w:r>
      <w:r w:rsidRPr="00833628">
        <w:rPr>
          <w:rFonts w:asciiTheme="minorHAnsi" w:hAnsiTheme="minorHAnsi"/>
          <w:sz w:val="18"/>
          <w:szCs w:val="18"/>
        </w:rPr>
        <w:t xml:space="preserve">ważono potrzebę ustanowienia specjalnego, niezależnego organu nadzorującego działalność wszystkich służb specjalnych oraz mogącego rozpatrywać skargi indywidualne dotyczące działalności takich służb. Raport jest dostępny w języku polskim: </w:t>
      </w:r>
      <w:hyperlink r:id="rId91" w:history="1">
        <w:r w:rsidRPr="00833628">
          <w:rPr>
            <w:rFonts w:asciiTheme="minorHAnsi" w:hAnsiTheme="minorHAnsi"/>
            <w:color w:val="0563C1"/>
            <w:sz w:val="18"/>
            <w:szCs w:val="18"/>
            <w:u w:val="single"/>
            <w:shd w:val="clear" w:color="auto" w:fill="FFFFFF" w:themeFill="background1"/>
            <w:lang w:val="pl"/>
          </w:rPr>
          <w:t>https://panoptykon.org/sites/default/files/osiodlac pegaza -</w:t>
        </w:r>
      </w:hyperlink>
      <w:r w:rsidRPr="00833628">
        <w:rPr>
          <w:rFonts w:asciiTheme="minorHAnsi" w:hAnsiTheme="minorHAnsi"/>
          <w:sz w:val="18"/>
          <w:szCs w:val="18"/>
          <w:shd w:val="clear" w:color="auto" w:fill="FFFFFF" w:themeFill="background1"/>
          <w:lang w:val="pl"/>
        </w:rPr>
        <w:t xml:space="preserve"> </w:t>
      </w:r>
      <w:hyperlink r:id="rId92" w:history="1">
        <w:r w:rsidRPr="00833628">
          <w:rPr>
            <w:rFonts w:asciiTheme="minorHAnsi" w:hAnsiTheme="minorHAnsi"/>
            <w:color w:val="0563C1"/>
            <w:sz w:val="18"/>
            <w:szCs w:val="18"/>
            <w:u w:val="single"/>
            <w:shd w:val="clear" w:color="auto" w:fill="FFFFFF" w:themeFill="background1"/>
            <w:lang w:val="pl"/>
          </w:rPr>
          <w:t>jak</w:t>
        </w:r>
        <w:r w:rsidRPr="00833628">
          <w:rPr>
            <w:rFonts w:asciiTheme="minorHAnsi" w:hAnsiTheme="minorHAnsi"/>
            <w:color w:val="0563C1"/>
            <w:sz w:val="18"/>
            <w:szCs w:val="18"/>
            <w:u w:val="single"/>
            <w:lang w:val="pl"/>
          </w:rPr>
          <w:t xml:space="preserve"> powinien wygladac nadzor nad sluzbami. raportekspertow.pdf.</w:t>
        </w:r>
      </w:hyperlink>
    </w:p>
  </w:footnote>
  <w:footnote w:id="335">
    <w:p w:rsidR="00B4606C" w:rsidRPr="006F039D" w:rsidRDefault="00B4606C" w:rsidP="006F039D">
      <w:pPr>
        <w:pStyle w:val="Tekstprzypisudolnego"/>
        <w:rPr>
          <w:rFonts w:asciiTheme="minorHAnsi" w:hAnsiTheme="minorHAnsi"/>
          <w:sz w:val="18"/>
          <w:szCs w:val="18"/>
        </w:rPr>
      </w:pPr>
      <w:r w:rsidRPr="006F039D">
        <w:rPr>
          <w:rStyle w:val="Odwoanieprzypisudolnego"/>
          <w:rFonts w:asciiTheme="minorHAnsi" w:hAnsiTheme="minorHAnsi"/>
          <w:sz w:val="18"/>
          <w:szCs w:val="18"/>
        </w:rPr>
        <w:footnoteRef/>
      </w:r>
      <w:r w:rsidRPr="006F039D">
        <w:rPr>
          <w:rFonts w:asciiTheme="minorHAnsi" w:hAnsiTheme="minorHAnsi"/>
          <w:sz w:val="18"/>
          <w:szCs w:val="18"/>
        </w:rPr>
        <w:t xml:space="preserve"> Zarządzenie Nr 162 Prezesa Rady Ministrów w sprawie Komitetu Rady Ministrów do spraw</w:t>
      </w:r>
      <w:r>
        <w:t xml:space="preserve"> </w:t>
      </w:r>
      <w:r w:rsidRPr="006F039D">
        <w:rPr>
          <w:rFonts w:asciiTheme="minorHAnsi" w:hAnsiTheme="minorHAnsi"/>
          <w:sz w:val="18"/>
          <w:szCs w:val="18"/>
        </w:rPr>
        <w:t>Bezpieczeństwa Narodowego i spraw Obronnych z dnia 9 października 2020 r. (M.P. z 2020 r. poz. 918), dostępne w języku polskim na stronie:</w:t>
      </w:r>
    </w:p>
    <w:p w:rsidR="00B4606C" w:rsidRPr="006F039D" w:rsidRDefault="00B4606C" w:rsidP="006F039D">
      <w:pPr>
        <w:pStyle w:val="Tekstprzypisudolnego"/>
        <w:rPr>
          <w:rFonts w:asciiTheme="minorHAnsi" w:hAnsiTheme="minorHAnsi"/>
          <w:sz w:val="18"/>
          <w:szCs w:val="18"/>
        </w:rPr>
      </w:pPr>
      <w:r w:rsidRPr="006F039D">
        <w:rPr>
          <w:rFonts w:asciiTheme="minorHAnsi" w:hAnsiTheme="minorHAnsi"/>
          <w:sz w:val="18"/>
          <w:szCs w:val="18"/>
        </w:rPr>
        <w:t>http://isap.sejm.gov.pl/isap.nsf/download.xsp/WMP20200000918/O/M20200918.pdf, § 2.</w:t>
      </w:r>
    </w:p>
  </w:footnote>
  <w:footnote w:id="336">
    <w:p w:rsidR="00B4606C" w:rsidRDefault="00B4606C">
      <w:pPr>
        <w:pStyle w:val="Tekstprzypisudolnego"/>
      </w:pPr>
      <w:r w:rsidRPr="006F039D">
        <w:rPr>
          <w:rStyle w:val="Odwoanieprzypisudolnego"/>
          <w:rFonts w:asciiTheme="minorHAnsi" w:hAnsiTheme="minorHAnsi"/>
          <w:sz w:val="18"/>
          <w:szCs w:val="18"/>
        </w:rPr>
        <w:footnoteRef/>
      </w:r>
      <w:r w:rsidRPr="006F039D">
        <w:rPr>
          <w:rFonts w:asciiTheme="minorHAnsi" w:hAnsiTheme="minorHAnsi"/>
          <w:sz w:val="18"/>
          <w:szCs w:val="18"/>
        </w:rPr>
        <w:t xml:space="preserve"> Według § 3 zarządzenia nr 162 (o którym mowa powyżej) w skład Komitetu wchodzą Wiceprezes Rady Ministrów wskazany przez Prezesa Rady Ministrów, minister obrony narodowej, minister właściwy do spraw wewnętrznych, Minister Sprawiedliwości, minister właściwy do spraw koordynowania działalności służb specjalnych, jeżeli został wyznaczony przez Prezesa Rady Ministrów, oraz minister właściwy do spraw zagranicznych. Inne osoby mogą uczestniczyć w pracach Komitetu w charakterze doradców, jednak tylko na zaproszenie przewodniczącego Komitetu (§ 4 ust. 1). Przewodniczący Komitetu może zarządzić niejawność całości lub części posiedzenia Komitetu (§ 4 ust.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861" w:rsidRDefault="00AB686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6C" w:rsidRPr="00624593" w:rsidRDefault="00B4606C" w:rsidP="004E1166">
    <w:pPr>
      <w:pStyle w:val="Nagwek"/>
      <w:rPr>
        <w:rFonts w:ascii="Trebuchet MS" w:hAnsi="Trebuchet MS"/>
        <w:color w:val="1F497D"/>
      </w:rPr>
    </w:pPr>
  </w:p>
  <w:p w:rsidR="00B4606C" w:rsidRPr="00624593" w:rsidRDefault="00B4606C" w:rsidP="004E1166">
    <w:pPr>
      <w:pStyle w:val="Nagwek"/>
      <w:rPr>
        <w:rFonts w:ascii="Trebuchet MS" w:hAnsi="Trebuchet MS"/>
        <w:color w:val="1F497D"/>
        <w:lang w:val="en-GB"/>
      </w:rPr>
    </w:pPr>
  </w:p>
  <w:p w:rsidR="00B4606C" w:rsidRPr="00624593" w:rsidRDefault="00B4606C" w:rsidP="004E1166">
    <w:pPr>
      <w:pStyle w:val="Nagwek"/>
      <w:rPr>
        <w:rFonts w:ascii="Trebuchet MS" w:hAnsi="Trebuchet MS"/>
        <w:color w:val="1F497D"/>
        <w:lang w:val="en-GB"/>
      </w:rPr>
    </w:pPr>
  </w:p>
  <w:p w:rsidR="00B4606C" w:rsidRPr="00527183" w:rsidRDefault="00B4606C">
    <w:pPr>
      <w:pStyle w:val="Nagwek"/>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861" w:rsidRDefault="00AB686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3D0"/>
    <w:multiLevelType w:val="multilevel"/>
    <w:tmpl w:val="35E2A82E"/>
    <w:lvl w:ilvl="0">
      <w:start w:val="1"/>
      <w:numFmt w:val="bullet"/>
      <w:lvlText w:val=""/>
      <w:lvlJc w:val="center"/>
      <w:rPr>
        <w:rFonts w:ascii="Symbol" w:hAnsi="Symbo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CE0B4E"/>
    <w:multiLevelType w:val="hybridMultilevel"/>
    <w:tmpl w:val="B2145120"/>
    <w:lvl w:ilvl="0" w:tplc="CED09968">
      <w:start w:val="1"/>
      <w:numFmt w:val="bullet"/>
      <w:lvlText w:val=""/>
      <w:lvlJc w:val="center"/>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534BCD"/>
    <w:multiLevelType w:val="hybridMultilevel"/>
    <w:tmpl w:val="BD30912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650113"/>
    <w:multiLevelType w:val="multilevel"/>
    <w:tmpl w:val="6C624BA8"/>
    <w:lvl w:ilvl="0">
      <w:start w:val="1"/>
      <w:numFmt w:val="lowerLetter"/>
      <w:lvlText w:val="%1)"/>
      <w:lvlJc w:val="left"/>
      <w:pPr>
        <w:ind w:left="0" w:firstLine="0"/>
      </w:pPr>
      <w:rPr>
        <w:rFonts w:asciiTheme="minorHAnsi" w:eastAsia="Times New Roman" w:hAnsiTheme="minorHAnsi" w:cs="Times New Roman"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B172BCA"/>
    <w:multiLevelType w:val="hybridMultilevel"/>
    <w:tmpl w:val="21AE84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9A6E64"/>
    <w:multiLevelType w:val="multilevel"/>
    <w:tmpl w:val="4BECF578"/>
    <w:lvl w:ilvl="0">
      <w:start w:val="1"/>
      <w:numFmt w:val="decimal"/>
      <w:lvlText w:val="%1."/>
      <w:lvlJc w:val="left"/>
      <w:pPr>
        <w:ind w:left="0" w:firstLine="0"/>
      </w:pPr>
      <w:rPr>
        <w:rFonts w:asciiTheme="minorHAnsi" w:eastAsia="Times New Roman" w:hAnsiTheme="minorHAnsi" w:cs="Times New Roman"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DD84816"/>
    <w:multiLevelType w:val="hybridMultilevel"/>
    <w:tmpl w:val="EA1E207C"/>
    <w:lvl w:ilvl="0" w:tplc="FB5EFA24">
      <w:start w:val="1"/>
      <w:numFmt w:val="upperRoman"/>
      <w:lvlText w:val="(%1)"/>
      <w:lvlJc w:val="left"/>
      <w:pPr>
        <w:ind w:left="1080" w:hanging="720"/>
      </w:pPr>
      <w:rPr>
        <w:rFonts w:hint="default"/>
      </w:rPr>
    </w:lvl>
    <w:lvl w:ilvl="1" w:tplc="7A3A86B0">
      <w:numFmt w:val="bullet"/>
      <w:lvlText w:val="•"/>
      <w:lvlJc w:val="left"/>
      <w:pPr>
        <w:ind w:left="1788" w:hanging="708"/>
      </w:pPr>
      <w:rPr>
        <w:rFonts w:ascii="Calibri" w:eastAsiaTheme="minorHAnsi" w:hAnsi="Calibri"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05058B"/>
    <w:multiLevelType w:val="hybridMultilevel"/>
    <w:tmpl w:val="C88A0DAE"/>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31528A"/>
    <w:multiLevelType w:val="hybridMultilevel"/>
    <w:tmpl w:val="88A0D60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1EA64A0"/>
    <w:multiLevelType w:val="hybridMultilevel"/>
    <w:tmpl w:val="48427CB2"/>
    <w:lvl w:ilvl="0" w:tplc="6BEC98A6">
      <w:numFmt w:val="bullet"/>
      <w:lvlText w:val="-"/>
      <w:lvlJc w:val="left"/>
      <w:pPr>
        <w:ind w:left="360" w:hanging="360"/>
      </w:pPr>
      <w:rPr>
        <w:rFonts w:ascii="Times New Roman" w:eastAsia="Times New Roman" w:hAnsi="Times New Roman" w:cs="Times New Roman" w:hint="default"/>
      </w:rPr>
    </w:lvl>
    <w:lvl w:ilvl="1" w:tplc="6BEC98A6">
      <w:numFmt w:val="bullet"/>
      <w:lvlText w:val="-"/>
      <w:lvlJc w:val="left"/>
      <w:pPr>
        <w:ind w:left="1080" w:hanging="360"/>
      </w:pPr>
      <w:rPr>
        <w:rFonts w:ascii="Times New Roman" w:eastAsia="Times New Roman" w:hAnsi="Times New Roman"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2CD7A50"/>
    <w:multiLevelType w:val="multilevel"/>
    <w:tmpl w:val="E24C2C3A"/>
    <w:lvl w:ilvl="0">
      <w:start w:val="1"/>
      <w:numFmt w:val="upperLetter"/>
      <w:lvlText w:val="%1."/>
      <w:lvlJc w:val="left"/>
      <w:rPr>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590312"/>
    <w:multiLevelType w:val="hybridMultilevel"/>
    <w:tmpl w:val="02086B50"/>
    <w:lvl w:ilvl="0" w:tplc="20104988">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566506"/>
    <w:multiLevelType w:val="hybridMultilevel"/>
    <w:tmpl w:val="C4DE23C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6E1801"/>
    <w:multiLevelType w:val="multilevel"/>
    <w:tmpl w:val="3994481C"/>
    <w:lvl w:ilvl="0">
      <w:start w:val="1"/>
      <w:numFmt w:val="bullet"/>
      <w:lvlText w:val=""/>
      <w:lvlJc w:val="center"/>
      <w:rPr>
        <w:rFonts w:ascii="Symbol" w:hAnsi="Symbo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FB3409"/>
    <w:multiLevelType w:val="hybridMultilevel"/>
    <w:tmpl w:val="4150108A"/>
    <w:lvl w:ilvl="0" w:tplc="2010498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7A419A"/>
    <w:multiLevelType w:val="multilevel"/>
    <w:tmpl w:val="514C41E0"/>
    <w:lvl w:ilvl="0">
      <w:start w:val="1"/>
      <w:numFmt w:val="decimal"/>
      <w:lvlText w:val="%1."/>
      <w:lvlJc w:val="left"/>
      <w:rPr>
        <w:rFonts w:asciiTheme="minorHAnsi" w:eastAsia="Times New Roman" w:hAnsiTheme="minorHAnsi" w:cs="Times New Roman" w:hint="default"/>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D8E025A"/>
    <w:multiLevelType w:val="hybridMultilevel"/>
    <w:tmpl w:val="0BC61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13580E"/>
    <w:multiLevelType w:val="hybridMultilevel"/>
    <w:tmpl w:val="9208C7B6"/>
    <w:lvl w:ilvl="0" w:tplc="4DB0ED50">
      <w:start w:val="1"/>
      <w:numFmt w:val="bullet"/>
      <w:lvlText w:val="-"/>
      <w:lvlJc w:val="left"/>
      <w:pPr>
        <w:ind w:left="360" w:hanging="360"/>
      </w:pPr>
      <w:rPr>
        <w:rFonts w:ascii="Calibri" w:eastAsia="Calibri" w:hAnsi="Calibri" w:cs="Times New Roman"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6BC24CD"/>
    <w:multiLevelType w:val="multilevel"/>
    <w:tmpl w:val="222091EC"/>
    <w:lvl w:ilvl="0">
      <w:start w:val="1"/>
      <w:numFmt w:val="upperRoman"/>
      <w:lvlText w:val="%1."/>
      <w:lvlJc w:val="left"/>
      <w:rPr>
        <w:rFonts w:ascii="Cambria" w:eastAsia="Cambria" w:hAnsi="Cambria" w:cs="Cambria"/>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75D65D7"/>
    <w:multiLevelType w:val="multilevel"/>
    <w:tmpl w:val="58AE7E90"/>
    <w:lvl w:ilvl="0">
      <w:start w:val="1"/>
      <w:numFmt w:val="bullet"/>
      <w:lvlText w:val=""/>
      <w:lvlJc w:val="center"/>
      <w:rPr>
        <w:rFonts w:ascii="Symbol" w:hAnsi="Symbol" w:hint="default"/>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8143DBC"/>
    <w:multiLevelType w:val="hybridMultilevel"/>
    <w:tmpl w:val="10B8E74C"/>
    <w:lvl w:ilvl="0" w:tplc="B2FABD00">
      <w:start w:val="1"/>
      <w:numFmt w:val="bullet"/>
      <w:lvlText w:val=""/>
      <w:lvlJc w:val="left"/>
      <w:pPr>
        <w:ind w:left="72" w:firstLine="216"/>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FE46DD7"/>
    <w:multiLevelType w:val="hybridMultilevel"/>
    <w:tmpl w:val="5F42BAB6"/>
    <w:lvl w:ilvl="0" w:tplc="4DB0ED50">
      <w:start w:val="1"/>
      <w:numFmt w:val="bullet"/>
      <w:lvlText w:val="-"/>
      <w:lvlJc w:val="left"/>
      <w:pPr>
        <w:ind w:left="720" w:hanging="360"/>
      </w:pPr>
      <w:rPr>
        <w:rFonts w:ascii="Calibri" w:eastAsia="Calibri" w:hAnsi="Calibri"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207AF6"/>
    <w:multiLevelType w:val="hybridMultilevel"/>
    <w:tmpl w:val="D84EEAB2"/>
    <w:lvl w:ilvl="0" w:tplc="35AECC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0B251D9"/>
    <w:multiLevelType w:val="hybridMultilevel"/>
    <w:tmpl w:val="5C7C89DE"/>
    <w:lvl w:ilvl="0" w:tplc="35AECC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0C543B5"/>
    <w:multiLevelType w:val="multilevel"/>
    <w:tmpl w:val="6EE0E3F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313C0D03"/>
    <w:multiLevelType w:val="multilevel"/>
    <w:tmpl w:val="D89EB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1AE2AF3"/>
    <w:multiLevelType w:val="hybridMultilevel"/>
    <w:tmpl w:val="DE7E39DA"/>
    <w:lvl w:ilvl="0" w:tplc="CED09968">
      <w:start w:val="1"/>
      <w:numFmt w:val="bullet"/>
      <w:lvlText w:val=""/>
      <w:lvlJc w:val="center"/>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1FC5C87"/>
    <w:multiLevelType w:val="hybridMultilevel"/>
    <w:tmpl w:val="CCC66A66"/>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2E82146"/>
    <w:multiLevelType w:val="hybridMultilevel"/>
    <w:tmpl w:val="3BACB4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D06BC6"/>
    <w:multiLevelType w:val="hybridMultilevel"/>
    <w:tmpl w:val="6962378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68E313A"/>
    <w:multiLevelType w:val="hybridMultilevel"/>
    <w:tmpl w:val="6536467C"/>
    <w:lvl w:ilvl="0" w:tplc="CED09968">
      <w:start w:val="1"/>
      <w:numFmt w:val="bullet"/>
      <w:lvlText w:val=""/>
      <w:lvlJc w:val="center"/>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7C255A8"/>
    <w:multiLevelType w:val="multilevel"/>
    <w:tmpl w:val="4E741D58"/>
    <w:lvl w:ilvl="0">
      <w:start w:val="1"/>
      <w:numFmt w:val="lowerLetter"/>
      <w:lvlText w:val="%1)"/>
      <w:lvlJc w:val="left"/>
      <w:pPr>
        <w:ind w:left="0" w:firstLine="0"/>
      </w:pPr>
      <w:rPr>
        <w:rFonts w:asciiTheme="minorHAnsi" w:eastAsia="Times New Roman" w:hAnsiTheme="minorHAnsi" w:cs="Times New Roman"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3CF71C91"/>
    <w:multiLevelType w:val="multilevel"/>
    <w:tmpl w:val="DDCA0DB2"/>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E1143A4"/>
    <w:multiLevelType w:val="hybridMultilevel"/>
    <w:tmpl w:val="72DE0C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E823A2D"/>
    <w:multiLevelType w:val="multilevel"/>
    <w:tmpl w:val="C2B07CE6"/>
    <w:lvl w:ilvl="0">
      <w:start w:val="1"/>
      <w:numFmt w:val="decimal"/>
      <w:lvlText w:val="%1."/>
      <w:lvlJc w:val="left"/>
      <w:rPr>
        <w:rFonts w:asciiTheme="minorHAnsi" w:eastAsia="Times New Roman" w:hAnsiTheme="minorHAnsi"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F305F5E"/>
    <w:multiLevelType w:val="hybridMultilevel"/>
    <w:tmpl w:val="AA26FEFC"/>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FB01447"/>
    <w:multiLevelType w:val="hybridMultilevel"/>
    <w:tmpl w:val="4A040D10"/>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0151D0C"/>
    <w:multiLevelType w:val="hybridMultilevel"/>
    <w:tmpl w:val="323805F0"/>
    <w:lvl w:ilvl="0" w:tplc="0415000B">
      <w:start w:val="1"/>
      <w:numFmt w:val="bullet"/>
      <w:lvlText w:val=""/>
      <w:lvlJc w:val="left"/>
      <w:pPr>
        <w:ind w:left="1140" w:hanging="360"/>
      </w:pPr>
      <w:rPr>
        <w:rFonts w:ascii="Wingdings" w:hAnsi="Wingdings"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8" w15:restartNumberingAfterBreak="0">
    <w:nsid w:val="43EA230E"/>
    <w:multiLevelType w:val="hybridMultilevel"/>
    <w:tmpl w:val="01C089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40656F2"/>
    <w:multiLevelType w:val="hybridMultilevel"/>
    <w:tmpl w:val="93EE9F9A"/>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43E4271"/>
    <w:multiLevelType w:val="hybridMultilevel"/>
    <w:tmpl w:val="78F278B4"/>
    <w:lvl w:ilvl="0" w:tplc="CED09968">
      <w:start w:val="1"/>
      <w:numFmt w:val="bullet"/>
      <w:lvlText w:val=""/>
      <w:lvlJc w:val="center"/>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AC93824"/>
    <w:multiLevelType w:val="hybridMultilevel"/>
    <w:tmpl w:val="B6BE1F24"/>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B0660A2"/>
    <w:multiLevelType w:val="hybridMultilevel"/>
    <w:tmpl w:val="DC96F1B4"/>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B1D5CDB"/>
    <w:multiLevelType w:val="hybridMultilevel"/>
    <w:tmpl w:val="C4DE23C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BA7264"/>
    <w:multiLevelType w:val="hybridMultilevel"/>
    <w:tmpl w:val="E0B63C0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CD55AA8"/>
    <w:multiLevelType w:val="hybridMultilevel"/>
    <w:tmpl w:val="5E7425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D3B09E3"/>
    <w:multiLevelType w:val="multilevel"/>
    <w:tmpl w:val="652E284A"/>
    <w:lvl w:ilvl="0">
      <w:start w:val="1"/>
      <w:numFmt w:val="upperRoman"/>
      <w:lvlText w:val="%1."/>
      <w:lvlJc w:val="right"/>
      <w:pPr>
        <w:ind w:left="604" w:hanging="284"/>
      </w:pPr>
      <w:rPr>
        <w:rFonts w:hint="default"/>
        <w:b/>
        <w:bCs w:val="0"/>
        <w:i w:val="0"/>
        <w:iCs w:val="0"/>
        <w:smallCaps w:val="0"/>
        <w:strike w:val="0"/>
        <w:dstrike w:val="0"/>
        <w:color w:val="000000"/>
        <w:spacing w:val="0"/>
        <w:w w:val="100"/>
        <w:position w:val="0"/>
        <w:sz w:val="22"/>
        <w:szCs w:val="22"/>
        <w:u w:val="none"/>
        <w:effect w:val="none"/>
      </w:rPr>
    </w:lvl>
    <w:lvl w:ilvl="1">
      <w:numFmt w:val="decimal"/>
      <w:lvlText w:val=""/>
      <w:lvlJc w:val="left"/>
      <w:pPr>
        <w:ind w:left="320" w:firstLine="0"/>
      </w:pPr>
      <w:rPr>
        <w:rFonts w:hint="default"/>
      </w:rPr>
    </w:lvl>
    <w:lvl w:ilvl="2">
      <w:numFmt w:val="decimal"/>
      <w:lvlText w:val=""/>
      <w:lvlJc w:val="left"/>
      <w:pPr>
        <w:ind w:left="320" w:firstLine="0"/>
      </w:pPr>
      <w:rPr>
        <w:rFonts w:hint="default"/>
      </w:rPr>
    </w:lvl>
    <w:lvl w:ilvl="3">
      <w:numFmt w:val="decimal"/>
      <w:lvlText w:val=""/>
      <w:lvlJc w:val="left"/>
      <w:pPr>
        <w:ind w:left="320" w:firstLine="0"/>
      </w:pPr>
      <w:rPr>
        <w:rFonts w:hint="default"/>
      </w:rPr>
    </w:lvl>
    <w:lvl w:ilvl="4">
      <w:numFmt w:val="decimal"/>
      <w:lvlText w:val=""/>
      <w:lvlJc w:val="left"/>
      <w:pPr>
        <w:ind w:left="320" w:firstLine="0"/>
      </w:pPr>
      <w:rPr>
        <w:rFonts w:hint="default"/>
      </w:rPr>
    </w:lvl>
    <w:lvl w:ilvl="5">
      <w:numFmt w:val="decimal"/>
      <w:lvlText w:val=""/>
      <w:lvlJc w:val="left"/>
      <w:pPr>
        <w:ind w:left="320" w:firstLine="0"/>
      </w:pPr>
      <w:rPr>
        <w:rFonts w:hint="default"/>
      </w:rPr>
    </w:lvl>
    <w:lvl w:ilvl="6">
      <w:numFmt w:val="decimal"/>
      <w:lvlText w:val=""/>
      <w:lvlJc w:val="left"/>
      <w:pPr>
        <w:ind w:left="320" w:firstLine="0"/>
      </w:pPr>
      <w:rPr>
        <w:rFonts w:hint="default"/>
      </w:rPr>
    </w:lvl>
    <w:lvl w:ilvl="7">
      <w:numFmt w:val="decimal"/>
      <w:lvlText w:val=""/>
      <w:lvlJc w:val="left"/>
      <w:pPr>
        <w:ind w:left="320" w:firstLine="0"/>
      </w:pPr>
      <w:rPr>
        <w:rFonts w:hint="default"/>
      </w:rPr>
    </w:lvl>
    <w:lvl w:ilvl="8">
      <w:numFmt w:val="decimal"/>
      <w:lvlText w:val=""/>
      <w:lvlJc w:val="left"/>
      <w:pPr>
        <w:ind w:left="320" w:firstLine="0"/>
      </w:pPr>
      <w:rPr>
        <w:rFonts w:hint="default"/>
      </w:rPr>
    </w:lvl>
  </w:abstractNum>
  <w:abstractNum w:abstractNumId="47" w15:restartNumberingAfterBreak="0">
    <w:nsid w:val="4E6D6A18"/>
    <w:multiLevelType w:val="multilevel"/>
    <w:tmpl w:val="D28AAA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FF81118"/>
    <w:multiLevelType w:val="hybridMultilevel"/>
    <w:tmpl w:val="F676D20E"/>
    <w:lvl w:ilvl="0" w:tplc="CED09968">
      <w:start w:val="1"/>
      <w:numFmt w:val="bullet"/>
      <w:lvlText w:val=""/>
      <w:lvlJc w:val="center"/>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1BD7ACE"/>
    <w:multiLevelType w:val="hybridMultilevel"/>
    <w:tmpl w:val="4570500C"/>
    <w:lvl w:ilvl="0" w:tplc="C5641DA8">
      <w:start w:val="1"/>
      <w:numFmt w:val="upperRoman"/>
      <w:lvlText w:val="%1."/>
      <w:lvlJc w:val="right"/>
      <w:pPr>
        <w:ind w:left="720" w:hanging="360"/>
      </w:pPr>
      <w:rPr>
        <w:b/>
      </w:rPr>
    </w:lvl>
    <w:lvl w:ilvl="1" w:tplc="2E1EA8B0">
      <w:start w:val="1"/>
      <w:numFmt w:val="decimal"/>
      <w:lvlText w:val="%2)"/>
      <w:lvlJc w:val="left"/>
      <w:pPr>
        <w:ind w:left="1452" w:hanging="372"/>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2B82218"/>
    <w:multiLevelType w:val="hybridMultilevel"/>
    <w:tmpl w:val="45FA12C0"/>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32339B0"/>
    <w:multiLevelType w:val="hybridMultilevel"/>
    <w:tmpl w:val="0BC61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6F40AB5"/>
    <w:multiLevelType w:val="hybridMultilevel"/>
    <w:tmpl w:val="0444F36C"/>
    <w:lvl w:ilvl="0" w:tplc="0415000B">
      <w:start w:val="1"/>
      <w:numFmt w:val="bullet"/>
      <w:lvlText w:val=""/>
      <w:lvlJc w:val="left"/>
      <w:pPr>
        <w:ind w:left="1140" w:hanging="360"/>
      </w:pPr>
      <w:rPr>
        <w:rFonts w:ascii="Wingdings" w:hAnsi="Wingdings"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53" w15:restartNumberingAfterBreak="0">
    <w:nsid w:val="57AA702C"/>
    <w:multiLevelType w:val="multilevel"/>
    <w:tmpl w:val="E2AC87CC"/>
    <w:lvl w:ilvl="0">
      <w:start w:val="1"/>
      <w:numFmt w:val="lowerLetter"/>
      <w:lvlText w:val="%1."/>
      <w:lvlJc w:val="left"/>
      <w:rPr>
        <w:rFonts w:asciiTheme="minorHAnsi" w:eastAsia="Times New Roman" w:hAnsiTheme="minorHAnsi"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80323EB"/>
    <w:multiLevelType w:val="multilevel"/>
    <w:tmpl w:val="74041C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A1365B3"/>
    <w:multiLevelType w:val="hybridMultilevel"/>
    <w:tmpl w:val="C44643D6"/>
    <w:lvl w:ilvl="0" w:tplc="CED09968">
      <w:start w:val="1"/>
      <w:numFmt w:val="bullet"/>
      <w:lvlText w:val=""/>
      <w:lvlJc w:val="center"/>
      <w:pPr>
        <w:ind w:left="720" w:hanging="360"/>
      </w:pPr>
      <w:rPr>
        <w:rFonts w:ascii="Symbol" w:hAnsi="Symbol" w:hint="default"/>
      </w:rPr>
    </w:lvl>
    <w:lvl w:ilvl="1" w:tplc="CED09968">
      <w:start w:val="1"/>
      <w:numFmt w:val="bullet"/>
      <w:lvlText w:val=""/>
      <w:lvlJc w:val="center"/>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D4B48AB"/>
    <w:multiLevelType w:val="hybridMultilevel"/>
    <w:tmpl w:val="18C0E9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E715126"/>
    <w:multiLevelType w:val="multilevel"/>
    <w:tmpl w:val="B22815B8"/>
    <w:lvl w:ilvl="0">
      <w:start w:val="1"/>
      <w:numFmt w:val="decimal"/>
      <w:lvlText w:val="%1."/>
      <w:lvlJc w:val="left"/>
      <w:pPr>
        <w:ind w:left="0" w:firstLine="0"/>
      </w:pPr>
      <w:rPr>
        <w:rFonts w:asciiTheme="minorHAnsi" w:eastAsia="Times New Roman" w:hAnsiTheme="minorHAnsi" w:cs="Times New Roman"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632B45CA"/>
    <w:multiLevelType w:val="multilevel"/>
    <w:tmpl w:val="28B0388A"/>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33B1EBD"/>
    <w:multiLevelType w:val="hybridMultilevel"/>
    <w:tmpl w:val="D5D6F1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4876574"/>
    <w:multiLevelType w:val="hybridMultilevel"/>
    <w:tmpl w:val="DD2ED62A"/>
    <w:lvl w:ilvl="0" w:tplc="A62A31F8">
      <w:start w:val="1"/>
      <w:numFmt w:val="upperRoman"/>
      <w:lvlText w:val="%1."/>
      <w:lvlJc w:val="right"/>
      <w:pPr>
        <w:ind w:left="720" w:hanging="360"/>
      </w:pPr>
      <w:rPr>
        <w:rFonts w:hint="default"/>
        <w:u w:val="none" w:color="5B9BD5" w:themeColor="accen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684252C"/>
    <w:multiLevelType w:val="hybridMultilevel"/>
    <w:tmpl w:val="A6F2063E"/>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6C73D52"/>
    <w:multiLevelType w:val="hybridMultilevel"/>
    <w:tmpl w:val="78FAA630"/>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74C10EF"/>
    <w:multiLevelType w:val="hybridMultilevel"/>
    <w:tmpl w:val="BD3091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9ED08FF"/>
    <w:multiLevelType w:val="hybridMultilevel"/>
    <w:tmpl w:val="B516AA0E"/>
    <w:lvl w:ilvl="0" w:tplc="CED09968">
      <w:start w:val="1"/>
      <w:numFmt w:val="bullet"/>
      <w:lvlText w:val=""/>
      <w:lvlJc w:val="center"/>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AA620F4"/>
    <w:multiLevelType w:val="multilevel"/>
    <w:tmpl w:val="E43C7C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C1669C6"/>
    <w:multiLevelType w:val="hybridMultilevel"/>
    <w:tmpl w:val="4FF851D0"/>
    <w:lvl w:ilvl="0" w:tplc="4DB0ED50">
      <w:start w:val="1"/>
      <w:numFmt w:val="bullet"/>
      <w:lvlText w:val="-"/>
      <w:lvlJc w:val="left"/>
      <w:pPr>
        <w:ind w:left="720" w:hanging="360"/>
      </w:pPr>
      <w:rPr>
        <w:rFonts w:ascii="Calibri" w:eastAsia="Calibri" w:hAnsi="Calibri"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0566D92"/>
    <w:multiLevelType w:val="hybridMultilevel"/>
    <w:tmpl w:val="B66E2162"/>
    <w:lvl w:ilvl="0" w:tplc="4DB0ED50">
      <w:start w:val="1"/>
      <w:numFmt w:val="bullet"/>
      <w:lvlText w:val="-"/>
      <w:lvlJc w:val="left"/>
      <w:pPr>
        <w:ind w:left="360" w:hanging="360"/>
      </w:pPr>
      <w:rPr>
        <w:rFonts w:ascii="Calibri" w:eastAsia="Calibri" w:hAnsi="Calibri" w:cs="Times New Roman"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7151001D"/>
    <w:multiLevelType w:val="multilevel"/>
    <w:tmpl w:val="22A2060C"/>
    <w:lvl w:ilvl="0">
      <w:start w:val="1"/>
      <w:numFmt w:val="bullet"/>
      <w:lvlText w:val=""/>
      <w:lvlJc w:val="center"/>
      <w:rPr>
        <w:rFonts w:ascii="Symbol" w:hAnsi="Symbo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2BA12F4"/>
    <w:multiLevelType w:val="hybridMultilevel"/>
    <w:tmpl w:val="123C0FAA"/>
    <w:lvl w:ilvl="0" w:tplc="5AB0A53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672551C"/>
    <w:multiLevelType w:val="hybridMultilevel"/>
    <w:tmpl w:val="CF9AF1D8"/>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8AB02C5"/>
    <w:multiLevelType w:val="multilevel"/>
    <w:tmpl w:val="B390217E"/>
    <w:lvl w:ilvl="0">
      <w:start w:val="1"/>
      <w:numFmt w:val="decimal"/>
      <w:lvlText w:val="%1."/>
      <w:lvlJc w:val="left"/>
      <w:pPr>
        <w:ind w:left="0" w:firstLine="0"/>
      </w:pPr>
      <w:rPr>
        <w:rFonts w:asciiTheme="minorHAnsi" w:eastAsia="Times New Roman" w:hAnsiTheme="minorHAnsi" w:cs="Times New Roman"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2" w15:restartNumberingAfterBreak="0">
    <w:nsid w:val="78CB5E47"/>
    <w:multiLevelType w:val="hybridMultilevel"/>
    <w:tmpl w:val="13C82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8FC1D34"/>
    <w:multiLevelType w:val="multilevel"/>
    <w:tmpl w:val="23FA8C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9840B8E"/>
    <w:multiLevelType w:val="multilevel"/>
    <w:tmpl w:val="DE6C8D0C"/>
    <w:lvl w:ilvl="0">
      <w:start w:val="1"/>
      <w:numFmt w:val="decimal"/>
      <w:lvlText w:val="%1."/>
      <w:lvlJc w:val="left"/>
      <w:rPr>
        <w:rFonts w:asciiTheme="minorHAnsi" w:eastAsia="Times New Roman" w:hAnsiTheme="minorHAnsi" w:cs="Times New Roman" w:hint="default"/>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A8A5BF4"/>
    <w:multiLevelType w:val="multilevel"/>
    <w:tmpl w:val="AA7E156C"/>
    <w:lvl w:ilvl="0">
      <w:start w:val="1"/>
      <w:numFmt w:val="upperRoman"/>
      <w:lvlText w:val="%1."/>
      <w:lvlJc w:val="left"/>
      <w:rPr>
        <w:rFonts w:asciiTheme="minorHAnsi" w:eastAsia="Times New Roman" w:hAnsiTheme="minorHAnsi" w:cs="Times New Roman" w:hint="default"/>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F3203CA"/>
    <w:multiLevelType w:val="multilevel"/>
    <w:tmpl w:val="2DFC90C0"/>
    <w:lvl w:ilvl="0">
      <w:start w:val="1"/>
      <w:numFmt w:val="decimal"/>
      <w:lvlText w:val="%1."/>
      <w:lvlJc w:val="left"/>
      <w:rPr>
        <w:rFonts w:asciiTheme="minorHAnsi" w:eastAsia="Times New Roman" w:hAnsiTheme="minorHAnsi"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57"/>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31"/>
    <w:lvlOverride w:ilvl="0">
      <w:startOverride w:val="1"/>
    </w:lvlOverride>
    <w:lvlOverride w:ilvl="1"/>
    <w:lvlOverride w:ilvl="2"/>
    <w:lvlOverride w:ilvl="3"/>
    <w:lvlOverride w:ilvl="4"/>
    <w:lvlOverride w:ilvl="5"/>
    <w:lvlOverride w:ilvl="6"/>
    <w:lvlOverride w:ilvl="7"/>
    <w:lvlOverride w:ilvl="8"/>
  </w:num>
  <w:num w:numId="6">
    <w:abstractNumId w:val="71"/>
    <w:lvlOverride w:ilvl="0">
      <w:startOverride w:val="1"/>
    </w:lvlOverride>
    <w:lvlOverride w:ilvl="1"/>
    <w:lvlOverride w:ilvl="2"/>
    <w:lvlOverride w:ilvl="3"/>
    <w:lvlOverride w:ilvl="4"/>
    <w:lvlOverride w:ilvl="5"/>
    <w:lvlOverride w:ilvl="6"/>
    <w:lvlOverride w:ilvl="7"/>
    <w:lvlOverride w:ilvl="8"/>
  </w:num>
  <w:num w:numId="7">
    <w:abstractNumId w:val="46"/>
  </w:num>
  <w:num w:numId="8">
    <w:abstractNumId w:val="75"/>
  </w:num>
  <w:num w:numId="9">
    <w:abstractNumId w:val="76"/>
  </w:num>
  <w:num w:numId="10">
    <w:abstractNumId w:val="9"/>
  </w:num>
  <w:num w:numId="11">
    <w:abstractNumId w:val="66"/>
  </w:num>
  <w:num w:numId="12">
    <w:abstractNumId w:val="29"/>
  </w:num>
  <w:num w:numId="13">
    <w:abstractNumId w:val="21"/>
  </w:num>
  <w:num w:numId="14">
    <w:abstractNumId w:val="17"/>
  </w:num>
  <w:num w:numId="15">
    <w:abstractNumId w:val="62"/>
  </w:num>
  <w:num w:numId="16">
    <w:abstractNumId w:val="45"/>
  </w:num>
  <w:num w:numId="17">
    <w:abstractNumId w:val="38"/>
  </w:num>
  <w:num w:numId="18">
    <w:abstractNumId w:val="70"/>
  </w:num>
  <w:num w:numId="19">
    <w:abstractNumId w:val="67"/>
  </w:num>
  <w:num w:numId="20">
    <w:abstractNumId w:val="25"/>
  </w:num>
  <w:num w:numId="21">
    <w:abstractNumId w:val="65"/>
  </w:num>
  <w:num w:numId="22">
    <w:abstractNumId w:val="37"/>
  </w:num>
  <w:num w:numId="23">
    <w:abstractNumId w:val="52"/>
  </w:num>
  <w:num w:numId="24">
    <w:abstractNumId w:val="43"/>
  </w:num>
  <w:num w:numId="25">
    <w:abstractNumId w:val="22"/>
  </w:num>
  <w:num w:numId="26">
    <w:abstractNumId w:val="8"/>
  </w:num>
  <w:num w:numId="27">
    <w:abstractNumId w:val="60"/>
  </w:num>
  <w:num w:numId="28">
    <w:abstractNumId w:val="41"/>
  </w:num>
  <w:num w:numId="29">
    <w:abstractNumId w:val="10"/>
  </w:num>
  <w:num w:numId="30">
    <w:abstractNumId w:val="53"/>
  </w:num>
  <w:num w:numId="31">
    <w:abstractNumId w:val="44"/>
  </w:num>
  <w:num w:numId="32">
    <w:abstractNumId w:val="42"/>
  </w:num>
  <w:num w:numId="33">
    <w:abstractNumId w:val="15"/>
  </w:num>
  <w:num w:numId="34">
    <w:abstractNumId w:val="32"/>
  </w:num>
  <w:num w:numId="35">
    <w:abstractNumId w:val="58"/>
  </w:num>
  <w:num w:numId="36">
    <w:abstractNumId w:val="18"/>
  </w:num>
  <w:num w:numId="37">
    <w:abstractNumId w:val="34"/>
  </w:num>
  <w:num w:numId="38">
    <w:abstractNumId w:val="47"/>
  </w:num>
  <w:num w:numId="39">
    <w:abstractNumId w:val="73"/>
  </w:num>
  <w:num w:numId="40">
    <w:abstractNumId w:val="54"/>
  </w:num>
  <w:num w:numId="41">
    <w:abstractNumId w:val="74"/>
  </w:num>
  <w:num w:numId="42">
    <w:abstractNumId w:val="12"/>
  </w:num>
  <w:num w:numId="43">
    <w:abstractNumId w:val="63"/>
  </w:num>
  <w:num w:numId="44">
    <w:abstractNumId w:val="20"/>
  </w:num>
  <w:num w:numId="45">
    <w:abstractNumId w:val="4"/>
  </w:num>
  <w:num w:numId="46">
    <w:abstractNumId w:val="59"/>
  </w:num>
  <w:num w:numId="47">
    <w:abstractNumId w:val="72"/>
  </w:num>
  <w:num w:numId="48">
    <w:abstractNumId w:val="33"/>
  </w:num>
  <w:num w:numId="49">
    <w:abstractNumId w:val="36"/>
  </w:num>
  <w:num w:numId="50">
    <w:abstractNumId w:val="69"/>
  </w:num>
  <w:num w:numId="51">
    <w:abstractNumId w:val="49"/>
  </w:num>
  <w:num w:numId="52">
    <w:abstractNumId w:val="2"/>
  </w:num>
  <w:num w:numId="53">
    <w:abstractNumId w:val="28"/>
  </w:num>
  <w:num w:numId="54">
    <w:abstractNumId w:val="39"/>
  </w:num>
  <w:num w:numId="55">
    <w:abstractNumId w:val="11"/>
  </w:num>
  <w:num w:numId="56">
    <w:abstractNumId w:val="14"/>
  </w:num>
  <w:num w:numId="57">
    <w:abstractNumId w:val="50"/>
  </w:num>
  <w:num w:numId="58">
    <w:abstractNumId w:val="7"/>
  </w:num>
  <w:num w:numId="59">
    <w:abstractNumId w:val="27"/>
  </w:num>
  <w:num w:numId="60">
    <w:abstractNumId w:val="35"/>
  </w:num>
  <w:num w:numId="61">
    <w:abstractNumId w:val="61"/>
  </w:num>
  <w:num w:numId="62">
    <w:abstractNumId w:val="16"/>
  </w:num>
  <w:num w:numId="63">
    <w:abstractNumId w:val="19"/>
  </w:num>
  <w:num w:numId="64">
    <w:abstractNumId w:val="1"/>
  </w:num>
  <w:num w:numId="65">
    <w:abstractNumId w:val="48"/>
  </w:num>
  <w:num w:numId="66">
    <w:abstractNumId w:val="40"/>
  </w:num>
  <w:num w:numId="67">
    <w:abstractNumId w:val="26"/>
  </w:num>
  <w:num w:numId="68">
    <w:abstractNumId w:val="51"/>
  </w:num>
  <w:num w:numId="69">
    <w:abstractNumId w:val="6"/>
  </w:num>
  <w:num w:numId="70">
    <w:abstractNumId w:val="64"/>
  </w:num>
  <w:num w:numId="71">
    <w:abstractNumId w:val="55"/>
  </w:num>
  <w:num w:numId="72">
    <w:abstractNumId w:val="13"/>
  </w:num>
  <w:num w:numId="73">
    <w:abstractNumId w:val="0"/>
  </w:num>
  <w:num w:numId="74">
    <w:abstractNumId w:val="30"/>
  </w:num>
  <w:num w:numId="75">
    <w:abstractNumId w:val="68"/>
  </w:num>
  <w:num w:numId="76">
    <w:abstractNumId w:val="23"/>
  </w:num>
  <w:num w:numId="77">
    <w:abstractNumId w:val="5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CF8"/>
    <w:rsid w:val="000711ED"/>
    <w:rsid w:val="00094881"/>
    <w:rsid w:val="000A28CE"/>
    <w:rsid w:val="000F4063"/>
    <w:rsid w:val="00112561"/>
    <w:rsid w:val="001318EE"/>
    <w:rsid w:val="0013662B"/>
    <w:rsid w:val="00145764"/>
    <w:rsid w:val="0015304C"/>
    <w:rsid w:val="001616F0"/>
    <w:rsid w:val="001733A2"/>
    <w:rsid w:val="0017447A"/>
    <w:rsid w:val="00192155"/>
    <w:rsid w:val="00213671"/>
    <w:rsid w:val="00221AE5"/>
    <w:rsid w:val="00253219"/>
    <w:rsid w:val="00262681"/>
    <w:rsid w:val="002B4ACD"/>
    <w:rsid w:val="002E67CA"/>
    <w:rsid w:val="003101CF"/>
    <w:rsid w:val="00342A50"/>
    <w:rsid w:val="00347AA5"/>
    <w:rsid w:val="00367DB0"/>
    <w:rsid w:val="00374268"/>
    <w:rsid w:val="00384ADB"/>
    <w:rsid w:val="00385A8B"/>
    <w:rsid w:val="003A2BBC"/>
    <w:rsid w:val="004338D8"/>
    <w:rsid w:val="0045422F"/>
    <w:rsid w:val="0047460C"/>
    <w:rsid w:val="004A409A"/>
    <w:rsid w:val="004E1166"/>
    <w:rsid w:val="004F1B75"/>
    <w:rsid w:val="005024E6"/>
    <w:rsid w:val="005255E8"/>
    <w:rsid w:val="005538ED"/>
    <w:rsid w:val="0055674F"/>
    <w:rsid w:val="005703C3"/>
    <w:rsid w:val="005900CF"/>
    <w:rsid w:val="005A23C9"/>
    <w:rsid w:val="006165C6"/>
    <w:rsid w:val="00624593"/>
    <w:rsid w:val="00657104"/>
    <w:rsid w:val="00684137"/>
    <w:rsid w:val="006B2CF8"/>
    <w:rsid w:val="006E5965"/>
    <w:rsid w:val="006F039D"/>
    <w:rsid w:val="0070346D"/>
    <w:rsid w:val="007207F7"/>
    <w:rsid w:val="00737F64"/>
    <w:rsid w:val="00751592"/>
    <w:rsid w:val="007532E9"/>
    <w:rsid w:val="007543C6"/>
    <w:rsid w:val="007872D2"/>
    <w:rsid w:val="00790C7F"/>
    <w:rsid w:val="007A3194"/>
    <w:rsid w:val="007A5C0F"/>
    <w:rsid w:val="007C4C5E"/>
    <w:rsid w:val="007D2397"/>
    <w:rsid w:val="007F0472"/>
    <w:rsid w:val="00800691"/>
    <w:rsid w:val="00823C84"/>
    <w:rsid w:val="00833628"/>
    <w:rsid w:val="0087359D"/>
    <w:rsid w:val="008D6043"/>
    <w:rsid w:val="008E1F0F"/>
    <w:rsid w:val="008E32CB"/>
    <w:rsid w:val="008E6740"/>
    <w:rsid w:val="00904B2C"/>
    <w:rsid w:val="00916CFB"/>
    <w:rsid w:val="00920B50"/>
    <w:rsid w:val="00934105"/>
    <w:rsid w:val="00953037"/>
    <w:rsid w:val="009552FD"/>
    <w:rsid w:val="0096211C"/>
    <w:rsid w:val="00987EB2"/>
    <w:rsid w:val="009C7E99"/>
    <w:rsid w:val="009F3B92"/>
    <w:rsid w:val="00A41234"/>
    <w:rsid w:val="00A447FA"/>
    <w:rsid w:val="00A776D0"/>
    <w:rsid w:val="00A85C43"/>
    <w:rsid w:val="00A90CCD"/>
    <w:rsid w:val="00AB13E6"/>
    <w:rsid w:val="00AB6861"/>
    <w:rsid w:val="00AD6954"/>
    <w:rsid w:val="00B4606C"/>
    <w:rsid w:val="00B465BC"/>
    <w:rsid w:val="00B708A0"/>
    <w:rsid w:val="00BA2C68"/>
    <w:rsid w:val="00BB66BF"/>
    <w:rsid w:val="00BD3249"/>
    <w:rsid w:val="00BE52C6"/>
    <w:rsid w:val="00C00EB0"/>
    <w:rsid w:val="00C26693"/>
    <w:rsid w:val="00C53C38"/>
    <w:rsid w:val="00C64435"/>
    <w:rsid w:val="00C663D8"/>
    <w:rsid w:val="00CA7FC2"/>
    <w:rsid w:val="00CC3534"/>
    <w:rsid w:val="00CE0417"/>
    <w:rsid w:val="00D06488"/>
    <w:rsid w:val="00D24F7A"/>
    <w:rsid w:val="00DC1AE2"/>
    <w:rsid w:val="00DD5F1A"/>
    <w:rsid w:val="00E24A32"/>
    <w:rsid w:val="00EB3E7E"/>
    <w:rsid w:val="00ED526F"/>
    <w:rsid w:val="00F0785F"/>
    <w:rsid w:val="00F211E0"/>
    <w:rsid w:val="00F24A3C"/>
    <w:rsid w:val="00F57FDB"/>
    <w:rsid w:val="00F66FA5"/>
    <w:rsid w:val="00FB5A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6B2C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2CF8"/>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6B2CF8"/>
    <w:pPr>
      <w:outlineLvl w:val="9"/>
    </w:pPr>
    <w:rPr>
      <w:lang w:eastAsia="pl-PL"/>
    </w:rPr>
  </w:style>
  <w:style w:type="paragraph" w:styleId="Spistreci1">
    <w:name w:val="toc 1"/>
    <w:basedOn w:val="Normalny"/>
    <w:next w:val="Normalny"/>
    <w:autoRedefine/>
    <w:uiPriority w:val="39"/>
    <w:unhideWhenUsed/>
    <w:rsid w:val="007A5C0F"/>
    <w:pPr>
      <w:tabs>
        <w:tab w:val="right" w:leader="dot" w:pos="9513"/>
      </w:tabs>
      <w:spacing w:after="100"/>
      <w:jc w:val="both"/>
    </w:pPr>
  </w:style>
  <w:style w:type="character" w:styleId="Hipercze">
    <w:name w:val="Hyperlink"/>
    <w:basedOn w:val="Domylnaczcionkaakapitu"/>
    <w:uiPriority w:val="99"/>
    <w:unhideWhenUsed/>
    <w:rsid w:val="006B2CF8"/>
    <w:rPr>
      <w:color w:val="0563C1" w:themeColor="hyperlink"/>
      <w:u w:val="single"/>
    </w:rPr>
  </w:style>
  <w:style w:type="paragraph" w:styleId="Tekstprzypisudolnego">
    <w:name w:val="footnote text"/>
    <w:basedOn w:val="Normalny"/>
    <w:link w:val="TekstprzypisudolnegoZnak"/>
    <w:uiPriority w:val="99"/>
    <w:unhideWhenUsed/>
    <w:rsid w:val="006B2CF8"/>
    <w:pPr>
      <w:widowControl w:val="0"/>
      <w:spacing w:after="0" w:line="240" w:lineRule="auto"/>
    </w:pPr>
    <w:rPr>
      <w:rFonts w:ascii="Arial Unicode MS" w:eastAsia="Arial Unicode MS" w:hAnsi="Arial Unicode MS" w:cs="Arial Unicode MS"/>
      <w:color w:val="000000"/>
      <w:sz w:val="20"/>
      <w:szCs w:val="20"/>
      <w:lang w:bidi="en-US"/>
    </w:rPr>
  </w:style>
  <w:style w:type="character" w:customStyle="1" w:styleId="TekstprzypisudolnegoZnak">
    <w:name w:val="Tekst przypisu dolnego Znak"/>
    <w:basedOn w:val="Domylnaczcionkaakapitu"/>
    <w:link w:val="Tekstprzypisudolnego"/>
    <w:uiPriority w:val="99"/>
    <w:rsid w:val="006B2CF8"/>
    <w:rPr>
      <w:rFonts w:ascii="Arial Unicode MS" w:eastAsia="Arial Unicode MS" w:hAnsi="Arial Unicode MS" w:cs="Arial Unicode MS"/>
      <w:color w:val="000000"/>
      <w:sz w:val="20"/>
      <w:szCs w:val="20"/>
      <w:lang w:bidi="en-US"/>
    </w:rPr>
  </w:style>
  <w:style w:type="character" w:customStyle="1" w:styleId="Stopka">
    <w:name w:val="Stopka_"/>
    <w:basedOn w:val="Domylnaczcionkaakapitu"/>
    <w:link w:val="Stopka1"/>
    <w:locked/>
    <w:rsid w:val="006B2CF8"/>
    <w:rPr>
      <w:rFonts w:ascii="Times New Roman" w:eastAsia="Times New Roman" w:hAnsi="Times New Roman" w:cs="Times New Roman"/>
      <w:sz w:val="19"/>
      <w:szCs w:val="19"/>
    </w:rPr>
  </w:style>
  <w:style w:type="paragraph" w:customStyle="1" w:styleId="Stopka1">
    <w:name w:val="Stopka1"/>
    <w:basedOn w:val="Normalny"/>
    <w:link w:val="Stopka"/>
    <w:rsid w:val="006B2CF8"/>
    <w:pPr>
      <w:widowControl w:val="0"/>
      <w:spacing w:after="0" w:line="240" w:lineRule="auto"/>
    </w:pPr>
    <w:rPr>
      <w:rFonts w:ascii="Times New Roman" w:eastAsia="Times New Roman" w:hAnsi="Times New Roman" w:cs="Times New Roman"/>
      <w:sz w:val="19"/>
      <w:szCs w:val="19"/>
    </w:rPr>
  </w:style>
  <w:style w:type="character" w:styleId="Odwoanieprzypisudolnego">
    <w:name w:val="footnote reference"/>
    <w:basedOn w:val="Domylnaczcionkaakapitu"/>
    <w:uiPriority w:val="99"/>
    <w:semiHidden/>
    <w:unhideWhenUsed/>
    <w:rsid w:val="006B2CF8"/>
    <w:rPr>
      <w:vertAlign w:val="superscript"/>
    </w:rPr>
  </w:style>
  <w:style w:type="paragraph" w:styleId="Akapitzlist">
    <w:name w:val="List Paragraph"/>
    <w:basedOn w:val="Normalny"/>
    <w:uiPriority w:val="34"/>
    <w:qFormat/>
    <w:rsid w:val="005703C3"/>
    <w:pPr>
      <w:ind w:left="720"/>
      <w:contextualSpacing/>
    </w:pPr>
  </w:style>
  <w:style w:type="character" w:customStyle="1" w:styleId="Podpistabeli">
    <w:name w:val="Podpis tabeli_"/>
    <w:basedOn w:val="Domylnaczcionkaakapitu"/>
    <w:link w:val="Podpistabeli0"/>
    <w:rsid w:val="009C7E99"/>
    <w:rPr>
      <w:rFonts w:ascii="Times New Roman" w:eastAsia="Times New Roman" w:hAnsi="Times New Roman" w:cs="Times New Roman"/>
      <w:sz w:val="18"/>
      <w:szCs w:val="18"/>
    </w:rPr>
  </w:style>
  <w:style w:type="paragraph" w:customStyle="1" w:styleId="Podpistabeli0">
    <w:name w:val="Podpis tabeli"/>
    <w:basedOn w:val="Normalny"/>
    <w:link w:val="Podpistabeli"/>
    <w:rsid w:val="009C7E99"/>
    <w:pPr>
      <w:widowControl w:val="0"/>
      <w:spacing w:after="0" w:line="257" w:lineRule="auto"/>
    </w:pPr>
    <w:rPr>
      <w:rFonts w:ascii="Times New Roman" w:eastAsia="Times New Roman" w:hAnsi="Times New Roman" w:cs="Times New Roman"/>
      <w:sz w:val="18"/>
      <w:szCs w:val="18"/>
    </w:rPr>
  </w:style>
  <w:style w:type="character" w:customStyle="1" w:styleId="Teksttreci">
    <w:name w:val="Tekst treści_"/>
    <w:basedOn w:val="Domylnaczcionkaakapitu"/>
    <w:link w:val="Teksttreci0"/>
    <w:rsid w:val="004338D8"/>
    <w:rPr>
      <w:rFonts w:ascii="Times New Roman" w:eastAsia="Times New Roman" w:hAnsi="Times New Roman" w:cs="Times New Roman"/>
      <w:sz w:val="20"/>
      <w:szCs w:val="20"/>
    </w:rPr>
  </w:style>
  <w:style w:type="character" w:customStyle="1" w:styleId="Nagwek2">
    <w:name w:val="Nagłówek #2_"/>
    <w:basedOn w:val="Domylnaczcionkaakapitu"/>
    <w:link w:val="Nagwek20"/>
    <w:rsid w:val="004338D8"/>
    <w:rPr>
      <w:rFonts w:ascii="Times New Roman" w:eastAsia="Times New Roman" w:hAnsi="Times New Roman" w:cs="Times New Roman"/>
      <w:b/>
      <w:bCs/>
      <w:sz w:val="20"/>
      <w:szCs w:val="20"/>
    </w:rPr>
  </w:style>
  <w:style w:type="paragraph" w:customStyle="1" w:styleId="Teksttreci0">
    <w:name w:val="Tekst treści"/>
    <w:basedOn w:val="Normalny"/>
    <w:link w:val="Teksttreci"/>
    <w:rsid w:val="004338D8"/>
    <w:pPr>
      <w:widowControl w:val="0"/>
      <w:spacing w:after="0" w:line="398" w:lineRule="auto"/>
      <w:ind w:firstLine="400"/>
    </w:pPr>
    <w:rPr>
      <w:rFonts w:ascii="Times New Roman" w:eastAsia="Times New Roman" w:hAnsi="Times New Roman" w:cs="Times New Roman"/>
      <w:sz w:val="20"/>
      <w:szCs w:val="20"/>
    </w:rPr>
  </w:style>
  <w:style w:type="paragraph" w:customStyle="1" w:styleId="Nagwek20">
    <w:name w:val="Nagłówek #2"/>
    <w:basedOn w:val="Normalny"/>
    <w:link w:val="Nagwek2"/>
    <w:rsid w:val="004338D8"/>
    <w:pPr>
      <w:widowControl w:val="0"/>
      <w:spacing w:after="0" w:line="398" w:lineRule="auto"/>
      <w:ind w:firstLine="740"/>
      <w:outlineLvl w:val="1"/>
    </w:pPr>
    <w:rPr>
      <w:rFonts w:ascii="Times New Roman" w:eastAsia="Times New Roman" w:hAnsi="Times New Roman" w:cs="Times New Roman"/>
      <w:b/>
      <w:bCs/>
      <w:sz w:val="20"/>
      <w:szCs w:val="20"/>
    </w:rPr>
  </w:style>
  <w:style w:type="character" w:customStyle="1" w:styleId="Inne">
    <w:name w:val="Inne_"/>
    <w:basedOn w:val="Domylnaczcionkaakapitu"/>
    <w:link w:val="Inne0"/>
    <w:rsid w:val="00916CFB"/>
    <w:rPr>
      <w:rFonts w:ascii="Times New Roman" w:eastAsia="Times New Roman" w:hAnsi="Times New Roman" w:cs="Times New Roman"/>
      <w:sz w:val="20"/>
      <w:szCs w:val="20"/>
    </w:rPr>
  </w:style>
  <w:style w:type="paragraph" w:customStyle="1" w:styleId="Inne0">
    <w:name w:val="Inne"/>
    <w:basedOn w:val="Normalny"/>
    <w:link w:val="Inne"/>
    <w:rsid w:val="00916CFB"/>
    <w:pPr>
      <w:widowControl w:val="0"/>
      <w:spacing w:after="0" w:line="398" w:lineRule="auto"/>
      <w:ind w:firstLine="400"/>
    </w:pPr>
    <w:rPr>
      <w:rFonts w:ascii="Times New Roman" w:eastAsia="Times New Roman" w:hAnsi="Times New Roman" w:cs="Times New Roman"/>
      <w:sz w:val="20"/>
      <w:szCs w:val="20"/>
    </w:rPr>
  </w:style>
  <w:style w:type="paragraph" w:styleId="Spistreci2">
    <w:name w:val="toc 2"/>
    <w:basedOn w:val="Normalny"/>
    <w:next w:val="Normalny"/>
    <w:autoRedefine/>
    <w:uiPriority w:val="39"/>
    <w:unhideWhenUsed/>
    <w:rsid w:val="0055674F"/>
    <w:pPr>
      <w:spacing w:after="100"/>
      <w:ind w:left="220"/>
    </w:pPr>
  </w:style>
  <w:style w:type="paragraph" w:styleId="Spistreci3">
    <w:name w:val="toc 3"/>
    <w:basedOn w:val="Normalny"/>
    <w:next w:val="Normalny"/>
    <w:autoRedefine/>
    <w:uiPriority w:val="39"/>
    <w:unhideWhenUsed/>
    <w:rsid w:val="00B708A0"/>
    <w:pPr>
      <w:spacing w:after="100"/>
      <w:ind w:left="440"/>
    </w:pPr>
    <w:rPr>
      <w:rFonts w:eastAsiaTheme="minorEastAsia" w:cs="Times New Roman"/>
      <w:lang w:eastAsia="pl-PL"/>
    </w:rPr>
  </w:style>
  <w:style w:type="paragraph" w:styleId="Nagwek">
    <w:name w:val="header"/>
    <w:basedOn w:val="Normalny"/>
    <w:link w:val="NagwekZnak"/>
    <w:uiPriority w:val="99"/>
    <w:unhideWhenUsed/>
    <w:rsid w:val="00B708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08A0"/>
  </w:style>
  <w:style w:type="paragraph" w:styleId="Stopka0">
    <w:name w:val="footer"/>
    <w:basedOn w:val="Normalny"/>
    <w:link w:val="StopkaZnak"/>
    <w:uiPriority w:val="99"/>
    <w:unhideWhenUsed/>
    <w:rsid w:val="00B708A0"/>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B708A0"/>
  </w:style>
  <w:style w:type="character" w:customStyle="1" w:styleId="sb8d990e2">
    <w:name w:val="sb8d990e2"/>
    <w:basedOn w:val="Domylnaczcionkaakapitu"/>
    <w:rsid w:val="00FB5A7E"/>
  </w:style>
  <w:style w:type="character" w:customStyle="1" w:styleId="Teksttreci2">
    <w:name w:val="Tekst treści (2)_"/>
    <w:basedOn w:val="Domylnaczcionkaakapitu"/>
    <w:link w:val="Teksttreci20"/>
    <w:rsid w:val="00145764"/>
    <w:rPr>
      <w:rFonts w:ascii="Arial" w:eastAsia="Arial" w:hAnsi="Arial" w:cs="Arial"/>
      <w:color w:val="1A6C9A"/>
      <w:sz w:val="13"/>
      <w:szCs w:val="13"/>
    </w:rPr>
  </w:style>
  <w:style w:type="paragraph" w:customStyle="1" w:styleId="Teksttreci20">
    <w:name w:val="Tekst treści (2)"/>
    <w:basedOn w:val="Normalny"/>
    <w:link w:val="Teksttreci2"/>
    <w:rsid w:val="00145764"/>
    <w:pPr>
      <w:widowControl w:val="0"/>
      <w:spacing w:after="0" w:line="276" w:lineRule="auto"/>
      <w:jc w:val="center"/>
    </w:pPr>
    <w:rPr>
      <w:rFonts w:ascii="Arial" w:eastAsia="Arial" w:hAnsi="Arial" w:cs="Arial"/>
      <w:color w:val="1A6C9A"/>
      <w:sz w:val="13"/>
      <w:szCs w:val="13"/>
    </w:rPr>
  </w:style>
  <w:style w:type="character" w:customStyle="1" w:styleId="Nagwek10">
    <w:name w:val="Nagłówek #1_"/>
    <w:basedOn w:val="Domylnaczcionkaakapitu"/>
    <w:link w:val="Nagwek11"/>
    <w:rsid w:val="004A409A"/>
    <w:rPr>
      <w:rFonts w:ascii="Cambria" w:eastAsia="Cambria" w:hAnsi="Cambria" w:cs="Cambria"/>
      <w:b/>
      <w:bCs/>
      <w:sz w:val="20"/>
      <w:szCs w:val="20"/>
    </w:rPr>
  </w:style>
  <w:style w:type="character" w:customStyle="1" w:styleId="Teksttreci3">
    <w:name w:val="Tekst treści (3)_"/>
    <w:basedOn w:val="Domylnaczcionkaakapitu"/>
    <w:link w:val="Teksttreci30"/>
    <w:rsid w:val="004A409A"/>
    <w:rPr>
      <w:rFonts w:ascii="Cambria" w:eastAsia="Cambria" w:hAnsi="Cambria" w:cs="Cambria"/>
      <w:b/>
      <w:bCs/>
      <w:sz w:val="20"/>
      <w:szCs w:val="20"/>
    </w:rPr>
  </w:style>
  <w:style w:type="paragraph" w:customStyle="1" w:styleId="Nagwek11">
    <w:name w:val="Nagłówek #1"/>
    <w:basedOn w:val="Normalny"/>
    <w:link w:val="Nagwek10"/>
    <w:rsid w:val="004A409A"/>
    <w:pPr>
      <w:widowControl w:val="0"/>
      <w:spacing w:after="280" w:line="302" w:lineRule="auto"/>
      <w:ind w:firstLine="460"/>
      <w:outlineLvl w:val="0"/>
    </w:pPr>
    <w:rPr>
      <w:rFonts w:ascii="Cambria" w:eastAsia="Cambria" w:hAnsi="Cambria" w:cs="Cambria"/>
      <w:b/>
      <w:bCs/>
      <w:sz w:val="20"/>
      <w:szCs w:val="20"/>
    </w:rPr>
  </w:style>
  <w:style w:type="paragraph" w:customStyle="1" w:styleId="Teksttreci30">
    <w:name w:val="Tekst treści (3)"/>
    <w:basedOn w:val="Normalny"/>
    <w:link w:val="Teksttreci3"/>
    <w:rsid w:val="004A409A"/>
    <w:pPr>
      <w:widowControl w:val="0"/>
      <w:spacing w:after="250" w:line="288" w:lineRule="auto"/>
      <w:ind w:left="600"/>
    </w:pPr>
    <w:rPr>
      <w:rFonts w:ascii="Cambria" w:eastAsia="Cambria" w:hAnsi="Cambria"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50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pp.gov.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hfhr.pl/wp-content/uploads/2020/06/BADANIE-DOBRA-DZIECKA-W-POSTE%CC%A8POWANIACH-DETENCYJNYCH_FINAL.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pk.gov.pl/dzialalnosc/sprawozdania-i-statystyki/" TargetMode="External"/><Relationship Id="rId18" Type="http://schemas.openxmlformats.org/officeDocument/2006/relationships/hyperlink" Target="https://rm.coe.int/native/0900001680751a47" TargetMode="External"/><Relationship Id="rId26" Type="http://schemas.openxmlformats.org/officeDocument/2006/relationships/hyperlink" Target="https://rm.coe.int/native/0900001680751a47" TargetMode="External"/><Relationship Id="rId39" Type="http://schemas.openxmlformats.org/officeDocument/2006/relationships/hyperlink" Target="https://ordoiuris.pl/rodzina-i-malzenstwo/analiza-projektu-zlozonego-przez-komitet-inicjatywy-ustawodawczej-stop" TargetMode="External"/><Relationship Id="rId21" Type="http://schemas.openxmlformats.org/officeDocument/2006/relationships/hyperlink" Target="https://bit.ly/2rzTurO" TargetMode="External"/><Relationship Id="rId34" Type="http://schemas.openxmlformats.org/officeDocument/2006/relationships/hyperlink" Target="https://federa.org.pl/dostepnosc-terminacji-ciazy-olsztyn/" TargetMode="External"/><Relationship Id="rId42" Type="http://schemas.openxmlformats.org/officeDocument/2006/relationships/hyperlink" Target="http://wcd.coe.int/ViewDoc.jsp?id=458513&amp;BackColorInternet=9999CC&amp;BackColorIntranet=FFBB55&amp;BackColorLogged=FFAC75" TargetMode="External"/><Relationship Id="rId47" Type="http://schemas.openxmlformats.org/officeDocument/2006/relationships/hyperlink" Target="https://wcd.coe.int/ViewDoc.jsp?Ref=CommDH(2016)23&amp;Language=lanEnglish&amp;Ver=original" TargetMode="External"/><Relationship Id="rId50" Type="http://schemas.openxmlformats.org/officeDocument/2006/relationships/hyperlink" Target="http://hudoc.exec.coe.int/eng?i=004-20592" TargetMode="External"/><Relationship Id="rId55" Type="http://schemas.openxmlformats.org/officeDocument/2006/relationships/hyperlink" Target="https://twitter.com/CommissionerHR/status/1185167123083091968" TargetMode="External"/><Relationship Id="rId63" Type="http://schemas.openxmlformats.org/officeDocument/2006/relationships/hyperlink" Target="http://www.sejm.gov.pl/sejm9.nsf/agent.xsp?symbol=RPL&amp;Id=RM-10-l-20" TargetMode="External"/><Relationship Id="rId68" Type="http://schemas.openxmlformats.org/officeDocument/2006/relationships/hyperlink" Target="https://www.rp.pl/Prawo-karne/302019938-RZECZoPRAWIE---Dariusz-Pluta-karanie-za-znieslawienie-na-mocy-art-212-kk-to-wstyd-dla-Polski.html" TargetMode="External"/><Relationship Id="rId76" Type="http://schemas.openxmlformats.org/officeDocument/2006/relationships/hyperlink" Target="http://www.hfhr.pl/wp-content/uploads/2020/01/CIA-FlN-web.pdf" TargetMode="External"/><Relationship Id="rId84" Type="http://schemas.openxmlformats.org/officeDocument/2006/relationships/hyperlink" Target="https://iws.gov.pl/wp-content/uploads/2020/01/IWS_Ostaszewski-P.-Melaniuk-E._Kwerenda-spraw-ze-skargi-na-przewlek%C5%82o%C5%9B%C4%87-post%C4%99powania-s%C4%85dowego.pdf" TargetMode="External"/><Relationship Id="rId89" Type="http://schemas.openxmlformats.org/officeDocument/2006/relationships/hyperlink" Target="http://orka.sejm.gov.pl/Druki9ka.nsf/0/B2E9AA1082EE4696C12585700042D075/%24File/382.pdf" TargetMode="External"/><Relationship Id="rId7" Type="http://schemas.openxmlformats.org/officeDocument/2006/relationships/hyperlink" Target="http://www.policja.pl/pol/aktualnosci/169053.Mniej-przestepstw-w-2018-roku.html" TargetMode="External"/><Relationship Id="rId71" Type="http://schemas.openxmlformats.org/officeDocument/2006/relationships/hyperlink" Target="https://search.coe.int/cm/Pages/result_details.aspx?ObjectId=090000168064a9db" TargetMode="External"/><Relationship Id="rId92" Type="http://schemas.openxmlformats.org/officeDocument/2006/relationships/hyperlink" Target="https://panoptykon.org/sites/default/files/osiodlac_pegaza_-_jak_powinien_wygladac_nadzor_nad_sluzbami._raport_ekspertow.pdf" TargetMode="External"/><Relationship Id="rId2" Type="http://schemas.openxmlformats.org/officeDocument/2006/relationships/hyperlink" Target="https://tbinternet.ohchr.org/Treaties/CAT/Shared%20Documents/POL/CAT_C_POL_CO_7_35715_E.pdf" TargetMode="External"/><Relationship Id="rId16" Type="http://schemas.openxmlformats.org/officeDocument/2006/relationships/hyperlink" Target="https://rm.coe.int/native/09000016808d297d" TargetMode="External"/><Relationship Id="rId29" Type="http://schemas.openxmlformats.org/officeDocument/2006/relationships/hyperlink" Target="https://bit.ly/2rzWvZa" TargetMode="External"/><Relationship Id="rId11" Type="http://schemas.openxmlformats.org/officeDocument/2006/relationships/hyperlink" Target="https://pk.gov.pl/dzialalnosc/sprawozdania-i-statystyki/_and_" TargetMode="External"/><Relationship Id="rId24" Type="http://schemas.openxmlformats.org/officeDocument/2006/relationships/hyperlink" Target="https://rm.coe.int/native/09000016808d297d" TargetMode="External"/><Relationship Id="rId32" Type="http://schemas.openxmlformats.org/officeDocument/2006/relationships/hyperlink" Target="https://federa.org.pl/raport-dzien-dobry-chce-przerwac-ciaze-o-procedurach-dostepu-do-legalnej-aborcji-w-polskich-szpitalach/" TargetMode="External"/><Relationship Id="rId37" Type="http://schemas.openxmlformats.org/officeDocument/2006/relationships/hyperlink" Target="https://bit.ly/2JkH10L" TargetMode="External"/><Relationship Id="rId40" Type="http://schemas.openxmlformats.org/officeDocument/2006/relationships/hyperlink" Target="http://rm.coe.int/doc/09000016806eebf0" TargetMode="External"/><Relationship Id="rId45" Type="http://schemas.openxmlformats.org/officeDocument/2006/relationships/hyperlink" Target="https://wcd.coe.int/ViewDoc.jsp?id=32609&amp;Site=CommDH&amp;BackColorInternet=FEC65B&amp;BackColorIntranet=FEC65B&amp;BackColorLogged=FFC679" TargetMode="External"/><Relationship Id="rId53" Type="http://schemas.openxmlformats.org/officeDocument/2006/relationships/hyperlink" Target="https://rm.coe.int/report-on-the-visit-to-poland-from-11-to-15-march-2019-by-dunja-mijato/168094d848" TargetMode="External"/><Relationship Id="rId58" Type="http://schemas.openxmlformats.org/officeDocument/2006/relationships/hyperlink" Target="https://pk.gov.pl/wp-content/uploads/2015/12/caa677a9e35b8974824c0f80d405d6e7.pdf" TargetMode="External"/><Relationship Id="rId66" Type="http://schemas.openxmlformats.org/officeDocument/2006/relationships/hyperlink" Target="http://www.hfhr.pl/kampania-wykresl-212-kk-wystapienie-do-ms/" TargetMode="External"/><Relationship Id="rId74" Type="http://schemas.openxmlformats.org/officeDocument/2006/relationships/hyperlink" Target="http://www.adwokatura.pl/admin/wgrane_pliki/file-amicuskuchtameteletpcz-22949.pdf" TargetMode="External"/><Relationship Id="rId79" Type="http://schemas.openxmlformats.org/officeDocument/2006/relationships/hyperlink" Target="https://dziennikpolski24.pl/od-ll-lat-szukaja-dowodow-tortur-w-wiezieniach-cia-w-polsce/ar/cl-14317219" TargetMode="External"/><Relationship Id="rId87" Type="http://schemas.openxmlformats.org/officeDocument/2006/relationships/hyperlink" Target="https://search.coe.int/cm/Pages/result_details.aspx?0bjectId=090000168096fb5b" TargetMode="External"/><Relationship Id="rId5" Type="http://schemas.openxmlformats.org/officeDocument/2006/relationships/hyperlink" Target="https://pk.gov.pl/dzialalnosc/sprawozdania-i-statystyki/" TargetMode="External"/><Relationship Id="rId61" Type="http://schemas.openxmlformats.org/officeDocument/2006/relationships/hyperlink" Target="http://hudoc.exec.coe.int/eng?i=CM/Del/Dec(2019)1340/H46-13E" TargetMode="External"/><Relationship Id="rId82" Type="http://schemas.openxmlformats.org/officeDocument/2006/relationships/hyperlink" Target="https://iws.gov.pl/wp-content/uploads/2020/01/IWS_Ostaszewski-P.-Melaniul-E._Kwarenda-spraw-ze-skargi-na-przewlek&#322;o&#347;&#263;-post&#281;powania-s&#261;dowego.pdf" TargetMode="External"/><Relationship Id="rId90" Type="http://schemas.openxmlformats.org/officeDocument/2006/relationships/hyperlink" Target="https://www.senat.gov.pl/download/gfx/senat/pl/senatekspertyzy/5539/plik/142o.pdf" TargetMode="External"/><Relationship Id="rId19" Type="http://schemas.openxmlformats.org/officeDocument/2006/relationships/hyperlink" Target="https://rm.coe.int/16806a950f" TargetMode="External"/><Relationship Id="rId14" Type="http://schemas.openxmlformats.org/officeDocument/2006/relationships/hyperlink" Target="https://isws.ms.gov.pl/pl/baza-statystyczna/opracowania-wieloletnie/download.2853.52.html" TargetMode="External"/><Relationship Id="rId22" Type="http://schemas.openxmlformats.org/officeDocument/2006/relationships/hyperlink" Target="https://bit.ly/2shK1Fk" TargetMode="External"/><Relationship Id="rId27" Type="http://schemas.openxmlformats.org/officeDocument/2006/relationships/hyperlink" Target="https://rm.coe.int/16806a950f" TargetMode="External"/><Relationship Id="rId30" Type="http://schemas.openxmlformats.org/officeDocument/2006/relationships/hyperlink" Target="https://federa.org.pl/dostepnosc-aborcji-rzeszow/" TargetMode="External"/><Relationship Id="rId35" Type="http://schemas.openxmlformats.org/officeDocument/2006/relationships/hyperlink" Target="https://federa.org.pl/dostepnosc-aborcji-rzeszow/" TargetMode="External"/><Relationship Id="rId43" Type="http://schemas.openxmlformats.org/officeDocument/2006/relationships/hyperlink" Target="https://rm.coe.int/report-on-the-visit-to-poland-from-11-to-15-march-2019-by-dunja-mijato/168094d848" TargetMode="External"/><Relationship Id="rId48" Type="http://schemas.openxmlformats.org/officeDocument/2006/relationships/hyperlink" Target="https://www.coe.int/en/web/commissioner/-/commissioner-concerned-about-human-rights-backsliding-in-poland" TargetMode="External"/><Relationship Id="rId56" Type="http://schemas.openxmlformats.org/officeDocument/2006/relationships/hyperlink" Target="https://rpp.gov.pl/gfx/bpp/userfiles/_public/bip/sprawozdania_roczne/sprawozdanie_2018r.pdf" TargetMode="External"/><Relationship Id="rId64" Type="http://schemas.openxmlformats.org/officeDocument/2006/relationships/hyperlink" Target="http://hudoc.exec.coe.int/eng?i=DH-DD(2018)785E" TargetMode="External"/><Relationship Id="rId69" Type="http://schemas.openxmlformats.org/officeDocument/2006/relationships/hyperlink" Target="https://www.rpo.gov.pl/pl/content/art-212-rzecznik-proponuje-zmiany-w-przepisach-o-znieslawieniu" TargetMode="External"/><Relationship Id="rId77" Type="http://schemas.openxmlformats.org/officeDocument/2006/relationships/hyperlink" Target="http://www.hfhr.pl/debata-helsinska-tajne-wiezienia-tajne-postepowanie-%20jawna-nieodpowiedzialnosc-czego-nadal-nie-wiemy-o-wiezieniach-cia-w-polsce/" TargetMode="External"/><Relationship Id="rId8" Type="http://schemas.openxmlformats.org/officeDocument/2006/relationships/hyperlink" Target="https://www.sw.gov.pl/strona/statystyka-roczna" TargetMode="External"/><Relationship Id="rId51" Type="http://schemas.openxmlformats.org/officeDocument/2006/relationships/hyperlink" Target="https://documents-dds-ny.un.org/doc/UNDOC/GEN/G10/134/03/PDF/G1013403.pdf?OpenElement" TargetMode="External"/><Relationship Id="rId72" Type="http://schemas.openxmlformats.org/officeDocument/2006/relationships/hyperlink" Target="http://hudoc.cpt.coe.int/eng?i=p-pol-20170511-en-6" TargetMode="External"/><Relationship Id="rId80" Type="http://schemas.openxmlformats.org/officeDocument/2006/relationships/hyperlink" Target="https://panoptykon.org/sites/default/files/osiodlac_pegaza_-_iak_powinien_wygladac_nadzor_nad_sluzbami,_raport_ekspertow.pdf" TargetMode="External"/><Relationship Id="rId85" Type="http://schemas.openxmlformats.org/officeDocument/2006/relationships/hyperlink" Target="http://hudoc.exec.coe.int/eng?i=DH-DD(2019)1066E" TargetMode="External"/><Relationship Id="rId3" Type="http://schemas.openxmlformats.org/officeDocument/2006/relationships/hyperlink" Target="https://courtwatch.pl/wp-content/uploads/2019/12/tymczasowe_aresztowania_FCWP.pdf" TargetMode="External"/><Relationship Id="rId12" Type="http://schemas.openxmlformats.org/officeDocument/2006/relationships/hyperlink" Target="https://isws.ms.gov.pl/pl/baza-statystyczna/opracowania-wieloletnie/download.2853.52.html" TargetMode="External"/><Relationship Id="rId17" Type="http://schemas.openxmlformats.org/officeDocument/2006/relationships/hyperlink" Target="https://rm.coe.int/native/0900001680751a47" TargetMode="External"/><Relationship Id="rId25" Type="http://schemas.openxmlformats.org/officeDocument/2006/relationships/hyperlink" Target="https://rm.coe.int/native/0900001680751a47" TargetMode="External"/><Relationship Id="rId33" Type="http://schemas.openxmlformats.org/officeDocument/2006/relationships/hyperlink" Target="https://federa.org.pl/dostepnosc-aborcji-warszawa/" TargetMode="External"/><Relationship Id="rId38" Type="http://schemas.openxmlformats.org/officeDocument/2006/relationships/hyperlink" Target="http://orka.sejm.gov.pl/Druki9ka.nsf/0/B43A98E392CAAB89C12584BA004470EB/$File/39.pdf" TargetMode="External"/><Relationship Id="rId46" Type="http://schemas.openxmlformats.org/officeDocument/2006/relationships/hyperlink" Target="https://wcd.coe.int/ViewDoc.jsp?id=1155005&amp;Site=CommDH&amp;BackColorInternet=FEC65B&amp;BackColorIntranet=FEC65B&amp;BackColorLogged=FFC679" TargetMode="External"/><Relationship Id="rId59" Type="http://schemas.openxmlformats.org/officeDocument/2006/relationships/hyperlink" Target="http://hudoc.exec.coe.int/eng?i=DH-DDf2017)991revE" TargetMode="External"/><Relationship Id="rId67" Type="http://schemas.openxmlformats.org/officeDocument/2006/relationships/hyperlink" Target="https://verfassungsblog.de/criticizing-the-new-president-of-the-polish-constitutional-court-a-crime-against-the-state/" TargetMode="External"/><Relationship Id="rId20" Type="http://schemas.openxmlformats.org/officeDocument/2006/relationships/hyperlink" Target="https://rm.coe.int/native/09000016804a96bf" TargetMode="External"/><Relationship Id="rId41" Type="http://schemas.openxmlformats.org/officeDocument/2006/relationships/hyperlink" Target="https://search.coe.int/cm/Pages/result_details.aspx?ObjectId=09000016806d86cc" TargetMode="External"/><Relationship Id="rId54" Type="http://schemas.openxmlformats.org/officeDocument/2006/relationships/hyperlink" Target="https://www.coe.int/en/web/commissioner/-/commissioner-urges-poland-s-parliament-to-reject-bill-which-restricts-access-to-abortion-care" TargetMode="External"/><Relationship Id="rId62" Type="http://schemas.openxmlformats.org/officeDocument/2006/relationships/hyperlink" Target="http://hudoc.exec.coe.int/eng?i=DH-DDt2020)5E" TargetMode="External"/><Relationship Id="rId70" Type="http://schemas.openxmlformats.org/officeDocument/2006/relationships/hyperlink" Target="https://search.coe.int/cm/Pages/result_details.aspx?ObjectId=0900001680996961" TargetMode="External"/><Relationship Id="rId75" Type="http://schemas.openxmlformats.org/officeDocument/2006/relationships/hyperlink" Target="https://pk.gov.pl/wp-contenuuploads/2014/07/022cl()a03902eSd3" TargetMode="External"/><Relationship Id="rId83" Type="http://schemas.openxmlformats.org/officeDocument/2006/relationships/hyperlink" Target="http://hudoc.exec.coe.int/eng?i=DH-DD(2019)1081E" TargetMode="External"/><Relationship Id="rId88" Type="http://schemas.openxmlformats.org/officeDocument/2006/relationships/hyperlink" Target="https://www.rpo.gov.pl/sites/default/files/Wyst%C4%85pienie%20do%20MS%20%20ws.%20wzor%C3%B3w" TargetMode="External"/><Relationship Id="rId91" Type="http://schemas.openxmlformats.org/officeDocument/2006/relationships/hyperlink" Target="https://panoptykon.org/sites/default/files/osiodlac_pegaza_-_jak_powinien_wygladac_nadzor_nad_sluzbami._raport_ekspertow.pdf" TargetMode="External"/><Relationship Id="rId1" Type="http://schemas.openxmlformats.org/officeDocument/2006/relationships/hyperlink" Target="https://www.hfhr.pl/wp-content/uploads/20l9/09/HFHR_Submission_Burza_Poland.pdf" TargetMode="External"/><Relationship Id="rId6" Type="http://schemas.openxmlformats.org/officeDocument/2006/relationships/hyperlink" Target="https://search.coe.int/cm/Pages/result_details.aspx?ObjectId=0900001680973322" TargetMode="External"/><Relationship Id="rId15" Type="http://schemas.openxmlformats.org/officeDocument/2006/relationships/hyperlink" Target="https://isws.ms.gov.pl/pl/baza-statystyczna/opracowania-wieloletnie/download.2853.52.html" TargetMode="External"/><Relationship Id="rId23" Type="http://schemas.openxmlformats.org/officeDocument/2006/relationships/hyperlink" Target="https://bit.ly/2EeUOTp" TargetMode="External"/><Relationship Id="rId28" Type="http://schemas.openxmlformats.org/officeDocument/2006/relationships/hyperlink" Target="https://rm.coe.int/16806a950f" TargetMode="External"/><Relationship Id="rId36" Type="http://schemas.openxmlformats.org/officeDocument/2006/relationships/hyperlink" Target="https://federa.org.pl/przemoc-instytucjonalna/" TargetMode="External"/><Relationship Id="rId49" Type="http://schemas.openxmlformats.org/officeDocument/2006/relationships/hyperlink" Target="https://wcd.coe.int/ViewDoc.jsp?Ref=CommDH(2016)23&amp;Language=lanEnglish&amp;Ver=original" TargetMode="External"/><Relationship Id="rId57" Type="http://schemas.openxmlformats.org/officeDocument/2006/relationships/hyperlink" Target="https://rpp.gov.pl/prawo-do-zgloszenia-sprzeciwu" TargetMode="External"/><Relationship Id="rId10" Type="http://schemas.openxmlformats.org/officeDocument/2006/relationships/hyperlink" Target="https://pk.gov.pl/dzialalnosc/sprawozdania-i-statystyki/" TargetMode="External"/><Relationship Id="rId31" Type="http://schemas.openxmlformats.org/officeDocument/2006/relationships/hyperlink" Target="https://rm.coe.int/16806a950f" TargetMode="External"/><Relationship Id="rId44" Type="http://schemas.openxmlformats.org/officeDocument/2006/relationships/hyperlink" Target="https://rm.coe.int/women-s-sexual-and-reproductive-health-and-rights-in-europe-issue-pape/168076dead" TargetMode="External"/><Relationship Id="rId52" Type="http://schemas.openxmlformats.org/officeDocument/2006/relationships/hyperlink" Target="%20http://orka.sejm.gov.pl/Druki8ka.nsf/0/6F82FBB36BAA945CC125839200434FC7/$File/3185.pdf" TargetMode="External"/><Relationship Id="rId60" Type="http://schemas.openxmlformats.org/officeDocument/2006/relationships/hyperlink" Target="http://hudoc.exec.coe.int/eng?i=DH-DDf2018%5d785E" TargetMode="External"/><Relationship Id="rId65" Type="http://schemas.openxmlformats.org/officeDocument/2006/relationships/hyperlink" Target="https://polskieradio24.pl/5/1222/Artykul/2263491,Wazna-deklaracja-ministra-sprawiedliwosci-ws-art-212-Kodeksu-karnego" TargetMode="External"/><Relationship Id="rId73" Type="http://schemas.openxmlformats.org/officeDocument/2006/relationships/hyperlink" Target="http://www.hfhr.pl/wp-content/uploads/2018/05/HFPC-z&#322;e-traktowanie-podejrzanvch-i-zatrzymanych-badanie-ankietowe.pdf" TargetMode="External"/><Relationship Id="rId78" Type="http://schemas.openxmlformats.org/officeDocument/2006/relationships/hyperlink" Target="https://www.rpo.gov.pl/pl/content/debata-hfpc-o-tajnych-wiezieniach-cia-z-udzialem-rpo" TargetMode="External"/><Relationship Id="rId81" Type="http://schemas.openxmlformats.org/officeDocument/2006/relationships/hyperlink" Target="https://tbinternet.ohchr.org/Treaties/CAT/Shared%20Documents/POL/CAT_C_POL_CO_7_35715_E.pdf" TargetMode="External"/><Relationship Id="rId86" Type="http://schemas.openxmlformats.org/officeDocument/2006/relationships/hyperlink" Target="http://hudoc.exec.coe.int/eng?i=DH-DD(2020)115E" TargetMode="External"/><Relationship Id="rId4" Type="http://schemas.openxmlformats.org/officeDocument/2006/relationships/hyperlink" Target="http://www.hfhr.pl/wp-content/uploads/2019/07/HFPC_Raport_-Tymczasowe-aresztowanie-nietymczasowy-problem-EN.pdf" TargetMode="External"/><Relationship Id="rId9" Type="http://schemas.openxmlformats.org/officeDocument/2006/relationships/hyperlink" Target="https://www.sw.gov.pl/assets/50/86/16/fa8131bad0166d68585ccef75281d612deb0906.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914A6-2A84-4AA4-A28D-8C06963E9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160</Pages>
  <Words>66464</Words>
  <Characters>398786</Characters>
  <Application>Microsoft Office Word</Application>
  <DocSecurity>0</DocSecurity>
  <Lines>3323</Lines>
  <Paragraphs>928</Paragraphs>
  <ScaleCrop>false</ScaleCrop>
  <Company/>
  <LinksUpToDate>false</LinksUpToDate>
  <CharactersWithSpaces>464322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2021-04-18T11:16:00Z</dcterms:created>
  <dcterms:modified xsi:type="dcterms:W3CDTF">2021-05-12T14:16:00Z</dcterms:modified>
</cp:coreProperties>
</file>