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8.0 -->
  <w:body>
    <w:p w:rsidR="00A77B3E">
      <w:pPr>
        <w:keepNext w:val="0"/>
        <w:keepLines w:val="0"/>
        <w:numPr>
          <w:ilvl w:val="0"/>
          <w:numId w:val="0"/>
        </w:numPr>
        <w:spacing w:before="0" w:after="30" w:line="306" w:lineRule="atLeast"/>
        <w:ind w:left="0" w:right="0" w:firstLine="1020"/>
        <w:jc w:val="left"/>
        <w:rPr>
          <w:rFonts w:ascii="Times New Roman" w:eastAsia="Times New Roman" w:hAnsi="Times New Roman" w:cs="Times New Roman"/>
          <w:strike w:val="0"/>
          <w:color w:val="000000"/>
          <w:vertAlign w:val="baseline"/>
        </w:rPr>
      </w:pPr>
      <w:r>
        <w:rPr>
          <w:rFonts w:ascii="Times New Roman" w:eastAsia="Times New Roman" w:hAnsi="Times New Roman" w:cs="Times New Roman"/>
          <w:strike w:val="0"/>
          <w:color w:val="000000"/>
          <w:vertAlign w:val="baseline"/>
        </w:rPr>
        <w:drawing>
          <wp:inline>
            <wp:extent cx="723900" cy="66675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B3E">
      <w:pPr>
        <w:keepNext w:val="0"/>
        <w:keepLines w:val="0"/>
        <w:numPr>
          <w:ilvl w:val="0"/>
          <w:numId w:val="0"/>
        </w:numPr>
        <w:spacing w:before="30" w:after="0" w:line="400" w:lineRule="exact"/>
        <w:ind w:left="0" w:right="0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8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8"/>
          <w:u w:val="none"/>
          <w:vertAlign w:val="baseline"/>
        </w:rPr>
        <w:t>WOJEWODA OPOLSKI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96" w:lineRule="exact"/>
        <w:ind w:left="5655" w:right="0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>Opole</w:t>
      </w:r>
      <w:r>
        <w:rPr>
          <w:rFonts w:ascii="Arial" w:eastAsia="Arial" w:hAnsi="Arial" w:cs="Arial"/>
          <w:b/>
          <w:i w:val="0"/>
          <w:strike w:val="0"/>
          <w:color w:val="000000"/>
          <w:sz w:val="22"/>
          <w:u w:val="none"/>
          <w:vertAlign w:val="baseline"/>
        </w:rPr>
        <w:t xml:space="preserve">, 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 xml:space="preserve">dnia 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>22 lutego 2022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> r</w:t>
      </w:r>
      <w:r>
        <w:rPr>
          <w:rFonts w:ascii="Arial" w:eastAsia="Arial" w:hAnsi="Arial" w:cs="Arial"/>
          <w:b/>
          <w:i w:val="0"/>
          <w:strike w:val="0"/>
          <w:color w:val="000000"/>
          <w:sz w:val="22"/>
          <w:u w:val="none"/>
          <w:vertAlign w:val="baseline"/>
        </w:rPr>
        <w:t>.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96" w:lineRule="exact"/>
        <w:ind w:left="5655" w:right="0" w:firstLine="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>PN.III.4131.1.25.2022</w:t>
      </w:r>
    </w:p>
    <w:p w:rsidR="00A77B3E">
      <w:pPr>
        <w:keepNext w:val="0"/>
        <w:keepLines w:val="0"/>
        <w:numPr>
          <w:ilvl w:val="0"/>
          <w:numId w:val="0"/>
        </w:numPr>
        <w:spacing w:before="84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Pan 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Rudolf Urban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Przewodniczący Rady Gminy Tarnów Opolski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ul. Dworcowa 6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00" w:lineRule="exact"/>
        <w:ind w:left="6075" w:right="15" w:firstLine="0"/>
        <w:jc w:val="left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 xml:space="preserve">45-050 Tarnów Opolski </w:t>
      </w:r>
    </w:p>
    <w:p w:rsidR="00A77B3E">
      <w:pPr>
        <w:keepNext w:val="0"/>
        <w:keepLines w:val="0"/>
        <w:numPr>
          <w:ilvl w:val="0"/>
          <w:numId w:val="0"/>
        </w:numPr>
        <w:spacing w:before="720" w:after="0" w:line="432" w:lineRule="exact"/>
        <w:ind w:left="0" w:right="15" w:firstLine="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Rozstrzygnięcie nadzorcze</w:t>
      </w:r>
    </w:p>
    <w:p w:rsidR="00A77B3E">
      <w:pPr>
        <w:keepNext w:val="0"/>
        <w:keepLines w:val="0"/>
        <w:numPr>
          <w:ilvl w:val="0"/>
          <w:numId w:val="0"/>
        </w:numPr>
        <w:spacing w:before="120" w:after="12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Na podstawie art. 91 ust. 1 i 3 ustawy z dnia 8 marca 1990 r. o samorządzie gminnym (Dz. U. z 2021 r. poz.1372)</w:t>
      </w:r>
    </w:p>
    <w:p w:rsidR="00A77B3E">
      <w:pPr>
        <w:keepNext w:val="0"/>
        <w:keepLines w:val="0"/>
        <w:numPr>
          <w:ilvl w:val="0"/>
          <w:numId w:val="0"/>
        </w:numPr>
        <w:spacing w:before="240" w:after="120" w:line="432" w:lineRule="exact"/>
        <w:ind w:left="15" w:right="15" w:firstLine="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stwierdzam</w:t>
      </w:r>
    </w:p>
    <w:p w:rsidR="00A77B3E">
      <w:pPr>
        <w:keepNext w:val="0"/>
        <w:keepLines w:val="0"/>
        <w:numPr>
          <w:ilvl w:val="0"/>
          <w:numId w:val="0"/>
        </w:numPr>
        <w:spacing w:before="240" w:after="12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nieważność uchwały Nr XXXVII/288/2022 Rady Gminy Tarnów Opolski z dnia 25 stycznia 2022 r. w sprawie wyznaczenia miejsc do prowadzenia handlu w piątki i soboty przez rolników i ich domowników oraz określenia zasad prowadzenia handlu w piątki i soboty przez rolników i ich domowników na wyznaczonych miejscach  w części obejmującej § 5 załącznika do przedmiotowej uchwały – z powodu istotnego naruszenia prawa.</w:t>
      </w:r>
    </w:p>
    <w:p w:rsidR="00A77B3E">
      <w:pPr>
        <w:keepNext w:val="0"/>
        <w:keepLines w:val="0"/>
        <w:numPr>
          <w:ilvl w:val="0"/>
          <w:numId w:val="0"/>
        </w:numPr>
        <w:spacing w:before="300" w:after="90" w:line="432" w:lineRule="exact"/>
        <w:ind w:left="15" w:right="15" w:firstLine="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vertAlign w:val="baseline"/>
        </w:rPr>
        <w:t>Uzasadnienie</w:t>
      </w:r>
    </w:p>
    <w:p w:rsidR="00A77B3E">
      <w:pPr>
        <w:keepNext w:val="0"/>
        <w:keepLines w:val="0"/>
        <w:numPr>
          <w:ilvl w:val="0"/>
          <w:numId w:val="0"/>
        </w:numPr>
        <w:spacing w:before="210" w:after="12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W dniu 25 stycznia 2022 r. Rada Gminy Tarnów Opolski, powołując się art. 3, art. 5 i art. 6 ustawy z dnia 29 października 2021 r. o ułatwieniach w prowadzeniu handlu w piątki i soboty przez rolników i ich domowników (Dz. U. z 2021 r. poz. 2290) podjęła uchwałę nr 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 xml:space="preserve">XXXVII/288/2022 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w sprawie wyznaczenia miejsc do prowadzenia handlu w piątki i soboty przez rolników i ich domowników oraz określenia zasad prowadzenia handlu w piątki i soboty przez rolników i ich domowników na wyznaczonych miejscach. Przedmiotowa uchwała wpłynęła do organu nadzoru w dniu 27 stycznia 2022 r.</w:t>
      </w:r>
    </w:p>
    <w:p w:rsidR="00A77B3E">
      <w:pPr>
        <w:keepNext w:val="0"/>
        <w:keepLines w:val="0"/>
        <w:numPr>
          <w:ilvl w:val="0"/>
          <w:numId w:val="0"/>
        </w:numPr>
        <w:spacing w:before="240" w:after="0" w:line="432" w:lineRule="exact"/>
        <w:ind w:left="0" w:right="0" w:firstLine="570"/>
        <w:jc w:val="both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 xml:space="preserve">W kwestionowanym akcie Rada Gminy Tarnów Opolski ustaliła szereg zachowań, które uznała za zabronione w miejscu wyznaczonym do prowadzenia handlu w piątki i soboty przez rolników i ich domowników. W ocenie organu nadzoru przedmiotowa uchwała, w tym zakresie w sposób istotny narusza prawo. Przekroczono bowiem delegację ustawową, wynikającą z art. 5 ustawy o ułatwieniach w prowadzeniu handlu 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w piątki i soboty przez rolników i ich domowników. Za nierespektujące zakresu upoważnienia ustawowego należy uznać postanowienia zawarte w § 5 regulaminu stanowiącego załącznik do ww. uchwały, a mianowicie: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432" w:lineRule="exact"/>
        <w:ind w:left="270" w:right="0" w:firstLine="0"/>
        <w:jc w:val="both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1) zakaz prowadzenia wszelkiego rodzaju gier hazardowych – stanowi powtórzenie art. 128 ustawy z dnia 20 maja 1971 r. Kodeks wykroczeń (Dz. U. z 2021 r. poz. 2008),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432" w:lineRule="exact"/>
        <w:ind w:left="270" w:right="0" w:firstLine="0"/>
        <w:jc w:val="both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 xml:space="preserve">2) zakaz przebywania w stanie nietrzeźwym i zakaz spożywania napojów alkoholowych – sprawy związane ze sprzedażą, podawaniem oraz spożywaniem napojów alkoholowych uregulowane zostały w sposób kompleksowy w art. 14 </w:t>
      </w: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ustawy z dnia 26 października 1982 r. o wychowaniu w trzeźwości i przeciwdziałaniu alkoholizmowi (Dz. U. z 2021 r. poz. 1119). W szczególności art. 14 ust. 6 ww. ustawy upoważnia radę gminy do ustanowienia czasowego lub stałego zakazu sprzedaży, podawania, spożywania oraz wnoszenia napojów alkoholowych w innych niewymienionych w ustawie miejscach, obiektach lub na określonych obszarach gminy, ze względu na ich charakter. Mając na uwadze powyższe należy podkreślić, że wprowadzenie tego rodzaju zakazów nie może następować w przedmiotowym regulaminie, podejmowanym na podstawie art. 5 ustawy o ułatwieniach w prowadzeniu handlu w piątki i soboty przez rolników i ich domowników,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432" w:lineRule="exact"/>
        <w:ind w:left="270" w:right="0" w:firstLine="0"/>
        <w:jc w:val="both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3) zakaz używania substancji zmieniających świadomość – wynika z art. 62 ustawy z dnia 29 lipca 2005 r. o przeciwdziałaniu narkomanii (Dz. U. z 2020 r. poz. 2050),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432" w:lineRule="exact"/>
        <w:ind w:left="270" w:right="0" w:firstLine="0"/>
        <w:jc w:val="both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4) zakaz zaśmiecania terenów - został uregulowany w art. 145 Kodeksu wykroczeń, 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432" w:lineRule="exact"/>
        <w:ind w:left="270" w:right="0" w:firstLine="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5) zakaz niszczenia obiektów i urządzeń – normuje art. 124 § 1 Kodeksu wykroczeń.</w:t>
      </w:r>
    </w:p>
    <w:p w:rsidR="00A77B3E">
      <w:pPr>
        <w:keepNext w:val="0"/>
        <w:keepLines w:val="0"/>
        <w:numPr>
          <w:ilvl w:val="0"/>
          <w:numId w:val="0"/>
        </w:numPr>
        <w:spacing w:before="105" w:after="105" w:line="432" w:lineRule="exact"/>
        <w:ind w:left="0" w:right="0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 xml:space="preserve">Rada gminy, formułując postanowienia uchwały stanowiącej akt prawa miejscowego, nie tylko nie może wykraczać poza zakres ustawowego upoważnienia, ale i naruszać innych powszechnie obowiązujących przepisów prawa. Stąd też, akty prawa miejscowego nie powinny w żaden sposób regulować materii należącej do przepisów wyższego rzędu i tymi przepisami normowanej (nawet, jeśli taka regulacja stanowiłaby jedynie powtórzenie obowiązującego przepisu). Ponowne uregulowanie przez radę gminy materii ustawowej prowadzić może do sprzeczności z obowiązującym w tym zakresie przepisem ustawy, i to nie tylko w przypadkach, w których postanowienia uchwały w sposób oczywisty normują określone zagadnienia wbrew obowiązującym przepisom prawa. Również i modyfikacja, czy powtórzenie przepisów ustawy może wypaczyć ich sens. Trzeba bowiem liczyć się z tym, że powtórzony, czy zmodyfikowany przepis będzie interpretowany w kontekście uchwały, co może spowodować całkowitą lub częściową zmianę intencji prawodawcy. </w:t>
      </w:r>
    </w:p>
    <w:p w:rsidR="00A77B3E">
      <w:pPr>
        <w:keepNext w:val="0"/>
        <w:keepLines w:val="0"/>
        <w:numPr>
          <w:ilvl w:val="0"/>
          <w:numId w:val="0"/>
        </w:numPr>
        <w:spacing w:before="345" w:after="240" w:line="432" w:lineRule="exact"/>
        <w:ind w:left="0" w:right="0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Ustawodawca, kształtując upoważnienie rady do wydania uchwały w tym przedmiocie, precyzyjnie wskazał, które kwestie pozostawił regulacji jednostki samorządu terytorialnego. W przypadku aktów prawa miejscowego przekroczenie delegacji ustawowej stanowi istotne naruszenie prawa. Rada gminy obowiązana jest przestrzegać zakresu udzielonego przez ustawę upoważnienia w zakresie tworzenia przepisów wykonawczych, a w tych działaniach nie może tego upoważniania zawężać i przekraczać. Wydając akty będące źródłem powszechnie obowiązującego prawa Rzeczpospolitej Polskiej na obszarze danej gminy (art. 87 ust. 2 Konstytucji RP) musi respektować zakres delegacji zawartej w aktach prawnych wyższego rzędu, powstrzymując się od wypełniania ich treści postanowieniami ustawy (por. wyrok NSA z dnia 28 lutego 2003 r., sygn. akt I SA/Lu 882/02).</w:t>
      </w:r>
    </w:p>
    <w:p w:rsidR="00A77B3E">
      <w:pPr>
        <w:keepNext w:val="0"/>
        <w:keepLines w:val="0"/>
        <w:numPr>
          <w:ilvl w:val="0"/>
          <w:numId w:val="0"/>
        </w:numPr>
        <w:spacing w:before="360" w:after="12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Mając na uwadze powyższe, stwierdzam jak na wstępie.</w:t>
      </w:r>
    </w:p>
    <w:p w:rsidR="00A77B3E">
      <w:pPr>
        <w:keepNext w:val="0"/>
        <w:keepLines w:val="0"/>
        <w:numPr>
          <w:ilvl w:val="0"/>
          <w:numId w:val="0"/>
        </w:numPr>
        <w:spacing w:before="240" w:after="120" w:line="432" w:lineRule="exact"/>
        <w:ind w:left="15" w:right="15" w:firstLine="57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4"/>
          <w:u w:val="none"/>
          <w:vertAlign w:val="baseline"/>
        </w:rPr>
        <w:t>Na podstawie art. 98 ust. 1 ustawy z dnia 8 marca 1990 r. o samorządzie gminnym, w związku z art. 54 § 1 ustawy z dnia 30 sierpnia 2002 r. o postępowaniu przed sądami administracyjnymi (Dz. U. z 2019 r. poz. 2325) niniejsze rozstrzygnięcie nadzorcze może być zaskarżone do Wojewódzkiego Sądu Administracyjnego w Opolu za pośrednictwem Wojewody Opolskiego w terminie 30 dni od dnia jego doręczenia.</w:t>
      </w:r>
    </w:p>
    <w:p w:rsidR="00A77B3E">
      <w:pPr>
        <w:keepNext w:val="0"/>
        <w:keepLines w:val="0"/>
        <w:numPr>
          <w:ilvl w:val="0"/>
          <w:numId w:val="0"/>
        </w:numPr>
        <w:spacing w:before="570" w:after="0" w:line="396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  <w:t xml:space="preserve">Z up. Wojewody Opolskiego 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432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</w:p>
    <w:p w:rsidR="00A77B3E">
      <w:pPr>
        <w:keepNext w:val="0"/>
        <w:keepLines w:val="0"/>
        <w:numPr>
          <w:ilvl w:val="0"/>
          <w:numId w:val="0"/>
        </w:numPr>
        <w:spacing w:before="225" w:after="0" w:line="396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  <w:t>Ewelina Kurzydło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96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  <w:t xml:space="preserve">Zastępca Dyrektora 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96" w:lineRule="exact"/>
        <w:ind w:left="4500" w:right="0" w:firstLine="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  <w:r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  <w:t>Wydziału Prawnego i Nadzoru</w:t>
      </w:r>
    </w:p>
    <w:p w:rsidR="00A77B3E">
      <w:pPr>
        <w:keepNext w:val="0"/>
        <w:keepLines w:val="0"/>
        <w:numPr>
          <w:ilvl w:val="0"/>
          <w:numId w:val="0"/>
        </w:numPr>
        <w:spacing w:before="540" w:after="270" w:line="432" w:lineRule="exact"/>
        <w:ind w:left="0" w:right="15" w:firstLine="4950"/>
        <w:jc w:val="center"/>
        <w:rPr>
          <w:rFonts w:ascii="Arial" w:eastAsia="Arial" w:hAnsi="Arial" w:cs="Arial"/>
          <w:b/>
          <w:i w:val="0"/>
          <w:strike w:val="0"/>
          <w:color w:val="FF0033"/>
          <w:sz w:val="22"/>
          <w:u w:val="none"/>
          <w:vertAlign w:val="baseline"/>
        </w:rPr>
      </w:pPr>
    </w:p>
    <w:p w:rsidR="00A77B3E">
      <w:pPr>
        <w:keepNext w:val="0"/>
        <w:keepLines w:val="0"/>
        <w:numPr>
          <w:ilvl w:val="0"/>
          <w:numId w:val="0"/>
        </w:numPr>
        <w:spacing w:before="660" w:after="0" w:line="275" w:lineRule="exact"/>
        <w:ind w:left="0" w:right="15" w:firstLine="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sectPr>
          <w:headerReference w:type="default" r:id="rId5"/>
          <w:footerReference w:type="default" r:id="rId6"/>
          <w:headerReference w:type="first" r:id="rId7"/>
          <w:footerReference w:type="first" r:id="rId8"/>
          <w:endnotePr>
            <w:numFmt w:val="decimal"/>
          </w:endnotePr>
          <w:pgSz w:w="11906" w:h="16838"/>
          <w:pgMar w:top="1115" w:right="1060" w:bottom="1115" w:left="1060" w:header="0" w:footer="0" w:gutter="0"/>
          <w:cols w:space="708"/>
          <w:titlePg/>
          <w:docGrid w:linePitch="360"/>
        </w:sectPr>
      </w:pPr>
      <w:r>
        <w:rPr>
          <w:rFonts w:ascii="Arial" w:eastAsia="Arial" w:hAnsi="Arial" w:cs="Arial"/>
          <w:b w:val="0"/>
          <w:i w:val="0"/>
          <w:strike w:val="0"/>
          <w:color w:val="000000"/>
          <w:sz w:val="22"/>
          <w:u w:val="none"/>
          <w:vertAlign w:val="baseline"/>
        </w:rPr>
        <w:t>Prowadzący sprawę: Wojciech Cybulski  Referent prawny, Wydział Prawny i Nadzoru, tel. 77 45 24 549.</w:t>
      </w:r>
    </w:p>
    <w:p w:rsidR="00A77B3E">
      <w:pPr>
        <w:keepNext w:val="0"/>
        <w:keepLines w:val="0"/>
        <w:numPr>
          <w:ilvl w:val="0"/>
          <w:numId w:val="0"/>
        </w:numPr>
        <w:spacing w:before="105" w:after="105" w:line="306" w:lineRule="atLeast"/>
        <w:ind w:left="0" w:right="0" w:firstLine="0"/>
        <w:jc w:val="left"/>
        <w:rPr>
          <w:rFonts w:ascii="Times New Roman" w:eastAsia="Times New Roman" w:hAnsi="Times New Roman" w:cs="Times New Roman"/>
          <w:b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trike w:val="0"/>
          <w:color w:val="000000"/>
          <w:vertAlign w:val="baseline"/>
        </w:rPr>
        <w:drawing>
          <wp:inline>
            <wp:extent cx="304800" cy="304800"/>
            <wp:docPr id="12897331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331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 w:val="0"/>
          <w:strike w:val="0"/>
          <w:color w:val="000000"/>
          <w:sz w:val="22"/>
          <w:u w:val="none"/>
          <w:vertAlign w:val="baseline"/>
        </w:rPr>
        <w:t>POTWIERDZENIE ZGODNOŚCI KOPII Z DOKUMENTEM ELEKTRONICZNYM</w:t>
      </w:r>
    </w:p>
    <w:tbl>
      <w:tblPr>
        <w:tblStyle w:val="TableNormal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310"/>
        <w:gridCol w:w="7155"/>
        <w:gridCol w:w="17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Typ dokumentu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Rozstrzygnięcie nadzorcze w części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Tytuł dokumentu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43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43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Sygnatura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PN.III.4131.1.25.2022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Data dokumentu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2022-02-22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Data złożenia podpisu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2022-02-22 11:59:01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Osoba podpisująca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Ewelina Kurzydło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Wystawca certyfikatu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2.5.4.97=VATPL-5260300517, CN=COPE SZAFIR - Kwalifikowany, O=Krajowa Izba Rozliczeniowa S.A., C=PL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0" w:after="0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cantSplit w:val="0"/>
          <w:trHeight w:hRule="auto" w:val="0"/>
        </w:trPr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Identyfikator dokumentu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>49709B61-2768-4862-8809-3374FF66F392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7B3E">
            <w:pPr>
              <w:keepNext w:val="0"/>
              <w:keepLines w:val="0"/>
              <w:numPr>
                <w:ilvl w:val="0"/>
                <w:numId w:val="0"/>
              </w:numPr>
              <w:spacing w:before="105" w:after="105" w:line="314" w:lineRule="exact"/>
              <w:ind w:left="45" w:right="45" w:firstLine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pPr>
          </w:p>
        </w:tc>
      </w:tr>
    </w:tbl>
    <w:p w:rsidR="00A77B3E">
      <w:pPr>
        <w:keepNext w:val="0"/>
        <w:keepLines w:val="0"/>
        <w:numPr>
          <w:ilvl w:val="0"/>
          <w:numId w:val="0"/>
        </w:numPr>
        <w:spacing w:before="105" w:after="0" w:line="314" w:lineRule="exact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trike w:val="0"/>
          <w:color w:val="000000"/>
          <w:sz w:val="22"/>
          <w:u w:val="none"/>
          <w:vertAlign w:val="baseline"/>
        </w:rPr>
        <w:t>Data wydruku: 8 marca 2022</w:t>
      </w:r>
    </w:p>
    <w:p w:rsidR="00A77B3E">
      <w:pPr>
        <w:keepNext w:val="0"/>
        <w:keepLines w:val="0"/>
        <w:numPr>
          <w:ilvl w:val="0"/>
          <w:numId w:val="0"/>
        </w:numPr>
        <w:spacing w:before="0" w:after="0" w:line="314" w:lineRule="exact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strike w:val="0"/>
          <w:color w:val="000000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strike w:val="0"/>
          <w:color w:val="000000"/>
          <w:sz w:val="22"/>
          <w:u w:val="none"/>
          <w:vertAlign w:val="baseline"/>
        </w:rPr>
        <w:t>Autor wydruku: Wojciech Cybulski</w:t>
      </w:r>
    </w:p>
    <w:sectPr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15" w:right="1060" w:bottom="1115" w:left="1060" w:header="0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14" w:lineRule="exact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Strona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3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 xml:space="preserve"> z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3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</w:p>
  <w:p>
    <w:pPr>
      <w:keepNext w:val="0"/>
      <w:keepLines w:val="0"/>
      <w:numPr>
        <w:ilvl w:val="0"/>
        <w:numId w:val="0"/>
      </w:numPr>
      <w:spacing w:before="105" w:after="300" w:line="314" w:lineRule="exact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</w:pPr>
    <w: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  <w:t>Id: 49709B61-2768-4862-8809-3374FF66F392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14" w:lineRule="exact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Strona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1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 xml:space="preserve"> z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3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</w:p>
  <w:p>
    <w:pPr>
      <w:keepNext w:val="0"/>
      <w:keepLines w:val="0"/>
      <w:numPr>
        <w:ilvl w:val="0"/>
        <w:numId w:val="0"/>
      </w:numPr>
      <w:spacing w:before="105" w:after="300" w:line="314" w:lineRule="exact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</w:pPr>
    <w: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  <w:t>Id: 49709B61-2768-4862-8809-3374FF66F392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14" w:lineRule="exact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Strona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 xml:space="preserve"> z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</w:p>
  <w:p>
    <w:pPr>
      <w:keepNext w:val="0"/>
      <w:keepLines w:val="0"/>
      <w:numPr>
        <w:ilvl w:val="0"/>
        <w:numId w:val="0"/>
      </w:numPr>
      <w:spacing w:before="105" w:after="300" w:line="314" w:lineRule="exact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</w:pPr>
    <w: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  <w:t>Id: 49709B61-2768-4862-8809-3374FF66F392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14" w:lineRule="exact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u w:val="none"/>
        <w:vertAlign w:val="baseline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>Strona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t xml:space="preserve"> z 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vertAlign w:val="baseline"/>
      </w:rPr>
      <w:fldChar w:fldCharType="end"/>
    </w:r>
  </w:p>
  <w:p>
    <w:pPr>
      <w:keepNext w:val="0"/>
      <w:keepLines w:val="0"/>
      <w:numPr>
        <w:ilvl w:val="0"/>
        <w:numId w:val="0"/>
      </w:numPr>
      <w:spacing w:before="105" w:after="300" w:line="314" w:lineRule="exact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</w:pPr>
    <w: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u w:val="none"/>
        <w:vertAlign w:val="baseline"/>
      </w:rPr>
      <w:t>Id: 49709B61-2768-4862-8809-3374FF66F392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43" w:lineRule="exact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43" w:lineRule="exact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43" w:lineRule="exact"/>
      <w:ind w:left="0" w:righ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keepNext w:val="0"/>
      <w:keepLines w:val="0"/>
      <w:numPr>
        <w:ilvl w:val="0"/>
        <w:numId w:val="0"/>
      </w:numPr>
      <w:spacing w:before="105" w:after="105" w:line="343" w:lineRule="exact"/>
      <w:ind w:left="0" w:right="0" w:firstLine="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header" Target="header4.xml" /><Relationship Id="rId13" Type="http://schemas.openxmlformats.org/officeDocument/2006/relationships/footer" Target="footer4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