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0EB4E" w14:textId="4CE736AD" w:rsidR="00670144" w:rsidRPr="00670144" w:rsidRDefault="0074182F" w:rsidP="00670144">
      <w:pPr>
        <w:spacing w:line="276" w:lineRule="auto"/>
        <w:rPr>
          <w:rFonts w:cs="Calibri"/>
          <w:bCs/>
        </w:rPr>
      </w:pPr>
      <w:r w:rsidRPr="00920F3C">
        <w:rPr>
          <w:rFonts w:cstheme="minorHAnsi"/>
          <w:bCs/>
        </w:rPr>
        <w:t>data:</w:t>
      </w:r>
      <w:r w:rsidR="005711EE">
        <w:rPr>
          <w:rFonts w:cstheme="minorHAnsi"/>
          <w:bCs/>
        </w:rPr>
        <w:t xml:space="preserve"> </w:t>
      </w:r>
      <w:r w:rsidR="00E355A9">
        <w:rPr>
          <w:rFonts w:cstheme="minorHAnsi"/>
          <w:bCs/>
        </w:rPr>
        <w:t>15.03.</w:t>
      </w:r>
      <w:r w:rsidRPr="003E790D">
        <w:rPr>
          <w:rFonts w:cstheme="minorHAnsi"/>
          <w:bCs/>
        </w:rPr>
        <w:t>2024</w:t>
      </w:r>
      <w:r w:rsidR="00A25CDE">
        <w:rPr>
          <w:rFonts w:cstheme="minorHAnsi"/>
          <w:bCs/>
        </w:rPr>
        <w:t xml:space="preserve"> </w:t>
      </w:r>
      <w:r w:rsidRPr="003E790D">
        <w:rPr>
          <w:rFonts w:cstheme="minorHAnsi"/>
          <w:bCs/>
        </w:rPr>
        <w:t>r.</w:t>
      </w:r>
      <w:r w:rsidRPr="00920F3C">
        <w:rPr>
          <w:rFonts w:cstheme="minorHAnsi"/>
          <w:bCs/>
        </w:rPr>
        <w:br/>
      </w:r>
      <w:r w:rsidR="00670144" w:rsidRPr="00670144">
        <w:rPr>
          <w:rFonts w:cs="Calibri"/>
        </w:rPr>
        <w:t>znak sprawy: D02B03.72.2.</w:t>
      </w:r>
      <w:r w:rsidR="00E355A9">
        <w:rPr>
          <w:rFonts w:cs="Calibri"/>
        </w:rPr>
        <w:t>3</w:t>
      </w:r>
      <w:r w:rsidR="00670144" w:rsidRPr="00670144">
        <w:rPr>
          <w:rFonts w:cs="Calibri"/>
        </w:rPr>
        <w:t>.2024</w:t>
      </w:r>
      <w:r w:rsidR="00670144" w:rsidRPr="00670144">
        <w:rPr>
          <w:rFonts w:cs="Calibri"/>
          <w:bCs/>
        </w:rPr>
        <w:br/>
      </w:r>
      <w:r w:rsidR="00670144" w:rsidRPr="00670144">
        <w:rPr>
          <w:rFonts w:cs="Calibri"/>
        </w:rPr>
        <w:t xml:space="preserve">osoba do kontaktu: Beata Żołek, Marta Panasiuk </w:t>
      </w:r>
      <w:r w:rsidR="00670144" w:rsidRPr="00670144">
        <w:rPr>
          <w:rFonts w:cs="Calibri"/>
        </w:rPr>
        <w:br/>
        <w:t>e-mail: BZolek@cppc.gov.pl; MPanasiuk@cppc.gov.pl</w:t>
      </w:r>
    </w:p>
    <w:p w14:paraId="113FDA31" w14:textId="1F2DEA56" w:rsidR="00670144" w:rsidRPr="00670144" w:rsidRDefault="00E355A9" w:rsidP="00670144">
      <w:pPr>
        <w:spacing w:line="276" w:lineRule="auto"/>
      </w:pPr>
      <w:r>
        <w:t>Ostateczni odbiorcy wsparcia Inwestycji C</w:t>
      </w:r>
      <w:r w:rsidR="00670144" w:rsidRPr="00670144">
        <w:t>.</w:t>
      </w:r>
      <w:r>
        <w:t>1.1.1 KPO</w:t>
      </w:r>
      <w:r w:rsidR="00670144" w:rsidRPr="00670144">
        <w:br/>
        <w:t>wg. rozdzielnika</w:t>
      </w:r>
      <w:r w:rsidR="00670144" w:rsidRPr="00670144">
        <w:br/>
      </w:r>
    </w:p>
    <w:p w14:paraId="59A24EE2" w14:textId="77777777" w:rsidR="00670144" w:rsidRPr="00670144" w:rsidRDefault="00670144" w:rsidP="00670144">
      <w:pPr>
        <w:keepNext/>
        <w:keepLines/>
        <w:spacing w:line="276" w:lineRule="auto"/>
        <w:outlineLvl w:val="0"/>
        <w:rPr>
          <w:rFonts w:eastAsia="MS Gothic" w:cs="Calibri"/>
          <w:b/>
          <w:bCs/>
        </w:rPr>
      </w:pPr>
      <w:r w:rsidRPr="00670144">
        <w:rPr>
          <w:rFonts w:eastAsia="MS Gothic" w:cs="Calibri"/>
          <w:b/>
          <w:bCs/>
        </w:rPr>
        <w:t xml:space="preserve">Dotyczy: Objęcie zasięgiem punktów adresowych wskazanych na obszarze konkursowym </w:t>
      </w:r>
    </w:p>
    <w:p w14:paraId="42B92013" w14:textId="77777777" w:rsidR="00670144" w:rsidRPr="00670144" w:rsidRDefault="00670144" w:rsidP="00670144">
      <w:pPr>
        <w:rPr>
          <w:rFonts w:cs="Calibri"/>
          <w:bCs/>
          <w:iCs/>
          <w:color w:val="000000" w:themeColor="text1"/>
          <w:lang w:eastAsia="pl-PL"/>
        </w:rPr>
      </w:pPr>
      <w:r w:rsidRPr="00670144">
        <w:rPr>
          <w:rFonts w:cs="Calibri"/>
          <w:bCs/>
          <w:iCs/>
          <w:color w:val="000000" w:themeColor="text1"/>
          <w:lang w:eastAsia="pl-PL"/>
        </w:rPr>
        <w:t>Szanowni Państwo,</w:t>
      </w:r>
    </w:p>
    <w:p w14:paraId="531048ED" w14:textId="60AAEBC7" w:rsidR="00670144" w:rsidRPr="00670144" w:rsidRDefault="00670144" w:rsidP="00670144">
      <w:pPr>
        <w:rPr>
          <w:rFonts w:cs="Calibri"/>
          <w:bCs/>
          <w:iCs/>
        </w:rPr>
      </w:pPr>
      <w:r w:rsidRPr="00670144">
        <w:rPr>
          <w:rFonts w:cs="Calibri"/>
          <w:bCs/>
          <w:iCs/>
        </w:rPr>
        <w:t xml:space="preserve">uprzejmie przypominam, że zgodnie z warunkami uczestnictwa w konkursie określonymi w § 4 </w:t>
      </w:r>
      <w:r w:rsidR="0092755B">
        <w:rPr>
          <w:rFonts w:cs="Calibri"/>
          <w:bCs/>
          <w:iCs/>
        </w:rPr>
        <w:t xml:space="preserve">ust. 9 </w:t>
      </w:r>
      <w:r w:rsidRPr="00670144">
        <w:rPr>
          <w:rFonts w:cs="Calibri"/>
          <w:bCs/>
          <w:i/>
        </w:rPr>
        <w:t xml:space="preserve">Regulaminu wyboru </w:t>
      </w:r>
      <w:r w:rsidRPr="00670144">
        <w:rPr>
          <w:rFonts w:cs="Calibri"/>
          <w:bCs/>
          <w:iCs/>
        </w:rPr>
        <w:t xml:space="preserve">(dalej: Regulamin) wnioskodawcy zostali zobowiązani do objęcia zasięgiem sieci 100% liczby punktów adresowych wskazanych na danym obszarze konkursowym. Ten obowiązek został również wskazany w treści umowy o </w:t>
      </w:r>
      <w:r w:rsidR="00C02E9A">
        <w:rPr>
          <w:rFonts w:cs="Calibri"/>
          <w:bCs/>
          <w:iCs/>
        </w:rPr>
        <w:t>objęcie Przedsięwzięcia wsparciem (dalej: umowa)</w:t>
      </w:r>
      <w:r w:rsidRPr="00670144">
        <w:rPr>
          <w:rFonts w:cs="Calibri"/>
          <w:bCs/>
          <w:iCs/>
        </w:rPr>
        <w:t xml:space="preserve">, zgodnie z § 5 ust. 4 </w:t>
      </w:r>
      <w:r w:rsidR="003D0277">
        <w:rPr>
          <w:rFonts w:cs="Calibri"/>
          <w:bCs/>
          <w:iCs/>
        </w:rPr>
        <w:t>ostateczny odbiorca wsparcia</w:t>
      </w:r>
      <w:r w:rsidRPr="00670144">
        <w:rPr>
          <w:rFonts w:cs="Calibri"/>
          <w:bCs/>
          <w:iCs/>
        </w:rPr>
        <w:t xml:space="preserve"> jest zobowiązany objąć zasięgiem wszystkie punkty adresowe określone na obszarze, a zgodnie z § 21 ust. 9 przesłanką, która czyni to zobowiązanie jako niemożliwe do zrealizowania są bariery inwestycyjne (dalej: bariery). Przypominam, że bariery opisano w załączniku nr 7 do umowy, który określa dwa rodzaje barier: związane z wyznaczaniem białych plam</w:t>
      </w:r>
      <w:r w:rsidR="00D84B35">
        <w:rPr>
          <w:rFonts w:cs="Calibri"/>
          <w:bCs/>
          <w:iCs/>
        </w:rPr>
        <w:t xml:space="preserve"> oraz</w:t>
      </w:r>
      <w:r w:rsidRPr="00670144">
        <w:rPr>
          <w:rFonts w:cs="Calibri"/>
          <w:bCs/>
          <w:iCs/>
        </w:rPr>
        <w:t xml:space="preserve"> związane z utrudnionym dostępem do dróg, nieruchomości. </w:t>
      </w:r>
    </w:p>
    <w:p w14:paraId="32CA85A3" w14:textId="36DBF124" w:rsidR="00670144" w:rsidRPr="00670144" w:rsidRDefault="00670144" w:rsidP="00670144">
      <w:pPr>
        <w:rPr>
          <w:rFonts w:cs="Calibri"/>
          <w:bCs/>
          <w:iCs/>
        </w:rPr>
      </w:pPr>
      <w:r w:rsidRPr="00670144">
        <w:rPr>
          <w:rFonts w:cs="Calibri"/>
          <w:bCs/>
          <w:iCs/>
        </w:rPr>
        <w:t xml:space="preserve">Jeśli w trakcie realizacji </w:t>
      </w:r>
      <w:r w:rsidR="00C02E9A">
        <w:rPr>
          <w:rFonts w:cs="Calibri"/>
          <w:bCs/>
          <w:iCs/>
        </w:rPr>
        <w:t>Przedsięwzięcia</w:t>
      </w:r>
      <w:r w:rsidRPr="00670144">
        <w:rPr>
          <w:rFonts w:cs="Calibri"/>
          <w:bCs/>
          <w:iCs/>
        </w:rPr>
        <w:t xml:space="preserve"> pozyskają Państwo informację, że dla danego punktu adresowego wystąpiła bariera, można taki punkt zgłosić do Centrum Projektów Polska Cyfrowa (dalej: CPPC), które pełni funkcję </w:t>
      </w:r>
      <w:r w:rsidR="003D0277">
        <w:rPr>
          <w:rFonts w:cs="Calibri"/>
          <w:bCs/>
          <w:iCs/>
        </w:rPr>
        <w:t>Jednostki Wdrażającej</w:t>
      </w:r>
      <w:r w:rsidRPr="00670144">
        <w:rPr>
          <w:rFonts w:cs="Calibri"/>
          <w:bCs/>
          <w:iCs/>
        </w:rPr>
        <w:t xml:space="preserve"> (dalej: </w:t>
      </w:r>
      <w:r w:rsidR="003D0277">
        <w:rPr>
          <w:rFonts w:cs="Calibri"/>
          <w:bCs/>
          <w:iCs/>
        </w:rPr>
        <w:t>JW</w:t>
      </w:r>
      <w:r w:rsidRPr="00670144">
        <w:rPr>
          <w:rFonts w:cs="Calibri"/>
          <w:bCs/>
          <w:iCs/>
        </w:rPr>
        <w:t xml:space="preserve">). Po weryfikacji zgłoszenia przez </w:t>
      </w:r>
      <w:r w:rsidR="003D0277">
        <w:rPr>
          <w:rFonts w:cs="Calibri"/>
          <w:bCs/>
          <w:iCs/>
        </w:rPr>
        <w:t>JW</w:t>
      </w:r>
      <w:r w:rsidRPr="00670144">
        <w:rPr>
          <w:rFonts w:cs="Calibri"/>
          <w:bCs/>
          <w:iCs/>
        </w:rPr>
        <w:t>, będą Państwo mogli wyłączyć taki punkt z zakresu pr</w:t>
      </w:r>
      <w:r w:rsidR="003D0277">
        <w:rPr>
          <w:rFonts w:cs="Calibri"/>
          <w:bCs/>
          <w:iCs/>
        </w:rPr>
        <w:t>zedsięwzięcia</w:t>
      </w:r>
      <w:r w:rsidRPr="00670144">
        <w:rPr>
          <w:rFonts w:cs="Calibri"/>
          <w:bCs/>
          <w:iCs/>
        </w:rPr>
        <w:t xml:space="preserve">. </w:t>
      </w:r>
    </w:p>
    <w:p w14:paraId="1E759A61" w14:textId="1596171D" w:rsidR="00670144" w:rsidRPr="00670144" w:rsidRDefault="00670144" w:rsidP="00670144">
      <w:pPr>
        <w:rPr>
          <w:rFonts w:cs="Calibri"/>
          <w:bCs/>
          <w:iCs/>
        </w:rPr>
      </w:pPr>
      <w:r w:rsidRPr="00670144">
        <w:rPr>
          <w:rFonts w:cs="Calibri"/>
          <w:bCs/>
          <w:iCs/>
        </w:rPr>
        <w:t xml:space="preserve">Dodatkowo informuję, że co kwartał będziemy wysyłać do Państwa informacje o punktach adresowych, które zgodnie z danymi widniejącymi w SIDUSIS zostały już objęte zasięgiem sieci innych operatorów. Do Państwa będzie należała decyzja, czy wskazane przez nas punkty będą </w:t>
      </w:r>
      <w:r w:rsidRPr="00670144">
        <w:rPr>
          <w:rFonts w:cs="Calibri"/>
          <w:bCs/>
          <w:iCs/>
        </w:rPr>
        <w:lastRenderedPageBreak/>
        <w:t>wyłączane z zakresu Pr</w:t>
      </w:r>
      <w:r w:rsidR="003D0277">
        <w:rPr>
          <w:rFonts w:cs="Calibri"/>
          <w:bCs/>
          <w:iCs/>
        </w:rPr>
        <w:t>zedsięwzięcia</w:t>
      </w:r>
      <w:r w:rsidRPr="00670144">
        <w:rPr>
          <w:rFonts w:cs="Calibri"/>
          <w:bCs/>
          <w:iCs/>
        </w:rPr>
        <w:t xml:space="preserve"> czy też nie. W przypadku chęci pozostawienia takiego punktu w ramach </w:t>
      </w:r>
      <w:r w:rsidR="003D0277">
        <w:rPr>
          <w:rFonts w:cs="Calibri"/>
          <w:bCs/>
          <w:iCs/>
        </w:rPr>
        <w:t>Przedsięwzięcia</w:t>
      </w:r>
      <w:r w:rsidRPr="00670144">
        <w:rPr>
          <w:rFonts w:cs="Calibri"/>
          <w:bCs/>
          <w:iCs/>
        </w:rPr>
        <w:t xml:space="preserve"> konieczne będzie </w:t>
      </w:r>
      <w:r w:rsidRPr="00A00D84">
        <w:rPr>
          <w:rFonts w:cs="Calibri"/>
          <w:bCs/>
          <w:iCs/>
        </w:rPr>
        <w:t xml:space="preserve">przedstawienie </w:t>
      </w:r>
      <w:r w:rsidR="00D84B35" w:rsidRPr="00A00D84">
        <w:rPr>
          <w:rFonts w:cs="Calibri"/>
          <w:bCs/>
          <w:iCs/>
        </w:rPr>
        <w:t>oświadczenia</w:t>
      </w:r>
      <w:r w:rsidRPr="00A00D84">
        <w:rPr>
          <w:rFonts w:cs="Calibri"/>
          <w:bCs/>
          <w:iCs/>
        </w:rPr>
        <w:t>, że przed pozyskaniem informacji o wyczernieniu punktu, już rozpoczęli Państwo prace związane z budową sieci do</w:t>
      </w:r>
      <w:r w:rsidRPr="00670144">
        <w:rPr>
          <w:rFonts w:cs="Calibri"/>
          <w:bCs/>
          <w:iCs/>
        </w:rPr>
        <w:t xml:space="preserve"> wskazanego adresu, rozpoczął się proces inwestycyjny, poniesiono pierwsze nakłady czy też zaprojektowana/budowana przez Państwa sieć przebiega w pobliżu takiego punktu. </w:t>
      </w:r>
    </w:p>
    <w:p w14:paraId="20B03EC0" w14:textId="3DBD4337" w:rsidR="00670144" w:rsidRPr="00670144" w:rsidRDefault="00670144" w:rsidP="00670144">
      <w:pPr>
        <w:rPr>
          <w:rFonts w:cs="Calibri"/>
          <w:bCs/>
          <w:iCs/>
        </w:rPr>
      </w:pPr>
      <w:r w:rsidRPr="00670144">
        <w:rPr>
          <w:rFonts w:cs="Calibri"/>
          <w:bCs/>
          <w:iCs/>
        </w:rPr>
        <w:t xml:space="preserve">Podsumowując, Regulamin jak i umowa nakładają na Państwa obowiązek objęcia zasięgiem wszystkich punktów adresowych wskazanych na danym obszarze, jednakże jeśli wykażą Państwo wystąpienie barier inwestycyjnych wówczas zakres </w:t>
      </w:r>
      <w:r w:rsidR="003D0277">
        <w:rPr>
          <w:rFonts w:cs="Calibri"/>
          <w:bCs/>
          <w:iCs/>
        </w:rPr>
        <w:t>Przedsięwzięcia</w:t>
      </w:r>
      <w:r w:rsidRPr="00670144">
        <w:rPr>
          <w:rFonts w:cs="Calibri"/>
          <w:bCs/>
          <w:iCs/>
        </w:rPr>
        <w:t xml:space="preserve"> zostanie pomniejszony o punkty adresowe objęte barierą. Ponadto CPPC, raz na kwartał, będzie informować Państwa o wyczernionych punktach, które po </w:t>
      </w:r>
      <w:r w:rsidRPr="00A00D84">
        <w:rPr>
          <w:rFonts w:cs="Calibri"/>
          <w:bCs/>
          <w:iCs/>
        </w:rPr>
        <w:t>potwierdzeniu z Państwem będą stanowić barierę i tym samym pomniejszą zobowiązanie umowne</w:t>
      </w:r>
      <w:r w:rsidR="00A00D84" w:rsidRPr="00A00D84">
        <w:rPr>
          <w:rFonts w:cs="Calibri"/>
          <w:bCs/>
          <w:iCs/>
        </w:rPr>
        <w:t xml:space="preserve"> lub pozostaną w projekcie po przedłożeniu oświadczeń opisanych powyżej dotyczących rozpoczętego procesu inwestycyjnego.</w:t>
      </w:r>
      <w:r w:rsidR="00A00D84">
        <w:rPr>
          <w:rFonts w:cs="Calibri"/>
          <w:bCs/>
          <w:iCs/>
        </w:rPr>
        <w:t xml:space="preserve"> </w:t>
      </w:r>
      <w:r w:rsidRPr="00670144">
        <w:rPr>
          <w:rFonts w:cs="Calibri"/>
          <w:bCs/>
          <w:iCs/>
        </w:rPr>
        <w:t xml:space="preserve"> </w:t>
      </w:r>
    </w:p>
    <w:p w14:paraId="2464187B" w14:textId="1B05BE2B" w:rsidR="00670144" w:rsidRPr="00670144" w:rsidRDefault="00670144" w:rsidP="00670144">
      <w:pPr>
        <w:rPr>
          <w:rFonts w:cs="Calibri"/>
          <w:bCs/>
          <w:iCs/>
        </w:rPr>
      </w:pPr>
      <w:r w:rsidRPr="00670144">
        <w:rPr>
          <w:rFonts w:cs="Calibri"/>
          <w:bCs/>
          <w:iCs/>
        </w:rPr>
        <w:t xml:space="preserve">Jednocześnie informuję, że w przypadku udostępnienia przez CPPC Listy dodatkowej będą Państwo mogli, na podstawie § 21 ust. 10 umowy, włączyć wskazane na tej liście punkty adresowe do zakresu projektu w zamian za punkty objęte barierą. Jeśli nie zdecydują się Państwo na uwzględnienie punktów adresowych z Listy dodatkowej wówczas zgodnie z ust. 11 zostanie pomniejszony wskaźnik określony we wniosku o </w:t>
      </w:r>
      <w:r w:rsidR="003D0277">
        <w:rPr>
          <w:rFonts w:cs="Calibri"/>
          <w:bCs/>
          <w:iCs/>
        </w:rPr>
        <w:t>objęcie Przedsięwzięcia wsparciem</w:t>
      </w:r>
      <w:r w:rsidRPr="00670144">
        <w:rPr>
          <w:rFonts w:cs="Calibri"/>
          <w:bCs/>
          <w:iCs/>
        </w:rPr>
        <w:t xml:space="preserve">, a tym samym kwota przyznanego </w:t>
      </w:r>
      <w:r w:rsidR="00C02E9A">
        <w:rPr>
          <w:rFonts w:cs="Calibri"/>
          <w:bCs/>
          <w:iCs/>
        </w:rPr>
        <w:t>wsparcia</w:t>
      </w:r>
      <w:r w:rsidRPr="00670144">
        <w:rPr>
          <w:rFonts w:cs="Calibri"/>
          <w:bCs/>
          <w:iCs/>
        </w:rPr>
        <w:t xml:space="preserve">.  </w:t>
      </w:r>
    </w:p>
    <w:p w14:paraId="2F0BDA29" w14:textId="77777777" w:rsidR="00670144" w:rsidRPr="00670144" w:rsidRDefault="00670144" w:rsidP="00670144">
      <w:pPr>
        <w:keepNext/>
        <w:keepLines/>
        <w:outlineLvl w:val="1"/>
        <w:rPr>
          <w:rFonts w:eastAsia="MS Gothic"/>
          <w:b/>
          <w:szCs w:val="26"/>
        </w:rPr>
      </w:pPr>
      <w:r w:rsidRPr="00670144">
        <w:rPr>
          <w:rFonts w:cs="Calibri"/>
          <w:bCs/>
          <w:iCs/>
        </w:rPr>
        <w:t xml:space="preserve"> </w:t>
      </w:r>
      <w:r w:rsidRPr="00670144">
        <w:rPr>
          <w:rFonts w:eastAsia="MS Gothic"/>
          <w:b/>
          <w:szCs w:val="26"/>
        </w:rPr>
        <w:t>Podstawa prawna:</w:t>
      </w:r>
    </w:p>
    <w:p w14:paraId="74BD2890" w14:textId="4D9D6CF5" w:rsidR="00670144" w:rsidRDefault="00670144" w:rsidP="00670144">
      <w:pPr>
        <w:numPr>
          <w:ilvl w:val="0"/>
          <w:numId w:val="18"/>
        </w:numPr>
        <w:contextualSpacing/>
      </w:pPr>
      <w:bookmarkStart w:id="0" w:name="_Hlk161394460"/>
      <w:r w:rsidRPr="00670144">
        <w:t xml:space="preserve">Regulamin wyboru Nabór nr </w:t>
      </w:r>
      <w:r w:rsidR="00E355A9" w:rsidRPr="00E355A9">
        <w:t>KPOD.05.02-IW.06-001/2</w:t>
      </w:r>
      <w:bookmarkEnd w:id="0"/>
      <w:r w:rsidR="00E355A9" w:rsidRPr="00E355A9">
        <w:t>3</w:t>
      </w:r>
    </w:p>
    <w:p w14:paraId="170C3350" w14:textId="45EEB0D2" w:rsidR="00E355A9" w:rsidRPr="00670144" w:rsidRDefault="00E355A9" w:rsidP="00670144">
      <w:pPr>
        <w:numPr>
          <w:ilvl w:val="0"/>
          <w:numId w:val="18"/>
        </w:numPr>
        <w:contextualSpacing/>
      </w:pPr>
      <w:r w:rsidRPr="00670144">
        <w:t xml:space="preserve">Regulamin wyboru Nabór nr </w:t>
      </w:r>
      <w:r w:rsidRPr="00E355A9">
        <w:t>KPOD.05.02-IW.06-00</w:t>
      </w:r>
      <w:r>
        <w:t>2</w:t>
      </w:r>
      <w:r w:rsidRPr="00E355A9">
        <w:t>/2</w:t>
      </w:r>
      <w:r>
        <w:t>3</w:t>
      </w:r>
    </w:p>
    <w:p w14:paraId="17CA1C11" w14:textId="10DA48D1" w:rsidR="00670144" w:rsidRPr="00670144" w:rsidRDefault="00670144" w:rsidP="00670144">
      <w:pPr>
        <w:numPr>
          <w:ilvl w:val="0"/>
          <w:numId w:val="18"/>
        </w:numPr>
        <w:contextualSpacing/>
      </w:pPr>
      <w:r w:rsidRPr="00670144">
        <w:t xml:space="preserve">Umowa o </w:t>
      </w:r>
      <w:r w:rsidR="00E355A9">
        <w:t xml:space="preserve">objęcie </w:t>
      </w:r>
      <w:r w:rsidR="0092755B">
        <w:t>P</w:t>
      </w:r>
      <w:r w:rsidR="00E355A9">
        <w:t xml:space="preserve">rzedsięwzięcia wsparciem w ramach Krajowego Planu Odbudowy i Zwiększania Odporności, </w:t>
      </w:r>
      <w:r w:rsidR="00E355A9" w:rsidRPr="00E355A9">
        <w:t xml:space="preserve">Komponent C: Transformacja cyfrowa Reforma C1.1.: Ułatwienie rozwoju infrastruktury sieciowej zapewniającej powszechny dostęp do szybkiego </w:t>
      </w:r>
      <w:proofErr w:type="spellStart"/>
      <w:r w:rsidR="00E355A9" w:rsidRPr="00E355A9">
        <w:t>internetu</w:t>
      </w:r>
      <w:proofErr w:type="spellEnd"/>
      <w:r w:rsidR="0092755B">
        <w:t>,</w:t>
      </w:r>
      <w:r w:rsidR="00E355A9" w:rsidRPr="00E355A9">
        <w:t xml:space="preserve"> Inwestycja C1.1.1: Zapewnienie dostępu do bardzo szybkiego </w:t>
      </w:r>
      <w:proofErr w:type="spellStart"/>
      <w:r w:rsidR="00E355A9" w:rsidRPr="00E355A9">
        <w:t>internetu</w:t>
      </w:r>
      <w:proofErr w:type="spellEnd"/>
      <w:r w:rsidR="00E355A9" w:rsidRPr="00E355A9">
        <w:t xml:space="preserve"> na obszarach białych plam</w:t>
      </w:r>
    </w:p>
    <w:p w14:paraId="1EC5D06B" w14:textId="77777777" w:rsidR="00670144" w:rsidRDefault="00670144" w:rsidP="00670144">
      <w:pPr>
        <w:spacing w:line="276" w:lineRule="auto"/>
        <w:ind w:firstLine="4253"/>
        <w:rPr>
          <w:rFonts w:cs="Calibri"/>
          <w:bCs/>
        </w:rPr>
      </w:pPr>
    </w:p>
    <w:p w14:paraId="3FA3867A" w14:textId="50794711" w:rsidR="00670144" w:rsidRPr="00670144" w:rsidRDefault="00670144" w:rsidP="00670144">
      <w:pPr>
        <w:spacing w:line="276" w:lineRule="auto"/>
        <w:ind w:firstLine="4253"/>
        <w:rPr>
          <w:rFonts w:cs="Calibri"/>
          <w:bCs/>
        </w:rPr>
      </w:pPr>
      <w:r w:rsidRPr="00670144">
        <w:rPr>
          <w:rFonts w:cs="Calibri"/>
          <w:bCs/>
        </w:rPr>
        <w:lastRenderedPageBreak/>
        <w:t>Z wyrazami szacunku</w:t>
      </w:r>
    </w:p>
    <w:p w14:paraId="1296C540" w14:textId="7F6AC90A" w:rsidR="0074182F" w:rsidRDefault="00670144" w:rsidP="00670144">
      <w:pPr>
        <w:ind w:left="4253"/>
        <w:rPr>
          <w:rFonts w:cstheme="minorHAnsi"/>
          <w:bCs/>
          <w:iCs/>
        </w:rPr>
      </w:pPr>
      <w:r w:rsidRPr="00670144">
        <w:rPr>
          <w:rFonts w:cs="Calibri"/>
          <w:bCs/>
        </w:rPr>
        <w:t>wz. Marta Panasiuk</w:t>
      </w:r>
      <w:r w:rsidRPr="00670144">
        <w:rPr>
          <w:rFonts w:cs="Calibri"/>
          <w:bCs/>
        </w:rPr>
        <w:br/>
        <w:t>Naczelnik Wydziału</w:t>
      </w:r>
      <w:r w:rsidRPr="00670144">
        <w:rPr>
          <w:rFonts w:cs="Calibri"/>
          <w:bCs/>
        </w:rPr>
        <w:br/>
        <w:t xml:space="preserve">Biuro Projektów Sektora TCB – Telekomunikacji i </w:t>
      </w:r>
      <w:proofErr w:type="spellStart"/>
      <w:r w:rsidRPr="00670144">
        <w:rPr>
          <w:rFonts w:cs="Calibri"/>
          <w:bCs/>
        </w:rPr>
        <w:t>Cyberbezpieczeństwa</w:t>
      </w:r>
      <w:proofErr w:type="spellEnd"/>
      <w:r w:rsidRPr="00670144">
        <w:rPr>
          <w:rFonts w:cs="Calibri"/>
          <w:bCs/>
        </w:rPr>
        <w:t xml:space="preserve"> </w:t>
      </w:r>
      <w:r w:rsidRPr="00670144">
        <w:rPr>
          <w:rFonts w:cs="Calibri"/>
          <w:bCs/>
        </w:rPr>
        <w:br/>
        <w:t>/podpisano elektronicznie/</w:t>
      </w:r>
    </w:p>
    <w:sectPr w:rsidR="0074182F" w:rsidSect="00484D8B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283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041C9" w14:textId="77777777" w:rsidR="00484D8B" w:rsidRDefault="00484D8B">
      <w:r>
        <w:separator/>
      </w:r>
    </w:p>
  </w:endnote>
  <w:endnote w:type="continuationSeparator" w:id="0">
    <w:p w14:paraId="7AC8F1D5" w14:textId="77777777" w:rsidR="00484D8B" w:rsidRDefault="0048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8AA9E" w14:textId="43BF84C2" w:rsidR="00266608" w:rsidRPr="00266608" w:rsidRDefault="00000000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rFonts w:asciiTheme="minorHAnsi" w:hAnsiTheme="minorHAnsi" w:cstheme="minorBidi"/>
        <w:noProof/>
        <w:sz w:val="10"/>
        <w:szCs w:val="10"/>
        <w:lang w:val="en-US"/>
      </w:rPr>
      <w:pict w14:anchorId="282506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56.45pt;margin-top:489.1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266608"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73F9AE1F" wp14:editId="565AC4A7">
          <wp:simplePos x="0" y="0"/>
          <wp:positionH relativeFrom="column">
            <wp:posOffset>2751455</wp:posOffset>
          </wp:positionH>
          <wp:positionV relativeFrom="paragraph">
            <wp:posOffset>32385</wp:posOffset>
          </wp:positionV>
          <wp:extent cx="3543300" cy="209550"/>
          <wp:effectExtent l="0" t="0" r="0" b="0"/>
          <wp:wrapSquare wrapText="bothSides"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43300" cy="209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6608" w:rsidRPr="00E33827">
      <w:rPr>
        <w:rFonts w:cs="Arial"/>
        <w:sz w:val="10"/>
        <w:szCs w:val="10"/>
      </w:rPr>
      <w:t>CENTRUM PROJEKTÓW POLSKA CYFROWA</w:t>
    </w:r>
    <w:r w:rsidR="00266608" w:rsidRPr="00E33827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6D32C" w14:textId="77777777" w:rsidR="00484D8B" w:rsidRDefault="00484D8B">
      <w:r>
        <w:separator/>
      </w:r>
    </w:p>
  </w:footnote>
  <w:footnote w:type="continuationSeparator" w:id="0">
    <w:p w14:paraId="063902DB" w14:textId="77777777" w:rsidR="00484D8B" w:rsidRDefault="00484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9DBD3" w14:textId="0DD2E12E" w:rsidR="00AF3CB9" w:rsidRPr="00266608" w:rsidRDefault="00266608" w:rsidP="00266608">
    <w:pPr>
      <w:pStyle w:val="Nagwek"/>
    </w:pPr>
    <w:r>
      <w:rPr>
        <w:noProof/>
        <w:color w:val="646464"/>
        <w:lang w:eastAsia="pl-PL"/>
      </w:rPr>
      <w:drawing>
        <wp:inline distT="0" distB="0" distL="0" distR="0" wp14:anchorId="6E155F00" wp14:editId="44EA732B">
          <wp:extent cx="1447800" cy="580557"/>
          <wp:effectExtent l="0" t="0" r="0" b="0"/>
          <wp:docPr id="1426130900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C4759"/>
    <w:multiLevelType w:val="hybridMultilevel"/>
    <w:tmpl w:val="EE106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8"/>
  </w:num>
  <w:num w:numId="12" w16cid:durableId="1726102718">
    <w:abstractNumId w:val="17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  <w:num w:numId="18" w16cid:durableId="15280599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878A5"/>
    <w:rsid w:val="00094EF6"/>
    <w:rsid w:val="000E21EF"/>
    <w:rsid w:val="00112256"/>
    <w:rsid w:val="00154069"/>
    <w:rsid w:val="001561C5"/>
    <w:rsid w:val="001642E6"/>
    <w:rsid w:val="0016640A"/>
    <w:rsid w:val="00214307"/>
    <w:rsid w:val="002571F6"/>
    <w:rsid w:val="00266608"/>
    <w:rsid w:val="002B08FC"/>
    <w:rsid w:val="002D66BB"/>
    <w:rsid w:val="002E6BDD"/>
    <w:rsid w:val="002F66E8"/>
    <w:rsid w:val="00310274"/>
    <w:rsid w:val="003134FE"/>
    <w:rsid w:val="003816DA"/>
    <w:rsid w:val="003836FA"/>
    <w:rsid w:val="003928DF"/>
    <w:rsid w:val="003D0277"/>
    <w:rsid w:val="003F4879"/>
    <w:rsid w:val="00412555"/>
    <w:rsid w:val="00482EA3"/>
    <w:rsid w:val="004844AD"/>
    <w:rsid w:val="00484D8B"/>
    <w:rsid w:val="00501986"/>
    <w:rsid w:val="005115C2"/>
    <w:rsid w:val="005711EE"/>
    <w:rsid w:val="005A056A"/>
    <w:rsid w:val="005B7917"/>
    <w:rsid w:val="005E22E2"/>
    <w:rsid w:val="00621B05"/>
    <w:rsid w:val="00670144"/>
    <w:rsid w:val="006760F1"/>
    <w:rsid w:val="006D19B4"/>
    <w:rsid w:val="006E040C"/>
    <w:rsid w:val="007021C9"/>
    <w:rsid w:val="00702ABE"/>
    <w:rsid w:val="007077F2"/>
    <w:rsid w:val="007144E3"/>
    <w:rsid w:val="00735497"/>
    <w:rsid w:val="0074182F"/>
    <w:rsid w:val="0076081E"/>
    <w:rsid w:val="00760990"/>
    <w:rsid w:val="00761B48"/>
    <w:rsid w:val="00780D75"/>
    <w:rsid w:val="007D7014"/>
    <w:rsid w:val="00805050"/>
    <w:rsid w:val="00824064"/>
    <w:rsid w:val="00842E66"/>
    <w:rsid w:val="00863D3F"/>
    <w:rsid w:val="0086661E"/>
    <w:rsid w:val="0088784C"/>
    <w:rsid w:val="008878B6"/>
    <w:rsid w:val="008C29F4"/>
    <w:rsid w:val="008C4DE6"/>
    <w:rsid w:val="0092755B"/>
    <w:rsid w:val="009A5797"/>
    <w:rsid w:val="009B7B29"/>
    <w:rsid w:val="009E0856"/>
    <w:rsid w:val="00A00D84"/>
    <w:rsid w:val="00A25CDE"/>
    <w:rsid w:val="00A42564"/>
    <w:rsid w:val="00A56CC3"/>
    <w:rsid w:val="00A8394D"/>
    <w:rsid w:val="00A97B93"/>
    <w:rsid w:val="00AD274B"/>
    <w:rsid w:val="00AE6482"/>
    <w:rsid w:val="00AF3CB9"/>
    <w:rsid w:val="00AF4EB4"/>
    <w:rsid w:val="00B371AE"/>
    <w:rsid w:val="00B46239"/>
    <w:rsid w:val="00B546E9"/>
    <w:rsid w:val="00B619ED"/>
    <w:rsid w:val="00B8242B"/>
    <w:rsid w:val="00B82EF6"/>
    <w:rsid w:val="00BA7F9A"/>
    <w:rsid w:val="00BC79CC"/>
    <w:rsid w:val="00BE1F35"/>
    <w:rsid w:val="00C02E9A"/>
    <w:rsid w:val="00C06AC7"/>
    <w:rsid w:val="00C0733F"/>
    <w:rsid w:val="00C14A13"/>
    <w:rsid w:val="00C3461A"/>
    <w:rsid w:val="00C965EE"/>
    <w:rsid w:val="00CA4211"/>
    <w:rsid w:val="00CB3EFF"/>
    <w:rsid w:val="00CB53C1"/>
    <w:rsid w:val="00CC431D"/>
    <w:rsid w:val="00CF1AB9"/>
    <w:rsid w:val="00D51FF9"/>
    <w:rsid w:val="00D84B35"/>
    <w:rsid w:val="00DC0C56"/>
    <w:rsid w:val="00E1663C"/>
    <w:rsid w:val="00E33827"/>
    <w:rsid w:val="00E355A9"/>
    <w:rsid w:val="00E55619"/>
    <w:rsid w:val="00EB7791"/>
    <w:rsid w:val="00EE312E"/>
    <w:rsid w:val="00EF4836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8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 sprawie zmiany udziałowców - KPO</vt:lpstr>
    </vt:vector>
  </TitlesOfParts>
  <Company>MRR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 sprawie barier inwestycyjnych_KPO</dc:title>
  <dc:creator>Soon</dc:creator>
  <cp:lastModifiedBy>Marta Panasiuk</cp:lastModifiedBy>
  <cp:revision>5</cp:revision>
  <cp:lastPrinted>2018-03-26T09:55:00Z</cp:lastPrinted>
  <dcterms:created xsi:type="dcterms:W3CDTF">2024-03-15T10:58:00Z</dcterms:created>
  <dcterms:modified xsi:type="dcterms:W3CDTF">2024-03-15T14:38:00Z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