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402" w:rsidRPr="002C0369" w:rsidRDefault="00596402" w:rsidP="002C036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:rsidR="00A75B36" w:rsidRPr="002C0369" w:rsidRDefault="00A75B36" w:rsidP="002C036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937D7" w:rsidRPr="002C0369" w:rsidRDefault="00572008" w:rsidP="002C036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C03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 przedmiotu zamówienia </w:t>
      </w:r>
      <w:r w:rsidR="007C1F49" w:rsidRPr="002C03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fotela</w:t>
      </w:r>
      <w:r w:rsidR="004937D7" w:rsidRPr="002C03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C1F49" w:rsidRPr="002C03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obrotowego</w:t>
      </w:r>
      <w:r w:rsidR="004937D7" w:rsidRPr="002C03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zagłówkiem</w:t>
      </w:r>
      <w:r w:rsidR="007C1F49" w:rsidRPr="002C03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tj. </w:t>
      </w:r>
      <w:r w:rsidRPr="002C03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:rsidR="007C1F49" w:rsidRDefault="007C1F49" w:rsidP="002C036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0369" w:rsidRPr="002C0369" w:rsidRDefault="002C0369" w:rsidP="002C036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507B" w:rsidRPr="002C0369" w:rsidRDefault="007C1F49" w:rsidP="002C03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fotel przeznaczony do pracy w systemie zmianowym 24 godziny – 7 dni w tygodniu </w:t>
      </w: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parametrach i funkcjonalnościach nie gorszych niż:</w:t>
      </w:r>
    </w:p>
    <w:p w:rsidR="002C0369" w:rsidRDefault="002C0369" w:rsidP="002C03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2C0369" w:rsidRPr="002C0369" w:rsidRDefault="002C0369" w:rsidP="002C03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C03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Wymagane cechy fotela obrotowego z zagłówkiem:</w:t>
      </w:r>
    </w:p>
    <w:p w:rsidR="002C0369" w:rsidRPr="002C0369" w:rsidRDefault="002C0369" w:rsidP="002C03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2C0369" w:rsidRPr="002C0369" w:rsidRDefault="002C0369" w:rsidP="002C0369">
      <w:pPr>
        <w:pStyle w:val="Akapitzlist"/>
        <w:numPr>
          <w:ilvl w:val="0"/>
          <w:numId w:val="4"/>
        </w:numPr>
        <w:spacing w:after="0" w:line="276" w:lineRule="auto"/>
        <w:ind w:left="238" w:hanging="23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Wymiary fotela: </w:t>
      </w: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2C0369" w:rsidRPr="002C0369" w:rsidRDefault="002C0369" w:rsidP="002C0369">
      <w:pPr>
        <w:pStyle w:val="Akapitzlist"/>
        <w:numPr>
          <w:ilvl w:val="0"/>
          <w:numId w:val="5"/>
        </w:numPr>
        <w:spacing w:after="0" w:line="276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t>Długość oparcia min. 600 mm.</w:t>
      </w:r>
    </w:p>
    <w:p w:rsidR="002C0369" w:rsidRPr="002C0369" w:rsidRDefault="002C0369" w:rsidP="002C0369">
      <w:pPr>
        <w:pStyle w:val="Akapitzlist"/>
        <w:numPr>
          <w:ilvl w:val="0"/>
          <w:numId w:val="5"/>
        </w:numPr>
        <w:spacing w:after="0" w:line="276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t>Szerokość oparcia min. 460 mm.</w:t>
      </w:r>
    </w:p>
    <w:p w:rsidR="002C0369" w:rsidRPr="002C0369" w:rsidRDefault="002C0369" w:rsidP="002C0369">
      <w:pPr>
        <w:pStyle w:val="Akapitzlist"/>
        <w:numPr>
          <w:ilvl w:val="0"/>
          <w:numId w:val="5"/>
        </w:numPr>
        <w:spacing w:after="0" w:line="276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t>Szerokość siedziska min. 490 mm.</w:t>
      </w:r>
    </w:p>
    <w:p w:rsidR="002C0369" w:rsidRPr="002C0369" w:rsidRDefault="002C0369" w:rsidP="002C0369">
      <w:pPr>
        <w:pStyle w:val="Akapitzlist"/>
        <w:numPr>
          <w:ilvl w:val="0"/>
          <w:numId w:val="5"/>
        </w:numPr>
        <w:spacing w:after="0" w:line="276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t>Szerokość gabarytowa 695 mm.</w:t>
      </w:r>
    </w:p>
    <w:p w:rsidR="002C0369" w:rsidRPr="002C0369" w:rsidRDefault="002C0369" w:rsidP="002C0369">
      <w:pPr>
        <w:pStyle w:val="Akapitzlist"/>
        <w:numPr>
          <w:ilvl w:val="0"/>
          <w:numId w:val="5"/>
        </w:numPr>
        <w:spacing w:after="0" w:line="276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t>Głębokość siedziska 390 mm – 440 mm.</w:t>
      </w:r>
    </w:p>
    <w:p w:rsidR="002C0369" w:rsidRPr="002C0369" w:rsidRDefault="002C0369" w:rsidP="002C03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0369" w:rsidRPr="002C0369" w:rsidRDefault="002C0369" w:rsidP="002C036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t>Mechanizm, siedzisko i oparcie:</w:t>
      </w:r>
    </w:p>
    <w:p w:rsidR="002C0369" w:rsidRPr="002C0369" w:rsidRDefault="002C0369" w:rsidP="002C0369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t>Mechanizm synchroniczny, pozwalający na niezależną regulację oparcia i siedziska.</w:t>
      </w:r>
    </w:p>
    <w:p w:rsidR="002C0369" w:rsidRPr="002C0369" w:rsidRDefault="002C0369" w:rsidP="002C0369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Oparcie wykonane na bazie plastikowej ramy i rozpiętej na niej półprzeźroczystej czarnej  membrany o właściwościach zmywalnych. Rama stanowi integralną część wspornika </w:t>
      </w: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kształcie litery Y mocowanego do mechanizmu.</w:t>
      </w:r>
    </w:p>
    <w:p w:rsidR="002C0369" w:rsidRPr="002C0369" w:rsidRDefault="002C0369" w:rsidP="002C0369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t>Oparcie wykonane jest ze siatki. Dla podniesienia komfortu użytkownika siatka oparcia rozciągnięta jest wyłącznie między pionowymi bokami konstrukcji oparcia, bez poprzeczek na górze jak i na dole oparcia. Dolna i górna krawędź membrany jest wolna.</w:t>
      </w:r>
    </w:p>
    <w:p w:rsidR="002C0369" w:rsidRPr="002C0369" w:rsidRDefault="002C0369" w:rsidP="002C0369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t>Oparcie wyraźnie wyprofilowane do naturalnego kształtu kręgosłupa w części podtrzymującej odcinek lędźwiowo – krzyżowy.</w:t>
      </w:r>
    </w:p>
    <w:p w:rsidR="002C0369" w:rsidRPr="002C0369" w:rsidRDefault="002C0369" w:rsidP="002C0369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Regulacja wysokości oparcia odbywa się za pomocą dźwigni zwalniającej blokadę znajdującą się z tyłu wspornika oparcia. Po zablokowaniu dźwignia chowana jest </w:t>
      </w: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obudowie oparcia.</w:t>
      </w:r>
    </w:p>
    <w:p w:rsidR="002C0369" w:rsidRPr="002C0369" w:rsidRDefault="002C0369" w:rsidP="002C0369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Regulacja podparcia lędźwiowego niezależna od regulacji wysokości oparcia.</w:t>
      </w:r>
    </w:p>
    <w:p w:rsidR="002C0369" w:rsidRPr="002C0369" w:rsidRDefault="002C0369" w:rsidP="002C0369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t>Mechanizm regulacji oparcia działa wyłącznie po zwolnieniu blokady.</w:t>
      </w:r>
    </w:p>
    <w:p w:rsidR="002C0369" w:rsidRPr="002C0369" w:rsidRDefault="002C0369" w:rsidP="002C0369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Regulacja głębokości i wysokości siedziska.</w:t>
      </w:r>
    </w:p>
    <w:p w:rsidR="002C0369" w:rsidRPr="002C0369" w:rsidRDefault="002C0369" w:rsidP="002C0369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t>Płynna regulacja wysokości siedziska za pomocą podnośnika pneumatycznego. Siłownik o wzmocnionej wytrzymałości min. 120 kg.</w:t>
      </w:r>
    </w:p>
    <w:p w:rsidR="002C0369" w:rsidRPr="002C0369" w:rsidRDefault="002C0369" w:rsidP="002C0369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swobodnego kołysania się.</w:t>
      </w:r>
    </w:p>
    <w:p w:rsidR="002C0369" w:rsidRPr="002C0369" w:rsidRDefault="002C0369" w:rsidP="002C0369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t>Swobodne obracanie się wokół osi pionowej o 360</w:t>
      </w:r>
      <w:r w:rsidRPr="002C036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o</w:t>
      </w: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C0369" w:rsidRPr="002C0369" w:rsidRDefault="002C0369" w:rsidP="002C0369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t>Mechanizm synchroniczny z blokadą w 5 pozycjach odchylenia , regulacją siły nacisku na oparcie i trzystopniową regulacją kąta pochylenia siedziska.</w:t>
      </w:r>
    </w:p>
    <w:p w:rsidR="002C0369" w:rsidRPr="003B7752" w:rsidRDefault="002C0369" w:rsidP="002C0369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752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Siedzisko tapicerowane.</w:t>
      </w:r>
      <w:bookmarkStart w:id="0" w:name="_GoBack"/>
      <w:bookmarkEnd w:id="0"/>
    </w:p>
    <w:p w:rsidR="002C0369" w:rsidRPr="003B7752" w:rsidRDefault="002C0369" w:rsidP="002C0369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7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Siedzisko na bazie sklejkowej formatki i lanej pianki, wykończone od spodu plastikowym panelem maskującym. </w:t>
      </w:r>
    </w:p>
    <w:p w:rsidR="002C0369" w:rsidRPr="002C0369" w:rsidRDefault="002C0369" w:rsidP="002C0369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Pianka siedziska o całkowitej grubości 40 mm o właściwościach </w:t>
      </w:r>
      <w:proofErr w:type="spellStart"/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t>trudnozapalnych</w:t>
      </w:r>
      <w:proofErr w:type="spellEnd"/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Wraz </w:t>
      </w: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dostawą wymagane załączenie oświadczenia producenta o zastosowaniu pianek </w:t>
      </w: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właściwościach </w:t>
      </w:r>
      <w:proofErr w:type="spellStart"/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t>trudnozapalnych</w:t>
      </w:r>
      <w:proofErr w:type="spellEnd"/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konkretnej partii wyprodukowanych foteli.</w:t>
      </w:r>
    </w:p>
    <w:p w:rsidR="002C0369" w:rsidRDefault="002C0369" w:rsidP="002C0369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Poduszka siedziska posiada wyraźne krawędzie i powierzchnie boczne zszywane są </w:t>
      </w: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kawałków tkaniny (bez zaokrąglonych boków). </w:t>
      </w:r>
    </w:p>
    <w:p w:rsidR="002C0369" w:rsidRPr="002C0369" w:rsidRDefault="002C0369" w:rsidP="002C0369">
      <w:pPr>
        <w:pStyle w:val="Akapitzlist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0369" w:rsidRPr="002C0369" w:rsidRDefault="002C0369" w:rsidP="002C0369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t>Zagłówek:</w:t>
      </w:r>
    </w:p>
    <w:p w:rsidR="002C0369" w:rsidRPr="002C0369" w:rsidRDefault="002C0369" w:rsidP="002C0369">
      <w:pPr>
        <w:pStyle w:val="Akapitzlist"/>
        <w:numPr>
          <w:ilvl w:val="0"/>
          <w:numId w:val="9"/>
        </w:numPr>
        <w:spacing w:after="0" w:line="276" w:lineRule="auto"/>
        <w:ind w:hanging="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Regulowany dwupłaszczyznowo. Zagłówek wykończony z przodu skórą w kolorze czarnym, a z tyłu tworzywem w kolorze czarnym. </w:t>
      </w:r>
    </w:p>
    <w:p w:rsidR="002C0369" w:rsidRDefault="002C0369" w:rsidP="002C0369">
      <w:pPr>
        <w:pStyle w:val="Akapitzlist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t>Zagłówek posiada mechanizm który jest ukryty we wnętrzu tapicerowanego przedniego panelu. Cały mechanizm ukryty jest w środku zagłówka i niewidoczny dla użytkownika.</w:t>
      </w:r>
    </w:p>
    <w:p w:rsidR="002C0369" w:rsidRPr="002C0369" w:rsidRDefault="002C0369" w:rsidP="002C0369">
      <w:pPr>
        <w:pStyle w:val="Akapitzlist"/>
        <w:spacing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0369" w:rsidRPr="002C0369" w:rsidRDefault="002C0369" w:rsidP="002C0369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t>Podłokietniki:</w:t>
      </w:r>
    </w:p>
    <w:p w:rsidR="002C0369" w:rsidRPr="002C0369" w:rsidRDefault="002C0369" w:rsidP="002C0369">
      <w:pPr>
        <w:pStyle w:val="Akapitzlist"/>
        <w:numPr>
          <w:ilvl w:val="0"/>
          <w:numId w:val="9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t>Plastikowe z regulacją wysokości oraz regulacją przód i tył wraz z miękką nakładką TPU. Wspornik podłokietnika chromowany.</w:t>
      </w:r>
    </w:p>
    <w:p w:rsidR="002C0369" w:rsidRPr="002C0369" w:rsidRDefault="002C0369" w:rsidP="002C03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0369" w:rsidRPr="002C0369" w:rsidRDefault="002C0369" w:rsidP="002C0369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Podstawa i kółka:</w:t>
      </w:r>
    </w:p>
    <w:p w:rsidR="002C0369" w:rsidRPr="002C0369" w:rsidRDefault="002C0369" w:rsidP="002C0369">
      <w:pPr>
        <w:pStyle w:val="Akapitzlist"/>
        <w:numPr>
          <w:ilvl w:val="0"/>
          <w:numId w:val="10"/>
        </w:numPr>
        <w:spacing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t>Pięcioramienna podstawa jezdna wykonana z aluminium polerowanego do koloru chrome.</w:t>
      </w:r>
    </w:p>
    <w:p w:rsidR="002C0369" w:rsidRPr="002C0369" w:rsidRDefault="002C0369" w:rsidP="002C0369">
      <w:pPr>
        <w:pStyle w:val="Akapitzlist"/>
        <w:numPr>
          <w:ilvl w:val="0"/>
          <w:numId w:val="10"/>
        </w:numPr>
        <w:spacing w:after="0" w:line="276" w:lineRule="auto"/>
        <w:ind w:hanging="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t>Kółka twarde o średnicy 65 mm z przeznaczeniem na miękkie podłoże.</w:t>
      </w:r>
    </w:p>
    <w:p w:rsidR="002C0369" w:rsidRPr="002C0369" w:rsidRDefault="002C0369" w:rsidP="002C03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0369" w:rsidRPr="002C0369" w:rsidRDefault="002C0369" w:rsidP="002C036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t>Gwarancja –  min. 3 lat</w:t>
      </w:r>
    </w:p>
    <w:p w:rsidR="002C0369" w:rsidRPr="002C0369" w:rsidRDefault="002C0369" w:rsidP="002C03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0369" w:rsidRPr="002C0369" w:rsidRDefault="002C0369" w:rsidP="002C03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t>Oparcie fotela posiada membranę o parametrach nie gorszych niż:</w:t>
      </w:r>
    </w:p>
    <w:p w:rsidR="002C0369" w:rsidRPr="002C0369" w:rsidRDefault="002C0369" w:rsidP="002C036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C0369">
        <w:rPr>
          <w:rFonts w:ascii="Times New Roman" w:hAnsi="Times New Roman" w:cs="Times New Roman"/>
          <w:sz w:val="24"/>
          <w:szCs w:val="24"/>
        </w:rPr>
        <w:t>Polyester</w:t>
      </w:r>
      <w:proofErr w:type="spellEnd"/>
      <w:r w:rsidRPr="002C0369">
        <w:rPr>
          <w:rFonts w:ascii="Times New Roman" w:hAnsi="Times New Roman" w:cs="Times New Roman"/>
          <w:sz w:val="24"/>
          <w:szCs w:val="24"/>
        </w:rPr>
        <w:t>/PVC</w:t>
      </w:r>
    </w:p>
    <w:p w:rsidR="002C0369" w:rsidRPr="002C0369" w:rsidRDefault="002C0369" w:rsidP="002C036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69">
        <w:rPr>
          <w:rFonts w:ascii="Times New Roman" w:hAnsi="Times New Roman" w:cs="Times New Roman"/>
          <w:sz w:val="24"/>
          <w:szCs w:val="24"/>
        </w:rPr>
        <w:t>Gęstość min. 500 g/m</w:t>
      </w:r>
    </w:p>
    <w:p w:rsidR="002C0369" w:rsidRPr="002C0369" w:rsidRDefault="002C0369" w:rsidP="002C036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odporność na ścieranie nie mniej niż 150 000 cykli </w:t>
      </w:r>
      <w:proofErr w:type="spellStart"/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t>Martindale</w:t>
      </w:r>
      <w:proofErr w:type="spellEnd"/>
      <w:r w:rsidRPr="002C0369">
        <w:rPr>
          <w:rFonts w:ascii="Times New Roman" w:hAnsi="Times New Roman" w:cs="Times New Roman"/>
          <w:sz w:val="24"/>
          <w:szCs w:val="24"/>
        </w:rPr>
        <w:t>,</w:t>
      </w:r>
    </w:p>
    <w:p w:rsidR="002C0369" w:rsidRPr="002C0369" w:rsidRDefault="002C0369" w:rsidP="002C036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69">
        <w:rPr>
          <w:rFonts w:ascii="Times New Roman" w:hAnsi="Times New Roman" w:cs="Times New Roman"/>
          <w:sz w:val="24"/>
          <w:szCs w:val="24"/>
        </w:rPr>
        <w:t xml:space="preserve">odporność na światło </w:t>
      </w:r>
    </w:p>
    <w:p w:rsidR="002C0369" w:rsidRPr="002C0369" w:rsidRDefault="002C0369" w:rsidP="002C03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0369" w:rsidRPr="002C0369" w:rsidRDefault="002C0369" w:rsidP="002C03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t>Fotel wykonany w kolorze czarnym. Siedzisko tapicerowane skórą naturalną w kolorze czarnym.</w:t>
      </w:r>
    </w:p>
    <w:p w:rsidR="002C0369" w:rsidRPr="002C0369" w:rsidRDefault="002C0369" w:rsidP="002C03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0369" w:rsidRPr="002C0369" w:rsidRDefault="002C0369" w:rsidP="002C03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t>Fotel musi posiadać opinie zgodności z wymaganiami norm wystawione przez niezależne jednostki badawcze:</w:t>
      </w:r>
    </w:p>
    <w:p w:rsidR="002C0369" w:rsidRPr="002C0369" w:rsidRDefault="002C0369" w:rsidP="002C0369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69">
        <w:rPr>
          <w:rFonts w:ascii="Times New Roman" w:hAnsi="Times New Roman" w:cs="Times New Roman"/>
          <w:sz w:val="24"/>
          <w:szCs w:val="24"/>
        </w:rPr>
        <w:t xml:space="preserve">w zakresie wymiarów, wymagań wytrzymałościowych oraz bezpiecznych rozwiązań </w:t>
      </w:r>
    </w:p>
    <w:p w:rsidR="002C0369" w:rsidRPr="002C0369" w:rsidRDefault="002C0369" w:rsidP="002C0369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69">
        <w:rPr>
          <w:rFonts w:ascii="Times New Roman" w:hAnsi="Times New Roman" w:cs="Times New Roman"/>
          <w:sz w:val="24"/>
          <w:szCs w:val="24"/>
        </w:rPr>
        <w:t>Protokół oceny ergonomicznej.</w:t>
      </w:r>
    </w:p>
    <w:p w:rsidR="002C0369" w:rsidRPr="002C0369" w:rsidRDefault="002C0369" w:rsidP="002C0369">
      <w:pPr>
        <w:tabs>
          <w:tab w:val="left" w:pos="69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369">
        <w:rPr>
          <w:rFonts w:ascii="Times New Roman" w:hAnsi="Times New Roman" w:cs="Times New Roman"/>
          <w:sz w:val="24"/>
          <w:szCs w:val="24"/>
        </w:rPr>
        <w:tab/>
      </w:r>
    </w:p>
    <w:p w:rsidR="002C0369" w:rsidRPr="002C0369" w:rsidRDefault="002C0369" w:rsidP="002C03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369">
        <w:rPr>
          <w:rFonts w:ascii="Times New Roman" w:hAnsi="Times New Roman" w:cs="Times New Roman"/>
          <w:sz w:val="24"/>
          <w:szCs w:val="24"/>
        </w:rPr>
        <w:t>Fotel produkowany w oparciu o standardy produkcji określone w normach ISO.</w:t>
      </w:r>
    </w:p>
    <w:p w:rsidR="00DC1A7C" w:rsidRPr="002C0369" w:rsidRDefault="00DC1A7C" w:rsidP="002C0369">
      <w:pPr>
        <w:tabs>
          <w:tab w:val="left" w:pos="69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369">
        <w:rPr>
          <w:rFonts w:ascii="Times New Roman" w:hAnsi="Times New Roman" w:cs="Times New Roman"/>
          <w:sz w:val="24"/>
          <w:szCs w:val="24"/>
        </w:rPr>
        <w:tab/>
      </w:r>
    </w:p>
    <w:p w:rsidR="007C1F49" w:rsidRPr="002C0369" w:rsidRDefault="00A4518B" w:rsidP="002C03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369">
        <w:rPr>
          <w:rFonts w:ascii="Times New Roman" w:hAnsi="Times New Roman" w:cs="Times New Roman"/>
          <w:sz w:val="24"/>
          <w:szCs w:val="24"/>
        </w:rPr>
        <w:t>Spełnienie powyższych wymagań musi być potwierdzone stosownymi dokumentami (atestami, certyfikatami, oświadczeniami).</w:t>
      </w:r>
    </w:p>
    <w:p w:rsidR="007C1F49" w:rsidRPr="002C0369" w:rsidRDefault="007C1F49" w:rsidP="002C03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t>Fotel obrotowy z zagłówkiem zgodny z załącznikiem nr 3 do ogłoszenia o zamówieniu (zdjęcie poglądowe) lub równoważne o zbliżonych  parametrach technicznych.</w:t>
      </w:r>
    </w:p>
    <w:p w:rsidR="007C1F49" w:rsidRPr="002C0369" w:rsidRDefault="007C1F49" w:rsidP="002C03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Zamawiający dopuszcza każdy inny model fotela o parametrach nie gorszych niż model wskazany powyżej.</w:t>
      </w:r>
      <w:r w:rsidR="00204427" w:rsidRPr="002C03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Wskazane parametry należy rozumieć jako minimalne. Dopuszczalne jest zaproponowanie parametrów lepszych.</w:t>
      </w:r>
    </w:p>
    <w:p w:rsidR="007C1F49" w:rsidRPr="002C0369" w:rsidRDefault="007C1F49" w:rsidP="002C03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1F49" w:rsidRPr="002C0369" w:rsidRDefault="007C1F49" w:rsidP="002C03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C03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Ilość foteli – 23 szt. </w:t>
      </w:r>
    </w:p>
    <w:p w:rsidR="00F0507B" w:rsidRPr="002C0369" w:rsidRDefault="00F0507B" w:rsidP="002C036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B5D0F" w:rsidRPr="002C0369" w:rsidRDefault="004B5D0F" w:rsidP="002C036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B5D0F" w:rsidRPr="002C0369" w:rsidRDefault="004B5D0F" w:rsidP="002C036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B5D0F" w:rsidRPr="002C0369" w:rsidRDefault="004B5D0F" w:rsidP="002C0369">
      <w:pPr>
        <w:pStyle w:val="Bezodstpw"/>
        <w:spacing w:line="276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2C0369">
        <w:rPr>
          <w:rFonts w:ascii="Times New Roman" w:hAnsi="Times New Roman" w:cs="Times New Roman"/>
          <w:b/>
          <w:sz w:val="24"/>
          <w:szCs w:val="24"/>
        </w:rPr>
        <w:t>Z up. WOJEWODY PODKARPACKIEGO</w:t>
      </w:r>
    </w:p>
    <w:p w:rsidR="004B5D0F" w:rsidRPr="002C0369" w:rsidRDefault="004B5D0F" w:rsidP="002C0369">
      <w:pPr>
        <w:pStyle w:val="Bezodstpw"/>
        <w:spacing w:line="276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2C0369">
        <w:rPr>
          <w:rFonts w:ascii="Times New Roman" w:hAnsi="Times New Roman" w:cs="Times New Roman"/>
          <w:b/>
          <w:sz w:val="24"/>
          <w:szCs w:val="24"/>
        </w:rPr>
        <w:t>(-)</w:t>
      </w:r>
    </w:p>
    <w:p w:rsidR="004B5D0F" w:rsidRPr="002C0369" w:rsidRDefault="004B5D0F" w:rsidP="002C0369">
      <w:pPr>
        <w:pStyle w:val="Bezodstpw"/>
        <w:spacing w:line="276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2C036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C0369">
        <w:rPr>
          <w:rFonts w:ascii="Times New Roman" w:hAnsi="Times New Roman" w:cs="Times New Roman"/>
          <w:b/>
          <w:sz w:val="24"/>
          <w:szCs w:val="24"/>
        </w:rPr>
        <w:tab/>
      </w:r>
      <w:r w:rsidRPr="002C0369">
        <w:rPr>
          <w:rFonts w:ascii="Times New Roman" w:hAnsi="Times New Roman" w:cs="Times New Roman"/>
          <w:b/>
          <w:sz w:val="24"/>
          <w:szCs w:val="24"/>
        </w:rPr>
        <w:tab/>
        <w:t xml:space="preserve">   Jakub Dzik</w:t>
      </w:r>
    </w:p>
    <w:p w:rsidR="004B5D0F" w:rsidRPr="002C0369" w:rsidRDefault="004B5D0F" w:rsidP="002C0369">
      <w:pPr>
        <w:pStyle w:val="Bezodstpw"/>
        <w:spacing w:line="276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2C0369">
        <w:rPr>
          <w:rFonts w:ascii="Times New Roman" w:hAnsi="Times New Roman" w:cs="Times New Roman"/>
          <w:b/>
          <w:sz w:val="24"/>
          <w:szCs w:val="24"/>
        </w:rPr>
        <w:t xml:space="preserve">                    Dyrektor Wydziału </w:t>
      </w:r>
    </w:p>
    <w:p w:rsidR="004B5D0F" w:rsidRPr="002C0369" w:rsidRDefault="004B5D0F" w:rsidP="002C0369">
      <w:pPr>
        <w:pStyle w:val="Bezodstpw"/>
        <w:spacing w:line="276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2C036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C0369">
        <w:rPr>
          <w:rFonts w:ascii="Times New Roman" w:hAnsi="Times New Roman" w:cs="Times New Roman"/>
          <w:b/>
          <w:sz w:val="24"/>
          <w:szCs w:val="24"/>
        </w:rPr>
        <w:tab/>
        <w:t xml:space="preserve">  Ratownictwa Medycznego </w:t>
      </w:r>
    </w:p>
    <w:p w:rsidR="004B5D0F" w:rsidRPr="002C0369" w:rsidRDefault="004B5D0F" w:rsidP="002C0369">
      <w:pPr>
        <w:pStyle w:val="Bezodstpw"/>
        <w:spacing w:line="276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2C0369">
        <w:rPr>
          <w:rFonts w:ascii="Times New Roman" w:hAnsi="Times New Roman" w:cs="Times New Roman"/>
          <w:b/>
          <w:sz w:val="24"/>
          <w:szCs w:val="24"/>
        </w:rPr>
        <w:t xml:space="preserve">         i Powiadamiania Ratunkowego</w:t>
      </w:r>
    </w:p>
    <w:p w:rsidR="004B5D0F" w:rsidRPr="002C0369" w:rsidRDefault="004B5D0F" w:rsidP="002C036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4B5D0F" w:rsidRPr="002C0369" w:rsidSect="00AA2407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49B" w:rsidRDefault="0086049B" w:rsidP="00AA2407">
      <w:pPr>
        <w:spacing w:after="0" w:line="240" w:lineRule="auto"/>
      </w:pPr>
      <w:r>
        <w:separator/>
      </w:r>
    </w:p>
  </w:endnote>
  <w:endnote w:type="continuationSeparator" w:id="0">
    <w:p w:rsidR="0086049B" w:rsidRDefault="0086049B" w:rsidP="00AA2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20"/>
        <w:szCs w:val="20"/>
      </w:rPr>
      <w:id w:val="855005264"/>
      <w:docPartObj>
        <w:docPartGallery w:val="Page Numbers (Bottom of Page)"/>
        <w:docPartUnique/>
      </w:docPartObj>
    </w:sdtPr>
    <w:sdtEndPr/>
    <w:sdtContent>
      <w:p w:rsidR="00AA2407" w:rsidRPr="00FF05BE" w:rsidRDefault="00226FA0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 w:rsidRPr="004B5D0F">
          <w:rPr>
            <w:rFonts w:ascii="Times New Roman" w:eastAsiaTheme="majorEastAsia" w:hAnsi="Times New Roman" w:cs="Times New Roman"/>
            <w:sz w:val="20"/>
            <w:szCs w:val="20"/>
          </w:rPr>
          <w:t xml:space="preserve">Opis przedmiotu zamówienia </w:t>
        </w:r>
        <w:r w:rsidR="00AA2407" w:rsidRPr="004B5D0F">
          <w:rPr>
            <w:rFonts w:ascii="Times New Roman" w:eastAsiaTheme="majorEastAsia" w:hAnsi="Times New Roman" w:cs="Times New Roman"/>
            <w:sz w:val="20"/>
            <w:szCs w:val="20"/>
          </w:rPr>
          <w:t xml:space="preserve"> </w:t>
        </w:r>
        <w:r w:rsidR="00AC1042">
          <w:rPr>
            <w:rFonts w:ascii="Times New Roman" w:eastAsiaTheme="majorEastAsia" w:hAnsi="Times New Roman" w:cs="Times New Roman"/>
            <w:sz w:val="20"/>
            <w:szCs w:val="20"/>
          </w:rPr>
          <w:t>RP-V.272.27</w:t>
        </w:r>
        <w:r w:rsidR="004B5D0F">
          <w:rPr>
            <w:rFonts w:ascii="Times New Roman" w:eastAsiaTheme="majorEastAsia" w:hAnsi="Times New Roman" w:cs="Times New Roman"/>
            <w:sz w:val="20"/>
            <w:szCs w:val="20"/>
          </w:rPr>
          <w:t>.2023</w:t>
        </w:r>
        <w:r w:rsidR="00AA2407" w:rsidRPr="004B5D0F">
          <w:rPr>
            <w:rFonts w:ascii="Times New Roman" w:eastAsiaTheme="majorEastAsia" w:hAnsi="Times New Roman" w:cs="Times New Roman"/>
            <w:sz w:val="20"/>
            <w:szCs w:val="20"/>
          </w:rPr>
          <w:tab/>
        </w:r>
        <w:r w:rsidR="00AA2407" w:rsidRPr="004B5D0F">
          <w:rPr>
            <w:rFonts w:ascii="Times New Roman" w:eastAsiaTheme="majorEastAsia" w:hAnsi="Times New Roman" w:cs="Times New Roman"/>
            <w:sz w:val="20"/>
            <w:szCs w:val="20"/>
          </w:rPr>
          <w:tab/>
          <w:t xml:space="preserve">str. </w:t>
        </w:r>
        <w:r w:rsidR="00AA2407" w:rsidRPr="004B5D0F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AA2407" w:rsidRPr="004B5D0F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AA2407" w:rsidRPr="004B5D0F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3B7752" w:rsidRPr="003B7752">
          <w:rPr>
            <w:rFonts w:ascii="Times New Roman" w:eastAsiaTheme="majorEastAsia" w:hAnsi="Times New Roman" w:cs="Times New Roman"/>
            <w:noProof/>
            <w:sz w:val="20"/>
            <w:szCs w:val="20"/>
          </w:rPr>
          <w:t>3</w:t>
        </w:r>
        <w:r w:rsidR="00AA2407" w:rsidRPr="004B5D0F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CA445E">
          <w:rPr>
            <w:rFonts w:ascii="Times New Roman" w:eastAsiaTheme="majorEastAsia" w:hAnsi="Times New Roman" w:cs="Times New Roman"/>
            <w:sz w:val="20"/>
            <w:szCs w:val="20"/>
          </w:rPr>
          <w:t xml:space="preserve"> z 3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49B" w:rsidRDefault="0086049B" w:rsidP="00AA2407">
      <w:pPr>
        <w:spacing w:after="0" w:line="240" w:lineRule="auto"/>
      </w:pPr>
      <w:r>
        <w:separator/>
      </w:r>
    </w:p>
  </w:footnote>
  <w:footnote w:type="continuationSeparator" w:id="0">
    <w:p w:rsidR="0086049B" w:rsidRDefault="0086049B" w:rsidP="00AA2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402" w:rsidRDefault="00596402" w:rsidP="00BD68EF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 w:rsidRPr="00596402">
      <w:rPr>
        <w:rFonts w:ascii="Times New Roman" w:hAnsi="Times New Roman" w:cs="Times New Roman"/>
        <w:i/>
        <w:sz w:val="20"/>
        <w:szCs w:val="20"/>
      </w:rPr>
      <w:t>Załącznik nr 2</w:t>
    </w:r>
    <w:r w:rsidR="00BD68EF">
      <w:rPr>
        <w:rFonts w:ascii="Times New Roman" w:hAnsi="Times New Roman" w:cs="Times New Roman"/>
        <w:i/>
        <w:sz w:val="20"/>
        <w:szCs w:val="20"/>
      </w:rPr>
      <w:t xml:space="preserve"> do o</w:t>
    </w:r>
    <w:r w:rsidRPr="00596402">
      <w:rPr>
        <w:rFonts w:ascii="Times New Roman" w:hAnsi="Times New Roman" w:cs="Times New Roman"/>
        <w:i/>
        <w:sz w:val="20"/>
        <w:szCs w:val="20"/>
      </w:rPr>
      <w:t>głoszenia o zamówieniu</w:t>
    </w:r>
  </w:p>
  <w:p w:rsidR="00BD68EF" w:rsidRPr="00596402" w:rsidRDefault="00B23FF3" w:rsidP="00BD68EF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 xml:space="preserve">znak: </w:t>
    </w:r>
    <w:r w:rsidR="00AC1042">
      <w:rPr>
        <w:rFonts w:ascii="Times New Roman" w:hAnsi="Times New Roman" w:cs="Times New Roman"/>
        <w:i/>
        <w:sz w:val="20"/>
        <w:szCs w:val="20"/>
      </w:rPr>
      <w:t>RP-V.272.27</w:t>
    </w:r>
    <w:r w:rsidR="00BD68EF">
      <w:rPr>
        <w:rFonts w:ascii="Times New Roman" w:hAnsi="Times New Roman" w:cs="Times New Roman"/>
        <w:i/>
        <w:sz w:val="20"/>
        <w:szCs w:val="20"/>
      </w:rPr>
      <w:t>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7346"/>
    <w:multiLevelType w:val="hybridMultilevel"/>
    <w:tmpl w:val="09926AD4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B6C71A4"/>
    <w:multiLevelType w:val="hybridMultilevel"/>
    <w:tmpl w:val="6484A46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D7D37E9"/>
    <w:multiLevelType w:val="hybridMultilevel"/>
    <w:tmpl w:val="50FADAEA"/>
    <w:lvl w:ilvl="0" w:tplc="179C36F4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FAB2D52"/>
    <w:multiLevelType w:val="hybridMultilevel"/>
    <w:tmpl w:val="C8DE6E8A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26537E7"/>
    <w:multiLevelType w:val="hybridMultilevel"/>
    <w:tmpl w:val="AC60848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940667"/>
    <w:multiLevelType w:val="hybridMultilevel"/>
    <w:tmpl w:val="7750D96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9325A1"/>
    <w:multiLevelType w:val="hybridMultilevel"/>
    <w:tmpl w:val="33A253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57541"/>
    <w:multiLevelType w:val="hybridMultilevel"/>
    <w:tmpl w:val="4EB01B3C"/>
    <w:lvl w:ilvl="0" w:tplc="716E190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460F8"/>
    <w:multiLevelType w:val="hybridMultilevel"/>
    <w:tmpl w:val="C7A233B6"/>
    <w:lvl w:ilvl="0" w:tplc="A80EBC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910A6F"/>
    <w:multiLevelType w:val="multilevel"/>
    <w:tmpl w:val="EC66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924547"/>
    <w:multiLevelType w:val="multilevel"/>
    <w:tmpl w:val="C9A2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B45FD2"/>
    <w:multiLevelType w:val="hybridMultilevel"/>
    <w:tmpl w:val="A9245F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6C08AD"/>
    <w:multiLevelType w:val="hybridMultilevel"/>
    <w:tmpl w:val="0AD60DA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D34639D"/>
    <w:multiLevelType w:val="hybridMultilevel"/>
    <w:tmpl w:val="9B7A276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1857C6D"/>
    <w:multiLevelType w:val="hybridMultilevel"/>
    <w:tmpl w:val="6B0C11C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E5B7E"/>
    <w:multiLevelType w:val="hybridMultilevel"/>
    <w:tmpl w:val="57B057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905E4F"/>
    <w:multiLevelType w:val="hybridMultilevel"/>
    <w:tmpl w:val="90AC904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771A09"/>
    <w:multiLevelType w:val="hybridMultilevel"/>
    <w:tmpl w:val="1E12FC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15"/>
  </w:num>
  <w:num w:numId="6">
    <w:abstractNumId w:val="10"/>
  </w:num>
  <w:num w:numId="7">
    <w:abstractNumId w:val="13"/>
  </w:num>
  <w:num w:numId="8">
    <w:abstractNumId w:val="0"/>
  </w:num>
  <w:num w:numId="9">
    <w:abstractNumId w:val="14"/>
  </w:num>
  <w:num w:numId="10">
    <w:abstractNumId w:val="16"/>
  </w:num>
  <w:num w:numId="11">
    <w:abstractNumId w:val="17"/>
  </w:num>
  <w:num w:numId="12">
    <w:abstractNumId w:val="2"/>
  </w:num>
  <w:num w:numId="13">
    <w:abstractNumId w:val="3"/>
  </w:num>
  <w:num w:numId="14">
    <w:abstractNumId w:val="7"/>
  </w:num>
  <w:num w:numId="15">
    <w:abstractNumId w:val="8"/>
  </w:num>
  <w:num w:numId="16">
    <w:abstractNumId w:val="12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A7C"/>
    <w:rsid w:val="000148C6"/>
    <w:rsid w:val="000327A8"/>
    <w:rsid w:val="00091220"/>
    <w:rsid w:val="000952A2"/>
    <w:rsid w:val="000B717D"/>
    <w:rsid w:val="001E24F2"/>
    <w:rsid w:val="001F702E"/>
    <w:rsid w:val="00204427"/>
    <w:rsid w:val="00226FA0"/>
    <w:rsid w:val="00240DC1"/>
    <w:rsid w:val="002A11A0"/>
    <w:rsid w:val="002A1E05"/>
    <w:rsid w:val="002A341C"/>
    <w:rsid w:val="002C0369"/>
    <w:rsid w:val="00327655"/>
    <w:rsid w:val="00355C00"/>
    <w:rsid w:val="003B7752"/>
    <w:rsid w:val="00447887"/>
    <w:rsid w:val="00471723"/>
    <w:rsid w:val="00471B8D"/>
    <w:rsid w:val="004937D7"/>
    <w:rsid w:val="004B5D0F"/>
    <w:rsid w:val="004F1999"/>
    <w:rsid w:val="0056100E"/>
    <w:rsid w:val="005645EA"/>
    <w:rsid w:val="00572008"/>
    <w:rsid w:val="00596402"/>
    <w:rsid w:val="005B6680"/>
    <w:rsid w:val="005C57DE"/>
    <w:rsid w:val="005D1151"/>
    <w:rsid w:val="00627B23"/>
    <w:rsid w:val="00631E93"/>
    <w:rsid w:val="00730FE0"/>
    <w:rsid w:val="00774B0A"/>
    <w:rsid w:val="007A2CF6"/>
    <w:rsid w:val="007C1F49"/>
    <w:rsid w:val="008251ED"/>
    <w:rsid w:val="008374B2"/>
    <w:rsid w:val="00851C5F"/>
    <w:rsid w:val="0086049B"/>
    <w:rsid w:val="00860D66"/>
    <w:rsid w:val="00873AE3"/>
    <w:rsid w:val="008802C4"/>
    <w:rsid w:val="008D6D25"/>
    <w:rsid w:val="009049E3"/>
    <w:rsid w:val="009810F7"/>
    <w:rsid w:val="00A4518B"/>
    <w:rsid w:val="00A55FF6"/>
    <w:rsid w:val="00A75B36"/>
    <w:rsid w:val="00A947BD"/>
    <w:rsid w:val="00AA1F17"/>
    <w:rsid w:val="00AA2407"/>
    <w:rsid w:val="00AB616E"/>
    <w:rsid w:val="00AC1042"/>
    <w:rsid w:val="00AD2AE2"/>
    <w:rsid w:val="00B23FF3"/>
    <w:rsid w:val="00B51DA7"/>
    <w:rsid w:val="00B71173"/>
    <w:rsid w:val="00BD393A"/>
    <w:rsid w:val="00BD68EF"/>
    <w:rsid w:val="00BE5EC6"/>
    <w:rsid w:val="00C86F6D"/>
    <w:rsid w:val="00CA445E"/>
    <w:rsid w:val="00CF2B1A"/>
    <w:rsid w:val="00D91FBB"/>
    <w:rsid w:val="00DC1A7C"/>
    <w:rsid w:val="00DE07EA"/>
    <w:rsid w:val="00E070BD"/>
    <w:rsid w:val="00EB3D30"/>
    <w:rsid w:val="00EC6687"/>
    <w:rsid w:val="00EC72DB"/>
    <w:rsid w:val="00EE4EA4"/>
    <w:rsid w:val="00EE7DFF"/>
    <w:rsid w:val="00EF6264"/>
    <w:rsid w:val="00F0507B"/>
    <w:rsid w:val="00F10EE6"/>
    <w:rsid w:val="00F20507"/>
    <w:rsid w:val="00FE1766"/>
    <w:rsid w:val="00FE1D8F"/>
    <w:rsid w:val="00FF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A7C"/>
  </w:style>
  <w:style w:type="paragraph" w:styleId="Nagwek2">
    <w:name w:val="heading 2"/>
    <w:basedOn w:val="Normalny"/>
    <w:next w:val="Normalny"/>
    <w:link w:val="Nagwek2Znak"/>
    <w:qFormat/>
    <w:rsid w:val="00DC1A7C"/>
    <w:pPr>
      <w:keepNext/>
      <w:widowControl w:val="0"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Arial Unicode MS" w:hAnsi="Times New Roman" w:cs="Times New Roman"/>
      <w:b/>
      <w:bCs/>
      <w:sz w:val="24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C1A7C"/>
    <w:rPr>
      <w:rFonts w:ascii="Times New Roman" w:eastAsia="Arial Unicode MS" w:hAnsi="Times New Roman" w:cs="Times New Roman"/>
      <w:b/>
      <w:bCs/>
      <w:sz w:val="24"/>
      <w:szCs w:val="20"/>
      <w:u w:val="single"/>
    </w:rPr>
  </w:style>
  <w:style w:type="paragraph" w:styleId="Akapitzlist">
    <w:name w:val="List Paragraph"/>
    <w:basedOn w:val="Normalny"/>
    <w:uiPriority w:val="34"/>
    <w:qFormat/>
    <w:rsid w:val="004937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A2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2407"/>
  </w:style>
  <w:style w:type="paragraph" w:styleId="Stopka">
    <w:name w:val="footer"/>
    <w:basedOn w:val="Normalny"/>
    <w:link w:val="StopkaZnak"/>
    <w:uiPriority w:val="99"/>
    <w:unhideWhenUsed/>
    <w:rsid w:val="00AA2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407"/>
  </w:style>
  <w:style w:type="paragraph" w:styleId="Bezodstpw">
    <w:name w:val="No Spacing"/>
    <w:uiPriority w:val="1"/>
    <w:qFormat/>
    <w:rsid w:val="004B5D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A7C"/>
  </w:style>
  <w:style w:type="paragraph" w:styleId="Nagwek2">
    <w:name w:val="heading 2"/>
    <w:basedOn w:val="Normalny"/>
    <w:next w:val="Normalny"/>
    <w:link w:val="Nagwek2Znak"/>
    <w:qFormat/>
    <w:rsid w:val="00DC1A7C"/>
    <w:pPr>
      <w:keepNext/>
      <w:widowControl w:val="0"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Arial Unicode MS" w:hAnsi="Times New Roman" w:cs="Times New Roman"/>
      <w:b/>
      <w:bCs/>
      <w:sz w:val="24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C1A7C"/>
    <w:rPr>
      <w:rFonts w:ascii="Times New Roman" w:eastAsia="Arial Unicode MS" w:hAnsi="Times New Roman" w:cs="Times New Roman"/>
      <w:b/>
      <w:bCs/>
      <w:sz w:val="24"/>
      <w:szCs w:val="20"/>
      <w:u w:val="single"/>
    </w:rPr>
  </w:style>
  <w:style w:type="paragraph" w:styleId="Akapitzlist">
    <w:name w:val="List Paragraph"/>
    <w:basedOn w:val="Normalny"/>
    <w:uiPriority w:val="34"/>
    <w:qFormat/>
    <w:rsid w:val="004937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A2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2407"/>
  </w:style>
  <w:style w:type="paragraph" w:styleId="Stopka">
    <w:name w:val="footer"/>
    <w:basedOn w:val="Normalny"/>
    <w:link w:val="StopkaZnak"/>
    <w:uiPriority w:val="99"/>
    <w:unhideWhenUsed/>
    <w:rsid w:val="00AA2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407"/>
  </w:style>
  <w:style w:type="paragraph" w:styleId="Bezodstpw">
    <w:name w:val="No Spacing"/>
    <w:uiPriority w:val="1"/>
    <w:qFormat/>
    <w:rsid w:val="004B5D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8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Hudzik</dc:creator>
  <cp:lastModifiedBy>Małgorzata Tysionkiewicz</cp:lastModifiedBy>
  <cp:revision>54</cp:revision>
  <cp:lastPrinted>2023-05-19T06:29:00Z</cp:lastPrinted>
  <dcterms:created xsi:type="dcterms:W3CDTF">2023-03-21T07:19:00Z</dcterms:created>
  <dcterms:modified xsi:type="dcterms:W3CDTF">2023-09-27T12:18:00Z</dcterms:modified>
</cp:coreProperties>
</file>