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69E" w:rsidRDefault="00BD1E66" w:rsidP="00F228AB">
      <w:pPr>
        <w:tabs>
          <w:tab w:val="center" w:pos="4536"/>
        </w:tabs>
        <w:ind w:right="-2"/>
        <w:jc w:val="righ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62150" cy="685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BE4" w:rsidRDefault="00BD1E66" w:rsidP="00AB3BE4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4669" cy="368319"/>
                                  <wp:effectExtent l="0" t="0" r="6350" b="0"/>
                                  <wp:docPr id="1838692644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odło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669" cy="368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3BE4" w:rsidRPr="00EB0165" w:rsidRDefault="00BD1E66" w:rsidP="00AB3BE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B0165">
                              <w:rPr>
                                <w:rFonts w:ascii="Calibri" w:hAnsi="Calibri" w:cs="Calibri"/>
                                <w:b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54pt;margin-left:0;margin-top:0.6pt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-text-anchor:top;visibility:visible;width:154.5pt;z-index:-251656192" stroked="f">
                <v:textbox>
                  <w:txbxContent>
                    <w:p w:rsidR="00AB3BE4" w:rsidP="00AB3BE4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4669" cy="368319"/>
                            <wp:effectExtent l="0" t="0" r="6350" b="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odło.png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Id6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669" cy="368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3BE4" w:rsidRPr="00EB0165" w:rsidP="00AB3BE4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EB0165">
                        <w:rPr>
                          <w:rFonts w:ascii="Calibri" w:hAnsi="Calibri" w:cs="Calibri"/>
                          <w:b/>
                        </w:rPr>
                        <w:t>WOJEWODA MAZOWIECKI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010D">
        <w:rPr>
          <w:rFonts w:ascii="Calibri" w:hAnsi="Calibri" w:cs="Calibri"/>
        </w:rPr>
        <w:t>Warszawa,</w:t>
      </w:r>
      <w:r>
        <w:rPr>
          <w:rFonts w:ascii="Calibri" w:hAnsi="Calibri" w:cs="Calibri"/>
        </w:rPr>
        <w:t xml:space="preserve"> </w:t>
      </w:r>
      <w:bookmarkStart w:id="0" w:name="ezdDataPodpisu"/>
      <w:r>
        <w:rPr>
          <w:rFonts w:ascii="Calibri" w:hAnsi="Calibri" w:cs="Calibri"/>
        </w:rPr>
        <w:t>20 grudnia 2021 r.</w:t>
      </w:r>
      <w:bookmarkEnd w:id="0"/>
    </w:p>
    <w:p w:rsidR="004824F3" w:rsidRPr="00282858" w:rsidRDefault="00BD1E66" w:rsidP="00691727">
      <w:pPr>
        <w:spacing w:before="840"/>
        <w:ind w:right="666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br/>
      </w:r>
      <w:bookmarkStart w:id="1" w:name="_GoBack"/>
      <w:r w:rsidRPr="00282858">
        <w:rPr>
          <w:rFonts w:ascii="Calibri" w:hAnsi="Calibri" w:cs="Calibri"/>
          <w:bCs/>
        </w:rPr>
        <w:t>WNP-P.4131.15.2021</w:t>
      </w:r>
      <w:bookmarkEnd w:id="1"/>
    </w:p>
    <w:p w:rsidR="00C623C6" w:rsidRPr="00421970" w:rsidRDefault="00BD1E66" w:rsidP="00B57095">
      <w:pPr>
        <w:spacing w:before="720" w:line="276" w:lineRule="auto"/>
        <w:ind w:left="5387"/>
        <w:rPr>
          <w:rFonts w:ascii="Calibri" w:hAnsi="Calibri" w:cs="Calibri"/>
          <w:b/>
        </w:rPr>
      </w:pPr>
      <w:r w:rsidRPr="00421970">
        <w:rPr>
          <w:rFonts w:ascii="Calibri" w:hAnsi="Calibri" w:cs="Calibri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-5403215</wp:posOffset>
            </wp:positionH>
            <wp:positionV relativeFrom="paragraph">
              <wp:posOffset>292735</wp:posOffset>
            </wp:positionV>
            <wp:extent cx="2448560" cy="8267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82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970">
        <w:rPr>
          <w:rFonts w:ascii="Calibri" w:hAnsi="Calibri" w:cs="Calibri"/>
          <w:b/>
        </w:rPr>
        <w:t>Rada Gminy Słupno</w:t>
      </w:r>
    </w:p>
    <w:p w:rsidR="006418B9" w:rsidRDefault="00BD1E66" w:rsidP="00B57095">
      <w:pPr>
        <w:spacing w:before="720" w:line="276" w:lineRule="auto"/>
        <w:jc w:val="center"/>
        <w:rPr>
          <w:rFonts w:ascii="Calibri" w:hAnsi="Calibri" w:cs="Calibri"/>
          <w:b/>
        </w:rPr>
      </w:pPr>
    </w:p>
    <w:p w:rsidR="00B57095" w:rsidRPr="00421970" w:rsidRDefault="00BD1E66" w:rsidP="003F02A5">
      <w:pPr>
        <w:spacing w:before="720" w:line="276" w:lineRule="auto"/>
        <w:jc w:val="center"/>
        <w:rPr>
          <w:rFonts w:ascii="Calibri" w:hAnsi="Calibri" w:cs="Calibri"/>
          <w:b/>
        </w:rPr>
      </w:pPr>
      <w:r w:rsidRPr="00421970">
        <w:rPr>
          <w:rFonts w:ascii="Calibri" w:hAnsi="Calibri" w:cs="Calibri"/>
          <w:b/>
        </w:rPr>
        <w:t xml:space="preserve">Rozstrzygnięcie nadzorcze </w:t>
      </w:r>
    </w:p>
    <w:p w:rsidR="00421970" w:rsidRDefault="00BD1E66" w:rsidP="003F02A5">
      <w:pPr>
        <w:spacing w:line="276" w:lineRule="auto"/>
        <w:ind w:firstLine="709"/>
        <w:rPr>
          <w:rFonts w:ascii="Calibri" w:hAnsi="Calibri" w:cs="Calibri"/>
        </w:rPr>
      </w:pPr>
    </w:p>
    <w:p w:rsidR="00421970" w:rsidRDefault="00BD1E66" w:rsidP="003F02A5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podstawie art. 91 ustawy z dnia 8 marca 1990 r. o samorządzie gminnym (Dz. U. z 2021 r. poz. 1372 i 1834)</w:t>
      </w:r>
    </w:p>
    <w:p w:rsidR="00421970" w:rsidRPr="00AB5FA3" w:rsidRDefault="00BD1E66" w:rsidP="003F02A5">
      <w:pPr>
        <w:spacing w:line="276" w:lineRule="auto"/>
        <w:jc w:val="center"/>
        <w:rPr>
          <w:rFonts w:ascii="Calibri" w:hAnsi="Calibri" w:cs="Calibri"/>
          <w:b/>
        </w:rPr>
      </w:pPr>
      <w:r w:rsidRPr="00AB5FA3">
        <w:rPr>
          <w:rFonts w:ascii="Calibri" w:hAnsi="Calibri" w:cs="Calibri"/>
          <w:b/>
        </w:rPr>
        <w:t>stwierdzam nieważność</w:t>
      </w:r>
    </w:p>
    <w:p w:rsidR="00D768B8" w:rsidRDefault="00BD1E66" w:rsidP="003F02A5">
      <w:pPr>
        <w:spacing w:line="276" w:lineRule="auto"/>
        <w:jc w:val="center"/>
        <w:rPr>
          <w:rFonts w:ascii="Calibri" w:hAnsi="Calibri" w:cs="Calibri"/>
        </w:rPr>
      </w:pPr>
    </w:p>
    <w:p w:rsidR="00421970" w:rsidRDefault="00BD1E66" w:rsidP="003F02A5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Uchwały Nr 263/XLII/21 Rady Gminy Słupno z dnia 12 listopada 2021 r. w sprawie ustalenia zasad i wysokości die</w:t>
      </w:r>
      <w:r>
        <w:rPr>
          <w:rFonts w:ascii="Calibri" w:hAnsi="Calibri" w:cs="Calibri"/>
        </w:rPr>
        <w:t>t dla radn</w:t>
      </w:r>
      <w:r>
        <w:rPr>
          <w:rFonts w:ascii="Calibri" w:hAnsi="Calibri" w:cs="Calibri"/>
        </w:rPr>
        <w:t xml:space="preserve">ych Rady Gminy Słupno. </w:t>
      </w:r>
    </w:p>
    <w:p w:rsidR="00421970" w:rsidRDefault="00BD1E66" w:rsidP="003F02A5">
      <w:pPr>
        <w:spacing w:line="276" w:lineRule="auto"/>
        <w:rPr>
          <w:rFonts w:ascii="Calibri" w:hAnsi="Calibri" w:cs="Calibri"/>
        </w:rPr>
      </w:pPr>
    </w:p>
    <w:p w:rsidR="00421970" w:rsidRPr="00AB5FA3" w:rsidRDefault="00BD1E66" w:rsidP="003F02A5">
      <w:pPr>
        <w:spacing w:line="276" w:lineRule="auto"/>
        <w:jc w:val="center"/>
        <w:rPr>
          <w:rFonts w:ascii="Calibri" w:hAnsi="Calibri" w:cs="Calibri"/>
          <w:b/>
        </w:rPr>
      </w:pPr>
      <w:r w:rsidRPr="00AB5FA3">
        <w:rPr>
          <w:rFonts w:ascii="Calibri" w:hAnsi="Calibri" w:cs="Calibri"/>
          <w:b/>
        </w:rPr>
        <w:t>Uzasadnienie</w:t>
      </w:r>
    </w:p>
    <w:p w:rsidR="00AB5FA3" w:rsidRDefault="00BD1E66" w:rsidP="003F02A5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100AAF" w:rsidRDefault="00BD1E66" w:rsidP="003F02A5">
      <w:pPr>
        <w:spacing w:line="276" w:lineRule="auto"/>
        <w:ind w:firstLine="709"/>
        <w:jc w:val="both"/>
        <w:rPr>
          <w:rFonts w:ascii="Calibri" w:hAnsi="Calibri" w:cs="Calibri"/>
        </w:rPr>
      </w:pPr>
      <w:r w:rsidRPr="0042197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Przedmiotową Uchwałą, doręczoną organowi nadzoru w dniu 22 listopada 2021 r., Rada Gminy Słupno</w:t>
      </w:r>
      <w:r>
        <w:rPr>
          <w:rFonts w:ascii="Calibri" w:hAnsi="Calibri" w:cs="Calibri"/>
        </w:rPr>
        <w:t xml:space="preserve"> ustaliła zasady,</w:t>
      </w:r>
      <w:r>
        <w:rPr>
          <w:rFonts w:ascii="Calibri" w:hAnsi="Calibri" w:cs="Calibri"/>
        </w:rPr>
        <w:t xml:space="preserve"> na jakich przysługiwać będzie r</w:t>
      </w:r>
      <w:r>
        <w:rPr>
          <w:rFonts w:ascii="Calibri" w:hAnsi="Calibri" w:cs="Calibri"/>
        </w:rPr>
        <w:t>adnym tej Gminy dieta oraz określiła jej wysokość. Jako podstawę prawną Uchwały wskazano art. 25 ust. 4, 6 i 8 ustawy z dnia 8 marca 1990 r. o samorządzie gmin</w:t>
      </w:r>
      <w:r>
        <w:rPr>
          <w:rFonts w:ascii="Calibri" w:hAnsi="Calibri" w:cs="Calibri"/>
        </w:rPr>
        <w:t>nym (dalej: ustawa), w związku z art. 2 ustawy z</w:t>
      </w:r>
      <w:r>
        <w:rPr>
          <w:rFonts w:ascii="Calibri" w:hAnsi="Calibri" w:cs="Calibri"/>
        </w:rPr>
        <w:t xml:space="preserve"> dnia 17 września 2021 r. o zmianie ustawy o wynagradzaniu osób zajmujących kierownicze stanowiska państwowe oraz niektórych innych ustaw (Dz. U. z 2021 r. poz. 1834). Zgodnie z powyższymi przepisami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na zasadach ustalonych przez radę gminy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radnemu przysł</w:t>
      </w:r>
      <w:r>
        <w:rPr>
          <w:rFonts w:ascii="Calibri" w:hAnsi="Calibri" w:cs="Calibri"/>
        </w:rPr>
        <w:t xml:space="preserve">ugują diety oraz zwrot kosztów podróży; wysokość diet przysługujących radnemu nie może przekroczyć </w:t>
      </w:r>
      <w:r>
        <w:rPr>
          <w:rFonts w:ascii="Calibri" w:hAnsi="Calibri" w:cs="Calibri"/>
        </w:rPr>
        <w:t>w ciągu miesiąca łącznie 2,4 krotności kwoty bazowej określo</w:t>
      </w:r>
      <w:r>
        <w:rPr>
          <w:rFonts w:ascii="Calibri" w:hAnsi="Calibri" w:cs="Calibri"/>
        </w:rPr>
        <w:t>nej w ustawie budżetowej dla osó</w:t>
      </w:r>
      <w:r>
        <w:rPr>
          <w:rFonts w:ascii="Calibri" w:hAnsi="Calibri" w:cs="Calibri"/>
        </w:rPr>
        <w:t>b zajmujących kierownicze stanowiska państwowe</w:t>
      </w:r>
      <w:r>
        <w:rPr>
          <w:rFonts w:ascii="Calibri" w:hAnsi="Calibri" w:cs="Calibri"/>
        </w:rPr>
        <w:t xml:space="preserve"> na podstawie przep</w:t>
      </w:r>
      <w:r>
        <w:rPr>
          <w:rFonts w:ascii="Calibri" w:hAnsi="Calibri" w:cs="Calibri"/>
        </w:rPr>
        <w:t>isów ustawy z dnia 23 grudnia 1999 r. o kształtowaniu wynagrodzeń w państwowej sferze budżetowej oraz o zmianie niektórych ustaw (Dz. U. z 2020 r. poz. 1658 z późn. zm.); rada gminy przy ustalaniu wysokości diet bierze pod uwagę funkcje pełnione przez radn</w:t>
      </w:r>
      <w:r>
        <w:rPr>
          <w:rFonts w:ascii="Calibri" w:hAnsi="Calibri" w:cs="Calibri"/>
        </w:rPr>
        <w:t xml:space="preserve">ego. </w:t>
      </w:r>
    </w:p>
    <w:p w:rsidR="00B3491F" w:rsidRDefault="00BD1E66" w:rsidP="003F02A5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ocenie organu nadzoru</w:t>
      </w:r>
      <w:r>
        <w:rPr>
          <w:rFonts w:ascii="Calibri" w:hAnsi="Calibri" w:cs="Calibri"/>
        </w:rPr>
        <w:t>, Rada Gminy Słupno</w:t>
      </w:r>
      <w:r>
        <w:rPr>
          <w:rFonts w:ascii="Calibri" w:hAnsi="Calibri" w:cs="Calibri"/>
        </w:rPr>
        <w:t xml:space="preserve"> prawidło</w:t>
      </w:r>
      <w:r>
        <w:rPr>
          <w:rFonts w:ascii="Calibri" w:hAnsi="Calibri" w:cs="Calibri"/>
        </w:rPr>
        <w:t>wo wypełniła delegację ustawową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jedynie w zakresie ustalenia zasad, na jakich </w:t>
      </w:r>
      <w:r>
        <w:rPr>
          <w:rFonts w:ascii="Calibri" w:hAnsi="Calibri" w:cs="Calibri"/>
        </w:rPr>
        <w:t xml:space="preserve">będą przysługiwać diety </w:t>
      </w:r>
      <w:r>
        <w:rPr>
          <w:rFonts w:ascii="Calibri" w:hAnsi="Calibri" w:cs="Calibri"/>
        </w:rPr>
        <w:t xml:space="preserve">„szeregowym” </w:t>
      </w:r>
      <w:r>
        <w:rPr>
          <w:rFonts w:ascii="Calibri" w:hAnsi="Calibri" w:cs="Calibri"/>
        </w:rPr>
        <w:t>radn</w:t>
      </w:r>
      <w:r>
        <w:rPr>
          <w:rFonts w:ascii="Calibri" w:hAnsi="Calibri" w:cs="Calibri"/>
        </w:rPr>
        <w:t xml:space="preserve">ym oraz przewodniczącym komisji </w:t>
      </w:r>
      <w:r>
        <w:rPr>
          <w:rFonts w:ascii="Calibri" w:hAnsi="Calibri" w:cs="Calibri"/>
        </w:rPr>
        <w:t xml:space="preserve">za udział w sesji i posiedzeniu komisji - </w:t>
      </w:r>
      <w:r>
        <w:rPr>
          <w:rFonts w:ascii="Calibri" w:hAnsi="Calibri" w:cs="Calibri"/>
        </w:rPr>
        <w:t>ok</w:t>
      </w:r>
      <w:r>
        <w:rPr>
          <w:rFonts w:ascii="Calibri" w:hAnsi="Calibri" w:cs="Calibri"/>
        </w:rPr>
        <w:t>re</w:t>
      </w:r>
      <w:r>
        <w:rPr>
          <w:rFonts w:ascii="Calibri" w:hAnsi="Calibri" w:cs="Calibri"/>
        </w:rPr>
        <w:t xml:space="preserve">ślając w § 1 podstawę ustalenia wysokości diet radnych, w § 2 i 3 wysokość diet przysługujących radnemu za każdy dzień udziału w </w:t>
      </w:r>
      <w:r>
        <w:rPr>
          <w:rFonts w:ascii="Calibri" w:hAnsi="Calibri" w:cs="Calibri"/>
        </w:rPr>
        <w:t>pracach komisji i sesjach Rady</w:t>
      </w:r>
      <w:r>
        <w:rPr>
          <w:rFonts w:ascii="Calibri" w:hAnsi="Calibri" w:cs="Calibri"/>
        </w:rPr>
        <w:t>, z zastrzeżen</w:t>
      </w:r>
      <w:r>
        <w:rPr>
          <w:rFonts w:ascii="Calibri" w:hAnsi="Calibri" w:cs="Calibri"/>
        </w:rPr>
        <w:t>iem</w:t>
      </w:r>
      <w:r>
        <w:rPr>
          <w:rFonts w:ascii="Calibri" w:hAnsi="Calibri" w:cs="Calibri"/>
        </w:rPr>
        <w:t xml:space="preserve">, że maksymalna wysokość diet w ciągu </w:t>
      </w:r>
      <w:r>
        <w:rPr>
          <w:rFonts w:ascii="Calibri" w:hAnsi="Calibri" w:cs="Calibri"/>
        </w:rPr>
        <w:lastRenderedPageBreak/>
        <w:t xml:space="preserve">miesiąca nie może przekroczyć podstawy, o </w:t>
      </w:r>
      <w:r>
        <w:rPr>
          <w:rFonts w:ascii="Calibri" w:hAnsi="Calibri" w:cs="Calibri"/>
        </w:rPr>
        <w:t>której mowa w § 1</w:t>
      </w:r>
      <w:r>
        <w:rPr>
          <w:rFonts w:ascii="Calibri" w:hAnsi="Calibri" w:cs="Calibri"/>
        </w:rPr>
        <w:t xml:space="preserve"> (§ 6 ust. 3</w:t>
      </w:r>
      <w:r>
        <w:rPr>
          <w:rFonts w:ascii="Calibri" w:hAnsi="Calibri" w:cs="Calibri"/>
        </w:rPr>
        <w:t xml:space="preserve">). Rada postanowiła, że wypłata diet następuje w terminie 7 dni od dnia zakończenia sesji (§ 6 ust. 1) a podstawę wypłaty stanowi podpis radnego złożony na liście obecności lub potwierdzenie obecności </w:t>
      </w:r>
      <w:r>
        <w:rPr>
          <w:rFonts w:ascii="Calibri" w:hAnsi="Calibri" w:cs="Calibri"/>
        </w:rPr>
        <w:t>na tablecie w programie eS</w:t>
      </w:r>
      <w:r>
        <w:rPr>
          <w:rFonts w:ascii="Calibri" w:hAnsi="Calibri" w:cs="Calibri"/>
        </w:rPr>
        <w:t>esja (§ 4).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Rada prawidłowo określiła również regułę wskazującą sposób i termin wejścia w życie Uchwały, tj. 14 dni od dnia ogłoszenia Uchwały w Dzienniku Urzędowym Województwa Mazowieckiego. </w:t>
      </w:r>
    </w:p>
    <w:p w:rsidR="00A01920" w:rsidRDefault="00BD1E66" w:rsidP="003F02A5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Natomiast w zakresie ustalenia zasad, na jakich przysługują die</w:t>
      </w:r>
      <w:r>
        <w:rPr>
          <w:rFonts w:ascii="Calibri" w:hAnsi="Calibri" w:cs="Calibri"/>
        </w:rPr>
        <w:t xml:space="preserve">ty radnym , pełniącym funkcję Przewodniczącego lub Wiceprzewodniczącego Rady, organ nadzoru stwierdził istotną sprzeczność z art. 25 ust. 4 ustawy. </w:t>
      </w:r>
    </w:p>
    <w:p w:rsidR="00892DE4" w:rsidRDefault="00BD1E66" w:rsidP="003F02A5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§ 5 ust. 1 i 2 ustalono wysokość diety radnych, pełniących funkcję Przewodniczącego i Wiceprzewodnicząceg</w:t>
      </w:r>
      <w:r>
        <w:rPr>
          <w:rFonts w:ascii="Calibri" w:hAnsi="Calibri" w:cs="Calibri"/>
        </w:rPr>
        <w:t>o, stanowiąc jednocześnie w § 6 ust. 2, że wypłata tych diet, za dany miesiąc kalendarzowy następować będzie z dołu, w terminie do ostatniego dnia miesią</w:t>
      </w:r>
      <w:r>
        <w:rPr>
          <w:rFonts w:ascii="Calibri" w:hAnsi="Calibri" w:cs="Calibri"/>
        </w:rPr>
        <w:t>ca. Zatem, w przeciwieństwie do diet „szeregowych” radnych, których wypłata została uzależniona od fakt</w:t>
      </w:r>
      <w:r>
        <w:rPr>
          <w:rFonts w:ascii="Calibri" w:hAnsi="Calibri" w:cs="Calibri"/>
        </w:rPr>
        <w:t>ycznego uczestnictwa radnego w pracach rady i jej komisji, diety radnych „funkcyjnych”</w:t>
      </w:r>
      <w:r>
        <w:rPr>
          <w:rFonts w:ascii="Calibri" w:hAnsi="Calibri" w:cs="Calibri"/>
        </w:rPr>
        <w:t xml:space="preserve"> wypłacane mają być </w:t>
      </w:r>
      <w:r>
        <w:rPr>
          <w:rFonts w:ascii="Calibri" w:hAnsi="Calibri" w:cs="Calibri"/>
        </w:rPr>
        <w:t xml:space="preserve">w stałej wysokości, niezależnie od tego, czy radni ci wykonują swoje obwiązki, czy też nie. </w:t>
      </w:r>
    </w:p>
    <w:p w:rsidR="007547DE" w:rsidRDefault="00BD1E66" w:rsidP="003F02A5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Zgodnie z utrwaloną linią orzeczniczą sądów administracyj</w:t>
      </w:r>
      <w:r>
        <w:rPr>
          <w:rFonts w:ascii="Calibri" w:hAnsi="Calibri" w:cs="Calibri"/>
        </w:rPr>
        <w:t xml:space="preserve">nych, wykładnia art. 25 ust. 4 ustawy o samorządzie gminnym wskazuje na to, że diety należą się radnemu za uczestnictwo w pracach organów gminy, a nie z tytułu samego faktu bycia radnym. Zgodnie z art. 24 ust. 1 ustawy, „radny jest obowiązany brać udział </w:t>
      </w:r>
      <w:r>
        <w:rPr>
          <w:rFonts w:ascii="Calibri" w:hAnsi="Calibri" w:cs="Calibri"/>
        </w:rPr>
        <w:t>w</w:t>
      </w:r>
      <w:r>
        <w:rPr>
          <w:rFonts w:ascii="Calibri" w:hAnsi="Calibri" w:cs="Calibri"/>
        </w:rPr>
        <w:t xml:space="preserve"> pracach rady i jej komisji oraz innych instytucji samorządowych, do których został wybrany lub desygnowany”, j</w:t>
      </w:r>
      <w:r>
        <w:rPr>
          <w:rFonts w:ascii="Calibri" w:hAnsi="Calibri" w:cs="Calibri"/>
        </w:rPr>
        <w:t xml:space="preserve">eżeli </w:t>
      </w:r>
      <w:r>
        <w:rPr>
          <w:rFonts w:ascii="Calibri" w:hAnsi="Calibri" w:cs="Calibri"/>
        </w:rPr>
        <w:t>zatem nie wypełnia tego obowiązku, to diety mu nie przysługują. Taka interpretacja wynika, w ocenie sądów, z istoty pojęcia „dieta”</w:t>
      </w:r>
      <w:r>
        <w:rPr>
          <w:rFonts w:ascii="Calibri" w:hAnsi="Calibri" w:cs="Calibri"/>
        </w:rPr>
        <w:t xml:space="preserve">, jako </w:t>
      </w:r>
      <w:r>
        <w:rPr>
          <w:rFonts w:ascii="Calibri" w:hAnsi="Calibri" w:cs="Calibri"/>
        </w:rPr>
        <w:t>ś</w:t>
      </w:r>
      <w:r>
        <w:rPr>
          <w:rFonts w:ascii="Calibri" w:hAnsi="Calibri" w:cs="Calibri"/>
        </w:rPr>
        <w:t>wi</w:t>
      </w:r>
      <w:r>
        <w:rPr>
          <w:rFonts w:ascii="Calibri" w:hAnsi="Calibri" w:cs="Calibri"/>
        </w:rPr>
        <w:t>adczenia typowo kompensacyjnego -</w:t>
      </w:r>
      <w:r>
        <w:rPr>
          <w:rFonts w:ascii="Calibri" w:hAnsi="Calibri" w:cs="Calibri"/>
        </w:rPr>
        <w:t xml:space="preserve"> środki uzyskiwane przez radnego w ramach przysługującej mu diety, mają w istocie tylko i wyłącznie minimalizować poniesione koszty wynikające z potrącanego mu wynagrodzenia za pracę na skutek uczestnictwa w aktywności ra</w:t>
      </w:r>
      <w:r>
        <w:rPr>
          <w:rFonts w:ascii="Calibri" w:hAnsi="Calibri" w:cs="Calibri"/>
        </w:rPr>
        <w:t xml:space="preserve">dy gminy. Dieta nie może zatem mieć charakteru stałego, miesięcznego wynagrodzenia, niezależnego od kosztów i wydatków, jakie generuje wykonywanie przez radnego mandatu wyborczego </w:t>
      </w:r>
      <w:r>
        <w:rPr>
          <w:rFonts w:ascii="Calibri" w:hAnsi="Calibri" w:cs="Calibri"/>
        </w:rPr>
        <w:t>(tak przykładowo: wyrok WSA w Opolu z 07</w:t>
      </w:r>
      <w:r>
        <w:rPr>
          <w:rFonts w:ascii="Calibri" w:hAnsi="Calibri" w:cs="Calibri"/>
        </w:rPr>
        <w:t>.11.2013 r., II SA/Op 316/13;, wyrok</w:t>
      </w:r>
      <w:r>
        <w:rPr>
          <w:rFonts w:ascii="Calibri" w:hAnsi="Calibri" w:cs="Calibri"/>
        </w:rPr>
        <w:t xml:space="preserve"> WSA</w:t>
      </w:r>
      <w:r>
        <w:rPr>
          <w:rFonts w:ascii="Calibri" w:hAnsi="Calibri" w:cs="Calibri"/>
        </w:rPr>
        <w:t xml:space="preserve"> w Białymstoku z 9.03.2017 r, </w:t>
      </w:r>
      <w:r>
        <w:rPr>
          <w:rFonts w:ascii="Calibri" w:hAnsi="Calibri" w:cs="Calibri"/>
        </w:rPr>
        <w:t xml:space="preserve">II SA/Bk 14/17; wyrok NSA z 26.06.2014 r., II OSK 406/14; wyrok WSA w Opolu z 4.03.2021 r., II SA/Op 301/20; wyrok WSA w Warszawie z 25.02.2020 r., II SA/Wa 2121/19). </w:t>
      </w:r>
    </w:p>
    <w:p w:rsidR="00F126D6" w:rsidRDefault="00BD1E66" w:rsidP="003F02A5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Skoro przysługująca radnym dieta ma charakter kompensa</w:t>
      </w:r>
      <w:r>
        <w:rPr>
          <w:rFonts w:ascii="Calibri" w:hAnsi="Calibri" w:cs="Calibri"/>
        </w:rPr>
        <w:t>cyjny wobec utraconego wynagr</w:t>
      </w:r>
      <w:r>
        <w:rPr>
          <w:rFonts w:ascii="Calibri" w:hAnsi="Calibri" w:cs="Calibri"/>
        </w:rPr>
        <w:t>odzenia</w:t>
      </w:r>
      <w:r>
        <w:rPr>
          <w:rFonts w:ascii="Calibri" w:hAnsi="Calibri" w:cs="Calibri"/>
        </w:rPr>
        <w:t>, to ustalając jej miesięczną wysokość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rada gminy powinna określić zasady potrącania diet </w:t>
      </w:r>
      <w:r>
        <w:rPr>
          <w:rFonts w:ascii="Calibri" w:hAnsi="Calibri" w:cs="Calibri"/>
        </w:rPr>
        <w:t>(</w:t>
      </w:r>
      <w:r>
        <w:rPr>
          <w:rFonts w:ascii="Calibri" w:hAnsi="Calibri" w:cs="Calibri"/>
        </w:rPr>
        <w:t>w całości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za niestawiennictwo radnego bąd</w:t>
      </w:r>
      <w:r>
        <w:rPr>
          <w:rFonts w:ascii="Calibri" w:hAnsi="Calibri" w:cs="Calibri"/>
        </w:rPr>
        <w:t>ź nie branie udziału w posiedzeniach organów gminny i innych czynnościach wynikających</w:t>
      </w:r>
      <w:r>
        <w:rPr>
          <w:rFonts w:ascii="Calibri" w:hAnsi="Calibri" w:cs="Calibri"/>
        </w:rPr>
        <w:t xml:space="preserve"> ze sprawowanego mandatu, zaś brak wprowadzenia takich potrąceń, stanowi zaprzeczenie pojęcia „należnej</w:t>
      </w:r>
      <w:r>
        <w:rPr>
          <w:rFonts w:ascii="Calibri" w:hAnsi="Calibri" w:cs="Calibri"/>
        </w:rPr>
        <w:t xml:space="preserve"> diety”</w:t>
      </w:r>
      <w:r>
        <w:rPr>
          <w:rFonts w:ascii="Calibri" w:hAnsi="Calibri" w:cs="Calibri"/>
        </w:rPr>
        <w:t xml:space="preserve"> i</w:t>
      </w:r>
      <w:r>
        <w:rPr>
          <w:rFonts w:ascii="Calibri" w:hAnsi="Calibri" w:cs="Calibri"/>
        </w:rPr>
        <w:t xml:space="preserve"> tym samym jest </w:t>
      </w:r>
      <w:r>
        <w:rPr>
          <w:rFonts w:ascii="Calibri" w:hAnsi="Calibri" w:cs="Calibri"/>
        </w:rPr>
        <w:t xml:space="preserve">sprzeczny </w:t>
      </w:r>
      <w:r>
        <w:rPr>
          <w:rFonts w:ascii="Calibri" w:hAnsi="Calibri" w:cs="Calibri"/>
        </w:rPr>
        <w:t xml:space="preserve">z art. 25 ust. 4 ustawy. </w:t>
      </w:r>
      <w:r>
        <w:rPr>
          <w:rFonts w:ascii="Calibri" w:hAnsi="Calibri" w:cs="Calibri"/>
        </w:rPr>
        <w:t xml:space="preserve"> </w:t>
      </w:r>
    </w:p>
    <w:p w:rsidR="00726BE6" w:rsidRDefault="00BD1E66" w:rsidP="003F02A5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Rada Gminy Słupno ustalając w kwestionowanej Uchwale zasady przyznawania diet Przewodnicząc</w:t>
      </w:r>
      <w:r>
        <w:rPr>
          <w:rFonts w:ascii="Calibri" w:hAnsi="Calibri" w:cs="Calibri"/>
        </w:rPr>
        <w:t xml:space="preserve">emu i Wiceprzewodniczącemu Rady, nie uregulowała sytuacji, gdy radni ci nie uczestniczą w pracach Rady, a </w:t>
      </w:r>
      <w:r>
        <w:rPr>
          <w:rFonts w:ascii="Calibri" w:hAnsi="Calibri" w:cs="Calibri"/>
        </w:rPr>
        <w:t>zatem</w:t>
      </w:r>
      <w:r>
        <w:rPr>
          <w:rFonts w:ascii="Calibri" w:hAnsi="Calibri" w:cs="Calibri"/>
        </w:rPr>
        <w:t xml:space="preserve"> nie ponoszą żadnych kosztów związanych z wykonywaniem mandatu. Takie rozwiązanie może prowadzić do sytuacji, gdy radni ci nie będą stawiać się n</w:t>
      </w:r>
      <w:r>
        <w:rPr>
          <w:rFonts w:ascii="Calibri" w:hAnsi="Calibri" w:cs="Calibri"/>
        </w:rPr>
        <w:t xml:space="preserve">a żadne </w:t>
      </w:r>
      <w:r>
        <w:rPr>
          <w:rFonts w:ascii="Calibri" w:hAnsi="Calibri" w:cs="Calibri"/>
        </w:rPr>
        <w:lastRenderedPageBreak/>
        <w:t xml:space="preserve">posiedzenia rady czy komisji w ciągu miesiąca </w:t>
      </w:r>
      <w:r>
        <w:rPr>
          <w:rFonts w:ascii="Calibri" w:hAnsi="Calibri" w:cs="Calibri"/>
        </w:rPr>
        <w:t>lub dłużej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 mimo to</w:t>
      </w:r>
      <w:r>
        <w:rPr>
          <w:rFonts w:ascii="Calibri" w:hAnsi="Calibri" w:cs="Calibri"/>
        </w:rPr>
        <w:t xml:space="preserve"> będą otrzymywać dietę, de facto za niewykonywanie obowiązków radnego. </w:t>
      </w:r>
    </w:p>
    <w:p w:rsidR="009E565F" w:rsidRDefault="00BD1E66" w:rsidP="003F02A5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Ponadto, w § 9 Uchwały Rada Gminy wprowadziła zapis, że „niniejsza uchwała ma zastosowanie do diet należnych </w:t>
      </w:r>
      <w:r>
        <w:rPr>
          <w:rFonts w:ascii="Calibri" w:hAnsi="Calibri" w:cs="Calibri"/>
        </w:rPr>
        <w:t>radnym od dnia 1 listopada 2021 r.”</w:t>
      </w:r>
      <w:r>
        <w:rPr>
          <w:rFonts w:ascii="Calibri" w:hAnsi="Calibri" w:cs="Calibri"/>
        </w:rPr>
        <w:t xml:space="preserve">. Zapis ten jest sprzeczny z art. </w:t>
      </w:r>
      <w:r>
        <w:rPr>
          <w:rFonts w:ascii="Calibri" w:hAnsi="Calibri" w:cs="Calibri"/>
        </w:rPr>
        <w:t>18 ustawy z dnia 17 września 2021 r. o zmianie ustawy o wynagradzaniu osób zajmujących kierownicze stanowiska państwowe oraz niektórych innych ustaw</w:t>
      </w:r>
      <w:r>
        <w:rPr>
          <w:rFonts w:ascii="Calibri" w:hAnsi="Calibri" w:cs="Calibri"/>
        </w:rPr>
        <w:t xml:space="preserve"> stanowiącym, że art. 25 ust. 6 ustawy </w:t>
      </w:r>
      <w:r>
        <w:rPr>
          <w:rFonts w:ascii="Calibri" w:hAnsi="Calibri" w:cs="Calibri"/>
        </w:rPr>
        <w:t xml:space="preserve">o samorządzie gminnym, </w:t>
      </w:r>
      <w:r w:rsidRPr="00146025">
        <w:rPr>
          <w:rFonts w:asciiTheme="minorHAnsi" w:hAnsiTheme="minorHAnsi" w:cstheme="minorHAnsi"/>
        </w:rPr>
        <w:t>w brzmien</w:t>
      </w:r>
      <w:r>
        <w:rPr>
          <w:rFonts w:asciiTheme="minorHAnsi" w:hAnsiTheme="minorHAnsi" w:cstheme="minorHAnsi"/>
        </w:rPr>
        <w:t>iu nadanym niniejszą ustawą ma</w:t>
      </w:r>
      <w:r w:rsidRPr="00146025">
        <w:rPr>
          <w:rFonts w:asciiTheme="minorHAnsi" w:hAnsiTheme="minorHAnsi" w:cstheme="minorHAnsi"/>
        </w:rPr>
        <w:t xml:space="preserve"> zastosowanie do </w:t>
      </w:r>
      <w:r>
        <w:rPr>
          <w:rFonts w:asciiTheme="minorHAnsi" w:hAnsiTheme="minorHAnsi" w:cstheme="minorHAnsi"/>
        </w:rPr>
        <w:t>ustalania wysokości</w:t>
      </w:r>
      <w:r w:rsidRPr="00146025">
        <w:rPr>
          <w:rFonts w:asciiTheme="minorHAnsi" w:hAnsiTheme="minorHAnsi" w:cstheme="minorHAnsi"/>
        </w:rPr>
        <w:t xml:space="preserve"> diet należnych od dnia 1 sierpnia 2021 r.</w:t>
      </w:r>
      <w:r w:rsidRPr="00146025">
        <w:rPr>
          <w:rFonts w:asciiTheme="minorHAnsi" w:hAnsiTheme="minorHAnsi" w:cstheme="minorHAnsi"/>
        </w:rPr>
        <w:t xml:space="preserve"> </w:t>
      </w:r>
    </w:p>
    <w:p w:rsidR="006418B9" w:rsidRDefault="00BD1E66" w:rsidP="003F02A5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Mając powyższe na uwadze, organ nadzoru stwierdził, że Rada Gminy Słupno nie wypełniła prawidłowo delegacji ustawo</w:t>
      </w:r>
      <w:r>
        <w:rPr>
          <w:rFonts w:asciiTheme="minorHAnsi" w:hAnsiTheme="minorHAnsi" w:cstheme="minorHAnsi"/>
        </w:rPr>
        <w:t xml:space="preserve">wej z art. 25 ust. 4 ustawy o samorządzie gminnym, w sposób sprzeczny z prawem ustalając zasady przyznawania diet Przewodniczącemu i Wiceprzewodniczącemu Rady, należało zatem orzec, jak w petitum rozstrzygnięcia. </w:t>
      </w:r>
    </w:p>
    <w:p w:rsidR="006418B9" w:rsidRDefault="00BD1E66" w:rsidP="003F02A5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rozstrzygnięcie nadzorcze przy</w:t>
      </w:r>
      <w:r>
        <w:rPr>
          <w:rFonts w:asciiTheme="minorHAnsi" w:hAnsiTheme="minorHAnsi" w:cstheme="minorHAnsi"/>
        </w:rPr>
        <w:t xml:space="preserve">sługuje </w:t>
      </w:r>
      <w:r>
        <w:rPr>
          <w:rFonts w:asciiTheme="minorHAnsi" w:hAnsiTheme="minorHAnsi" w:cstheme="minorHAnsi"/>
        </w:rPr>
        <w:t>Gminie s</w:t>
      </w:r>
      <w:r>
        <w:rPr>
          <w:rFonts w:asciiTheme="minorHAnsi" w:hAnsiTheme="minorHAnsi" w:cstheme="minorHAnsi"/>
        </w:rPr>
        <w:t xml:space="preserve">karga do Wojewódzkiego Sądu Administracyjnego w Warszawie, wnoszona za pośrednictwem Wojewody Mazowieckiego, w terminie 30 dni od daty doręczenia rozstrzygnięcia nadzorczego. </w:t>
      </w:r>
    </w:p>
    <w:p w:rsidR="00421970" w:rsidRDefault="00BD1E66" w:rsidP="003F02A5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Stwierdzenie nieważności uchwały wstrzymuje jej wykonanie z mocy prawa z</w:t>
      </w:r>
      <w:r>
        <w:rPr>
          <w:rFonts w:asciiTheme="minorHAnsi" w:hAnsiTheme="minorHAnsi" w:cstheme="minorHAnsi"/>
        </w:rPr>
        <w:t xml:space="preserve"> dniem doręczenia rozstrzygnięcia nadzorczego. </w:t>
      </w:r>
      <w:r>
        <w:rPr>
          <w:rFonts w:ascii="Calibri" w:hAnsi="Calibri" w:cs="Calibri"/>
        </w:rPr>
        <w:t xml:space="preserve">  </w:t>
      </w:r>
    </w:p>
    <w:p w:rsidR="00A667D4" w:rsidRPr="00421970" w:rsidRDefault="00BD1E66" w:rsidP="003F02A5">
      <w:pPr>
        <w:spacing w:line="276" w:lineRule="auto"/>
        <w:ind w:firstLine="709"/>
        <w:jc w:val="both"/>
        <w:rPr>
          <w:rFonts w:ascii="Calibri" w:hAnsi="Calibri" w:cs="Calibri"/>
        </w:rPr>
      </w:pPr>
    </w:p>
    <w:p w:rsidR="004824F3" w:rsidRDefault="00BD1E66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bookmarkStart w:id="2" w:name="ezdPracownikStanowisko"/>
      <w:r>
        <w:rPr>
          <w:rFonts w:ascii="Calibri" w:hAnsi="Calibri" w:cs="Calibri"/>
        </w:rPr>
        <w:t>Wojewoda Mazowiecki</w:t>
      </w:r>
      <w:bookmarkEnd w:id="2"/>
    </w:p>
    <w:p w:rsidR="00282858" w:rsidRDefault="00BD1E66" w:rsidP="00691727">
      <w:pPr>
        <w:spacing w:line="276" w:lineRule="auto"/>
        <w:ind w:left="3402"/>
        <w:jc w:val="center"/>
        <w:rPr>
          <w:rFonts w:ascii="Calibri" w:hAnsi="Calibri" w:cs="Calibri"/>
        </w:rPr>
      </w:pPr>
    </w:p>
    <w:p w:rsidR="00282858" w:rsidRDefault="00BD1E66" w:rsidP="00691727">
      <w:pPr>
        <w:spacing w:line="276" w:lineRule="auto"/>
        <w:ind w:left="3402"/>
        <w:jc w:val="center"/>
        <w:rPr>
          <w:rFonts w:ascii="Calibri" w:hAnsi="Calibri" w:cs="Calibri"/>
        </w:rPr>
      </w:pPr>
    </w:p>
    <w:p w:rsidR="00282858" w:rsidRDefault="00BD1E66" w:rsidP="00691727">
      <w:pPr>
        <w:spacing w:line="276" w:lineRule="auto"/>
        <w:ind w:left="3402"/>
        <w:jc w:val="center"/>
        <w:rPr>
          <w:rFonts w:ascii="Calibri" w:hAnsi="Calibri" w:cs="Calibri"/>
        </w:rPr>
      </w:pPr>
    </w:p>
    <w:p w:rsidR="004824F3" w:rsidRDefault="00BD1E66" w:rsidP="00691727">
      <w:pPr>
        <w:spacing w:after="240" w:line="276" w:lineRule="auto"/>
        <w:ind w:left="3402"/>
        <w:jc w:val="center"/>
        <w:rPr>
          <w:rFonts w:ascii="Calibri" w:hAnsi="Calibri" w:cs="Calibri"/>
        </w:rPr>
      </w:pPr>
      <w:bookmarkStart w:id="3" w:name="ezdPracownikNazwa"/>
      <w:r>
        <w:rPr>
          <w:rFonts w:ascii="Calibri" w:hAnsi="Calibri" w:cs="Calibri"/>
        </w:rPr>
        <w:t>Konstanty Radziwiłł</w:t>
      </w:r>
      <w:bookmarkEnd w:id="3"/>
    </w:p>
    <w:p w:rsidR="00691727" w:rsidRDefault="00BD1E66" w:rsidP="00691727">
      <w:pPr>
        <w:spacing w:before="240" w:line="276" w:lineRule="auto"/>
        <w:ind w:left="340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/podpisano bezpiecznym podpisem elektronicznym</w:t>
      </w:r>
    </w:p>
    <w:p w:rsidR="004824F3" w:rsidRPr="00504F2F" w:rsidRDefault="00BD1E66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weryfikowanym ważnym kwalifikowanym certyfikatem/</w:t>
      </w:r>
    </w:p>
    <w:sectPr w:rsidR="004824F3" w:rsidRPr="00504F2F" w:rsidSect="003E626C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E66"/>
    <w:rsid w:val="00BD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0B2B11-8363-404A-8D5A-A13A3016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75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91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1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8E912-8EDC-4F4B-BA6B-4779744C9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- pismo zewn. podpis elektroniczny</vt:lpstr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- pismo zewn. podpis elektroniczny</dc:title>
  <dc:creator>kkili</dc:creator>
  <cp:lastModifiedBy>Beata Darnowska</cp:lastModifiedBy>
  <cp:revision>2</cp:revision>
  <cp:lastPrinted>2021-11-19T14:18:00Z</cp:lastPrinted>
  <dcterms:created xsi:type="dcterms:W3CDTF">2021-12-21T12:27:00Z</dcterms:created>
  <dcterms:modified xsi:type="dcterms:W3CDTF">2021-12-21T12:27:00Z</dcterms:modified>
</cp:coreProperties>
</file>