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1D6FEE" w14:textId="77777777" w:rsidR="00CA2841" w:rsidRPr="00486628" w:rsidRDefault="00CA2841" w:rsidP="008B766F">
      <w:pPr>
        <w:spacing w:after="0" w:line="240" w:lineRule="auto"/>
        <w:rPr>
          <w:rFonts w:cstheme="minorHAnsi"/>
        </w:rPr>
      </w:pPr>
      <w:bookmarkStart w:id="0" w:name="_Hlk107398740"/>
    </w:p>
    <w:tbl>
      <w:tblPr>
        <w:tblStyle w:val="Tabela-Siatka"/>
        <w:tblpPr w:leftFromText="142" w:rightFromText="142" w:vertAnchor="text" w:horzAnchor="margin" w:tblpXSpec="center" w:tblpY="58"/>
        <w:tblW w:w="4996" w:type="pct"/>
        <w:tblLook w:val="04A0" w:firstRow="1" w:lastRow="0" w:firstColumn="1" w:lastColumn="0" w:noHBand="0" w:noVBand="1"/>
      </w:tblPr>
      <w:tblGrid>
        <w:gridCol w:w="487"/>
        <w:gridCol w:w="2146"/>
        <w:gridCol w:w="1817"/>
        <w:gridCol w:w="4361"/>
        <w:gridCol w:w="3158"/>
        <w:gridCol w:w="3407"/>
      </w:tblGrid>
      <w:tr w:rsidR="003B3876" w:rsidRPr="00486628" w14:paraId="47E9ED08" w14:textId="0857EBA1" w:rsidTr="00AC5078">
        <w:trPr>
          <w:trHeight w:val="551"/>
          <w:tblHeader/>
        </w:trPr>
        <w:tc>
          <w:tcPr>
            <w:tcW w:w="158" w:type="pct"/>
          </w:tcPr>
          <w:bookmarkEnd w:id="0"/>
          <w:p w14:paraId="115BF413" w14:textId="6257DDCF" w:rsidR="002935CD" w:rsidRPr="00486628" w:rsidRDefault="002935CD" w:rsidP="008B766F">
            <w:pPr>
              <w:jc w:val="center"/>
              <w:rPr>
                <w:rFonts w:cstheme="minorHAnsi"/>
                <w:b/>
                <w:bCs/>
              </w:rPr>
            </w:pPr>
            <w:r w:rsidRPr="00486628">
              <w:rPr>
                <w:rFonts w:cstheme="minorHAnsi"/>
                <w:b/>
                <w:bCs/>
              </w:rPr>
              <w:t>Lp.</w:t>
            </w:r>
          </w:p>
        </w:tc>
        <w:tc>
          <w:tcPr>
            <w:tcW w:w="698" w:type="pct"/>
          </w:tcPr>
          <w:p w14:paraId="0FAF4510" w14:textId="4FD6EB74" w:rsidR="002935CD" w:rsidRPr="00486628" w:rsidRDefault="002935CD" w:rsidP="008B766F">
            <w:pPr>
              <w:jc w:val="center"/>
              <w:rPr>
                <w:rFonts w:cstheme="minorHAnsi"/>
                <w:b/>
                <w:bCs/>
              </w:rPr>
            </w:pPr>
            <w:r w:rsidRPr="00486628">
              <w:rPr>
                <w:rFonts w:cstheme="minorHAnsi"/>
                <w:b/>
                <w:bCs/>
              </w:rPr>
              <w:t>Podmiot wnoszący uwagę</w:t>
            </w:r>
          </w:p>
        </w:tc>
        <w:tc>
          <w:tcPr>
            <w:tcW w:w="591" w:type="pct"/>
          </w:tcPr>
          <w:p w14:paraId="51F92737" w14:textId="3EE4B473" w:rsidR="002935CD" w:rsidRPr="00486628" w:rsidRDefault="002935CD" w:rsidP="008B766F">
            <w:pPr>
              <w:jc w:val="center"/>
              <w:rPr>
                <w:rFonts w:cstheme="minorHAnsi"/>
                <w:b/>
                <w:bCs/>
              </w:rPr>
            </w:pPr>
            <w:r w:rsidRPr="00486628">
              <w:rPr>
                <w:rFonts w:cstheme="minorHAnsi"/>
                <w:b/>
                <w:bCs/>
              </w:rPr>
              <w:t>Jednostka redakcyjna, do której wnoszona jest uwaga</w:t>
            </w:r>
          </w:p>
        </w:tc>
        <w:tc>
          <w:tcPr>
            <w:tcW w:w="1418" w:type="pct"/>
          </w:tcPr>
          <w:p w14:paraId="74AACE5A" w14:textId="0BDDBBD7" w:rsidR="002935CD" w:rsidRPr="00462965" w:rsidRDefault="002935CD" w:rsidP="00462965">
            <w:pPr>
              <w:jc w:val="both"/>
              <w:rPr>
                <w:rFonts w:cstheme="minorHAnsi"/>
                <w:b/>
                <w:bCs/>
              </w:rPr>
            </w:pPr>
            <w:r w:rsidRPr="00462965">
              <w:rPr>
                <w:rFonts w:cstheme="minorHAnsi"/>
                <w:b/>
                <w:bCs/>
              </w:rPr>
              <w:t>Treść uwagi</w:t>
            </w:r>
          </w:p>
        </w:tc>
        <w:tc>
          <w:tcPr>
            <w:tcW w:w="1027" w:type="pct"/>
          </w:tcPr>
          <w:p w14:paraId="7C9E6D74" w14:textId="6DD0C103" w:rsidR="002B3340" w:rsidRPr="00486628" w:rsidRDefault="002935CD" w:rsidP="002B3340">
            <w:pPr>
              <w:jc w:val="center"/>
              <w:rPr>
                <w:rFonts w:cstheme="minorHAnsi"/>
                <w:b/>
                <w:bCs/>
              </w:rPr>
            </w:pPr>
            <w:r w:rsidRPr="00486628">
              <w:rPr>
                <w:rFonts w:cstheme="minorHAnsi"/>
                <w:b/>
                <w:bCs/>
              </w:rPr>
              <w:t>Propozycja brzmienia przepisu</w:t>
            </w:r>
            <w:r w:rsidR="002B3340">
              <w:rPr>
                <w:rFonts w:cstheme="minorHAnsi"/>
                <w:b/>
                <w:bCs/>
              </w:rPr>
              <w:t xml:space="preserve"> zgłoszona wraz z uwagą</w:t>
            </w:r>
          </w:p>
        </w:tc>
        <w:tc>
          <w:tcPr>
            <w:tcW w:w="1108" w:type="pct"/>
          </w:tcPr>
          <w:p w14:paraId="2FF734EA" w14:textId="61FF084C" w:rsidR="002935CD" w:rsidRPr="007368C7" w:rsidRDefault="002B3340" w:rsidP="00BC45D4">
            <w:pPr>
              <w:jc w:val="both"/>
              <w:rPr>
                <w:rFonts w:cstheme="minorHAnsi"/>
                <w:b/>
                <w:bCs/>
              </w:rPr>
            </w:pPr>
            <w:r w:rsidRPr="007368C7">
              <w:rPr>
                <w:rFonts w:cstheme="minorHAnsi"/>
                <w:b/>
                <w:bCs/>
              </w:rPr>
              <w:t>Odpowiedź na uwagę</w:t>
            </w:r>
          </w:p>
        </w:tc>
      </w:tr>
      <w:tr w:rsidR="00FD7DCA" w:rsidRPr="004A3EE1" w14:paraId="00BD91A4" w14:textId="39B5BC0A" w:rsidTr="00DE0423">
        <w:tc>
          <w:tcPr>
            <w:tcW w:w="5000" w:type="pct"/>
            <w:gridSpan w:val="6"/>
            <w:shd w:val="clear" w:color="auto" w:fill="D9D9D9" w:themeFill="background1" w:themeFillShade="D9"/>
          </w:tcPr>
          <w:p w14:paraId="0BFBACF8" w14:textId="77E4F5A2" w:rsidR="00FD7DCA" w:rsidRPr="007368C7" w:rsidRDefault="0044675A" w:rsidP="001B4854">
            <w:pPr>
              <w:jc w:val="center"/>
              <w:rPr>
                <w:rFonts w:cstheme="minorHAnsi"/>
                <w:b/>
                <w:bCs/>
              </w:rPr>
            </w:pPr>
            <w:r w:rsidRPr="007368C7">
              <w:rPr>
                <w:rFonts w:cstheme="minorHAnsi"/>
                <w:b/>
                <w:bCs/>
              </w:rPr>
              <w:t>Uwagi ogólne</w:t>
            </w:r>
          </w:p>
        </w:tc>
      </w:tr>
      <w:tr w:rsidR="003B3876" w:rsidRPr="00486628" w14:paraId="0A6C4E36" w14:textId="77777777" w:rsidTr="00AC5078">
        <w:tc>
          <w:tcPr>
            <w:tcW w:w="158" w:type="pct"/>
          </w:tcPr>
          <w:p w14:paraId="50C941B3" w14:textId="486D8C7B" w:rsidR="00FD7DCA" w:rsidRPr="00506F73" w:rsidRDefault="009E22B0" w:rsidP="00506F73">
            <w:pPr>
              <w:jc w:val="center"/>
              <w:rPr>
                <w:rFonts w:cstheme="minorHAnsi"/>
              </w:rPr>
            </w:pPr>
            <w:r>
              <w:rPr>
                <w:rFonts w:cstheme="minorHAnsi"/>
              </w:rPr>
              <w:t>1</w:t>
            </w:r>
          </w:p>
        </w:tc>
        <w:tc>
          <w:tcPr>
            <w:tcW w:w="698" w:type="pct"/>
          </w:tcPr>
          <w:p w14:paraId="53EA461E" w14:textId="587840DC" w:rsidR="00FD7DCA" w:rsidRDefault="001F4890" w:rsidP="00506F73">
            <w:pPr>
              <w:jc w:val="both"/>
              <w:rPr>
                <w:rFonts w:cstheme="minorHAnsi"/>
              </w:rPr>
            </w:pPr>
            <w:r w:rsidRPr="001F4890">
              <w:rPr>
                <w:rFonts w:cstheme="minorHAnsi"/>
              </w:rPr>
              <w:t>Związek Przedsiębiorstw Finansowych w</w:t>
            </w:r>
            <w:r w:rsidR="00D1140E">
              <w:rPr>
                <w:rFonts w:cstheme="minorHAnsi"/>
              </w:rPr>
              <w:t> </w:t>
            </w:r>
            <w:r w:rsidRPr="001F4890">
              <w:rPr>
                <w:rFonts w:cstheme="minorHAnsi"/>
              </w:rPr>
              <w:t>Polsce</w:t>
            </w:r>
          </w:p>
        </w:tc>
        <w:tc>
          <w:tcPr>
            <w:tcW w:w="591" w:type="pct"/>
          </w:tcPr>
          <w:p w14:paraId="5D90E1C9" w14:textId="77DA3D8C" w:rsidR="00FD7DCA" w:rsidRPr="008832AD" w:rsidRDefault="00FD7DCA" w:rsidP="00506F73">
            <w:pPr>
              <w:jc w:val="both"/>
              <w:rPr>
                <w:rFonts w:cstheme="minorHAnsi"/>
              </w:rPr>
            </w:pPr>
          </w:p>
        </w:tc>
        <w:tc>
          <w:tcPr>
            <w:tcW w:w="1418" w:type="pct"/>
          </w:tcPr>
          <w:p w14:paraId="41994D8D" w14:textId="55700CCC" w:rsidR="00ED61ED" w:rsidRPr="00462965" w:rsidRDefault="00ED61ED" w:rsidP="00462965">
            <w:pPr>
              <w:jc w:val="both"/>
              <w:rPr>
                <w:rFonts w:cstheme="minorHAnsi"/>
              </w:rPr>
            </w:pPr>
            <w:r w:rsidRPr="00462965">
              <w:rPr>
                <w:rFonts w:cstheme="minorHAnsi"/>
              </w:rPr>
              <w:t>Projektowane zmiany zmierzają do nierównowagi stron tych postępowań i przerzucania ciężaru prowadzonych postępowań na wierzycieli, którzy i tak ponoszą realne koszty oddłużenia (poprzez rezygnację z pełnego odzyskania swoich wierzytelności). Proponowany kierunek zmian faktycznie doprowadzi do całkowitego pozbawienia nadzoru sądów nad wykonywaniem planu spłaty, a w efekcie</w:t>
            </w:r>
            <w:r w:rsidR="00D30E4E" w:rsidRPr="00462965">
              <w:rPr>
                <w:rFonts w:cstheme="minorHAnsi"/>
              </w:rPr>
              <w:t xml:space="preserve"> </w:t>
            </w:r>
            <w:r w:rsidRPr="00462965">
              <w:rPr>
                <w:rFonts w:cstheme="minorHAnsi"/>
              </w:rPr>
              <w:t>zniweluje cele postępowania upadłościowego tj. prewencyjno-wychowawczy i sankcyjny - względem dłużnika, który nie będzie wykonywał wszystkich obowiązków związanych z realizacją planu spłaty.</w:t>
            </w:r>
          </w:p>
          <w:p w14:paraId="1A32C3A6" w14:textId="5BD3D22A" w:rsidR="008B0B5C" w:rsidRPr="00462965" w:rsidRDefault="00ED61ED" w:rsidP="00462965">
            <w:pPr>
              <w:jc w:val="both"/>
              <w:rPr>
                <w:rFonts w:cstheme="minorHAnsi"/>
              </w:rPr>
            </w:pPr>
            <w:r w:rsidRPr="00462965">
              <w:rPr>
                <w:rFonts w:cstheme="minorHAnsi"/>
              </w:rPr>
              <w:t>Jako negatywną w ujęciu systemowym, z punktu widzenia wierzycieli należy przyjąć</w:t>
            </w:r>
            <w:r w:rsidR="00512DF4">
              <w:rPr>
                <w:rFonts w:cstheme="minorHAnsi"/>
              </w:rPr>
              <w:t xml:space="preserve"> </w:t>
            </w:r>
            <w:r w:rsidRPr="00462965">
              <w:rPr>
                <w:rFonts w:cstheme="minorHAnsi"/>
              </w:rPr>
              <w:t>proponowaną w Projekcie ustawy zmianę zakładającą brak uchylenia przez sąd upadłościowy planu spłaty, w przypadku braku złożenia przez upadłego</w:t>
            </w:r>
            <w:r w:rsidR="00110ECB">
              <w:rPr>
                <w:rFonts w:cstheme="minorHAnsi"/>
              </w:rPr>
              <w:t xml:space="preserve"> </w:t>
            </w:r>
            <w:r w:rsidRPr="00462965">
              <w:rPr>
                <w:rFonts w:cstheme="minorHAnsi"/>
              </w:rPr>
              <w:t>sprawozdania rocznego</w:t>
            </w:r>
            <w:r w:rsidR="00110ECB">
              <w:rPr>
                <w:rFonts w:cstheme="minorHAnsi"/>
              </w:rPr>
              <w:t>.</w:t>
            </w:r>
          </w:p>
        </w:tc>
        <w:tc>
          <w:tcPr>
            <w:tcW w:w="1027" w:type="pct"/>
          </w:tcPr>
          <w:p w14:paraId="288872CD" w14:textId="77777777" w:rsidR="00FD7DCA" w:rsidRPr="00506F73" w:rsidRDefault="00FD7DCA" w:rsidP="00506F73">
            <w:pPr>
              <w:jc w:val="both"/>
              <w:rPr>
                <w:rFonts w:cstheme="minorHAnsi"/>
              </w:rPr>
            </w:pPr>
          </w:p>
        </w:tc>
        <w:tc>
          <w:tcPr>
            <w:tcW w:w="1108" w:type="pct"/>
          </w:tcPr>
          <w:p w14:paraId="2E1C84E9" w14:textId="77777777" w:rsidR="0047279A" w:rsidRPr="007368C7" w:rsidRDefault="0047279A" w:rsidP="00BC45D4">
            <w:pPr>
              <w:jc w:val="both"/>
              <w:rPr>
                <w:rFonts w:cstheme="minorHAnsi"/>
                <w:b/>
                <w:bCs/>
              </w:rPr>
            </w:pPr>
            <w:r w:rsidRPr="007368C7">
              <w:rPr>
                <w:rFonts w:cstheme="minorHAnsi"/>
                <w:b/>
                <w:bCs/>
              </w:rPr>
              <w:t>Uwaga nieuwzględniona</w:t>
            </w:r>
          </w:p>
          <w:p w14:paraId="5EDF070A" w14:textId="05B1EFD4" w:rsidR="0047279A" w:rsidRPr="007368C7" w:rsidRDefault="00EA2C50" w:rsidP="00BC45D4">
            <w:pPr>
              <w:jc w:val="both"/>
              <w:rPr>
                <w:rFonts w:cstheme="minorHAnsi"/>
              </w:rPr>
            </w:pPr>
            <w:r w:rsidRPr="007368C7">
              <w:rPr>
                <w:rFonts w:cstheme="minorHAnsi"/>
              </w:rPr>
              <w:t>U</w:t>
            </w:r>
            <w:r w:rsidR="0047279A" w:rsidRPr="007368C7">
              <w:rPr>
                <w:rFonts w:cstheme="minorHAnsi"/>
              </w:rPr>
              <w:t xml:space="preserve">względnienie byłoby sprzeczne z celami projektu. </w:t>
            </w:r>
          </w:p>
          <w:p w14:paraId="15A8DE7E" w14:textId="7714A00B" w:rsidR="00EA2C50" w:rsidRPr="007368C7" w:rsidRDefault="00EA2C50" w:rsidP="00BC45D4">
            <w:pPr>
              <w:jc w:val="both"/>
              <w:rPr>
                <w:rFonts w:cstheme="minorHAnsi"/>
              </w:rPr>
            </w:pPr>
            <w:r w:rsidRPr="007368C7">
              <w:rPr>
                <w:rFonts w:cstheme="minorHAnsi"/>
              </w:rPr>
              <w:t>Należy podkreślić, że plan spłaty wierzycieli realizuje przede wszystkim prywatny interes majątkowy wierzycieli</w:t>
            </w:r>
            <w:r w:rsidR="0040010A" w:rsidRPr="007368C7">
              <w:rPr>
                <w:rFonts w:cstheme="minorHAnsi"/>
              </w:rPr>
              <w:t>.</w:t>
            </w:r>
            <w:r w:rsidRPr="007368C7">
              <w:rPr>
                <w:rFonts w:cstheme="minorHAnsi"/>
              </w:rPr>
              <w:t xml:space="preserve"> tj. zmierza do zaspokojenia przysługujących im roszczeń, wcześniej ustalonych co do zasady i wysokości przez sąd upadłościowy. Pierwiastek publiczny rozumiany jako interes ogólnospołeczny na tym etapie postępowania nie pełni funkcji wiodącej. W związku z tym nadzór państwa nad prawidłowością wykonywania planu spłaty wierzycieli powinien mieć miejsce tylko wtedy, gdy żądają tego interesariusze. </w:t>
            </w:r>
          </w:p>
        </w:tc>
      </w:tr>
      <w:tr w:rsidR="003B3876" w:rsidRPr="00486628" w14:paraId="411563F6" w14:textId="77777777" w:rsidTr="00AC5078">
        <w:tc>
          <w:tcPr>
            <w:tcW w:w="158" w:type="pct"/>
          </w:tcPr>
          <w:p w14:paraId="445061EA" w14:textId="51F765F9" w:rsidR="00CC3E30" w:rsidRPr="00506F73" w:rsidRDefault="00BA7E97" w:rsidP="00506F73">
            <w:pPr>
              <w:jc w:val="center"/>
              <w:rPr>
                <w:rFonts w:cstheme="minorHAnsi"/>
              </w:rPr>
            </w:pPr>
            <w:r>
              <w:rPr>
                <w:rFonts w:cstheme="minorHAnsi"/>
              </w:rPr>
              <w:t>2</w:t>
            </w:r>
          </w:p>
        </w:tc>
        <w:tc>
          <w:tcPr>
            <w:tcW w:w="698" w:type="pct"/>
          </w:tcPr>
          <w:p w14:paraId="5AC93A21" w14:textId="4B13EA4B" w:rsidR="00CC3E30" w:rsidRDefault="00FE5631" w:rsidP="00506F73">
            <w:pPr>
              <w:jc w:val="both"/>
              <w:rPr>
                <w:rFonts w:cstheme="minorHAnsi"/>
              </w:rPr>
            </w:pPr>
            <w:r w:rsidRPr="00FE5631">
              <w:rPr>
                <w:rFonts w:cstheme="minorHAnsi"/>
              </w:rPr>
              <w:t>Związek Przedsiębiorstw Finansowych w</w:t>
            </w:r>
            <w:r w:rsidR="007C719A">
              <w:rPr>
                <w:rFonts w:cstheme="minorHAnsi"/>
              </w:rPr>
              <w:t> </w:t>
            </w:r>
            <w:r w:rsidRPr="00FE5631">
              <w:rPr>
                <w:rFonts w:cstheme="minorHAnsi"/>
              </w:rPr>
              <w:t>Polsce</w:t>
            </w:r>
          </w:p>
        </w:tc>
        <w:tc>
          <w:tcPr>
            <w:tcW w:w="591" w:type="pct"/>
          </w:tcPr>
          <w:p w14:paraId="74C7E1F2" w14:textId="187D2EA3" w:rsidR="00CC3E30" w:rsidRDefault="00CC3E30" w:rsidP="00506F73">
            <w:pPr>
              <w:jc w:val="both"/>
              <w:rPr>
                <w:rFonts w:cstheme="minorHAnsi"/>
              </w:rPr>
            </w:pPr>
          </w:p>
        </w:tc>
        <w:tc>
          <w:tcPr>
            <w:tcW w:w="1418" w:type="pct"/>
          </w:tcPr>
          <w:p w14:paraId="68E9BE57" w14:textId="69441C07" w:rsidR="00FE5631" w:rsidRPr="00110ECB" w:rsidRDefault="00D30E4E" w:rsidP="00462965">
            <w:pPr>
              <w:jc w:val="both"/>
              <w:rPr>
                <w:rFonts w:cstheme="minorHAnsi"/>
              </w:rPr>
            </w:pPr>
            <w:r w:rsidRPr="00110ECB">
              <w:rPr>
                <w:rFonts w:cstheme="minorHAnsi"/>
              </w:rPr>
              <w:t>M</w:t>
            </w:r>
            <w:r w:rsidR="00FE5631" w:rsidRPr="00110ECB">
              <w:rPr>
                <w:rFonts w:cstheme="minorHAnsi"/>
              </w:rPr>
              <w:t>ożliwe ryzyka związane</w:t>
            </w:r>
            <w:r w:rsidR="00C4566E" w:rsidRPr="00110ECB">
              <w:rPr>
                <w:rFonts w:cstheme="minorHAnsi"/>
              </w:rPr>
              <w:t xml:space="preserve"> </w:t>
            </w:r>
            <w:r w:rsidR="00FE5631" w:rsidRPr="00110ECB">
              <w:rPr>
                <w:rFonts w:cstheme="minorHAnsi"/>
              </w:rPr>
              <w:t>z</w:t>
            </w:r>
            <w:r w:rsidRPr="00110ECB">
              <w:rPr>
                <w:rFonts w:cstheme="minorHAnsi"/>
              </w:rPr>
              <w:t> </w:t>
            </w:r>
            <w:r w:rsidR="00FE5631" w:rsidRPr="00110ECB">
              <w:rPr>
                <w:rFonts w:cstheme="minorHAnsi"/>
              </w:rPr>
              <w:t>wprowadzeniem do porządku prawnego rozwiązań przewidzianych w</w:t>
            </w:r>
            <w:r w:rsidR="007656B7" w:rsidRPr="00110ECB">
              <w:rPr>
                <w:rFonts w:cstheme="minorHAnsi"/>
              </w:rPr>
              <w:t xml:space="preserve"> </w:t>
            </w:r>
            <w:r w:rsidR="00FE5631" w:rsidRPr="00110ECB">
              <w:rPr>
                <w:rFonts w:cstheme="minorHAnsi"/>
              </w:rPr>
              <w:t>Projekcie</w:t>
            </w:r>
            <w:r w:rsidR="007656B7" w:rsidRPr="00110ECB">
              <w:rPr>
                <w:rFonts w:cstheme="minorHAnsi"/>
              </w:rPr>
              <w:t xml:space="preserve"> </w:t>
            </w:r>
            <w:r w:rsidR="00FE5631" w:rsidRPr="00110ECB">
              <w:rPr>
                <w:rFonts w:cstheme="minorHAnsi"/>
              </w:rPr>
              <w:t>ustawy:</w:t>
            </w:r>
          </w:p>
          <w:p w14:paraId="38865B0E" w14:textId="717DDACB" w:rsidR="00FE5631" w:rsidRPr="00110ECB" w:rsidRDefault="0017030B" w:rsidP="00462965">
            <w:pPr>
              <w:jc w:val="both"/>
              <w:rPr>
                <w:rFonts w:cstheme="minorHAnsi"/>
              </w:rPr>
            </w:pPr>
            <w:r w:rsidRPr="00110ECB">
              <w:rPr>
                <w:rFonts w:cstheme="minorHAnsi"/>
              </w:rPr>
              <w:t xml:space="preserve">- </w:t>
            </w:r>
            <w:r w:rsidR="00FE5631" w:rsidRPr="00110ECB">
              <w:rPr>
                <w:rFonts w:cstheme="minorHAnsi"/>
              </w:rPr>
              <w:t>Automatyczne umorzenie zadłużenia z mocy prawa po trzech miesiącach zwiększa</w:t>
            </w:r>
            <w:r w:rsidR="00110ECB" w:rsidRPr="00110ECB">
              <w:rPr>
                <w:rFonts w:cstheme="minorHAnsi"/>
              </w:rPr>
              <w:t xml:space="preserve"> </w:t>
            </w:r>
            <w:r w:rsidR="00FE5631" w:rsidRPr="00110ECB">
              <w:rPr>
                <w:rFonts w:cstheme="minorHAnsi"/>
              </w:rPr>
              <w:t>prawdopodobieństwo, że część roszczeń przejdzie w stan nieodwracalny zanim</w:t>
            </w:r>
            <w:r w:rsidR="00512DF4" w:rsidRPr="00110ECB">
              <w:rPr>
                <w:rFonts w:cstheme="minorHAnsi"/>
              </w:rPr>
              <w:t xml:space="preserve"> </w:t>
            </w:r>
            <w:r w:rsidR="00FE5631" w:rsidRPr="00110ECB">
              <w:rPr>
                <w:rFonts w:cstheme="minorHAnsi"/>
              </w:rPr>
              <w:t xml:space="preserve">wierzyciele wykryją ukryte wpływy lub </w:t>
            </w:r>
            <w:r w:rsidR="00FE5631" w:rsidRPr="00110ECB">
              <w:rPr>
                <w:rFonts w:cstheme="minorHAnsi"/>
              </w:rPr>
              <w:lastRenderedPageBreak/>
              <w:t>naruszenia planu spłaty. Ryzyko to jest</w:t>
            </w:r>
            <w:r w:rsidR="00512DF4" w:rsidRPr="00110ECB">
              <w:rPr>
                <w:rFonts w:cstheme="minorHAnsi"/>
              </w:rPr>
              <w:t xml:space="preserve"> </w:t>
            </w:r>
            <w:r w:rsidR="00FE5631" w:rsidRPr="00110ECB">
              <w:rPr>
                <w:rFonts w:cstheme="minorHAnsi"/>
              </w:rPr>
              <w:t>szczególnie wysokie dla wierzycieli o słabszych procesach monitoringu. W efekcie może</w:t>
            </w:r>
            <w:r w:rsidR="00D30E4E" w:rsidRPr="00110ECB">
              <w:rPr>
                <w:rFonts w:cstheme="minorHAnsi"/>
              </w:rPr>
              <w:t xml:space="preserve"> </w:t>
            </w:r>
            <w:r w:rsidR="00FE5631" w:rsidRPr="00110ECB">
              <w:rPr>
                <w:rFonts w:cstheme="minorHAnsi"/>
              </w:rPr>
              <w:t>to skutkować pogorszeniem wyników portfeli wierzytelności</w:t>
            </w:r>
            <w:r w:rsidR="00110ECB" w:rsidRPr="00110ECB">
              <w:rPr>
                <w:rFonts w:cstheme="minorHAnsi"/>
              </w:rPr>
              <w:t>.</w:t>
            </w:r>
          </w:p>
          <w:p w14:paraId="7AF757BD" w14:textId="13F50F22" w:rsidR="0017030B" w:rsidRPr="00110ECB" w:rsidRDefault="0017030B" w:rsidP="00462965">
            <w:pPr>
              <w:jc w:val="both"/>
              <w:rPr>
                <w:rFonts w:cstheme="minorHAnsi"/>
              </w:rPr>
            </w:pPr>
            <w:r w:rsidRPr="00110ECB">
              <w:rPr>
                <w:rFonts w:cstheme="minorHAnsi"/>
              </w:rPr>
              <w:t xml:space="preserve">2) </w:t>
            </w:r>
            <w:r w:rsidR="00FE5631" w:rsidRPr="00110ECB">
              <w:rPr>
                <w:rFonts w:cstheme="minorHAnsi"/>
              </w:rPr>
              <w:t>Brak nadzoru z urzędu powoduje przeniesienie ciężaru monitoringu na banki i</w:t>
            </w:r>
            <w:r w:rsidR="006C0B04" w:rsidRPr="00110ECB">
              <w:rPr>
                <w:rFonts w:cstheme="minorHAnsi"/>
              </w:rPr>
              <w:t xml:space="preserve"> </w:t>
            </w:r>
            <w:r w:rsidR="00FE5631" w:rsidRPr="00110ECB">
              <w:rPr>
                <w:rFonts w:cstheme="minorHAnsi"/>
              </w:rPr>
              <w:t>fundusze, które muszą we własnym zakresie śledzić płatności, weryfikować</w:t>
            </w:r>
            <w:r w:rsidR="00512DF4" w:rsidRPr="00110ECB">
              <w:rPr>
                <w:rFonts w:cstheme="minorHAnsi"/>
              </w:rPr>
              <w:t xml:space="preserve"> </w:t>
            </w:r>
            <w:r w:rsidR="00FE5631" w:rsidRPr="00110ECB">
              <w:rPr>
                <w:rFonts w:cstheme="minorHAnsi"/>
              </w:rPr>
              <w:t>sprawozdania oraz składać stosowne wnioski. W</w:t>
            </w:r>
            <w:r w:rsidR="00110ECB" w:rsidRPr="00110ECB">
              <w:rPr>
                <w:rFonts w:cstheme="minorHAnsi"/>
              </w:rPr>
              <w:t> </w:t>
            </w:r>
            <w:r w:rsidR="00FE5631" w:rsidRPr="00110ECB">
              <w:rPr>
                <w:rFonts w:cstheme="minorHAnsi"/>
              </w:rPr>
              <w:t>konsekwencji prowadzi to do wzrostu</w:t>
            </w:r>
            <w:r w:rsidR="006C0B04" w:rsidRPr="00110ECB">
              <w:rPr>
                <w:rFonts w:cstheme="minorHAnsi"/>
              </w:rPr>
              <w:t xml:space="preserve"> </w:t>
            </w:r>
            <w:r w:rsidR="00FE5631" w:rsidRPr="00110ECB">
              <w:rPr>
                <w:rFonts w:cstheme="minorHAnsi"/>
              </w:rPr>
              <w:t>kosztów operacyjnych, w szczególności w działach windykacji, compliance oraz IT,</w:t>
            </w:r>
            <w:r w:rsidR="006C0B04" w:rsidRPr="00110ECB">
              <w:rPr>
                <w:rFonts w:cstheme="minorHAnsi"/>
              </w:rPr>
              <w:t xml:space="preserve"> </w:t>
            </w:r>
            <w:r w:rsidR="00FE5631" w:rsidRPr="00110ECB">
              <w:rPr>
                <w:rFonts w:cstheme="minorHAnsi"/>
              </w:rPr>
              <w:t>wynikających z konieczności integracji z systemami rejestrów oraz wdrożenia narzędzi</w:t>
            </w:r>
            <w:r w:rsidR="006C0B04" w:rsidRPr="00110ECB">
              <w:rPr>
                <w:rFonts w:cstheme="minorHAnsi"/>
              </w:rPr>
              <w:t xml:space="preserve"> </w:t>
            </w:r>
            <w:r w:rsidR="00FE5631" w:rsidRPr="00110ECB">
              <w:rPr>
                <w:rFonts w:cstheme="minorHAnsi"/>
              </w:rPr>
              <w:t>do automatycznego monitoringu</w:t>
            </w:r>
            <w:r w:rsidR="00110ECB" w:rsidRPr="00110ECB">
              <w:rPr>
                <w:rFonts w:cstheme="minorHAnsi"/>
              </w:rPr>
              <w:t>.</w:t>
            </w:r>
          </w:p>
          <w:p w14:paraId="34988093" w14:textId="35D8611D" w:rsidR="00FE5631" w:rsidRPr="00110ECB" w:rsidRDefault="0017030B" w:rsidP="00462965">
            <w:pPr>
              <w:jc w:val="both"/>
              <w:rPr>
                <w:rFonts w:cstheme="minorHAnsi"/>
              </w:rPr>
            </w:pPr>
            <w:r w:rsidRPr="00110ECB">
              <w:rPr>
                <w:rFonts w:cstheme="minorHAnsi"/>
              </w:rPr>
              <w:t xml:space="preserve">3) </w:t>
            </w:r>
            <w:r w:rsidR="00FE5631" w:rsidRPr="00110ECB">
              <w:rPr>
                <w:rFonts w:cstheme="minorHAnsi"/>
              </w:rPr>
              <w:t>Projekt ustawy może wpływać na sekurytyzację i wyceny portfeli wierzytelności, a</w:t>
            </w:r>
            <w:r w:rsidR="006C0B04" w:rsidRPr="00110ECB">
              <w:rPr>
                <w:rFonts w:cstheme="minorHAnsi"/>
              </w:rPr>
              <w:t xml:space="preserve"> </w:t>
            </w:r>
            <w:r w:rsidR="00FE5631" w:rsidRPr="00110ECB">
              <w:rPr>
                <w:rFonts w:cstheme="minorHAnsi"/>
              </w:rPr>
              <w:t>zmniejszona przewidywalność poziomu odzysków wierzytelności może powodować</w:t>
            </w:r>
            <w:r w:rsidR="006C0B04" w:rsidRPr="00110ECB">
              <w:rPr>
                <w:rFonts w:cstheme="minorHAnsi"/>
              </w:rPr>
              <w:t xml:space="preserve"> </w:t>
            </w:r>
            <w:r w:rsidR="00FE5631" w:rsidRPr="00110ECB">
              <w:rPr>
                <w:rFonts w:cstheme="minorHAnsi"/>
              </w:rPr>
              <w:t>wyższe wymogi kapitałowe i niższe ceny przy sprzedaży portfela. W konsekwencji może</w:t>
            </w:r>
            <w:r w:rsidR="00512DF4" w:rsidRPr="00110ECB">
              <w:rPr>
                <w:rFonts w:cstheme="minorHAnsi"/>
              </w:rPr>
              <w:t xml:space="preserve"> </w:t>
            </w:r>
            <w:r w:rsidR="00FE5631" w:rsidRPr="00110ECB">
              <w:rPr>
                <w:rFonts w:cstheme="minorHAnsi"/>
              </w:rPr>
              <w:t>dochodzić do spadku wartości aktywów i</w:t>
            </w:r>
            <w:r w:rsidR="00110ECB" w:rsidRPr="00110ECB">
              <w:rPr>
                <w:rFonts w:cstheme="minorHAnsi"/>
              </w:rPr>
              <w:t> </w:t>
            </w:r>
            <w:r w:rsidR="00FE5631" w:rsidRPr="00110ECB">
              <w:rPr>
                <w:rFonts w:cstheme="minorHAnsi"/>
              </w:rPr>
              <w:t>potencjalnie utrudniać finansowanie</w:t>
            </w:r>
            <w:r w:rsidR="00110ECB" w:rsidRPr="00110ECB">
              <w:rPr>
                <w:rFonts w:cstheme="minorHAnsi"/>
              </w:rPr>
              <w:t>.</w:t>
            </w:r>
          </w:p>
          <w:p w14:paraId="52B5F6B4" w14:textId="0C56F16B" w:rsidR="00FE5631" w:rsidRPr="00110ECB" w:rsidRDefault="0017030B" w:rsidP="00462965">
            <w:pPr>
              <w:jc w:val="both"/>
              <w:rPr>
                <w:rFonts w:cstheme="minorHAnsi"/>
              </w:rPr>
            </w:pPr>
            <w:r w:rsidRPr="00110ECB">
              <w:rPr>
                <w:rFonts w:cstheme="minorHAnsi"/>
              </w:rPr>
              <w:t xml:space="preserve">4) </w:t>
            </w:r>
            <w:r w:rsidR="00FE5631" w:rsidRPr="00110ECB">
              <w:rPr>
                <w:rFonts w:cstheme="minorHAnsi"/>
              </w:rPr>
              <w:t>Ograniczenie lub zniesienie możliwości wnoszenia skarg kasacyjnych od orzeczeń</w:t>
            </w:r>
            <w:r w:rsidR="00110ECB">
              <w:rPr>
                <w:rFonts w:cstheme="minorHAnsi"/>
              </w:rPr>
              <w:t xml:space="preserve"> </w:t>
            </w:r>
            <w:r w:rsidR="00FE5631" w:rsidRPr="00110ECB">
              <w:rPr>
                <w:rFonts w:cstheme="minorHAnsi"/>
              </w:rPr>
              <w:t>sądu drugiej instancji zarówno w przedmiocie umorzenia zobowiązań upadłego, jak i</w:t>
            </w:r>
            <w:r w:rsidR="006C0B04" w:rsidRPr="00110ECB">
              <w:rPr>
                <w:rFonts w:cstheme="minorHAnsi"/>
              </w:rPr>
              <w:t xml:space="preserve"> </w:t>
            </w:r>
            <w:r w:rsidR="00FE5631" w:rsidRPr="00110ECB">
              <w:rPr>
                <w:rFonts w:cstheme="minorHAnsi"/>
              </w:rPr>
              <w:t>ustalenia lub zmiany planu spłaty wierzycieli może prowadzić do zwiększenia</w:t>
            </w:r>
            <w:r w:rsidR="006C0B04" w:rsidRPr="00110ECB">
              <w:rPr>
                <w:rFonts w:cstheme="minorHAnsi"/>
              </w:rPr>
              <w:t xml:space="preserve"> </w:t>
            </w:r>
            <w:r w:rsidR="00FE5631" w:rsidRPr="00110ECB">
              <w:rPr>
                <w:rFonts w:cstheme="minorHAnsi"/>
              </w:rPr>
              <w:t>niepewności prawnej, albowiem zmniejsza się możliwość naprawienia ewentualnych</w:t>
            </w:r>
            <w:r w:rsidR="006C0B04" w:rsidRPr="00110ECB">
              <w:rPr>
                <w:rFonts w:cstheme="minorHAnsi"/>
              </w:rPr>
              <w:t xml:space="preserve"> </w:t>
            </w:r>
            <w:r w:rsidR="00FE5631" w:rsidRPr="00110ECB">
              <w:rPr>
                <w:rFonts w:cstheme="minorHAnsi"/>
              </w:rPr>
              <w:t xml:space="preserve">błędów prawnych. </w:t>
            </w:r>
            <w:r w:rsidR="00FE5631" w:rsidRPr="00110ECB">
              <w:rPr>
                <w:rFonts w:cstheme="minorHAnsi"/>
              </w:rPr>
              <w:lastRenderedPageBreak/>
              <w:t>Doprowadzić to może również do wyższego ryzyka błędnej</w:t>
            </w:r>
            <w:r w:rsidR="006C0B04" w:rsidRPr="00110ECB">
              <w:rPr>
                <w:rFonts w:cstheme="minorHAnsi"/>
              </w:rPr>
              <w:t xml:space="preserve"> </w:t>
            </w:r>
            <w:r w:rsidR="00FE5631" w:rsidRPr="00110ECB">
              <w:rPr>
                <w:rFonts w:cstheme="minorHAnsi"/>
              </w:rPr>
              <w:t>interpretacji w sądach drugiej instancji</w:t>
            </w:r>
            <w:r w:rsidR="00110ECB">
              <w:rPr>
                <w:rFonts w:cstheme="minorHAnsi"/>
              </w:rPr>
              <w:t>.</w:t>
            </w:r>
          </w:p>
          <w:p w14:paraId="489240D9" w14:textId="6999B65F" w:rsidR="00FE5631" w:rsidRPr="00110ECB" w:rsidRDefault="006C0B04" w:rsidP="00462965">
            <w:pPr>
              <w:jc w:val="both"/>
              <w:rPr>
                <w:rFonts w:cstheme="minorHAnsi"/>
              </w:rPr>
            </w:pPr>
            <w:r w:rsidRPr="00110ECB">
              <w:rPr>
                <w:rFonts w:cstheme="minorHAnsi"/>
              </w:rPr>
              <w:t xml:space="preserve">- </w:t>
            </w:r>
            <w:r w:rsidR="00FE5631" w:rsidRPr="00110ECB">
              <w:rPr>
                <w:rFonts w:cstheme="minorHAnsi"/>
              </w:rPr>
              <w:t>Brak aktywnego nadzoru sądowego w trakcie wykonywania planu spłaty zwiększa</w:t>
            </w:r>
            <w:r w:rsidR="00110ECB">
              <w:rPr>
                <w:rFonts w:cstheme="minorHAnsi"/>
              </w:rPr>
              <w:t xml:space="preserve"> </w:t>
            </w:r>
            <w:r w:rsidR="00FE5631" w:rsidRPr="00110ECB">
              <w:rPr>
                <w:rFonts w:cstheme="minorHAnsi"/>
              </w:rPr>
              <w:t>ryzyko nadużyć po stronie dłużników, którzy mogą ukrywać dodatkowe wpływy lub</w:t>
            </w:r>
            <w:r w:rsidRPr="00110ECB">
              <w:rPr>
                <w:rFonts w:cstheme="minorHAnsi"/>
              </w:rPr>
              <w:t xml:space="preserve"> </w:t>
            </w:r>
            <w:r w:rsidR="00FE5631" w:rsidRPr="00110ECB">
              <w:rPr>
                <w:rFonts w:cstheme="minorHAnsi"/>
              </w:rPr>
              <w:t>przekierowywać aktywa w tym okresie, co znacząco utrudnia ich odtworzenie. Skutkiem</w:t>
            </w:r>
            <w:r w:rsidRPr="00110ECB">
              <w:rPr>
                <w:rFonts w:cstheme="minorHAnsi"/>
              </w:rPr>
              <w:t xml:space="preserve"> </w:t>
            </w:r>
            <w:r w:rsidR="00FE5631" w:rsidRPr="00110ECB">
              <w:rPr>
                <w:rFonts w:cstheme="minorHAnsi"/>
              </w:rPr>
              <w:t>tego może być utrudnione dochodzenie roszczeń przez wierzycieli;</w:t>
            </w:r>
          </w:p>
          <w:p w14:paraId="33AB0C6A" w14:textId="263ECC94" w:rsidR="00FE5631" w:rsidRPr="00110ECB" w:rsidRDefault="006C0B04" w:rsidP="00462965">
            <w:pPr>
              <w:jc w:val="both"/>
              <w:rPr>
                <w:rFonts w:cstheme="minorHAnsi"/>
              </w:rPr>
            </w:pPr>
            <w:r w:rsidRPr="00110ECB">
              <w:rPr>
                <w:rFonts w:cstheme="minorHAnsi"/>
              </w:rPr>
              <w:t xml:space="preserve">- </w:t>
            </w:r>
            <w:r w:rsidR="00FE5631" w:rsidRPr="00110ECB">
              <w:rPr>
                <w:rFonts w:cstheme="minorHAnsi"/>
              </w:rPr>
              <w:t>Utrata przez wierzycieli masowych lub sektor bankowy skuteczności odzysku może</w:t>
            </w:r>
            <w:r w:rsidRPr="00110ECB">
              <w:rPr>
                <w:rFonts w:cstheme="minorHAnsi"/>
              </w:rPr>
              <w:t xml:space="preserve"> </w:t>
            </w:r>
            <w:r w:rsidR="00FE5631" w:rsidRPr="00110ECB">
              <w:rPr>
                <w:rFonts w:cstheme="minorHAnsi"/>
              </w:rPr>
              <w:t>spowodować naciski regulacyjne i kontrolne co może doprowadzić do większych</w:t>
            </w:r>
            <w:r w:rsidRPr="00110ECB">
              <w:rPr>
                <w:rFonts w:cstheme="minorHAnsi"/>
              </w:rPr>
              <w:t xml:space="preserve"> </w:t>
            </w:r>
            <w:r w:rsidR="00FE5631" w:rsidRPr="00110ECB">
              <w:rPr>
                <w:rFonts w:cstheme="minorHAnsi"/>
              </w:rPr>
              <w:t>kosztów raportowania i dialogu z organami nadzorczymi;</w:t>
            </w:r>
          </w:p>
          <w:p w14:paraId="06AEAD22" w14:textId="63FEF31C" w:rsidR="00FE5631" w:rsidRPr="00110ECB" w:rsidRDefault="0017030B" w:rsidP="00462965">
            <w:pPr>
              <w:jc w:val="both"/>
              <w:rPr>
                <w:rFonts w:cstheme="minorHAnsi"/>
              </w:rPr>
            </w:pPr>
            <w:r w:rsidRPr="00110ECB">
              <w:rPr>
                <w:rFonts w:cstheme="minorHAnsi"/>
              </w:rPr>
              <w:t>5)</w:t>
            </w:r>
            <w:r w:rsidR="006C0B04" w:rsidRPr="00110ECB">
              <w:rPr>
                <w:rFonts w:cstheme="minorHAnsi"/>
              </w:rPr>
              <w:t xml:space="preserve"> </w:t>
            </w:r>
            <w:r w:rsidR="00FE5631" w:rsidRPr="00110ECB">
              <w:rPr>
                <w:rFonts w:cstheme="minorHAnsi"/>
              </w:rPr>
              <w:t>Zwiększone ryzyko sporów proceduralnych spowodowane większą ilością wniosków</w:t>
            </w:r>
            <w:r w:rsidR="006C0B04" w:rsidRPr="00110ECB">
              <w:rPr>
                <w:rFonts w:cstheme="minorHAnsi"/>
              </w:rPr>
              <w:t xml:space="preserve"> </w:t>
            </w:r>
            <w:r w:rsidR="00FE5631" w:rsidRPr="00110ECB">
              <w:rPr>
                <w:rFonts w:cstheme="minorHAnsi"/>
              </w:rPr>
              <w:t>o zmianę/uchylenie planu spłaty przez wierzycieli, z których część z nich może być</w:t>
            </w:r>
            <w:r w:rsidR="006C0B04" w:rsidRPr="00110ECB">
              <w:rPr>
                <w:rFonts w:cstheme="minorHAnsi"/>
              </w:rPr>
              <w:t xml:space="preserve"> </w:t>
            </w:r>
            <w:r w:rsidR="00FE5631" w:rsidRPr="00110ECB">
              <w:rPr>
                <w:rFonts w:cstheme="minorHAnsi"/>
              </w:rPr>
              <w:t>oddalona, prowadzi do dodatkowych kosztów i odwołań. Projekt ustawy przewiduje</w:t>
            </w:r>
            <w:r w:rsidR="006C0B04" w:rsidRPr="00110ECB">
              <w:rPr>
                <w:rFonts w:cstheme="minorHAnsi"/>
              </w:rPr>
              <w:t xml:space="preserve"> </w:t>
            </w:r>
            <w:r w:rsidR="00FE5631" w:rsidRPr="00110ECB">
              <w:rPr>
                <w:rFonts w:cstheme="minorHAnsi"/>
              </w:rPr>
              <w:t>obciążenie kosztami dłużnika w pewnych przypadkach, ale sytuacje sporne będą się</w:t>
            </w:r>
            <w:r w:rsidR="006C0B04" w:rsidRPr="00110ECB">
              <w:rPr>
                <w:rFonts w:cstheme="minorHAnsi"/>
              </w:rPr>
              <w:t xml:space="preserve"> </w:t>
            </w:r>
            <w:r w:rsidR="00FE5631" w:rsidRPr="00110ECB">
              <w:rPr>
                <w:rFonts w:cstheme="minorHAnsi"/>
              </w:rPr>
              <w:t>nasilać</w:t>
            </w:r>
            <w:r w:rsidR="00B55C52">
              <w:rPr>
                <w:rFonts w:cstheme="minorHAnsi"/>
              </w:rPr>
              <w:t>.</w:t>
            </w:r>
          </w:p>
          <w:p w14:paraId="3333F893" w14:textId="79FD8300" w:rsidR="00CC3E30" w:rsidRPr="00110ECB" w:rsidRDefault="0017030B" w:rsidP="00462965">
            <w:pPr>
              <w:jc w:val="both"/>
              <w:rPr>
                <w:rFonts w:cstheme="minorHAnsi"/>
              </w:rPr>
            </w:pPr>
            <w:r w:rsidRPr="00110ECB">
              <w:rPr>
                <w:rFonts w:cstheme="minorHAnsi"/>
              </w:rPr>
              <w:t xml:space="preserve">6) </w:t>
            </w:r>
            <w:r w:rsidR="00FE5631" w:rsidRPr="00110ECB">
              <w:rPr>
                <w:rFonts w:cstheme="minorHAnsi"/>
              </w:rPr>
              <w:t>Zryczałtowanie wynagrodzeń syndyków może z jednej strony oszczędzać masę</w:t>
            </w:r>
            <w:r w:rsidR="006C0B04" w:rsidRPr="00110ECB">
              <w:rPr>
                <w:rFonts w:cstheme="minorHAnsi"/>
              </w:rPr>
              <w:t xml:space="preserve"> </w:t>
            </w:r>
            <w:r w:rsidR="00FE5631" w:rsidRPr="00110ECB">
              <w:rPr>
                <w:rFonts w:cstheme="minorHAnsi"/>
              </w:rPr>
              <w:t>upadłościową, ale z drugiej obniżać motywację do prowadzenia kosztownych działań</w:t>
            </w:r>
            <w:r w:rsidR="00512DF4" w:rsidRPr="00110ECB">
              <w:rPr>
                <w:rFonts w:cstheme="minorHAnsi"/>
              </w:rPr>
              <w:t xml:space="preserve"> </w:t>
            </w:r>
            <w:r w:rsidR="00FE5631" w:rsidRPr="00110ECB">
              <w:rPr>
                <w:rFonts w:cstheme="minorHAnsi"/>
              </w:rPr>
              <w:t>odzyskujących aktywa.</w:t>
            </w:r>
          </w:p>
        </w:tc>
        <w:tc>
          <w:tcPr>
            <w:tcW w:w="1027" w:type="pct"/>
          </w:tcPr>
          <w:p w14:paraId="355C2E5B" w14:textId="384ACC6A" w:rsidR="00FE5631" w:rsidRPr="00FE5631" w:rsidRDefault="00300869" w:rsidP="0064681C">
            <w:pPr>
              <w:jc w:val="both"/>
              <w:rPr>
                <w:rFonts w:cstheme="minorHAnsi"/>
              </w:rPr>
            </w:pPr>
            <w:r>
              <w:rPr>
                <w:rFonts w:cstheme="minorHAnsi"/>
              </w:rPr>
              <w:lastRenderedPageBreak/>
              <w:t xml:space="preserve">- </w:t>
            </w:r>
            <w:r w:rsidR="00FE5631" w:rsidRPr="00FE5631">
              <w:rPr>
                <w:rFonts w:cstheme="minorHAnsi"/>
              </w:rPr>
              <w:t>Przywrócenie nadzoru sądu w kluczowych przypadkach poprzez rozwiązanie, że sąd</w:t>
            </w:r>
            <w:r>
              <w:rPr>
                <w:rFonts w:cstheme="minorHAnsi"/>
              </w:rPr>
              <w:t xml:space="preserve"> </w:t>
            </w:r>
            <w:r w:rsidR="00FE5631" w:rsidRPr="00FE5631">
              <w:rPr>
                <w:rFonts w:cstheme="minorHAnsi"/>
              </w:rPr>
              <w:t>zachowuje obowiązek kontrolny (na przykład prostą formalną weryfikację) w</w:t>
            </w:r>
            <w:r>
              <w:rPr>
                <w:rFonts w:cstheme="minorHAnsi"/>
              </w:rPr>
              <w:t xml:space="preserve"> </w:t>
            </w:r>
            <w:r w:rsidR="00FE5631" w:rsidRPr="00FE5631">
              <w:rPr>
                <w:rFonts w:cstheme="minorHAnsi"/>
              </w:rPr>
              <w:t xml:space="preserve">przypadku, gdy plan spłaty dotyczy więcej niż określonej przez projektodawcę </w:t>
            </w:r>
            <w:r w:rsidR="00FE5631" w:rsidRPr="00FE5631">
              <w:rPr>
                <w:rFonts w:cstheme="minorHAnsi"/>
              </w:rPr>
              <w:lastRenderedPageBreak/>
              <w:t>liczby</w:t>
            </w:r>
            <w:r>
              <w:rPr>
                <w:rFonts w:cstheme="minorHAnsi"/>
              </w:rPr>
              <w:t xml:space="preserve"> </w:t>
            </w:r>
            <w:r w:rsidR="00FE5631" w:rsidRPr="00FE5631">
              <w:rPr>
                <w:rFonts w:cstheme="minorHAnsi"/>
              </w:rPr>
              <w:t>wierzycieli lub suma roszczeń przekracza określony próg (na</w:t>
            </w:r>
            <w:r>
              <w:rPr>
                <w:rFonts w:cstheme="minorHAnsi"/>
              </w:rPr>
              <w:t xml:space="preserve"> </w:t>
            </w:r>
            <w:r w:rsidR="00FE5631" w:rsidRPr="00FE5631">
              <w:rPr>
                <w:rFonts w:cstheme="minorHAnsi"/>
              </w:rPr>
              <w:t>przykład równowartość</w:t>
            </w:r>
            <w:r>
              <w:rPr>
                <w:rFonts w:cstheme="minorHAnsi"/>
              </w:rPr>
              <w:t xml:space="preserve"> </w:t>
            </w:r>
            <w:r w:rsidR="00FE5631" w:rsidRPr="00FE5631">
              <w:rPr>
                <w:rFonts w:cstheme="minorHAnsi"/>
              </w:rPr>
              <w:t>100 000 złotych) albo w trakcie wykonywania planu spłaty wpłynie informacja o</w:t>
            </w:r>
            <w:r>
              <w:rPr>
                <w:rFonts w:cstheme="minorHAnsi"/>
              </w:rPr>
              <w:t xml:space="preserve"> </w:t>
            </w:r>
            <w:r w:rsidR="00FE5631" w:rsidRPr="00FE5631">
              <w:rPr>
                <w:rFonts w:cstheme="minorHAnsi"/>
              </w:rPr>
              <w:t>istotnych zdarzeniach wskazujących na ryzyko (na przykład podejrzenie ukrywania</w:t>
            </w:r>
            <w:r>
              <w:rPr>
                <w:rFonts w:cstheme="minorHAnsi"/>
              </w:rPr>
              <w:t xml:space="preserve"> </w:t>
            </w:r>
            <w:r w:rsidR="00FE5631" w:rsidRPr="00FE5631">
              <w:rPr>
                <w:rFonts w:cstheme="minorHAnsi"/>
              </w:rPr>
              <w:t>majątku).</w:t>
            </w:r>
          </w:p>
          <w:p w14:paraId="5B80F44F" w14:textId="03C4943F" w:rsidR="00FE5631" w:rsidRPr="00FE5631" w:rsidRDefault="00FE5631" w:rsidP="0064681C">
            <w:pPr>
              <w:jc w:val="both"/>
              <w:rPr>
                <w:rFonts w:cstheme="minorHAnsi"/>
              </w:rPr>
            </w:pPr>
            <w:r w:rsidRPr="00FE5631">
              <w:rPr>
                <w:rFonts w:cstheme="minorHAnsi"/>
              </w:rPr>
              <w:t>Takie rozwiązanie może ograniczać się do prostej kontroli formalnej lub alertu, tym</w:t>
            </w:r>
            <w:r w:rsidR="00300869">
              <w:rPr>
                <w:rFonts w:cstheme="minorHAnsi"/>
              </w:rPr>
              <w:t xml:space="preserve"> </w:t>
            </w:r>
            <w:r w:rsidRPr="00FE5631">
              <w:rPr>
                <w:rFonts w:cstheme="minorHAnsi"/>
              </w:rPr>
              <w:t>samym zapobiega automatycznemu</w:t>
            </w:r>
            <w:r w:rsidR="00300869">
              <w:rPr>
                <w:rFonts w:cstheme="minorHAnsi"/>
              </w:rPr>
              <w:t xml:space="preserve"> </w:t>
            </w:r>
            <w:r w:rsidRPr="00FE5631">
              <w:rPr>
                <w:rFonts w:cstheme="minorHAnsi"/>
              </w:rPr>
              <w:t>umorzeniu długów w sprawach o istotnej wartości</w:t>
            </w:r>
            <w:r w:rsidR="00300869">
              <w:rPr>
                <w:rFonts w:cstheme="minorHAnsi"/>
              </w:rPr>
              <w:t xml:space="preserve"> </w:t>
            </w:r>
            <w:r w:rsidRPr="00FE5631">
              <w:rPr>
                <w:rFonts w:cstheme="minorHAnsi"/>
              </w:rPr>
              <w:t>bez żadnej sądowej weryfikacji oraz pozwala zachować wskazane przez projektodawcę</w:t>
            </w:r>
            <w:r w:rsidR="00300869">
              <w:rPr>
                <w:rFonts w:cstheme="minorHAnsi"/>
              </w:rPr>
              <w:t xml:space="preserve"> </w:t>
            </w:r>
            <w:r w:rsidRPr="00FE5631">
              <w:rPr>
                <w:rFonts w:cstheme="minorHAnsi"/>
              </w:rPr>
              <w:t xml:space="preserve">cele </w:t>
            </w:r>
            <w:r w:rsidR="00300869">
              <w:rPr>
                <w:rFonts w:cstheme="minorHAnsi"/>
              </w:rPr>
              <w:t>p</w:t>
            </w:r>
            <w:r w:rsidRPr="00FE5631">
              <w:rPr>
                <w:rFonts w:cstheme="minorHAnsi"/>
              </w:rPr>
              <w:t>rojektu ustawy jakim jest odciążenie sądów w większości drobnych spraw, a</w:t>
            </w:r>
            <w:r w:rsidR="00300869">
              <w:rPr>
                <w:rFonts w:cstheme="minorHAnsi"/>
              </w:rPr>
              <w:t xml:space="preserve"> </w:t>
            </w:r>
            <w:r w:rsidRPr="00FE5631">
              <w:rPr>
                <w:rFonts w:cstheme="minorHAnsi"/>
              </w:rPr>
              <w:t>jednocześnie chroni większych wierzycieli.</w:t>
            </w:r>
          </w:p>
          <w:p w14:paraId="0C1A2F17" w14:textId="0A04C1B4" w:rsidR="00FE5631" w:rsidRPr="00FE5631" w:rsidRDefault="00300869" w:rsidP="0064681C">
            <w:pPr>
              <w:jc w:val="both"/>
              <w:rPr>
                <w:rFonts w:cstheme="minorHAnsi"/>
              </w:rPr>
            </w:pPr>
            <w:r>
              <w:rPr>
                <w:rFonts w:cstheme="minorHAnsi"/>
              </w:rPr>
              <w:t>-</w:t>
            </w:r>
            <w:r w:rsidR="00FE5631" w:rsidRPr="00FE5631">
              <w:rPr>
                <w:rFonts w:cstheme="minorHAnsi"/>
              </w:rPr>
              <w:t xml:space="preserve"> Wprowadzenie obowiązku wysłania automatycznego, jednoczesnego</w:t>
            </w:r>
            <w:r>
              <w:rPr>
                <w:rFonts w:cstheme="minorHAnsi"/>
              </w:rPr>
              <w:t xml:space="preserve"> </w:t>
            </w:r>
            <w:r w:rsidR="00FE5631" w:rsidRPr="00FE5631">
              <w:rPr>
                <w:rFonts w:cstheme="minorHAnsi"/>
              </w:rPr>
              <w:t>powiadomienia, przez sąd lub rejestr, poprzez środek komunikacji elektronicznej do</w:t>
            </w:r>
            <w:r>
              <w:rPr>
                <w:rFonts w:cstheme="minorHAnsi"/>
              </w:rPr>
              <w:t xml:space="preserve"> </w:t>
            </w:r>
            <w:r w:rsidR="00FE5631" w:rsidRPr="00FE5631">
              <w:rPr>
                <w:rFonts w:cstheme="minorHAnsi"/>
              </w:rPr>
              <w:t>wszystkich zarejestrowanych wierzycieli co najmniej 90 dni przed datą potencjalnego</w:t>
            </w:r>
            <w:r>
              <w:rPr>
                <w:rFonts w:cstheme="minorHAnsi"/>
              </w:rPr>
              <w:t xml:space="preserve"> </w:t>
            </w:r>
            <w:r w:rsidR="00FE5631" w:rsidRPr="00FE5631">
              <w:rPr>
                <w:rFonts w:cstheme="minorHAnsi"/>
              </w:rPr>
              <w:t xml:space="preserve">umorzenia (czyli </w:t>
            </w:r>
            <w:r w:rsidR="00FE5631" w:rsidRPr="00FE5631">
              <w:rPr>
                <w:rFonts w:cstheme="minorHAnsi"/>
              </w:rPr>
              <w:lastRenderedPageBreak/>
              <w:t>na 90 dni przed końcem okresu, a następnie na 60/30 dni).</w:t>
            </w:r>
          </w:p>
          <w:p w14:paraId="3F39AD7A" w14:textId="025DE2F9" w:rsidR="00FE5631" w:rsidRPr="00FE5631" w:rsidRDefault="00FE5631" w:rsidP="0064681C">
            <w:pPr>
              <w:jc w:val="both"/>
              <w:rPr>
                <w:rFonts w:cstheme="minorHAnsi"/>
              </w:rPr>
            </w:pPr>
            <w:r w:rsidRPr="00FE5631">
              <w:rPr>
                <w:rFonts w:cstheme="minorHAnsi"/>
              </w:rPr>
              <w:t>Takie rozwiązanie skraca czas potrzebny wierzycielom na reagowanie i ogranicza</w:t>
            </w:r>
            <w:r w:rsidR="00300869">
              <w:rPr>
                <w:rFonts w:cstheme="minorHAnsi"/>
              </w:rPr>
              <w:t xml:space="preserve"> </w:t>
            </w:r>
            <w:r w:rsidRPr="00FE5631">
              <w:rPr>
                <w:rFonts w:cstheme="minorHAnsi"/>
              </w:rPr>
              <w:t xml:space="preserve">ryzyko przeoczenia wskazanego w </w:t>
            </w:r>
            <w:r w:rsidR="00B55C52">
              <w:rPr>
                <w:rFonts w:cstheme="minorHAnsi"/>
              </w:rPr>
              <w:t>p</w:t>
            </w:r>
            <w:r w:rsidRPr="00FE5631">
              <w:rPr>
                <w:rFonts w:cstheme="minorHAnsi"/>
              </w:rPr>
              <w:t>rojekcie ustawy terminu.</w:t>
            </w:r>
          </w:p>
          <w:p w14:paraId="74211396" w14:textId="308C8073" w:rsidR="00FE5631" w:rsidRPr="00FE5631" w:rsidRDefault="00300869" w:rsidP="0064681C">
            <w:pPr>
              <w:jc w:val="both"/>
              <w:rPr>
                <w:rFonts w:cstheme="minorHAnsi"/>
              </w:rPr>
            </w:pPr>
            <w:r>
              <w:rPr>
                <w:rFonts w:cstheme="minorHAnsi"/>
              </w:rPr>
              <w:t xml:space="preserve">- </w:t>
            </w:r>
            <w:r w:rsidR="00FE5631" w:rsidRPr="00FE5631">
              <w:rPr>
                <w:rFonts w:cstheme="minorHAnsi"/>
              </w:rPr>
              <w:t>Utrzymanie możliwości wniesienia skargi kasacyjnej w zakresie zagadnień prawnych</w:t>
            </w:r>
            <w:r>
              <w:rPr>
                <w:rFonts w:cstheme="minorHAnsi"/>
              </w:rPr>
              <w:t xml:space="preserve"> </w:t>
            </w:r>
            <w:r w:rsidR="00FE5631" w:rsidRPr="00FE5631">
              <w:rPr>
                <w:rFonts w:cstheme="minorHAnsi"/>
              </w:rPr>
              <w:t>dotyczących wykładni prawa. Proponujemy, aby zniesienie skargi kasacyjnej miało</w:t>
            </w:r>
            <w:r>
              <w:rPr>
                <w:rFonts w:cstheme="minorHAnsi"/>
              </w:rPr>
              <w:t xml:space="preserve"> </w:t>
            </w:r>
            <w:r w:rsidR="00FE5631" w:rsidRPr="00FE5631">
              <w:rPr>
                <w:rFonts w:cstheme="minorHAnsi"/>
              </w:rPr>
              <w:t>zastosowanie wyłącznie do kwestii stwierdzających faktyczne wykonanie planu; skarga</w:t>
            </w:r>
            <w:r>
              <w:rPr>
                <w:rFonts w:cstheme="minorHAnsi"/>
              </w:rPr>
              <w:t xml:space="preserve"> </w:t>
            </w:r>
            <w:r w:rsidR="00FE5631" w:rsidRPr="00FE5631">
              <w:rPr>
                <w:rFonts w:cstheme="minorHAnsi"/>
              </w:rPr>
              <w:t>kasacyjna ma być dopuszczalna, gdy</w:t>
            </w:r>
            <w:r w:rsidR="00B55C52">
              <w:rPr>
                <w:rFonts w:cstheme="minorHAnsi"/>
              </w:rPr>
              <w:t xml:space="preserve"> </w:t>
            </w:r>
            <w:r w:rsidR="00FE5631" w:rsidRPr="00FE5631">
              <w:rPr>
                <w:rFonts w:cstheme="minorHAnsi"/>
              </w:rPr>
              <w:t>rozstrzygnięcie dotyczy istotnych kwestii prawnych</w:t>
            </w:r>
            <w:r>
              <w:rPr>
                <w:rFonts w:cstheme="minorHAnsi"/>
              </w:rPr>
              <w:t>.</w:t>
            </w:r>
          </w:p>
          <w:p w14:paraId="7FD56A9D" w14:textId="660C82F2" w:rsidR="00FE5631" w:rsidRPr="00FE5631" w:rsidRDefault="00300869" w:rsidP="0064681C">
            <w:pPr>
              <w:jc w:val="both"/>
              <w:rPr>
                <w:rFonts w:cstheme="minorHAnsi"/>
              </w:rPr>
            </w:pPr>
            <w:r>
              <w:rPr>
                <w:rFonts w:cstheme="minorHAnsi"/>
              </w:rPr>
              <w:t xml:space="preserve">- </w:t>
            </w:r>
            <w:r w:rsidR="00FE5631" w:rsidRPr="00FE5631">
              <w:rPr>
                <w:rFonts w:cstheme="minorHAnsi"/>
              </w:rPr>
              <w:t>Wzmocnienie wymogów jawności sprawozdań i</w:t>
            </w:r>
            <w:r>
              <w:rPr>
                <w:rFonts w:cstheme="minorHAnsi"/>
              </w:rPr>
              <w:t xml:space="preserve"> </w:t>
            </w:r>
            <w:r w:rsidR="00FE5631" w:rsidRPr="00FE5631">
              <w:rPr>
                <w:rFonts w:cstheme="minorHAnsi"/>
              </w:rPr>
              <w:t>mechanizmów dowodowych w taki</w:t>
            </w:r>
            <w:r>
              <w:rPr>
                <w:rFonts w:cstheme="minorHAnsi"/>
              </w:rPr>
              <w:t xml:space="preserve"> </w:t>
            </w:r>
            <w:r w:rsidR="00FE5631" w:rsidRPr="00FE5631">
              <w:rPr>
                <w:rFonts w:cstheme="minorHAnsi"/>
              </w:rPr>
              <w:t>sposób, że sprawozdania upadłego pozostają bez</w:t>
            </w:r>
            <w:r>
              <w:rPr>
                <w:rFonts w:cstheme="minorHAnsi"/>
              </w:rPr>
              <w:t xml:space="preserve"> </w:t>
            </w:r>
            <w:r w:rsidR="00FE5631" w:rsidRPr="00FE5631">
              <w:rPr>
                <w:rFonts w:cstheme="minorHAnsi"/>
              </w:rPr>
              <w:t>formalnego sądowego nadzoru, ale:</w:t>
            </w:r>
          </w:p>
          <w:p w14:paraId="0B080D43" w14:textId="2EFB0AF9" w:rsidR="00FE5631" w:rsidRPr="00FE5631" w:rsidRDefault="00FE5631" w:rsidP="0064681C">
            <w:pPr>
              <w:jc w:val="both"/>
              <w:rPr>
                <w:rFonts w:cstheme="minorHAnsi"/>
              </w:rPr>
            </w:pPr>
            <w:r w:rsidRPr="00FE5631">
              <w:rPr>
                <w:rFonts w:cstheme="minorHAnsi"/>
              </w:rPr>
              <w:t>a) wprowadzić obowiązek przesyłania (i publicznego udostępniania) kluczowych</w:t>
            </w:r>
            <w:r w:rsidR="00625F82">
              <w:rPr>
                <w:rFonts w:cstheme="minorHAnsi"/>
              </w:rPr>
              <w:t xml:space="preserve"> </w:t>
            </w:r>
            <w:r w:rsidRPr="00FE5631">
              <w:rPr>
                <w:rFonts w:cstheme="minorHAnsi"/>
              </w:rPr>
              <w:t>dokumentów (na przykład</w:t>
            </w:r>
            <w:r w:rsidR="00625F82">
              <w:rPr>
                <w:rFonts w:cstheme="minorHAnsi"/>
              </w:rPr>
              <w:t xml:space="preserve"> </w:t>
            </w:r>
            <w:r w:rsidRPr="00FE5631">
              <w:rPr>
                <w:rFonts w:cstheme="minorHAnsi"/>
              </w:rPr>
              <w:t>deklaracje przychodów,</w:t>
            </w:r>
            <w:r w:rsidR="00625F82">
              <w:rPr>
                <w:rFonts w:cstheme="minorHAnsi"/>
              </w:rPr>
              <w:t xml:space="preserve"> </w:t>
            </w:r>
            <w:r w:rsidRPr="00FE5631">
              <w:rPr>
                <w:rFonts w:cstheme="minorHAnsi"/>
              </w:rPr>
              <w:lastRenderedPageBreak/>
              <w:t>potwierdzenia wpływów powyżej</w:t>
            </w:r>
            <w:r w:rsidR="00624BCE">
              <w:rPr>
                <w:rFonts w:cstheme="minorHAnsi"/>
              </w:rPr>
              <w:t xml:space="preserve"> </w:t>
            </w:r>
            <w:r w:rsidRPr="00FE5631">
              <w:rPr>
                <w:rFonts w:cstheme="minorHAnsi"/>
              </w:rPr>
              <w:t>określonej przez projektodawcę kwoty) do rejestru lub bezpiecznego portalu;</w:t>
            </w:r>
          </w:p>
          <w:p w14:paraId="22CC460E" w14:textId="0C755AA1" w:rsidR="00FE5631" w:rsidRPr="00FE5631" w:rsidRDefault="00FE5631" w:rsidP="0064681C">
            <w:pPr>
              <w:jc w:val="both"/>
              <w:rPr>
                <w:rFonts w:cstheme="minorHAnsi"/>
              </w:rPr>
            </w:pPr>
            <w:r w:rsidRPr="00FE5631">
              <w:rPr>
                <w:rFonts w:cstheme="minorHAnsi"/>
              </w:rPr>
              <w:t>b) wprowadzić sankcję (na przykład domniemanie na niekorzyść upadłego) w</w:t>
            </w:r>
            <w:r w:rsidR="00625F82">
              <w:rPr>
                <w:rFonts w:cstheme="minorHAnsi"/>
              </w:rPr>
              <w:t xml:space="preserve"> </w:t>
            </w:r>
            <w:r w:rsidRPr="00FE5631">
              <w:rPr>
                <w:rFonts w:cstheme="minorHAnsi"/>
              </w:rPr>
              <w:t>przypadku istotnego braku dokumentacji.</w:t>
            </w:r>
          </w:p>
          <w:p w14:paraId="331B08CE" w14:textId="0DA936A6" w:rsidR="00FE5631" w:rsidRPr="00FE5631" w:rsidRDefault="00625F82" w:rsidP="0064681C">
            <w:pPr>
              <w:jc w:val="both"/>
              <w:rPr>
                <w:rFonts w:cstheme="minorHAnsi"/>
              </w:rPr>
            </w:pPr>
            <w:r>
              <w:rPr>
                <w:rFonts w:cstheme="minorHAnsi"/>
              </w:rPr>
              <w:t xml:space="preserve">- </w:t>
            </w:r>
            <w:r w:rsidR="00FE5631" w:rsidRPr="00FE5631">
              <w:rPr>
                <w:rFonts w:cstheme="minorHAnsi"/>
              </w:rPr>
              <w:t>Wprowadzenie jasnych zasad i kryteriów, kiedy syndyk może wystąpić o</w:t>
            </w:r>
            <w:r>
              <w:rPr>
                <w:rFonts w:cstheme="minorHAnsi"/>
              </w:rPr>
              <w:t xml:space="preserve"> </w:t>
            </w:r>
            <w:r w:rsidR="00FE5631" w:rsidRPr="00FE5631">
              <w:rPr>
                <w:rFonts w:cstheme="minorHAnsi"/>
              </w:rPr>
              <w:t>podwyższone wynagrodzenie (na przykład wykrycie ukrytych aktywów od określonej</w:t>
            </w:r>
            <w:r>
              <w:rPr>
                <w:rFonts w:cstheme="minorHAnsi"/>
              </w:rPr>
              <w:t xml:space="preserve"> </w:t>
            </w:r>
            <w:r w:rsidR="00FE5631" w:rsidRPr="00FE5631">
              <w:rPr>
                <w:rFonts w:cstheme="minorHAnsi"/>
              </w:rPr>
              <w:t>kwoty) oraz dodanie obowiązku krótkiego</w:t>
            </w:r>
            <w:r>
              <w:rPr>
                <w:rFonts w:cstheme="minorHAnsi"/>
              </w:rPr>
              <w:t xml:space="preserve"> </w:t>
            </w:r>
            <w:r w:rsidR="00FE5631" w:rsidRPr="00FE5631">
              <w:rPr>
                <w:rFonts w:cstheme="minorHAnsi"/>
              </w:rPr>
              <w:t>uzasadnienia każdej decyzji o podwyższeniu</w:t>
            </w:r>
            <w:r>
              <w:rPr>
                <w:rFonts w:cstheme="minorHAnsi"/>
              </w:rPr>
              <w:t xml:space="preserve"> </w:t>
            </w:r>
            <w:r w:rsidR="00FE5631" w:rsidRPr="00FE5631">
              <w:rPr>
                <w:rFonts w:cstheme="minorHAnsi"/>
              </w:rPr>
              <w:t>wynagrodzenia, które zostaje poddane opinii sądu.</w:t>
            </w:r>
          </w:p>
          <w:p w14:paraId="64715B22" w14:textId="3CDE37DF" w:rsidR="00FE5631" w:rsidRPr="00FE5631" w:rsidRDefault="00FE5631" w:rsidP="0064681C">
            <w:pPr>
              <w:jc w:val="both"/>
              <w:rPr>
                <w:rFonts w:cstheme="minorHAnsi"/>
              </w:rPr>
            </w:pPr>
            <w:r w:rsidRPr="00FE5631">
              <w:rPr>
                <w:rFonts w:cstheme="minorHAnsi"/>
              </w:rPr>
              <w:t>Powyżej wskazane rozwiązanie zapewni motywację do</w:t>
            </w:r>
            <w:r w:rsidR="00625F82">
              <w:rPr>
                <w:rFonts w:cstheme="minorHAnsi"/>
              </w:rPr>
              <w:t xml:space="preserve"> </w:t>
            </w:r>
            <w:r w:rsidRPr="00FE5631">
              <w:rPr>
                <w:rFonts w:cstheme="minorHAnsi"/>
              </w:rPr>
              <w:t>prowadzenia działań</w:t>
            </w:r>
            <w:r w:rsidR="00625F82">
              <w:rPr>
                <w:rFonts w:cstheme="minorHAnsi"/>
              </w:rPr>
              <w:t xml:space="preserve"> </w:t>
            </w:r>
            <w:r w:rsidRPr="00FE5631">
              <w:rPr>
                <w:rFonts w:cstheme="minorHAnsi"/>
              </w:rPr>
              <w:t>odzyskujących majątek, nie odbierając jednocześnie korzyści ze zryczałtowania kosztów</w:t>
            </w:r>
            <w:r w:rsidR="00625F82">
              <w:rPr>
                <w:rFonts w:cstheme="minorHAnsi"/>
              </w:rPr>
              <w:t xml:space="preserve"> </w:t>
            </w:r>
            <w:r w:rsidRPr="00FE5631">
              <w:rPr>
                <w:rFonts w:cstheme="minorHAnsi"/>
              </w:rPr>
              <w:t>w prostych sprawach.</w:t>
            </w:r>
          </w:p>
          <w:p w14:paraId="1135499E" w14:textId="1DE7D2D6" w:rsidR="00FE5631" w:rsidRPr="00FE5631" w:rsidRDefault="00625F82" w:rsidP="0064681C">
            <w:pPr>
              <w:jc w:val="both"/>
              <w:rPr>
                <w:rFonts w:cstheme="minorHAnsi"/>
              </w:rPr>
            </w:pPr>
            <w:r>
              <w:rPr>
                <w:rFonts w:cstheme="minorHAnsi"/>
              </w:rPr>
              <w:t xml:space="preserve">- </w:t>
            </w:r>
            <w:r w:rsidR="00FE5631" w:rsidRPr="00FE5631">
              <w:rPr>
                <w:rFonts w:cstheme="minorHAnsi"/>
              </w:rPr>
              <w:t>Zwiększenie transparentności w Krajowym Rejestrze Zadłużonych poprzez</w:t>
            </w:r>
            <w:r>
              <w:rPr>
                <w:rFonts w:cstheme="minorHAnsi"/>
              </w:rPr>
              <w:t xml:space="preserve"> </w:t>
            </w:r>
            <w:r w:rsidR="00FE5631" w:rsidRPr="00FE5631">
              <w:rPr>
                <w:rFonts w:cstheme="minorHAnsi"/>
              </w:rPr>
              <w:t>wprowadzenie</w:t>
            </w:r>
            <w:r w:rsidR="00624BCE">
              <w:rPr>
                <w:rFonts w:cstheme="minorHAnsi"/>
              </w:rPr>
              <w:t xml:space="preserve"> </w:t>
            </w:r>
            <w:r w:rsidR="00FE5631" w:rsidRPr="00FE5631">
              <w:rPr>
                <w:rFonts w:cstheme="minorHAnsi"/>
              </w:rPr>
              <w:lastRenderedPageBreak/>
              <w:t>wydłużonego okresu ujawniania informacji w sprawach o istotnej</w:t>
            </w:r>
          </w:p>
          <w:p w14:paraId="3ACEBF8A" w14:textId="70429664" w:rsidR="00FE5631" w:rsidRPr="00FE5631" w:rsidRDefault="00FE5631" w:rsidP="0064681C">
            <w:pPr>
              <w:jc w:val="both"/>
              <w:rPr>
                <w:rFonts w:cstheme="minorHAnsi"/>
              </w:rPr>
            </w:pPr>
            <w:r w:rsidRPr="00FE5631">
              <w:rPr>
                <w:rFonts w:cstheme="minorHAnsi"/>
              </w:rPr>
              <w:t>wartości. Proponujemy, aby w Krajowym Rejestrze Zadłużonych przewidzieć wyjątek:</w:t>
            </w:r>
            <w:r w:rsidR="00625F82">
              <w:rPr>
                <w:rFonts w:cstheme="minorHAnsi"/>
              </w:rPr>
              <w:t xml:space="preserve"> </w:t>
            </w:r>
            <w:r w:rsidRPr="00FE5631">
              <w:rPr>
                <w:rFonts w:cstheme="minorHAnsi"/>
              </w:rPr>
              <w:t>dla spraw, w których wartość roszczeń przekracza ustawowy próg, informacje o</w:t>
            </w:r>
            <w:r w:rsidR="00625F82">
              <w:rPr>
                <w:rFonts w:cstheme="minorHAnsi"/>
              </w:rPr>
              <w:t xml:space="preserve"> </w:t>
            </w:r>
            <w:r w:rsidRPr="00FE5631">
              <w:rPr>
                <w:rFonts w:cstheme="minorHAnsi"/>
              </w:rPr>
              <w:t>umorzeniu pozostają w rejestrze dłużej niż 3 lata (na przykład 5 lat), a rejestr umożliwia</w:t>
            </w:r>
            <w:r w:rsidR="00624BCE">
              <w:rPr>
                <w:rFonts w:cstheme="minorHAnsi"/>
              </w:rPr>
              <w:t xml:space="preserve"> </w:t>
            </w:r>
            <w:r w:rsidRPr="00FE5631">
              <w:rPr>
                <w:rFonts w:cstheme="minorHAnsi"/>
              </w:rPr>
              <w:t>szybkie zainicjowanie weryfikacji przeszłych umorzeń.</w:t>
            </w:r>
          </w:p>
          <w:p w14:paraId="6091B0DF" w14:textId="4FF664F7" w:rsidR="00FE5631" w:rsidRPr="00FE5631" w:rsidRDefault="00FE5631" w:rsidP="0064681C">
            <w:pPr>
              <w:jc w:val="both"/>
              <w:rPr>
                <w:rFonts w:cstheme="minorHAnsi"/>
              </w:rPr>
            </w:pPr>
            <w:r w:rsidRPr="00FE5631">
              <w:rPr>
                <w:rFonts w:cstheme="minorHAnsi"/>
              </w:rPr>
              <w:t>Rozwiązanie to służy ochronie</w:t>
            </w:r>
            <w:r w:rsidR="00625F82">
              <w:rPr>
                <w:rFonts w:cstheme="minorHAnsi"/>
              </w:rPr>
              <w:t xml:space="preserve"> </w:t>
            </w:r>
            <w:r w:rsidRPr="00FE5631">
              <w:rPr>
                <w:rFonts w:cstheme="minorHAnsi"/>
              </w:rPr>
              <w:t>wierzycieli w szczególności</w:t>
            </w:r>
            <w:r w:rsidR="00625F82">
              <w:rPr>
                <w:rFonts w:cstheme="minorHAnsi"/>
              </w:rPr>
              <w:t xml:space="preserve"> </w:t>
            </w:r>
            <w:r w:rsidRPr="00FE5631">
              <w:rPr>
                <w:rFonts w:cstheme="minorHAnsi"/>
              </w:rPr>
              <w:t>masowych w dochodzeniu</w:t>
            </w:r>
            <w:r w:rsidR="00625F82">
              <w:rPr>
                <w:rFonts w:cstheme="minorHAnsi"/>
              </w:rPr>
              <w:t xml:space="preserve"> </w:t>
            </w:r>
            <w:r w:rsidRPr="00FE5631">
              <w:rPr>
                <w:rFonts w:cstheme="minorHAnsi"/>
              </w:rPr>
              <w:t>roszczeń historycznych</w:t>
            </w:r>
            <w:r w:rsidR="00625F82">
              <w:rPr>
                <w:rFonts w:cstheme="minorHAnsi"/>
              </w:rPr>
              <w:t xml:space="preserve"> p</w:t>
            </w:r>
            <w:r w:rsidRPr="00FE5631">
              <w:rPr>
                <w:rFonts w:cstheme="minorHAnsi"/>
              </w:rPr>
              <w:t>ostępowań upadłościowych. Jednocześnie wiąże się z</w:t>
            </w:r>
            <w:r w:rsidR="00625F82">
              <w:rPr>
                <w:rFonts w:cstheme="minorHAnsi"/>
              </w:rPr>
              <w:t xml:space="preserve"> </w:t>
            </w:r>
            <w:r w:rsidRPr="00FE5631">
              <w:rPr>
                <w:rFonts w:cstheme="minorHAnsi"/>
              </w:rPr>
              <w:t>umiarkowanym kosztem</w:t>
            </w:r>
            <w:r w:rsidR="00624BCE">
              <w:rPr>
                <w:rFonts w:cstheme="minorHAnsi"/>
              </w:rPr>
              <w:t xml:space="preserve"> </w:t>
            </w:r>
            <w:r w:rsidRPr="00FE5631">
              <w:rPr>
                <w:rFonts w:cstheme="minorHAnsi"/>
              </w:rPr>
              <w:t>społecznym.</w:t>
            </w:r>
          </w:p>
          <w:p w14:paraId="6BD3FC63" w14:textId="49283C56" w:rsidR="00CC3E30" w:rsidRPr="00506F73" w:rsidRDefault="00625F82" w:rsidP="0064681C">
            <w:pPr>
              <w:jc w:val="both"/>
              <w:rPr>
                <w:rFonts w:cstheme="minorHAnsi"/>
              </w:rPr>
            </w:pPr>
            <w:r>
              <w:rPr>
                <w:rFonts w:cstheme="minorHAnsi"/>
              </w:rPr>
              <w:t xml:space="preserve">- </w:t>
            </w:r>
            <w:r w:rsidR="00FE5631" w:rsidRPr="00FE5631">
              <w:rPr>
                <w:rFonts w:cstheme="minorHAnsi"/>
              </w:rPr>
              <w:t>Wprowadzenie mechanizmu polegającego na automatycznym blokowaniu</w:t>
            </w:r>
            <w:r w:rsidR="00624BCE">
              <w:rPr>
                <w:rFonts w:cstheme="minorHAnsi"/>
              </w:rPr>
              <w:t xml:space="preserve"> </w:t>
            </w:r>
            <w:r w:rsidR="00FE5631" w:rsidRPr="00FE5631">
              <w:rPr>
                <w:rFonts w:cstheme="minorHAnsi"/>
              </w:rPr>
              <w:t>płatności</w:t>
            </w:r>
            <w:r w:rsidR="00624BCE">
              <w:rPr>
                <w:rFonts w:cstheme="minorHAnsi"/>
              </w:rPr>
              <w:t xml:space="preserve"> </w:t>
            </w:r>
            <w:r w:rsidR="00FE5631" w:rsidRPr="00FE5631">
              <w:rPr>
                <w:rFonts w:cstheme="minorHAnsi"/>
              </w:rPr>
              <w:t>podejrzanych. Sąd lub rejestr miałby uprawnienia do tymczasowego oznaczenia sprawy</w:t>
            </w:r>
            <w:r w:rsidR="0064681C">
              <w:rPr>
                <w:rFonts w:cstheme="minorHAnsi"/>
              </w:rPr>
              <w:t xml:space="preserve"> </w:t>
            </w:r>
            <w:r w:rsidR="00FE5631" w:rsidRPr="00FE5631">
              <w:rPr>
                <w:rFonts w:cstheme="minorHAnsi"/>
              </w:rPr>
              <w:t>przy podejrzeniu ukrywania aktywów co zawieszałoby tryb umorzeniowy do czasu</w:t>
            </w:r>
            <w:r>
              <w:rPr>
                <w:rFonts w:cstheme="minorHAnsi"/>
              </w:rPr>
              <w:t xml:space="preserve"> </w:t>
            </w:r>
            <w:r w:rsidR="00FE5631" w:rsidRPr="00FE5631">
              <w:rPr>
                <w:rFonts w:cstheme="minorHAnsi"/>
              </w:rPr>
              <w:t>wyjaśnienia.</w:t>
            </w:r>
          </w:p>
        </w:tc>
        <w:tc>
          <w:tcPr>
            <w:tcW w:w="1108" w:type="pct"/>
          </w:tcPr>
          <w:p w14:paraId="47D4DD06" w14:textId="77777777" w:rsidR="00D57BAC" w:rsidRDefault="0040010A" w:rsidP="00BC45D4">
            <w:pPr>
              <w:jc w:val="both"/>
              <w:rPr>
                <w:rFonts w:cstheme="minorHAnsi"/>
              </w:rPr>
            </w:pPr>
            <w:r w:rsidRPr="007368C7">
              <w:rPr>
                <w:rFonts w:cstheme="minorHAnsi"/>
                <w:b/>
                <w:bCs/>
              </w:rPr>
              <w:lastRenderedPageBreak/>
              <w:t>Uwaga nieuwzględniona</w:t>
            </w:r>
            <w:r w:rsidRPr="007368C7">
              <w:rPr>
                <w:rFonts w:cstheme="minorHAnsi"/>
              </w:rPr>
              <w:t xml:space="preserve"> </w:t>
            </w:r>
          </w:p>
          <w:p w14:paraId="625ADAF7" w14:textId="77777777" w:rsidR="00D57BAC" w:rsidRDefault="0040010A" w:rsidP="00BC45D4">
            <w:pPr>
              <w:jc w:val="both"/>
              <w:rPr>
                <w:rFonts w:cstheme="minorHAnsi"/>
              </w:rPr>
            </w:pPr>
            <w:r w:rsidRPr="007368C7">
              <w:rPr>
                <w:rFonts w:cstheme="minorHAnsi"/>
              </w:rPr>
              <w:t xml:space="preserve">– patrz jw. </w:t>
            </w:r>
            <w:r w:rsidR="0017030B" w:rsidRPr="007368C7">
              <w:rPr>
                <w:rFonts w:cstheme="minorHAnsi"/>
              </w:rPr>
              <w:t xml:space="preserve">4) </w:t>
            </w:r>
          </w:p>
          <w:p w14:paraId="176E1C05" w14:textId="59DE7176" w:rsidR="009837C2" w:rsidRPr="007368C7" w:rsidRDefault="0040010A" w:rsidP="00BC45D4">
            <w:pPr>
              <w:jc w:val="both"/>
              <w:rPr>
                <w:rFonts w:cstheme="minorHAnsi"/>
              </w:rPr>
            </w:pPr>
            <w:r w:rsidRPr="007368C7">
              <w:rPr>
                <w:rFonts w:cstheme="minorHAnsi"/>
              </w:rPr>
              <w:t>W zakresie z</w:t>
            </w:r>
            <w:r w:rsidR="009837C2" w:rsidRPr="007368C7">
              <w:rPr>
                <w:rFonts w:cstheme="minorHAnsi"/>
              </w:rPr>
              <w:t>niesieni</w:t>
            </w:r>
            <w:r w:rsidR="007A0DF4" w:rsidRPr="007368C7">
              <w:rPr>
                <w:rFonts w:cstheme="minorHAnsi"/>
              </w:rPr>
              <w:t>a</w:t>
            </w:r>
            <w:r w:rsidR="009837C2" w:rsidRPr="007368C7">
              <w:rPr>
                <w:rFonts w:cstheme="minorHAnsi"/>
              </w:rPr>
              <w:t xml:space="preserve"> skargi kasacyjnej –</w:t>
            </w:r>
            <w:r w:rsidRPr="007368C7">
              <w:rPr>
                <w:rFonts w:cstheme="minorHAnsi"/>
              </w:rPr>
              <w:t xml:space="preserve"> po pierwsze, w postępowaniach tych skarga </w:t>
            </w:r>
            <w:r w:rsidR="00B55C52" w:rsidRPr="007368C7">
              <w:rPr>
                <w:rFonts w:cstheme="minorHAnsi"/>
              </w:rPr>
              <w:t>ma znikome</w:t>
            </w:r>
            <w:r w:rsidR="009837C2" w:rsidRPr="007368C7">
              <w:rPr>
                <w:rFonts w:cstheme="minorHAnsi"/>
              </w:rPr>
              <w:t xml:space="preserve"> zastosowanie w praktyce</w:t>
            </w:r>
            <w:r w:rsidRPr="007368C7">
              <w:rPr>
                <w:rFonts w:cstheme="minorHAnsi"/>
              </w:rPr>
              <w:t xml:space="preserve">.  Ponadto, biorąc pod uwagę ustawowe przesłanki umorzenia </w:t>
            </w:r>
            <w:r w:rsidRPr="007368C7">
              <w:rPr>
                <w:rFonts w:cstheme="minorHAnsi"/>
              </w:rPr>
              <w:lastRenderedPageBreak/>
              <w:t>zobowiązań oraz ustalenia lub zmiany planu spłaty wierzycieli, wskazać należy, że ogniskują się one przede wszystkim wokół materii dotyczącej ustaleń faktycznych (w zakresie możliwości zarobkowych upadłego i jego sytuacji osobistej, przyczyn powstania stanu niewypłacalności, stopnia winy w dorowadzeniu do stanu niewypłacalności, a także co do przesłanek humanitaryzmu i</w:t>
            </w:r>
            <w:r w:rsidR="00D57BAC">
              <w:rPr>
                <w:rFonts w:cstheme="minorHAnsi"/>
              </w:rPr>
              <w:t> </w:t>
            </w:r>
            <w:r w:rsidRPr="007368C7">
              <w:rPr>
                <w:rFonts w:cstheme="minorHAnsi"/>
              </w:rPr>
              <w:t>słuszności), a nie sfery interpretacji przepisów prawa. Kwestia ustaleń faktycznych nie mieści się w zakresie kontroli kasacyjnej sprawowanej przez Sąd Najwyższy. Problematyka</w:t>
            </w:r>
            <w:r w:rsidR="00A57122" w:rsidRPr="007368C7">
              <w:rPr>
                <w:rFonts w:cstheme="minorHAnsi"/>
              </w:rPr>
              <w:t xml:space="preserve"> </w:t>
            </w:r>
            <w:r w:rsidRPr="007368C7">
              <w:rPr>
                <w:rFonts w:cstheme="minorHAnsi"/>
              </w:rPr>
              <w:t>zapewnienia spójności orzeczniczej w sprawach dotyczących oddłużenia jest gwarantowana instytucją pytań prawnych do Sądu Najwyższego.</w:t>
            </w:r>
          </w:p>
          <w:p w14:paraId="036903B2" w14:textId="77777777" w:rsidR="00C47FA2" w:rsidRPr="007368C7" w:rsidRDefault="00C47FA2" w:rsidP="00BC45D4">
            <w:pPr>
              <w:jc w:val="both"/>
              <w:rPr>
                <w:rFonts w:cstheme="minorHAnsi"/>
              </w:rPr>
            </w:pPr>
          </w:p>
          <w:p w14:paraId="7E6F4844" w14:textId="22FE9980" w:rsidR="00C47FA2" w:rsidRPr="007368C7" w:rsidRDefault="0017030B" w:rsidP="00BC45D4">
            <w:pPr>
              <w:jc w:val="both"/>
              <w:rPr>
                <w:rFonts w:cstheme="minorHAnsi"/>
              </w:rPr>
            </w:pPr>
            <w:r w:rsidRPr="007368C7">
              <w:rPr>
                <w:rFonts w:cstheme="minorHAnsi"/>
              </w:rPr>
              <w:t>5) Z</w:t>
            </w:r>
            <w:r w:rsidR="00C47FA2" w:rsidRPr="007368C7">
              <w:rPr>
                <w:rFonts w:cstheme="minorHAnsi"/>
              </w:rPr>
              <w:t>miana przyczyni się do usprawnienia postępowań, nie rodzi ryzyka zwiększonego obciążenia</w:t>
            </w:r>
            <w:r w:rsidRPr="007368C7">
              <w:rPr>
                <w:rFonts w:cstheme="minorHAnsi"/>
              </w:rPr>
              <w:t xml:space="preserve">. Projekt nie wprowadza nowych instytucji w tym zakresie. </w:t>
            </w:r>
            <w:r w:rsidR="00C47FA2" w:rsidRPr="007368C7">
              <w:rPr>
                <w:rFonts w:cstheme="minorHAnsi"/>
              </w:rPr>
              <w:t xml:space="preserve"> </w:t>
            </w:r>
          </w:p>
          <w:p w14:paraId="06D0EA3A" w14:textId="77777777" w:rsidR="00C47FA2" w:rsidRPr="007368C7" w:rsidRDefault="00C47FA2" w:rsidP="00BC45D4">
            <w:pPr>
              <w:jc w:val="both"/>
              <w:rPr>
                <w:rFonts w:cstheme="minorHAnsi"/>
              </w:rPr>
            </w:pPr>
          </w:p>
          <w:p w14:paraId="3E864BC4" w14:textId="261341E2" w:rsidR="00C47FA2" w:rsidRPr="007368C7" w:rsidRDefault="0017030B" w:rsidP="00BC45D4">
            <w:pPr>
              <w:jc w:val="both"/>
              <w:rPr>
                <w:rFonts w:cstheme="minorHAnsi"/>
              </w:rPr>
            </w:pPr>
            <w:r w:rsidRPr="007368C7">
              <w:rPr>
                <w:rFonts w:cstheme="minorHAnsi"/>
              </w:rPr>
              <w:t xml:space="preserve">6) </w:t>
            </w:r>
            <w:r w:rsidR="00C47FA2" w:rsidRPr="007368C7">
              <w:rPr>
                <w:rFonts w:cstheme="minorHAnsi"/>
              </w:rPr>
              <w:t xml:space="preserve">Zryczałtowanie wynagrodzeń syndyków – uwaga </w:t>
            </w:r>
            <w:r w:rsidR="00C47FA2" w:rsidRPr="007368C7">
              <w:rPr>
                <w:rFonts w:cstheme="minorHAnsi"/>
              </w:rPr>
              <w:lastRenderedPageBreak/>
              <w:t>nieuwzględniona</w:t>
            </w:r>
            <w:r w:rsidR="00A57122" w:rsidRPr="007368C7">
              <w:rPr>
                <w:rFonts w:cstheme="minorHAnsi"/>
              </w:rPr>
              <w:t>, narusza istotę projektu.</w:t>
            </w:r>
          </w:p>
        </w:tc>
      </w:tr>
      <w:tr w:rsidR="003B3876" w:rsidRPr="00486628" w14:paraId="3D9E8ECE" w14:textId="77777777" w:rsidTr="00AC5078">
        <w:tc>
          <w:tcPr>
            <w:tcW w:w="158" w:type="pct"/>
          </w:tcPr>
          <w:p w14:paraId="5EDE5E5D" w14:textId="00BD08E4" w:rsidR="00CC3E30" w:rsidRPr="00506F73" w:rsidRDefault="00BA7E97" w:rsidP="00506F73">
            <w:pPr>
              <w:jc w:val="center"/>
              <w:rPr>
                <w:rFonts w:cstheme="minorHAnsi"/>
              </w:rPr>
            </w:pPr>
            <w:r>
              <w:rPr>
                <w:rFonts w:cstheme="minorHAnsi"/>
              </w:rPr>
              <w:lastRenderedPageBreak/>
              <w:t>3</w:t>
            </w:r>
          </w:p>
        </w:tc>
        <w:tc>
          <w:tcPr>
            <w:tcW w:w="698" w:type="pct"/>
          </w:tcPr>
          <w:p w14:paraId="13D6F64C" w14:textId="7951FA39" w:rsidR="00CC3E30" w:rsidRDefault="00BA7E97" w:rsidP="00506F73">
            <w:pPr>
              <w:jc w:val="both"/>
              <w:rPr>
                <w:rFonts w:cstheme="minorHAnsi"/>
              </w:rPr>
            </w:pPr>
            <w:r>
              <w:rPr>
                <w:rFonts w:cstheme="minorHAnsi"/>
              </w:rPr>
              <w:t xml:space="preserve">SA w Warszawie </w:t>
            </w:r>
          </w:p>
        </w:tc>
        <w:tc>
          <w:tcPr>
            <w:tcW w:w="591" w:type="pct"/>
          </w:tcPr>
          <w:p w14:paraId="38B3734A" w14:textId="0C6AC3D3" w:rsidR="00CC3E30" w:rsidRDefault="00CC3E30" w:rsidP="00506F73">
            <w:pPr>
              <w:jc w:val="both"/>
              <w:rPr>
                <w:rFonts w:cstheme="minorHAnsi"/>
              </w:rPr>
            </w:pPr>
          </w:p>
        </w:tc>
        <w:tc>
          <w:tcPr>
            <w:tcW w:w="1418" w:type="pct"/>
          </w:tcPr>
          <w:p w14:paraId="01E48046" w14:textId="51437AD8" w:rsidR="00BA7E97" w:rsidRPr="00462965" w:rsidRDefault="00782BC5" w:rsidP="00462965">
            <w:pPr>
              <w:jc w:val="both"/>
              <w:rPr>
                <w:rFonts w:cstheme="minorHAnsi"/>
              </w:rPr>
            </w:pPr>
            <w:r w:rsidRPr="00462965">
              <w:rPr>
                <w:rFonts w:cstheme="minorHAnsi"/>
              </w:rPr>
              <w:t>P</w:t>
            </w:r>
            <w:r w:rsidR="00BA7E97" w:rsidRPr="00462965">
              <w:rPr>
                <w:rFonts w:cstheme="minorHAnsi"/>
              </w:rPr>
              <w:t xml:space="preserve">roponowana nowelizacja, mając na uwadze cel wskazany w uzasadnieniu projektu, jest </w:t>
            </w:r>
            <w:r w:rsidR="00BA7E97" w:rsidRPr="00462965">
              <w:rPr>
                <w:rFonts w:cstheme="minorHAnsi"/>
              </w:rPr>
              <w:lastRenderedPageBreak/>
              <w:t>zdecydowanie zbyt fragmentaryczna i nie zawiera propozycji, które w istotnym zakresie realizowałyby postulat poprawy skuteczności postępowań dotyczących umorzenia długów osób fizycznych.</w:t>
            </w:r>
          </w:p>
          <w:p w14:paraId="20199EC4" w14:textId="11D70C99" w:rsidR="00BA7E97" w:rsidRPr="00462965" w:rsidRDefault="00BA7E97" w:rsidP="00462965">
            <w:pPr>
              <w:jc w:val="both"/>
              <w:rPr>
                <w:rFonts w:cstheme="minorHAnsi"/>
              </w:rPr>
            </w:pPr>
            <w:r w:rsidRPr="00462965">
              <w:rPr>
                <w:rFonts w:cstheme="minorHAnsi"/>
              </w:rPr>
              <w:t>Do takich propozycji należałoby zaliczyć przede wszystkim rezygnację z sądowego ogłoszenia upadłości przez sąd na rzecz powierzenia tej decyzji syndykowi analogicznie jak ma to miejsce w</w:t>
            </w:r>
            <w:r w:rsidR="00D24F2B" w:rsidRPr="00462965">
              <w:rPr>
                <w:rFonts w:cstheme="minorHAnsi"/>
              </w:rPr>
              <w:t> </w:t>
            </w:r>
            <w:r w:rsidRPr="00462965">
              <w:rPr>
                <w:rFonts w:cstheme="minorHAnsi"/>
              </w:rPr>
              <w:t>postępowaniu o zatwierdzenie układu. Uzasadnieniem tej propozycji jest fakt braku negatywnych przesłanek do ogłoszenia upadłości konsumenckiej. Skutki ogłoszenia upadłości zaś wynikałyby z obwieszczenia dokonywanego przez wybranego przez dłużnika doradcę restrukturyzacyjnego, który by pełnił funkcję syndyka. Doświadczenia</w:t>
            </w:r>
            <w:r w:rsidR="007C0048" w:rsidRPr="00462965">
              <w:rPr>
                <w:rFonts w:cstheme="minorHAnsi"/>
              </w:rPr>
              <w:t xml:space="preserve"> </w:t>
            </w:r>
            <w:r w:rsidRPr="00462965">
              <w:rPr>
                <w:rFonts w:cstheme="minorHAnsi"/>
              </w:rPr>
              <w:t xml:space="preserve">wynikające z zastosowania przepisów ustawy Prawo restrukturyzacyjne w zakresie Postępowania o zatwierdzenie układu wskazują na praktyczność tego rozwiązania i zasadniczo przyspieszają tok postępowania. </w:t>
            </w:r>
          </w:p>
          <w:p w14:paraId="575AA1C4" w14:textId="11EC81F9" w:rsidR="00CC3E30" w:rsidRPr="00462965" w:rsidRDefault="00BA7E97" w:rsidP="00462965">
            <w:pPr>
              <w:jc w:val="both"/>
              <w:rPr>
                <w:rFonts w:cstheme="minorHAnsi"/>
              </w:rPr>
            </w:pPr>
            <w:r w:rsidRPr="00462965">
              <w:rPr>
                <w:rFonts w:cstheme="minorHAnsi"/>
              </w:rPr>
              <w:t xml:space="preserve">Również trudno wskazać przeciwskazania do powierzenia syndykowi tworzenia samego planu spłaty wierzycieli w miejsce dotychczasowego projektu. Kontrola sądowa ograniczałaby się wówczas do rozpoznawania wyłącznie skarg ewentualnie wniesionych przez uczestników postępowania. Statystyka wskazuje, że w ogromnej liczbie postępowań treść projektu planu spłaty wierzycieli przygotowanego przez syndyka nie budzi </w:t>
            </w:r>
            <w:r w:rsidRPr="00462965">
              <w:rPr>
                <w:rFonts w:cstheme="minorHAnsi"/>
              </w:rPr>
              <w:lastRenderedPageBreak/>
              <w:t>wątpliwości uczestników postępowania i nie są zgłaszane żadne zastrzeżenia. Analogiczna sytuacja ma miejsce w przypadku postanowień o ustaleniu planu co do których nie są wnoszone zażalenia. Zatem zasadne jest przyjęcie rozwiązań jedynie w sytuacji, gdy w danym postępowaniu występują sporne kwestie.</w:t>
            </w:r>
          </w:p>
        </w:tc>
        <w:tc>
          <w:tcPr>
            <w:tcW w:w="1027" w:type="pct"/>
          </w:tcPr>
          <w:p w14:paraId="4AFCCBC5" w14:textId="77777777" w:rsidR="00CC3E30" w:rsidRPr="00506F73" w:rsidRDefault="00CC3E30" w:rsidP="00506F73">
            <w:pPr>
              <w:jc w:val="both"/>
              <w:rPr>
                <w:rFonts w:cstheme="minorHAnsi"/>
              </w:rPr>
            </w:pPr>
          </w:p>
        </w:tc>
        <w:tc>
          <w:tcPr>
            <w:tcW w:w="1108" w:type="pct"/>
          </w:tcPr>
          <w:p w14:paraId="35B38A63" w14:textId="77777777" w:rsidR="00CC3E30" w:rsidRPr="007368C7" w:rsidRDefault="00830C75" w:rsidP="00BC45D4">
            <w:pPr>
              <w:jc w:val="both"/>
              <w:rPr>
                <w:rFonts w:cstheme="minorHAnsi"/>
                <w:b/>
                <w:bCs/>
              </w:rPr>
            </w:pPr>
            <w:r w:rsidRPr="007368C7">
              <w:rPr>
                <w:rFonts w:cstheme="minorHAnsi"/>
                <w:b/>
                <w:bCs/>
              </w:rPr>
              <w:t xml:space="preserve">Uwaga poza zakresem projektu </w:t>
            </w:r>
          </w:p>
          <w:p w14:paraId="5F223029" w14:textId="560843E7" w:rsidR="0017030B" w:rsidRPr="007368C7" w:rsidRDefault="00E225C0" w:rsidP="00BC45D4">
            <w:pPr>
              <w:jc w:val="both"/>
              <w:rPr>
                <w:rFonts w:cstheme="minorHAnsi"/>
              </w:rPr>
            </w:pPr>
            <w:r w:rsidRPr="007368C7">
              <w:rPr>
                <w:rFonts w:cstheme="minorHAnsi"/>
              </w:rPr>
              <w:lastRenderedPageBreak/>
              <w:t xml:space="preserve">Ponadto wątpliwości budzi propozycja, by organ pozasądowy </w:t>
            </w:r>
            <w:r w:rsidR="00B55C52" w:rsidRPr="007368C7">
              <w:rPr>
                <w:rFonts w:cstheme="minorHAnsi"/>
              </w:rPr>
              <w:t>rozstrzygał o</w:t>
            </w:r>
            <w:r w:rsidRPr="007368C7">
              <w:rPr>
                <w:rFonts w:cstheme="minorHAnsi"/>
              </w:rPr>
              <w:t xml:space="preserve"> prawach majątkowych chronionych na poziomie konstytucyjnym. </w:t>
            </w:r>
          </w:p>
        </w:tc>
      </w:tr>
      <w:tr w:rsidR="003B3876" w:rsidRPr="00486628" w14:paraId="7D37B75E" w14:textId="77777777" w:rsidTr="00AC5078">
        <w:tc>
          <w:tcPr>
            <w:tcW w:w="158" w:type="pct"/>
          </w:tcPr>
          <w:p w14:paraId="6FE5173E" w14:textId="3B104D04" w:rsidR="00CC3E30" w:rsidRPr="00506F73" w:rsidRDefault="00C10504" w:rsidP="00506F73">
            <w:pPr>
              <w:jc w:val="center"/>
              <w:rPr>
                <w:rFonts w:cstheme="minorHAnsi"/>
              </w:rPr>
            </w:pPr>
            <w:r>
              <w:rPr>
                <w:rFonts w:cstheme="minorHAnsi"/>
              </w:rPr>
              <w:lastRenderedPageBreak/>
              <w:t>4</w:t>
            </w:r>
          </w:p>
        </w:tc>
        <w:tc>
          <w:tcPr>
            <w:tcW w:w="698" w:type="pct"/>
          </w:tcPr>
          <w:p w14:paraId="42B9A294" w14:textId="5B578356" w:rsidR="00CC3E30" w:rsidRDefault="00C10504" w:rsidP="00C10504">
            <w:pPr>
              <w:rPr>
                <w:rFonts w:cstheme="minorHAnsi"/>
              </w:rPr>
            </w:pPr>
            <w:r w:rsidRPr="00C10504">
              <w:rPr>
                <w:rFonts w:cstheme="minorHAnsi"/>
              </w:rPr>
              <w:t>Polski</w:t>
            </w:r>
            <w:r>
              <w:rPr>
                <w:rFonts w:cstheme="minorHAnsi"/>
              </w:rPr>
              <w:t xml:space="preserve"> </w:t>
            </w:r>
            <w:r w:rsidRPr="00C10504">
              <w:rPr>
                <w:rFonts w:cstheme="minorHAnsi"/>
              </w:rPr>
              <w:t>Związe</w:t>
            </w:r>
            <w:r>
              <w:rPr>
                <w:rFonts w:cstheme="minorHAnsi"/>
              </w:rPr>
              <w:t xml:space="preserve">k </w:t>
            </w:r>
            <w:r w:rsidRPr="00C10504">
              <w:rPr>
                <w:rFonts w:cstheme="minorHAnsi"/>
              </w:rPr>
              <w:t>Zarządzania Wierzytelnościami</w:t>
            </w:r>
          </w:p>
        </w:tc>
        <w:tc>
          <w:tcPr>
            <w:tcW w:w="591" w:type="pct"/>
          </w:tcPr>
          <w:p w14:paraId="669EE7BF" w14:textId="0F6C96A2" w:rsidR="00CC3E30" w:rsidRDefault="00CC3E30" w:rsidP="00506F73">
            <w:pPr>
              <w:jc w:val="both"/>
              <w:rPr>
                <w:rFonts w:cstheme="minorHAnsi"/>
              </w:rPr>
            </w:pPr>
          </w:p>
        </w:tc>
        <w:tc>
          <w:tcPr>
            <w:tcW w:w="1418" w:type="pct"/>
          </w:tcPr>
          <w:p w14:paraId="792D7E5F" w14:textId="60D6D22C" w:rsidR="00CC3E30" w:rsidRPr="00462965" w:rsidRDefault="00C10504" w:rsidP="00462965">
            <w:pPr>
              <w:jc w:val="both"/>
              <w:rPr>
                <w:rFonts w:cstheme="minorHAnsi"/>
              </w:rPr>
            </w:pPr>
            <w:r w:rsidRPr="00462965">
              <w:rPr>
                <w:rFonts w:cstheme="minorHAnsi"/>
              </w:rPr>
              <w:t>Rzeczony projekt przewiduje rozwiązania mające na celu poprawę efektywności postępowania upadłościowego i</w:t>
            </w:r>
            <w:r w:rsidR="005405C5" w:rsidRPr="00462965">
              <w:rPr>
                <w:rFonts w:cstheme="minorHAnsi"/>
              </w:rPr>
              <w:t xml:space="preserve"> </w:t>
            </w:r>
            <w:r w:rsidRPr="00462965">
              <w:rPr>
                <w:rFonts w:cstheme="minorHAnsi"/>
              </w:rPr>
              <w:t>restrukturyzacyjnego, których</w:t>
            </w:r>
            <w:r w:rsidR="005405C5" w:rsidRPr="00462965">
              <w:rPr>
                <w:rFonts w:cstheme="minorHAnsi"/>
              </w:rPr>
              <w:t xml:space="preserve"> </w:t>
            </w:r>
            <w:r w:rsidRPr="00462965">
              <w:rPr>
                <w:rFonts w:cstheme="minorHAnsi"/>
              </w:rPr>
              <w:t>przedmiotem jest oddłużenie osób fizycznych prowadzących działalność gospodarczą oraz osób fizycznych nieprowadzących działalności gospodarczej oraz odciążenie sądów. Należy zauważyć, że jednocześnie zawiera propozycję zmian prawnych prowadzących do osłabienia pozycji wierzycieli, mimo że działania te nie pozostają w bezpośrednim związku z realizacją deklarowanych celów. Odnosi się to w głównej mierze do zaproponowanego uchylenia przepisów dopuszczających możliwość wniesienia skargi kasacyjnej od orzeczeń sądu drugiej instancji w przedmiocie umorzenia zobowiązań upadłego, jak i ustalenia lub zmiany planu spłaty wierzycieli, a także usunięcia z przesłanek uchylenia planu spłaty przesłanki w postaci niezłożenia przez upadłego w terminie sprawozdania z wykonania planu spłaty wierzycieli.</w:t>
            </w:r>
          </w:p>
        </w:tc>
        <w:tc>
          <w:tcPr>
            <w:tcW w:w="1027" w:type="pct"/>
          </w:tcPr>
          <w:p w14:paraId="6156099B" w14:textId="77777777" w:rsidR="00CC3E30" w:rsidRPr="00506F73" w:rsidRDefault="00CC3E30" w:rsidP="00506F73">
            <w:pPr>
              <w:jc w:val="both"/>
              <w:rPr>
                <w:rFonts w:cstheme="minorHAnsi"/>
              </w:rPr>
            </w:pPr>
          </w:p>
        </w:tc>
        <w:tc>
          <w:tcPr>
            <w:tcW w:w="1108" w:type="pct"/>
          </w:tcPr>
          <w:p w14:paraId="3ACB9470" w14:textId="77777777" w:rsidR="00CC3E30" w:rsidRPr="007368C7" w:rsidRDefault="00443B5F" w:rsidP="00BC45D4">
            <w:pPr>
              <w:jc w:val="both"/>
              <w:rPr>
                <w:rFonts w:cstheme="minorHAnsi"/>
                <w:b/>
                <w:bCs/>
              </w:rPr>
            </w:pPr>
            <w:r w:rsidRPr="007368C7">
              <w:rPr>
                <w:rFonts w:cstheme="minorHAnsi"/>
                <w:b/>
                <w:bCs/>
              </w:rPr>
              <w:t>Uwaga nieuwzględniona</w:t>
            </w:r>
          </w:p>
          <w:p w14:paraId="3CBB6C54" w14:textId="2DA330FC" w:rsidR="00443B5F" w:rsidRPr="007368C7" w:rsidRDefault="00423C49" w:rsidP="00BC45D4">
            <w:pPr>
              <w:jc w:val="both"/>
              <w:rPr>
                <w:rFonts w:cstheme="minorHAnsi"/>
              </w:rPr>
            </w:pPr>
            <w:r w:rsidRPr="007368C7">
              <w:rPr>
                <w:rFonts w:cstheme="minorHAnsi"/>
              </w:rPr>
              <w:t>P</w:t>
            </w:r>
            <w:r w:rsidR="00443B5F" w:rsidRPr="007368C7">
              <w:rPr>
                <w:rFonts w:cstheme="minorHAnsi"/>
              </w:rPr>
              <w:t xml:space="preserve">o pierwsze, w postępowaniach tych skarga </w:t>
            </w:r>
            <w:r w:rsidR="003A69E8" w:rsidRPr="007368C7">
              <w:rPr>
                <w:rFonts w:cstheme="minorHAnsi"/>
              </w:rPr>
              <w:t>ma znikome</w:t>
            </w:r>
            <w:r w:rsidR="00443B5F" w:rsidRPr="007368C7">
              <w:rPr>
                <w:rFonts w:cstheme="minorHAnsi"/>
              </w:rPr>
              <w:t xml:space="preserve"> zastosowanie w praktyce.  Ponadto, biorąc pod uwagę ustawowe przesłanki umorzenia zobowiązań oraz ustalenia lub zmiany planu spłaty wierzycieli, wskazać należy, że ogniskują się one przede wszystkim wokół materii dotyczącej ustaleń faktycznych (w zakresie możliwości zarobkowych upadłego i jego sytuacji osobistej, przyczyn powstania stanu niewypłacalności, stopnia winy w dorowadzeniu do stanu niewypłacalności, a także co do przesłanek humanitaryzmu i słuszności), a nie sfery interpretacji przepisów prawa. Kwestia ustaleń faktycznych nie mieści się w zakresie kontroli kasacyjnej sprawowanej przez Sąd Najwyższy. Problematyka</w:t>
            </w:r>
            <w:r w:rsidR="008C40E2" w:rsidRPr="007368C7">
              <w:rPr>
                <w:rFonts w:cstheme="minorHAnsi"/>
              </w:rPr>
              <w:t xml:space="preserve"> </w:t>
            </w:r>
            <w:r w:rsidR="00443B5F" w:rsidRPr="007368C7">
              <w:rPr>
                <w:rFonts w:cstheme="minorHAnsi"/>
              </w:rPr>
              <w:t xml:space="preserve">zapewnienia spójności orzeczniczej w sprawach </w:t>
            </w:r>
            <w:r w:rsidR="00443B5F" w:rsidRPr="007368C7">
              <w:rPr>
                <w:rFonts w:cstheme="minorHAnsi"/>
              </w:rPr>
              <w:lastRenderedPageBreak/>
              <w:t>dotyczących oddłużenia jest gwarantowana instytucją pytań prawnych do Sądu Najwyższego.</w:t>
            </w:r>
          </w:p>
        </w:tc>
      </w:tr>
      <w:tr w:rsidR="00556488" w:rsidRPr="00486628" w14:paraId="2F28C25B" w14:textId="77777777" w:rsidTr="00AC5078">
        <w:tc>
          <w:tcPr>
            <w:tcW w:w="158" w:type="pct"/>
          </w:tcPr>
          <w:p w14:paraId="0655B4B3" w14:textId="39F5BAD4" w:rsidR="00556488" w:rsidRDefault="00556488" w:rsidP="00506F73">
            <w:pPr>
              <w:jc w:val="center"/>
              <w:rPr>
                <w:rFonts w:cstheme="minorHAnsi"/>
              </w:rPr>
            </w:pPr>
            <w:r>
              <w:rPr>
                <w:rFonts w:cstheme="minorHAnsi"/>
              </w:rPr>
              <w:lastRenderedPageBreak/>
              <w:t xml:space="preserve">5 </w:t>
            </w:r>
          </w:p>
        </w:tc>
        <w:tc>
          <w:tcPr>
            <w:tcW w:w="698" w:type="pct"/>
          </w:tcPr>
          <w:p w14:paraId="2101D826" w14:textId="645B9005" w:rsidR="00556488" w:rsidRPr="00C10504" w:rsidRDefault="00556488" w:rsidP="00C10504">
            <w:pPr>
              <w:rPr>
                <w:rFonts w:cstheme="minorHAnsi"/>
              </w:rPr>
            </w:pPr>
            <w:r>
              <w:rPr>
                <w:rFonts w:cstheme="minorHAnsi"/>
              </w:rPr>
              <w:t>Obywatel 6</w:t>
            </w:r>
          </w:p>
        </w:tc>
        <w:tc>
          <w:tcPr>
            <w:tcW w:w="591" w:type="pct"/>
          </w:tcPr>
          <w:p w14:paraId="5ECDE838" w14:textId="77777777" w:rsidR="00556488" w:rsidRDefault="00556488" w:rsidP="00506F73">
            <w:pPr>
              <w:jc w:val="both"/>
              <w:rPr>
                <w:rFonts w:cstheme="minorHAnsi"/>
              </w:rPr>
            </w:pPr>
          </w:p>
        </w:tc>
        <w:tc>
          <w:tcPr>
            <w:tcW w:w="1418" w:type="pct"/>
          </w:tcPr>
          <w:p w14:paraId="59C7AF6B" w14:textId="77777777" w:rsidR="00556488" w:rsidRPr="00556488" w:rsidRDefault="00556488" w:rsidP="00556488">
            <w:pPr>
              <w:jc w:val="both"/>
              <w:rPr>
                <w:rFonts w:cstheme="minorHAnsi"/>
              </w:rPr>
            </w:pPr>
            <w:r w:rsidRPr="00556488">
              <w:rPr>
                <w:rFonts w:cstheme="minorHAnsi"/>
              </w:rPr>
              <w:t>[Zakaz naliczania odsetek w okresie ujemnego kapitału]</w:t>
            </w:r>
          </w:p>
          <w:p w14:paraId="5CA18B23" w14:textId="77777777" w:rsidR="00556488" w:rsidRPr="00556488" w:rsidRDefault="00556488" w:rsidP="00556488">
            <w:pPr>
              <w:jc w:val="both"/>
              <w:rPr>
                <w:rFonts w:cstheme="minorHAnsi"/>
              </w:rPr>
            </w:pPr>
            <w:r w:rsidRPr="00556488">
              <w:rPr>
                <w:rFonts w:cstheme="minorHAnsi"/>
              </w:rPr>
              <w:t>1. W przypadku, gdy bilans spółki wykazuje stratę przewyższającą sumę kapitałów zapasowego i rezerwowych oraz połowę kapitału zakładowego (stan ujemnego kapitału własnego), wstrzymuje się z mocy prawa naliczanie odsetek od pożyczek i innych instrumentów dłużnych udzielonych spółce przez jej wspólników (akcjonariuszy) oraz podmioty z nimi powiązane.</w:t>
            </w:r>
          </w:p>
          <w:p w14:paraId="3C63B3CD" w14:textId="77777777" w:rsidR="00556488" w:rsidRPr="00556488" w:rsidRDefault="00556488" w:rsidP="00556488">
            <w:pPr>
              <w:jc w:val="both"/>
              <w:rPr>
                <w:rFonts w:cstheme="minorHAnsi"/>
              </w:rPr>
            </w:pPr>
            <w:r w:rsidRPr="00556488">
              <w:rPr>
                <w:rFonts w:cstheme="minorHAnsi"/>
              </w:rPr>
              <w:t>2. Wszelkie odsetki naliczone w okresie, o którym mowa w ust. 1, nie stanowią wierzytelności podlegającej zaspokojeniu w postępowaniu restrukturyzacyjnym ani upadłościowym.</w:t>
            </w:r>
          </w:p>
          <w:p w14:paraId="1C5291F3" w14:textId="058E5226" w:rsidR="00556488" w:rsidRPr="00462965" w:rsidRDefault="00556488" w:rsidP="00556488">
            <w:pPr>
              <w:jc w:val="both"/>
              <w:rPr>
                <w:rFonts w:cstheme="minorHAnsi"/>
              </w:rPr>
            </w:pPr>
            <w:r w:rsidRPr="00556488">
              <w:rPr>
                <w:rFonts w:cstheme="minorHAnsi"/>
              </w:rPr>
              <w:t>3. Środki finansowe przekazane spółce przez wspólników w okresie ujemnego kapitału własnego traktuje się jako dopłaty do kapitału zapasowego, chyba że zostaną one objęte formalnym podwyższeniem kapitału zakładowego</w:t>
            </w:r>
            <w:r>
              <w:rPr>
                <w:rFonts w:cstheme="minorHAnsi"/>
              </w:rPr>
              <w:t>.</w:t>
            </w:r>
          </w:p>
        </w:tc>
        <w:tc>
          <w:tcPr>
            <w:tcW w:w="1027" w:type="pct"/>
          </w:tcPr>
          <w:p w14:paraId="26B5D672" w14:textId="77777777" w:rsidR="00556488" w:rsidRPr="00506F73" w:rsidRDefault="00556488" w:rsidP="00506F73">
            <w:pPr>
              <w:jc w:val="both"/>
              <w:rPr>
                <w:rFonts w:cstheme="minorHAnsi"/>
              </w:rPr>
            </w:pPr>
          </w:p>
        </w:tc>
        <w:tc>
          <w:tcPr>
            <w:tcW w:w="1108" w:type="pct"/>
          </w:tcPr>
          <w:p w14:paraId="28F08B9D" w14:textId="03F64650" w:rsidR="00556488" w:rsidRPr="007368C7" w:rsidRDefault="00B72EE0" w:rsidP="00BC45D4">
            <w:pPr>
              <w:jc w:val="both"/>
              <w:rPr>
                <w:rFonts w:cstheme="minorHAnsi"/>
                <w:b/>
                <w:bCs/>
              </w:rPr>
            </w:pPr>
            <w:r w:rsidRPr="007368C7">
              <w:rPr>
                <w:rFonts w:cstheme="minorHAnsi"/>
                <w:b/>
                <w:bCs/>
              </w:rPr>
              <w:t>Uwaga poza zakresem projektu</w:t>
            </w:r>
          </w:p>
        </w:tc>
      </w:tr>
      <w:tr w:rsidR="00556488" w:rsidRPr="00486628" w14:paraId="4D6FC0CE" w14:textId="77777777" w:rsidTr="00AC5078">
        <w:tc>
          <w:tcPr>
            <w:tcW w:w="158" w:type="pct"/>
          </w:tcPr>
          <w:p w14:paraId="6705C43D" w14:textId="15AC2C35" w:rsidR="00556488" w:rsidRDefault="00B72EE0" w:rsidP="00506F73">
            <w:pPr>
              <w:jc w:val="center"/>
              <w:rPr>
                <w:rFonts w:cstheme="minorHAnsi"/>
              </w:rPr>
            </w:pPr>
            <w:r>
              <w:rPr>
                <w:rFonts w:cstheme="minorHAnsi"/>
              </w:rPr>
              <w:t>6</w:t>
            </w:r>
          </w:p>
        </w:tc>
        <w:tc>
          <w:tcPr>
            <w:tcW w:w="698" w:type="pct"/>
          </w:tcPr>
          <w:p w14:paraId="63465164" w14:textId="1C06EB78" w:rsidR="00556488" w:rsidRDefault="00B72EE0" w:rsidP="00C10504">
            <w:pPr>
              <w:rPr>
                <w:rFonts w:cstheme="minorHAnsi"/>
              </w:rPr>
            </w:pPr>
            <w:r w:rsidRPr="00B72EE0">
              <w:rPr>
                <w:rFonts w:cstheme="minorHAnsi"/>
              </w:rPr>
              <w:t>Obywatel 6</w:t>
            </w:r>
          </w:p>
        </w:tc>
        <w:tc>
          <w:tcPr>
            <w:tcW w:w="591" w:type="pct"/>
          </w:tcPr>
          <w:p w14:paraId="1BAD657D" w14:textId="77777777" w:rsidR="00556488" w:rsidRDefault="00556488" w:rsidP="00506F73">
            <w:pPr>
              <w:jc w:val="both"/>
              <w:rPr>
                <w:rFonts w:cstheme="minorHAnsi"/>
              </w:rPr>
            </w:pPr>
          </w:p>
        </w:tc>
        <w:tc>
          <w:tcPr>
            <w:tcW w:w="1418" w:type="pct"/>
          </w:tcPr>
          <w:p w14:paraId="0D8A575C" w14:textId="77777777" w:rsidR="00556488" w:rsidRPr="00556488" w:rsidRDefault="00556488" w:rsidP="00556488">
            <w:pPr>
              <w:jc w:val="both"/>
              <w:rPr>
                <w:rFonts w:cstheme="minorHAnsi"/>
              </w:rPr>
            </w:pPr>
            <w:r w:rsidRPr="00556488">
              <w:rPr>
                <w:rFonts w:cstheme="minorHAnsi"/>
              </w:rPr>
              <w:t>[Bezskuteczność zabezpieczeń rzeczowych wspólników]</w:t>
            </w:r>
          </w:p>
          <w:p w14:paraId="0F462A8F" w14:textId="77777777" w:rsidR="00556488" w:rsidRPr="00556488" w:rsidRDefault="00556488" w:rsidP="00556488">
            <w:pPr>
              <w:jc w:val="both"/>
              <w:rPr>
                <w:rFonts w:cstheme="minorHAnsi"/>
              </w:rPr>
            </w:pPr>
            <w:r w:rsidRPr="00556488">
              <w:rPr>
                <w:rFonts w:cstheme="minorHAnsi"/>
              </w:rPr>
              <w:t xml:space="preserve">1. Hipoteki, zastawy oraz inne zabezpieczenia rzeczowe ustanowione na majątku dłużnika na rzecz wspólników lub podmiotów powiązanych przed otwarciem postępowania restrukturyzacyjnego lub ogłoszeniem </w:t>
            </w:r>
            <w:r w:rsidRPr="00556488">
              <w:rPr>
                <w:rFonts w:cstheme="minorHAnsi"/>
              </w:rPr>
              <w:lastRenderedPageBreak/>
              <w:t>upadłości są bezskuteczne z mocy prawa, jeżeli w chwili ich ustanowienia spółka znajdowała się w stanie niewypłacalności lub zagrożenia niewypłacalnością.</w:t>
            </w:r>
          </w:p>
          <w:p w14:paraId="661B1F0F" w14:textId="11DB6407" w:rsidR="00556488" w:rsidRPr="00556488" w:rsidRDefault="00556488" w:rsidP="00556488">
            <w:pPr>
              <w:jc w:val="both"/>
              <w:rPr>
                <w:rFonts w:cstheme="minorHAnsi"/>
              </w:rPr>
            </w:pPr>
            <w:r w:rsidRPr="00556488">
              <w:rPr>
                <w:rFonts w:cstheme="minorHAnsi"/>
              </w:rPr>
              <w:t>2. Domniemywa się, że ustanowienie zabezpieczenia na rzecz wspólnika w okresie kryzysu finansowego spółki jest działaniem na szkodę pozostałych wierzycieli.</w:t>
            </w:r>
          </w:p>
        </w:tc>
        <w:tc>
          <w:tcPr>
            <w:tcW w:w="1027" w:type="pct"/>
          </w:tcPr>
          <w:p w14:paraId="39837A8F" w14:textId="77777777" w:rsidR="00556488" w:rsidRPr="00506F73" w:rsidRDefault="00556488" w:rsidP="00506F73">
            <w:pPr>
              <w:jc w:val="both"/>
              <w:rPr>
                <w:rFonts w:cstheme="minorHAnsi"/>
              </w:rPr>
            </w:pPr>
          </w:p>
        </w:tc>
        <w:tc>
          <w:tcPr>
            <w:tcW w:w="1108" w:type="pct"/>
          </w:tcPr>
          <w:p w14:paraId="0401A050" w14:textId="7291E698" w:rsidR="00556488" w:rsidRPr="007368C7" w:rsidRDefault="00B72EE0" w:rsidP="00BC45D4">
            <w:pPr>
              <w:jc w:val="both"/>
              <w:rPr>
                <w:rFonts w:cstheme="minorHAnsi"/>
                <w:b/>
                <w:bCs/>
              </w:rPr>
            </w:pPr>
            <w:r w:rsidRPr="007368C7">
              <w:rPr>
                <w:rFonts w:cstheme="minorHAnsi"/>
                <w:b/>
                <w:bCs/>
              </w:rPr>
              <w:t>Uwaga poza zakresem projektu</w:t>
            </w:r>
          </w:p>
        </w:tc>
      </w:tr>
      <w:tr w:rsidR="00556488" w:rsidRPr="00486628" w14:paraId="278F2ADA" w14:textId="77777777" w:rsidTr="00AC5078">
        <w:tc>
          <w:tcPr>
            <w:tcW w:w="158" w:type="pct"/>
          </w:tcPr>
          <w:p w14:paraId="089B5FBC" w14:textId="09289A97" w:rsidR="00556488" w:rsidRDefault="00B72EE0" w:rsidP="00506F73">
            <w:pPr>
              <w:jc w:val="center"/>
              <w:rPr>
                <w:rFonts w:cstheme="minorHAnsi"/>
              </w:rPr>
            </w:pPr>
            <w:r>
              <w:rPr>
                <w:rFonts w:cstheme="minorHAnsi"/>
              </w:rPr>
              <w:t>7</w:t>
            </w:r>
          </w:p>
        </w:tc>
        <w:tc>
          <w:tcPr>
            <w:tcW w:w="698" w:type="pct"/>
          </w:tcPr>
          <w:p w14:paraId="4BB4725B" w14:textId="18D74F6A" w:rsidR="00556488" w:rsidRDefault="00B72EE0" w:rsidP="00C10504">
            <w:pPr>
              <w:rPr>
                <w:rFonts w:cstheme="minorHAnsi"/>
              </w:rPr>
            </w:pPr>
            <w:r w:rsidRPr="00B72EE0">
              <w:rPr>
                <w:rFonts w:cstheme="minorHAnsi"/>
              </w:rPr>
              <w:t>Obywatel 6</w:t>
            </w:r>
          </w:p>
        </w:tc>
        <w:tc>
          <w:tcPr>
            <w:tcW w:w="591" w:type="pct"/>
          </w:tcPr>
          <w:p w14:paraId="6493FCB3" w14:textId="77777777" w:rsidR="00556488" w:rsidRDefault="00556488" w:rsidP="00506F73">
            <w:pPr>
              <w:jc w:val="both"/>
              <w:rPr>
                <w:rFonts w:cstheme="minorHAnsi"/>
              </w:rPr>
            </w:pPr>
          </w:p>
        </w:tc>
        <w:tc>
          <w:tcPr>
            <w:tcW w:w="1418" w:type="pct"/>
          </w:tcPr>
          <w:p w14:paraId="55DD558B" w14:textId="77777777" w:rsidR="00556488" w:rsidRPr="00556488" w:rsidRDefault="00556488" w:rsidP="00556488">
            <w:pPr>
              <w:jc w:val="both"/>
              <w:rPr>
                <w:rFonts w:cstheme="minorHAnsi"/>
              </w:rPr>
            </w:pPr>
            <w:r w:rsidRPr="00556488">
              <w:rPr>
                <w:rFonts w:cstheme="minorHAnsi"/>
              </w:rPr>
              <w:t>[Odpowiedzialność za kontynuację działalności bez dokapitalizowania]</w:t>
            </w:r>
          </w:p>
          <w:p w14:paraId="2727A178" w14:textId="77777777" w:rsidR="00556488" w:rsidRPr="00556488" w:rsidRDefault="00556488" w:rsidP="00556488">
            <w:pPr>
              <w:jc w:val="both"/>
              <w:rPr>
                <w:rFonts w:cstheme="minorHAnsi"/>
              </w:rPr>
            </w:pPr>
            <w:r w:rsidRPr="00556488">
              <w:rPr>
                <w:rFonts w:cstheme="minorHAnsi"/>
              </w:rPr>
              <w:t>1. Podjęcie przez zgromadzenie wspólników uchwały o dalszym istnieniu spółki (art. 233 KSH) bez jednoczesnego wniesienia wkładów na pokrycie strat, przy jednoczesnym utrzymywaniu pożyczek wspólniczych jako zadłużenia</w:t>
            </w:r>
          </w:p>
          <w:p w14:paraId="366A489E" w14:textId="77777777" w:rsidR="00556488" w:rsidRPr="00556488" w:rsidRDefault="00556488" w:rsidP="00556488">
            <w:pPr>
              <w:jc w:val="both"/>
              <w:rPr>
                <w:rFonts w:cstheme="minorHAnsi"/>
              </w:rPr>
            </w:pPr>
            <w:r w:rsidRPr="00556488">
              <w:rPr>
                <w:rFonts w:cstheme="minorHAnsi"/>
              </w:rPr>
              <w:t>oprocentowanego, uznaje się za rażące naruszenie zasad należytej staranności w zarządzaniu spółką.</w:t>
            </w:r>
          </w:p>
          <w:p w14:paraId="1C525198" w14:textId="2670AEF1" w:rsidR="00556488" w:rsidRPr="00556488" w:rsidRDefault="00556488" w:rsidP="00556488">
            <w:pPr>
              <w:jc w:val="both"/>
              <w:rPr>
                <w:rFonts w:cstheme="minorHAnsi"/>
              </w:rPr>
            </w:pPr>
            <w:r w:rsidRPr="00556488">
              <w:rPr>
                <w:rFonts w:cstheme="minorHAnsi"/>
              </w:rPr>
              <w:t>2. Wierzytelności wspólników z tytułu pożyczek udzielonych spółce lub naliczanych odsetek od pożyczek wspólników w kryzysie podlegają zaspokojeniu w ostatniej kategorii zaspokojenia, po zaspokojeniu wszystkich pozostałych wierzycieli niepowiązanych.</w:t>
            </w:r>
          </w:p>
        </w:tc>
        <w:tc>
          <w:tcPr>
            <w:tcW w:w="1027" w:type="pct"/>
          </w:tcPr>
          <w:p w14:paraId="1D1103A5" w14:textId="77777777" w:rsidR="00556488" w:rsidRPr="00506F73" w:rsidRDefault="00556488" w:rsidP="00506F73">
            <w:pPr>
              <w:jc w:val="both"/>
              <w:rPr>
                <w:rFonts w:cstheme="minorHAnsi"/>
              </w:rPr>
            </w:pPr>
          </w:p>
        </w:tc>
        <w:tc>
          <w:tcPr>
            <w:tcW w:w="1108" w:type="pct"/>
          </w:tcPr>
          <w:p w14:paraId="30C59919" w14:textId="5CE1C6B2" w:rsidR="00556488" w:rsidRPr="007368C7" w:rsidRDefault="00B72EE0" w:rsidP="00BC45D4">
            <w:pPr>
              <w:jc w:val="both"/>
              <w:rPr>
                <w:rFonts w:cstheme="minorHAnsi"/>
                <w:b/>
                <w:bCs/>
              </w:rPr>
            </w:pPr>
            <w:r w:rsidRPr="007368C7">
              <w:rPr>
                <w:rFonts w:cstheme="minorHAnsi"/>
                <w:b/>
                <w:bCs/>
              </w:rPr>
              <w:t>Uwaga poza zakresem projektu</w:t>
            </w:r>
          </w:p>
        </w:tc>
      </w:tr>
      <w:tr w:rsidR="00B72EE0" w:rsidRPr="00486628" w14:paraId="74CA555A" w14:textId="77777777" w:rsidTr="00AC5078">
        <w:tc>
          <w:tcPr>
            <w:tcW w:w="158" w:type="pct"/>
          </w:tcPr>
          <w:p w14:paraId="3EFB561F" w14:textId="75BF4235" w:rsidR="00B72EE0" w:rsidRDefault="00B72EE0" w:rsidP="00506F73">
            <w:pPr>
              <w:jc w:val="center"/>
              <w:rPr>
                <w:rFonts w:cstheme="minorHAnsi"/>
              </w:rPr>
            </w:pPr>
            <w:r>
              <w:rPr>
                <w:rFonts w:cstheme="minorHAnsi"/>
              </w:rPr>
              <w:t>8</w:t>
            </w:r>
          </w:p>
        </w:tc>
        <w:tc>
          <w:tcPr>
            <w:tcW w:w="698" w:type="pct"/>
          </w:tcPr>
          <w:p w14:paraId="4B23BCE0" w14:textId="674509F1" w:rsidR="00B72EE0" w:rsidRDefault="00B72EE0" w:rsidP="00C10504">
            <w:pPr>
              <w:rPr>
                <w:rFonts w:cstheme="minorHAnsi"/>
              </w:rPr>
            </w:pPr>
            <w:r w:rsidRPr="00B72EE0">
              <w:rPr>
                <w:rFonts w:cstheme="minorHAnsi"/>
              </w:rPr>
              <w:t>Obywatel 6</w:t>
            </w:r>
          </w:p>
        </w:tc>
        <w:tc>
          <w:tcPr>
            <w:tcW w:w="591" w:type="pct"/>
          </w:tcPr>
          <w:p w14:paraId="3511C082" w14:textId="77777777" w:rsidR="00B72EE0" w:rsidRDefault="00B72EE0" w:rsidP="00506F73">
            <w:pPr>
              <w:jc w:val="both"/>
              <w:rPr>
                <w:rFonts w:cstheme="minorHAnsi"/>
              </w:rPr>
            </w:pPr>
          </w:p>
        </w:tc>
        <w:tc>
          <w:tcPr>
            <w:tcW w:w="1418" w:type="pct"/>
          </w:tcPr>
          <w:p w14:paraId="2A577009" w14:textId="77777777" w:rsidR="00B72EE0" w:rsidRPr="00B72EE0" w:rsidRDefault="00B72EE0" w:rsidP="00B72EE0">
            <w:pPr>
              <w:jc w:val="both"/>
              <w:rPr>
                <w:rFonts w:cstheme="minorHAnsi"/>
              </w:rPr>
            </w:pPr>
            <w:r w:rsidRPr="00B72EE0">
              <w:rPr>
                <w:rFonts w:cstheme="minorHAnsi"/>
              </w:rPr>
              <w:t>[Ograniczenie kosztów doradztwa restrukturyzacyjnego]</w:t>
            </w:r>
          </w:p>
          <w:p w14:paraId="7771D3D2" w14:textId="21491644" w:rsidR="00B72EE0" w:rsidRPr="00B72EE0" w:rsidRDefault="00B72EE0" w:rsidP="00B72EE0">
            <w:pPr>
              <w:jc w:val="both"/>
              <w:rPr>
                <w:rFonts w:cstheme="minorHAnsi"/>
              </w:rPr>
            </w:pPr>
            <w:r w:rsidRPr="00B72EE0">
              <w:rPr>
                <w:rFonts w:cstheme="minorHAnsi"/>
              </w:rPr>
              <w:t xml:space="preserve">1. Wynagrodzenie doradcy restrukturyzacyjnego w postępowaniach dotyczących mikro i małych przedsiębiorstw nie może przekraczać 10 % wartości sumy wierzytelności objętych układem </w:t>
            </w:r>
            <w:r w:rsidR="00302202" w:rsidRPr="00B72EE0">
              <w:rPr>
                <w:rFonts w:cstheme="minorHAnsi"/>
              </w:rPr>
              <w:lastRenderedPageBreak/>
              <w:t>(maksymalnie</w:t>
            </w:r>
            <w:r w:rsidRPr="00B72EE0">
              <w:rPr>
                <w:rFonts w:cstheme="minorHAnsi"/>
              </w:rPr>
              <w:t xml:space="preserve"> 100 000 złotych </w:t>
            </w:r>
            <w:r w:rsidR="00302202" w:rsidRPr="00B72EE0">
              <w:rPr>
                <w:rFonts w:cstheme="minorHAnsi"/>
              </w:rPr>
              <w:t>podobnie,</w:t>
            </w:r>
            <w:r w:rsidRPr="00B72EE0">
              <w:rPr>
                <w:rFonts w:cstheme="minorHAnsi"/>
              </w:rPr>
              <w:t xml:space="preserve"> jak w opłatach sądowych od </w:t>
            </w:r>
            <w:r w:rsidR="00302202" w:rsidRPr="00B72EE0">
              <w:rPr>
                <w:rFonts w:cstheme="minorHAnsi"/>
              </w:rPr>
              <w:t>pozwu)</w:t>
            </w:r>
            <w:r w:rsidRPr="00B72EE0">
              <w:rPr>
                <w:rFonts w:cstheme="minorHAnsi"/>
              </w:rPr>
              <w:t>, o ile nie doprowadzi on do zatwierdzenia układu w terminie 4 miesięcy od otwarcia postępowania.</w:t>
            </w:r>
          </w:p>
          <w:p w14:paraId="0512FA9F" w14:textId="64D81539" w:rsidR="00B72EE0" w:rsidRPr="00556488" w:rsidRDefault="00B72EE0" w:rsidP="00B72EE0">
            <w:pPr>
              <w:jc w:val="both"/>
              <w:rPr>
                <w:rFonts w:cstheme="minorHAnsi"/>
              </w:rPr>
            </w:pPr>
            <w:r w:rsidRPr="00B72EE0">
              <w:rPr>
                <w:rFonts w:cstheme="minorHAnsi"/>
              </w:rPr>
              <w:t>2. Priorytetem postępowania jest zawarcie układu pozasądowego. Przedłużanie postępowania przez nadzorcę lub zarządcę bez merytorycznego uzasadnienia ekonomicznego stanowi podstawę do obniżenia wynagrodzenia przez sędziego-komisarza.</w:t>
            </w:r>
          </w:p>
        </w:tc>
        <w:tc>
          <w:tcPr>
            <w:tcW w:w="1027" w:type="pct"/>
          </w:tcPr>
          <w:p w14:paraId="44254C80" w14:textId="77777777" w:rsidR="00B72EE0" w:rsidRPr="00506F73" w:rsidRDefault="00B72EE0" w:rsidP="00506F73">
            <w:pPr>
              <w:jc w:val="both"/>
              <w:rPr>
                <w:rFonts w:cstheme="minorHAnsi"/>
              </w:rPr>
            </w:pPr>
          </w:p>
        </w:tc>
        <w:tc>
          <w:tcPr>
            <w:tcW w:w="1108" w:type="pct"/>
          </w:tcPr>
          <w:p w14:paraId="65F4A0D1" w14:textId="45F862D7" w:rsidR="00B72EE0" w:rsidRPr="007368C7" w:rsidRDefault="00B72EE0" w:rsidP="00BC45D4">
            <w:pPr>
              <w:jc w:val="both"/>
              <w:rPr>
                <w:rFonts w:cstheme="minorHAnsi"/>
                <w:b/>
                <w:bCs/>
              </w:rPr>
            </w:pPr>
            <w:r w:rsidRPr="007368C7">
              <w:rPr>
                <w:rFonts w:cstheme="minorHAnsi"/>
                <w:b/>
                <w:bCs/>
              </w:rPr>
              <w:t>Uwaga poza zakresem projektu</w:t>
            </w:r>
          </w:p>
        </w:tc>
      </w:tr>
      <w:tr w:rsidR="0044675A" w:rsidRPr="004A3EE1" w14:paraId="65C4C78D" w14:textId="5832A9A8" w:rsidTr="00DE0423">
        <w:tc>
          <w:tcPr>
            <w:tcW w:w="5000" w:type="pct"/>
            <w:gridSpan w:val="6"/>
            <w:shd w:val="clear" w:color="auto" w:fill="D9D9D9" w:themeFill="background1" w:themeFillShade="D9"/>
          </w:tcPr>
          <w:p w14:paraId="2AA3656E" w14:textId="62446D91" w:rsidR="0044675A" w:rsidRPr="007368C7" w:rsidRDefault="0044675A" w:rsidP="00BC45D4">
            <w:pPr>
              <w:jc w:val="both"/>
              <w:rPr>
                <w:rFonts w:cstheme="minorHAnsi"/>
                <w:b/>
                <w:bCs/>
              </w:rPr>
            </w:pPr>
            <w:r w:rsidRPr="007368C7">
              <w:rPr>
                <w:rFonts w:cstheme="minorHAnsi"/>
                <w:b/>
                <w:bCs/>
              </w:rPr>
              <w:t>Uwagi merytoryczne</w:t>
            </w:r>
          </w:p>
        </w:tc>
      </w:tr>
      <w:tr w:rsidR="003B3876" w:rsidRPr="00486628" w14:paraId="33BADF2F" w14:textId="5976E6CE" w:rsidTr="00AC5078">
        <w:tc>
          <w:tcPr>
            <w:tcW w:w="158" w:type="pct"/>
          </w:tcPr>
          <w:p w14:paraId="49286768" w14:textId="06D4C5B9" w:rsidR="00343E6B" w:rsidRPr="00486628" w:rsidRDefault="00467F6A" w:rsidP="00343E6B">
            <w:pPr>
              <w:jc w:val="center"/>
              <w:rPr>
                <w:rFonts w:cstheme="minorHAnsi"/>
              </w:rPr>
            </w:pPr>
            <w:r>
              <w:rPr>
                <w:rFonts w:cstheme="minorHAnsi"/>
              </w:rPr>
              <w:t>1</w:t>
            </w:r>
          </w:p>
        </w:tc>
        <w:tc>
          <w:tcPr>
            <w:tcW w:w="698" w:type="pct"/>
          </w:tcPr>
          <w:p w14:paraId="2E13CBF0" w14:textId="1A47553E" w:rsidR="00343E6B" w:rsidRPr="00486628" w:rsidRDefault="00467F6A" w:rsidP="00343E6B">
            <w:pPr>
              <w:jc w:val="both"/>
              <w:rPr>
                <w:rFonts w:cstheme="minorHAnsi"/>
              </w:rPr>
            </w:pPr>
            <w:r>
              <w:rPr>
                <w:rFonts w:cstheme="minorHAnsi"/>
              </w:rPr>
              <w:t xml:space="preserve">Prokurator Krajowy </w:t>
            </w:r>
          </w:p>
        </w:tc>
        <w:tc>
          <w:tcPr>
            <w:tcW w:w="591" w:type="pct"/>
          </w:tcPr>
          <w:p w14:paraId="488370C8" w14:textId="504E4F0A" w:rsidR="00343E6B" w:rsidRPr="00486628" w:rsidRDefault="005405C5" w:rsidP="00343E6B">
            <w:pPr>
              <w:jc w:val="both"/>
              <w:rPr>
                <w:rFonts w:cstheme="minorHAnsi"/>
              </w:rPr>
            </w:pPr>
            <w:r w:rsidRPr="003F549A">
              <w:rPr>
                <w:rFonts w:cstheme="minorHAnsi"/>
                <w:b/>
                <w:bCs/>
              </w:rPr>
              <w:t>Art. 1 pkt 1</w:t>
            </w:r>
            <w:r>
              <w:rPr>
                <w:rFonts w:cstheme="minorHAnsi"/>
              </w:rPr>
              <w:t xml:space="preserve"> (a</w:t>
            </w:r>
            <w:r w:rsidR="00467F6A" w:rsidRPr="00467F6A">
              <w:rPr>
                <w:rFonts w:cstheme="minorHAnsi"/>
              </w:rPr>
              <w:t>rt. 168 ust. 2a</w:t>
            </w:r>
            <w:r>
              <w:rPr>
                <w:rFonts w:cstheme="minorHAnsi"/>
              </w:rPr>
              <w:t xml:space="preserve"> P.U.)</w:t>
            </w:r>
          </w:p>
        </w:tc>
        <w:tc>
          <w:tcPr>
            <w:tcW w:w="1418" w:type="pct"/>
          </w:tcPr>
          <w:p w14:paraId="758A8424" w14:textId="0AAA1AEE" w:rsidR="00343E6B" w:rsidRPr="00462965" w:rsidRDefault="003D125F" w:rsidP="00462965">
            <w:pPr>
              <w:jc w:val="both"/>
              <w:rPr>
                <w:rFonts w:cstheme="minorHAnsi"/>
              </w:rPr>
            </w:pPr>
            <w:r w:rsidRPr="00462965">
              <w:rPr>
                <w:rFonts w:cstheme="minorHAnsi"/>
              </w:rPr>
              <w:t>Skoro zastępca syndyka samodzielnie sporządza sprawozdanie składane sędziemu komisarzowi na podstawie ust. 1 tego artykułu, dysponując w tym zakresie</w:t>
            </w:r>
            <w:r w:rsidR="003A69E8">
              <w:rPr>
                <w:rFonts w:cstheme="minorHAnsi"/>
              </w:rPr>
              <w:t xml:space="preserve"> </w:t>
            </w:r>
            <w:r w:rsidRPr="00462965">
              <w:rPr>
                <w:rFonts w:cstheme="minorHAnsi"/>
              </w:rPr>
              <w:t>merytoryczną autonomią (syndyk nie włącza go do swojego sprawozdania, a jedynie przekazuje sędziemu-komisarzowi to sprawozdanie wraz z</w:t>
            </w:r>
            <w:r w:rsidR="003A69E8">
              <w:rPr>
                <w:rFonts w:cstheme="minorHAnsi"/>
              </w:rPr>
              <w:t> </w:t>
            </w:r>
            <w:r w:rsidRPr="00462965">
              <w:rPr>
                <w:rFonts w:cstheme="minorHAnsi"/>
              </w:rPr>
              <w:t>własnym), celowe jest przewidzenie możliwości wysłuchania zastępcy syndyka przez sędziego komisarza</w:t>
            </w:r>
            <w:r w:rsidR="003A69E8">
              <w:rPr>
                <w:rFonts w:cstheme="minorHAnsi"/>
              </w:rPr>
              <w:t xml:space="preserve"> </w:t>
            </w:r>
            <w:r w:rsidRPr="00462965">
              <w:rPr>
                <w:rFonts w:cstheme="minorHAnsi"/>
              </w:rPr>
              <w:t>w związku z</w:t>
            </w:r>
            <w:r w:rsidR="003A69E8">
              <w:rPr>
                <w:rFonts w:cstheme="minorHAnsi"/>
              </w:rPr>
              <w:t> </w:t>
            </w:r>
            <w:r w:rsidRPr="00462965">
              <w:rPr>
                <w:rFonts w:cstheme="minorHAnsi"/>
              </w:rPr>
              <w:t>rozpoznawaniem obu tych sprawozdań.</w:t>
            </w:r>
          </w:p>
        </w:tc>
        <w:tc>
          <w:tcPr>
            <w:tcW w:w="1027" w:type="pct"/>
          </w:tcPr>
          <w:p w14:paraId="5DFC50F6" w14:textId="1964C0E9" w:rsidR="00343E6B" w:rsidRPr="00486628" w:rsidRDefault="00343E6B" w:rsidP="00343E6B">
            <w:pPr>
              <w:jc w:val="both"/>
              <w:rPr>
                <w:rFonts w:cstheme="minorHAnsi"/>
              </w:rPr>
            </w:pPr>
          </w:p>
        </w:tc>
        <w:tc>
          <w:tcPr>
            <w:tcW w:w="1108" w:type="pct"/>
          </w:tcPr>
          <w:p w14:paraId="41814F5E" w14:textId="7D421A18" w:rsidR="0048491D" w:rsidRPr="007368C7" w:rsidRDefault="0064213B" w:rsidP="00BC45D4">
            <w:pPr>
              <w:jc w:val="both"/>
              <w:rPr>
                <w:rFonts w:cstheme="minorHAnsi"/>
              </w:rPr>
            </w:pPr>
            <w:r w:rsidRPr="007368C7">
              <w:rPr>
                <w:rFonts w:cstheme="minorHAnsi"/>
                <w:b/>
                <w:bCs/>
              </w:rPr>
              <w:t>Uwaga nieuwzględniona</w:t>
            </w:r>
            <w:r w:rsidRPr="007368C7">
              <w:rPr>
                <w:rFonts w:cstheme="minorHAnsi"/>
              </w:rPr>
              <w:t xml:space="preserve"> Odpowiednie zastosowanie</w:t>
            </w:r>
            <w:r w:rsidR="00E717FC" w:rsidRPr="007368C7">
              <w:rPr>
                <w:rFonts w:cstheme="minorHAnsi"/>
              </w:rPr>
              <w:t xml:space="preserve"> </w:t>
            </w:r>
            <w:r w:rsidRPr="007368C7">
              <w:rPr>
                <w:rFonts w:cstheme="minorHAnsi"/>
              </w:rPr>
              <w:t>znajduje art. 159 ust. 3 P.U</w:t>
            </w:r>
            <w:r w:rsidR="004073FC" w:rsidRPr="007368C7">
              <w:rPr>
                <w:rFonts w:cstheme="minorHAnsi"/>
              </w:rPr>
              <w:t>.</w:t>
            </w:r>
          </w:p>
        </w:tc>
      </w:tr>
      <w:tr w:rsidR="003B3876" w:rsidRPr="00486628" w14:paraId="33C6860D" w14:textId="77777777" w:rsidTr="00AC5078">
        <w:tc>
          <w:tcPr>
            <w:tcW w:w="158" w:type="pct"/>
          </w:tcPr>
          <w:p w14:paraId="330F6E9B" w14:textId="2BB1F7B1" w:rsidR="0087018D" w:rsidRPr="00486628" w:rsidRDefault="00467F6A" w:rsidP="00343E6B">
            <w:pPr>
              <w:jc w:val="center"/>
              <w:rPr>
                <w:rFonts w:cstheme="minorHAnsi"/>
              </w:rPr>
            </w:pPr>
            <w:r>
              <w:rPr>
                <w:rFonts w:cstheme="minorHAnsi"/>
              </w:rPr>
              <w:t>2</w:t>
            </w:r>
          </w:p>
        </w:tc>
        <w:tc>
          <w:tcPr>
            <w:tcW w:w="698" w:type="pct"/>
          </w:tcPr>
          <w:p w14:paraId="7212FA8F" w14:textId="7C774667" w:rsidR="0087018D" w:rsidRDefault="00467F6A" w:rsidP="00343E6B">
            <w:pPr>
              <w:jc w:val="both"/>
              <w:rPr>
                <w:rFonts w:cstheme="minorHAnsi"/>
              </w:rPr>
            </w:pPr>
            <w:r>
              <w:rPr>
                <w:rFonts w:cstheme="minorHAnsi"/>
              </w:rPr>
              <w:t>Prokurator Krajowy</w:t>
            </w:r>
          </w:p>
        </w:tc>
        <w:tc>
          <w:tcPr>
            <w:tcW w:w="591" w:type="pct"/>
          </w:tcPr>
          <w:p w14:paraId="5D234060" w14:textId="5A3F7A93" w:rsidR="0087018D" w:rsidRDefault="00A91C7C" w:rsidP="00343E6B">
            <w:pPr>
              <w:jc w:val="both"/>
              <w:rPr>
                <w:rFonts w:cstheme="minorHAnsi"/>
              </w:rPr>
            </w:pPr>
            <w:r w:rsidRPr="003F549A">
              <w:rPr>
                <w:rFonts w:cstheme="minorHAnsi"/>
                <w:b/>
                <w:bCs/>
              </w:rPr>
              <w:t>Art. 1 pkt 1</w:t>
            </w:r>
            <w:r w:rsidRPr="00A91C7C">
              <w:rPr>
                <w:rFonts w:cstheme="minorHAnsi"/>
              </w:rPr>
              <w:t xml:space="preserve"> (art. 168 ust. 2a P.U.)</w:t>
            </w:r>
          </w:p>
        </w:tc>
        <w:tc>
          <w:tcPr>
            <w:tcW w:w="1418" w:type="pct"/>
          </w:tcPr>
          <w:p w14:paraId="2C69899A" w14:textId="37C90B04" w:rsidR="0087018D" w:rsidRPr="00462965" w:rsidRDefault="000704C5" w:rsidP="00462965">
            <w:pPr>
              <w:jc w:val="both"/>
              <w:rPr>
                <w:rFonts w:cstheme="minorHAnsi"/>
              </w:rPr>
            </w:pPr>
            <w:r w:rsidRPr="00462965">
              <w:rPr>
                <w:rFonts w:cstheme="minorHAnsi"/>
              </w:rPr>
              <w:t>Przyjęta konstrukcja przepisu będzie rodzić wątpliwości, czy wysłuchanie przez sędziego-komisarza wskazanych w jego treści osób (syndyk, upadły, członkowie rady wierzycieli) w</w:t>
            </w:r>
            <w:r w:rsidR="00A934AA">
              <w:rPr>
                <w:rFonts w:cstheme="minorHAnsi"/>
              </w:rPr>
              <w:t> </w:t>
            </w:r>
            <w:r w:rsidRPr="00462965">
              <w:rPr>
                <w:rFonts w:cstheme="minorHAnsi"/>
              </w:rPr>
              <w:t xml:space="preserve">związku z rozpoznawaniem sprawozdań ma być co do zasady powinnością sędziego-komisarza (co może rodzić oczekiwanie wysłuchania ze strony np. upadłego lub członków rady wierzycieli), a więc czy przepis </w:t>
            </w:r>
            <w:r w:rsidRPr="00462965">
              <w:rPr>
                <w:rFonts w:cstheme="minorHAnsi"/>
              </w:rPr>
              <w:lastRenderedPageBreak/>
              <w:t>ma kreować tzw. względną obligatoryjność wysłuchania, czy też będzie to w pełni uznaniowa decyzja sędziego-komisarza, a przepis ma jedynie legitymizować możliwość wezwania przez sędziego-komisarza wskazanych w przepisie osób w celu ich wysłuchania</w:t>
            </w:r>
          </w:p>
        </w:tc>
        <w:tc>
          <w:tcPr>
            <w:tcW w:w="1027" w:type="pct"/>
          </w:tcPr>
          <w:p w14:paraId="78246CCD" w14:textId="07BF4ACA" w:rsidR="00A91C7C" w:rsidRDefault="00A91C7C" w:rsidP="000704C5">
            <w:pPr>
              <w:jc w:val="both"/>
              <w:rPr>
                <w:rFonts w:cstheme="minorHAnsi"/>
              </w:rPr>
            </w:pPr>
            <w:r w:rsidRPr="00A91C7C">
              <w:rPr>
                <w:rFonts w:cstheme="minorHAnsi"/>
              </w:rPr>
              <w:lastRenderedPageBreak/>
              <w:t>art. 168 ust. 2a P.U.</w:t>
            </w:r>
          </w:p>
          <w:p w14:paraId="2046D282" w14:textId="38731554" w:rsidR="000704C5" w:rsidRDefault="000704C5" w:rsidP="00A934AA">
            <w:pPr>
              <w:jc w:val="both"/>
              <w:rPr>
                <w:rFonts w:cstheme="minorHAnsi"/>
              </w:rPr>
            </w:pPr>
            <w:r w:rsidRPr="000704C5">
              <w:rPr>
                <w:rFonts w:cstheme="minorHAnsi"/>
              </w:rPr>
              <w:t>„Sprawozdania, o których mowa w ust. 1, 2 i 4, rozpoznaje sędzia-komisarz po</w:t>
            </w:r>
            <w:r w:rsidR="00A91C7C">
              <w:rPr>
                <w:rFonts w:cstheme="minorHAnsi"/>
              </w:rPr>
              <w:t xml:space="preserve"> </w:t>
            </w:r>
            <w:r w:rsidRPr="000704C5">
              <w:rPr>
                <w:rFonts w:cstheme="minorHAnsi"/>
              </w:rPr>
              <w:t>wysłuchaniu</w:t>
            </w:r>
            <w:r w:rsidR="00A934AA">
              <w:rPr>
                <w:rFonts w:cstheme="minorHAnsi"/>
              </w:rPr>
              <w:t xml:space="preserve"> </w:t>
            </w:r>
            <w:r w:rsidRPr="000704C5">
              <w:rPr>
                <w:rFonts w:cstheme="minorHAnsi"/>
              </w:rPr>
              <w:t>syndyka, upadłego i członków rady wierzycieli, chyba że</w:t>
            </w:r>
            <w:r w:rsidR="00A91C7C">
              <w:rPr>
                <w:rFonts w:cstheme="minorHAnsi"/>
              </w:rPr>
              <w:t xml:space="preserve"> </w:t>
            </w:r>
            <w:r w:rsidRPr="000704C5">
              <w:rPr>
                <w:rFonts w:cstheme="minorHAnsi"/>
              </w:rPr>
              <w:t>przeprowadzenie takiego</w:t>
            </w:r>
            <w:r w:rsidR="00A91C7C">
              <w:rPr>
                <w:rFonts w:cstheme="minorHAnsi"/>
              </w:rPr>
              <w:t xml:space="preserve"> </w:t>
            </w:r>
            <w:r w:rsidRPr="000704C5">
              <w:rPr>
                <w:rFonts w:cstheme="minorHAnsi"/>
              </w:rPr>
              <w:t>wysłuchania nie jest niezbędne albo możliwe.”.</w:t>
            </w:r>
          </w:p>
          <w:p w14:paraId="51CB8E12" w14:textId="0F6B5654" w:rsidR="00DE7996" w:rsidRDefault="00DE7996" w:rsidP="000704C5">
            <w:pPr>
              <w:jc w:val="both"/>
              <w:rPr>
                <w:rFonts w:cstheme="minorHAnsi"/>
              </w:rPr>
            </w:pPr>
            <w:r>
              <w:rPr>
                <w:rFonts w:cstheme="minorHAnsi"/>
              </w:rPr>
              <w:lastRenderedPageBreak/>
              <w:t>ewentualnie</w:t>
            </w:r>
            <w:r w:rsidR="000704C5">
              <w:rPr>
                <w:rFonts w:cstheme="minorHAnsi"/>
              </w:rPr>
              <w:t xml:space="preserve"> </w:t>
            </w:r>
          </w:p>
          <w:p w14:paraId="67D0B3E8" w14:textId="4981CEA2" w:rsidR="00DE7996" w:rsidRPr="00486628" w:rsidRDefault="00DE7996" w:rsidP="00DE7996">
            <w:pPr>
              <w:jc w:val="both"/>
              <w:rPr>
                <w:rFonts w:cstheme="minorHAnsi"/>
              </w:rPr>
            </w:pPr>
            <w:r w:rsidRPr="00DE7996">
              <w:rPr>
                <w:rFonts w:cstheme="minorHAnsi"/>
              </w:rPr>
              <w:t>„W związku z rozpoznawaniem sprawozdań, o których mowa w ust. 1, 2 i 4, sędzia</w:t>
            </w:r>
            <w:r>
              <w:rPr>
                <w:rFonts w:cstheme="minorHAnsi"/>
              </w:rPr>
              <w:t xml:space="preserve"> </w:t>
            </w:r>
            <w:r w:rsidRPr="00DE7996">
              <w:rPr>
                <w:rFonts w:cstheme="minorHAnsi"/>
              </w:rPr>
              <w:t>komisarz</w:t>
            </w:r>
            <w:r>
              <w:rPr>
                <w:rFonts w:cstheme="minorHAnsi"/>
              </w:rPr>
              <w:t xml:space="preserve"> </w:t>
            </w:r>
            <w:r w:rsidRPr="00DE7996">
              <w:rPr>
                <w:rFonts w:cstheme="minorHAnsi"/>
              </w:rPr>
              <w:t>może wezwać syndyka, upadłego i członków rady wierzycieli w celu ich</w:t>
            </w:r>
            <w:r w:rsidR="00A91C7C">
              <w:rPr>
                <w:rFonts w:cstheme="minorHAnsi"/>
              </w:rPr>
              <w:t xml:space="preserve"> w</w:t>
            </w:r>
            <w:r w:rsidRPr="00DE7996">
              <w:rPr>
                <w:rFonts w:cstheme="minorHAnsi"/>
              </w:rPr>
              <w:t>ysłuchania</w:t>
            </w:r>
            <w:r>
              <w:rPr>
                <w:rFonts w:cstheme="minorHAnsi"/>
              </w:rPr>
              <w:t>”</w:t>
            </w:r>
            <w:r w:rsidR="00A934AA">
              <w:rPr>
                <w:rFonts w:cstheme="minorHAnsi"/>
              </w:rPr>
              <w:t>.</w:t>
            </w:r>
          </w:p>
        </w:tc>
        <w:tc>
          <w:tcPr>
            <w:tcW w:w="1108" w:type="pct"/>
          </w:tcPr>
          <w:p w14:paraId="1D720277" w14:textId="77777777" w:rsidR="005B4E2F" w:rsidRPr="007368C7" w:rsidRDefault="00094B8B" w:rsidP="00BC45D4">
            <w:pPr>
              <w:jc w:val="both"/>
              <w:rPr>
                <w:rFonts w:cstheme="minorHAnsi"/>
                <w:b/>
                <w:bCs/>
              </w:rPr>
            </w:pPr>
            <w:r w:rsidRPr="007368C7">
              <w:rPr>
                <w:rFonts w:cstheme="minorHAnsi"/>
                <w:b/>
                <w:bCs/>
              </w:rPr>
              <w:lastRenderedPageBreak/>
              <w:t xml:space="preserve">Uwaga nieuwzględniona </w:t>
            </w:r>
          </w:p>
          <w:p w14:paraId="60271A0B" w14:textId="40DAA817" w:rsidR="00423C49" w:rsidRPr="007368C7" w:rsidRDefault="005B4E2F" w:rsidP="00BC45D4">
            <w:pPr>
              <w:jc w:val="both"/>
              <w:rPr>
                <w:rFonts w:cstheme="minorHAnsi"/>
              </w:rPr>
            </w:pPr>
            <w:r w:rsidRPr="007368C7">
              <w:rPr>
                <w:rFonts w:cstheme="minorHAnsi"/>
              </w:rPr>
              <w:t>I</w:t>
            </w:r>
            <w:r w:rsidR="00094B8B" w:rsidRPr="007368C7">
              <w:rPr>
                <w:rFonts w:cstheme="minorHAnsi"/>
              </w:rPr>
              <w:t>ntencją</w:t>
            </w:r>
            <w:r w:rsidRPr="007368C7">
              <w:rPr>
                <w:rFonts w:cstheme="minorHAnsi"/>
              </w:rPr>
              <w:t xml:space="preserve"> projektu</w:t>
            </w:r>
            <w:r w:rsidR="00094B8B" w:rsidRPr="007368C7">
              <w:rPr>
                <w:rFonts w:cstheme="minorHAnsi"/>
              </w:rPr>
              <w:t xml:space="preserve"> jest</w:t>
            </w:r>
            <w:r w:rsidR="00A934AA" w:rsidRPr="007368C7">
              <w:rPr>
                <w:rFonts w:cstheme="minorHAnsi"/>
              </w:rPr>
              <w:t xml:space="preserve"> </w:t>
            </w:r>
            <w:r w:rsidR="00094B8B" w:rsidRPr="007368C7">
              <w:rPr>
                <w:rFonts w:cstheme="minorHAnsi"/>
              </w:rPr>
              <w:t>pozostawienie sędziemu</w:t>
            </w:r>
            <w:r w:rsidR="00A934AA" w:rsidRPr="007368C7">
              <w:rPr>
                <w:rFonts w:cstheme="minorHAnsi"/>
              </w:rPr>
              <w:t xml:space="preserve"> </w:t>
            </w:r>
            <w:r w:rsidR="00094B8B" w:rsidRPr="007368C7">
              <w:rPr>
                <w:rFonts w:cstheme="minorHAnsi"/>
              </w:rPr>
              <w:t>komisarzowi</w:t>
            </w:r>
            <w:r w:rsidRPr="007368C7">
              <w:rPr>
                <w:rFonts w:cstheme="minorHAnsi"/>
              </w:rPr>
              <w:t xml:space="preserve"> swobody orzeczniczej </w:t>
            </w:r>
            <w:r w:rsidR="00094B8B" w:rsidRPr="007368C7">
              <w:rPr>
                <w:rFonts w:cstheme="minorHAnsi"/>
              </w:rPr>
              <w:t>w ramach nadzoru</w:t>
            </w:r>
            <w:r w:rsidRPr="007368C7">
              <w:rPr>
                <w:rFonts w:cstheme="minorHAnsi"/>
              </w:rPr>
              <w:t xml:space="preserve">. </w:t>
            </w:r>
          </w:p>
          <w:p w14:paraId="4C92B8C0" w14:textId="0D59CFB3" w:rsidR="00153FC2" w:rsidRPr="007368C7" w:rsidRDefault="005B4E2F" w:rsidP="00BC45D4">
            <w:pPr>
              <w:jc w:val="both"/>
              <w:rPr>
                <w:rFonts w:cstheme="minorHAnsi"/>
              </w:rPr>
            </w:pPr>
            <w:r w:rsidRPr="007368C7">
              <w:rPr>
                <w:rFonts w:cstheme="minorHAnsi"/>
              </w:rPr>
              <w:t xml:space="preserve">Ponadto wskazać należy, że </w:t>
            </w:r>
            <w:r w:rsidR="00930302" w:rsidRPr="007368C7">
              <w:rPr>
                <w:rFonts w:cstheme="minorHAnsi"/>
              </w:rPr>
              <w:t>instytucja wysłuchania</w:t>
            </w:r>
            <w:r w:rsidR="00A934AA" w:rsidRPr="007368C7">
              <w:rPr>
                <w:rFonts w:cstheme="minorHAnsi"/>
              </w:rPr>
              <w:t xml:space="preserve"> </w:t>
            </w:r>
            <w:r w:rsidR="00930302" w:rsidRPr="007368C7">
              <w:rPr>
                <w:rFonts w:cstheme="minorHAnsi"/>
              </w:rPr>
              <w:t>uregulowana została w a</w:t>
            </w:r>
            <w:r w:rsidR="00094B8B" w:rsidRPr="007368C7">
              <w:rPr>
                <w:rFonts w:cstheme="minorHAnsi"/>
              </w:rPr>
              <w:t xml:space="preserve">rt. 217 </w:t>
            </w:r>
            <w:r w:rsidRPr="007368C7">
              <w:rPr>
                <w:rFonts w:cstheme="minorHAnsi"/>
              </w:rPr>
              <w:t>P.U</w:t>
            </w:r>
            <w:r w:rsidR="00094B8B" w:rsidRPr="007368C7">
              <w:rPr>
                <w:rFonts w:cstheme="minorHAnsi"/>
              </w:rPr>
              <w:t>.</w:t>
            </w:r>
          </w:p>
        </w:tc>
      </w:tr>
      <w:tr w:rsidR="003B3876" w:rsidRPr="00486628" w14:paraId="0F64BDDA" w14:textId="18CE9D85" w:rsidTr="00AC5078">
        <w:tc>
          <w:tcPr>
            <w:tcW w:w="158" w:type="pct"/>
          </w:tcPr>
          <w:p w14:paraId="2310E48B" w14:textId="6577FE97" w:rsidR="00343E6B" w:rsidRPr="00486628" w:rsidRDefault="00467F6A" w:rsidP="00343E6B">
            <w:pPr>
              <w:jc w:val="center"/>
              <w:rPr>
                <w:rFonts w:cstheme="minorHAnsi"/>
              </w:rPr>
            </w:pPr>
            <w:r>
              <w:rPr>
                <w:rFonts w:cstheme="minorHAnsi"/>
              </w:rPr>
              <w:t>3</w:t>
            </w:r>
          </w:p>
        </w:tc>
        <w:tc>
          <w:tcPr>
            <w:tcW w:w="698" w:type="pct"/>
          </w:tcPr>
          <w:p w14:paraId="5A1C7380" w14:textId="53155731" w:rsidR="00343E6B" w:rsidRPr="00486628" w:rsidRDefault="00467F6A" w:rsidP="00343E6B">
            <w:pPr>
              <w:jc w:val="both"/>
              <w:rPr>
                <w:rFonts w:cstheme="minorHAnsi"/>
              </w:rPr>
            </w:pPr>
            <w:r>
              <w:rPr>
                <w:rFonts w:cstheme="minorHAnsi"/>
              </w:rPr>
              <w:t xml:space="preserve">Prokurator Krajowy </w:t>
            </w:r>
          </w:p>
        </w:tc>
        <w:tc>
          <w:tcPr>
            <w:tcW w:w="591" w:type="pct"/>
          </w:tcPr>
          <w:p w14:paraId="1087C886" w14:textId="5815E001" w:rsidR="00343E6B" w:rsidRPr="00486628" w:rsidRDefault="00187093" w:rsidP="00343E6B">
            <w:pPr>
              <w:jc w:val="both"/>
              <w:rPr>
                <w:rFonts w:cstheme="minorHAnsi"/>
              </w:rPr>
            </w:pPr>
            <w:r w:rsidRPr="003F549A">
              <w:rPr>
                <w:rFonts w:cstheme="minorHAnsi"/>
                <w:b/>
                <w:bCs/>
              </w:rPr>
              <w:t>Art. 1 pkt 1</w:t>
            </w:r>
            <w:r w:rsidRPr="00187093">
              <w:rPr>
                <w:rFonts w:cstheme="minorHAnsi"/>
              </w:rPr>
              <w:t xml:space="preserve"> (art. 168 ust. 2a P.U.)</w:t>
            </w:r>
          </w:p>
        </w:tc>
        <w:tc>
          <w:tcPr>
            <w:tcW w:w="1418" w:type="pct"/>
          </w:tcPr>
          <w:p w14:paraId="44247A0C" w14:textId="13589AE0" w:rsidR="00A5659C" w:rsidRPr="00462965" w:rsidRDefault="00DE7996" w:rsidP="00462965">
            <w:pPr>
              <w:jc w:val="both"/>
              <w:rPr>
                <w:rFonts w:cstheme="minorHAnsi"/>
              </w:rPr>
            </w:pPr>
            <w:r w:rsidRPr="00462965">
              <w:rPr>
                <w:rFonts w:cstheme="minorHAnsi"/>
              </w:rPr>
              <w:t>Przepis jest nieprawidłowo umiejscowiony - skoro jego treść odnosi się również do</w:t>
            </w:r>
            <w:r w:rsidR="002C2EE0">
              <w:rPr>
                <w:rFonts w:cstheme="minorHAnsi"/>
              </w:rPr>
              <w:t xml:space="preserve"> </w:t>
            </w:r>
            <w:r w:rsidRPr="00462965">
              <w:rPr>
                <w:rFonts w:cstheme="minorHAnsi"/>
              </w:rPr>
              <w:t>sprawozdania, o którym mowa w ust. 4 tego artykułu, powinien zostać umiejscowiony</w:t>
            </w:r>
            <w:r w:rsidR="00A91C7C" w:rsidRPr="00462965">
              <w:rPr>
                <w:rFonts w:cstheme="minorHAnsi"/>
              </w:rPr>
              <w:t xml:space="preserve"> </w:t>
            </w:r>
            <w:r w:rsidRPr="00462965">
              <w:rPr>
                <w:rFonts w:cstheme="minorHAnsi"/>
              </w:rPr>
              <w:t>po tym przepisie i oznaczony jako ust. 4a</w:t>
            </w:r>
            <w:r w:rsidR="00A91C7C" w:rsidRPr="00462965">
              <w:rPr>
                <w:rFonts w:cstheme="minorHAnsi"/>
              </w:rPr>
              <w:t>.</w:t>
            </w:r>
          </w:p>
        </w:tc>
        <w:tc>
          <w:tcPr>
            <w:tcW w:w="1027" w:type="pct"/>
          </w:tcPr>
          <w:p w14:paraId="466AEF22" w14:textId="53F55952" w:rsidR="00343E6B" w:rsidRPr="00486628" w:rsidRDefault="00343E6B" w:rsidP="0087018D">
            <w:pPr>
              <w:jc w:val="both"/>
              <w:rPr>
                <w:rFonts w:cstheme="minorHAnsi"/>
              </w:rPr>
            </w:pPr>
          </w:p>
        </w:tc>
        <w:tc>
          <w:tcPr>
            <w:tcW w:w="1108" w:type="pct"/>
          </w:tcPr>
          <w:p w14:paraId="497DBF06" w14:textId="67067BB5" w:rsidR="00343E6B" w:rsidRPr="007368C7" w:rsidRDefault="009265BC" w:rsidP="00BC45D4">
            <w:pPr>
              <w:jc w:val="both"/>
              <w:rPr>
                <w:rFonts w:cstheme="minorHAnsi"/>
                <w:b/>
                <w:bCs/>
              </w:rPr>
            </w:pPr>
            <w:r w:rsidRPr="007368C7">
              <w:rPr>
                <w:rFonts w:cstheme="minorHAnsi"/>
                <w:b/>
                <w:bCs/>
              </w:rPr>
              <w:t xml:space="preserve">Uwaga </w:t>
            </w:r>
            <w:r w:rsidR="001405A6" w:rsidRPr="007368C7">
              <w:rPr>
                <w:rFonts w:cstheme="minorHAnsi"/>
                <w:b/>
                <w:bCs/>
              </w:rPr>
              <w:t xml:space="preserve">uwzględniona. </w:t>
            </w:r>
          </w:p>
        </w:tc>
      </w:tr>
      <w:tr w:rsidR="003B3876" w:rsidRPr="00486628" w14:paraId="6D686AC3" w14:textId="78161C7F" w:rsidTr="00AC5078">
        <w:tc>
          <w:tcPr>
            <w:tcW w:w="158" w:type="pct"/>
          </w:tcPr>
          <w:p w14:paraId="26D40726" w14:textId="7D7A46DB" w:rsidR="00343E6B" w:rsidRPr="00486628" w:rsidRDefault="00467F6A" w:rsidP="00343E6B">
            <w:pPr>
              <w:jc w:val="center"/>
              <w:rPr>
                <w:rFonts w:cstheme="minorHAnsi"/>
              </w:rPr>
            </w:pPr>
            <w:r>
              <w:rPr>
                <w:rFonts w:cstheme="minorHAnsi"/>
              </w:rPr>
              <w:t>4</w:t>
            </w:r>
          </w:p>
        </w:tc>
        <w:tc>
          <w:tcPr>
            <w:tcW w:w="698" w:type="pct"/>
          </w:tcPr>
          <w:p w14:paraId="2F230410" w14:textId="523C9976" w:rsidR="00343E6B" w:rsidRPr="00486628" w:rsidRDefault="00467F6A" w:rsidP="00343E6B">
            <w:pPr>
              <w:jc w:val="both"/>
              <w:rPr>
                <w:rFonts w:cstheme="minorHAnsi"/>
              </w:rPr>
            </w:pPr>
            <w:r>
              <w:rPr>
                <w:rFonts w:cstheme="minorHAnsi"/>
              </w:rPr>
              <w:t>Prokurator Krajowy</w:t>
            </w:r>
          </w:p>
        </w:tc>
        <w:tc>
          <w:tcPr>
            <w:tcW w:w="591" w:type="pct"/>
          </w:tcPr>
          <w:p w14:paraId="6D5FA9AF" w14:textId="2037C178" w:rsidR="00343E6B" w:rsidRPr="00486628" w:rsidRDefault="00711F68" w:rsidP="00343E6B">
            <w:pPr>
              <w:jc w:val="both"/>
              <w:rPr>
                <w:rFonts w:cstheme="minorHAnsi"/>
              </w:rPr>
            </w:pPr>
            <w:r w:rsidRPr="003F549A">
              <w:rPr>
                <w:rFonts w:cstheme="minorHAnsi"/>
                <w:b/>
                <w:bCs/>
              </w:rPr>
              <w:t xml:space="preserve">Art. 1 pkt. 3 </w:t>
            </w:r>
            <w:r w:rsidR="00937F67" w:rsidRPr="003F549A">
              <w:rPr>
                <w:rFonts w:cstheme="minorHAnsi"/>
                <w:b/>
                <w:bCs/>
              </w:rPr>
              <w:t>i art. 2 pkt. 2</w:t>
            </w:r>
            <w:r w:rsidR="00937F67">
              <w:rPr>
                <w:rFonts w:cstheme="minorHAnsi"/>
              </w:rPr>
              <w:t xml:space="preserve"> </w:t>
            </w:r>
            <w:r>
              <w:rPr>
                <w:rFonts w:cstheme="minorHAnsi"/>
              </w:rPr>
              <w:t>(</w:t>
            </w:r>
            <w:r w:rsidR="00467F6A" w:rsidRPr="00467F6A">
              <w:rPr>
                <w:rFonts w:cstheme="minorHAnsi"/>
              </w:rPr>
              <w:t>art. 221 ust. 1a</w:t>
            </w:r>
            <w:r>
              <w:rPr>
                <w:rFonts w:cstheme="minorHAnsi"/>
              </w:rPr>
              <w:t xml:space="preserve"> P.U.</w:t>
            </w:r>
            <w:r w:rsidR="00937F67">
              <w:rPr>
                <w:rFonts w:cstheme="minorHAnsi"/>
              </w:rPr>
              <w:t xml:space="preserve"> oraz art. 199 ust. 1a P.R.</w:t>
            </w:r>
            <w:r>
              <w:rPr>
                <w:rFonts w:cstheme="minorHAnsi"/>
              </w:rPr>
              <w:t>).</w:t>
            </w:r>
          </w:p>
        </w:tc>
        <w:tc>
          <w:tcPr>
            <w:tcW w:w="1418" w:type="pct"/>
          </w:tcPr>
          <w:p w14:paraId="09FD908B" w14:textId="164F11E8" w:rsidR="00343E6B" w:rsidRPr="00462965" w:rsidRDefault="00DE7996" w:rsidP="00462965">
            <w:pPr>
              <w:jc w:val="both"/>
              <w:rPr>
                <w:rFonts w:cstheme="minorHAnsi"/>
              </w:rPr>
            </w:pPr>
            <w:r w:rsidRPr="00462965">
              <w:rPr>
                <w:rFonts w:cstheme="minorHAnsi"/>
              </w:rPr>
              <w:t>Przepis ten przewiduje dokonywanie obwieszczenia w Krajowym Rejestrze</w:t>
            </w:r>
            <w:r w:rsidR="00711F68" w:rsidRPr="00462965">
              <w:rPr>
                <w:rFonts w:cstheme="minorHAnsi"/>
              </w:rPr>
              <w:t xml:space="preserve"> </w:t>
            </w:r>
            <w:r w:rsidRPr="00462965">
              <w:rPr>
                <w:rFonts w:cstheme="minorHAnsi"/>
              </w:rPr>
              <w:t>Zadłużonych mocą decyzji asystenta sędziego albo pracownika sekretariatu, których kompetencje w tym zakresie mają zostać zrównane z tymi, które przysługują sądowi, sędziemu-komisarzowi,</w:t>
            </w:r>
            <w:r w:rsidR="00711F68" w:rsidRPr="00462965">
              <w:rPr>
                <w:rFonts w:cstheme="minorHAnsi"/>
              </w:rPr>
              <w:t xml:space="preserve"> </w:t>
            </w:r>
            <w:r w:rsidRPr="00462965">
              <w:rPr>
                <w:rFonts w:cstheme="minorHAnsi"/>
              </w:rPr>
              <w:t>referendarzowi sądowemu i</w:t>
            </w:r>
            <w:r w:rsidR="00D6385C" w:rsidRPr="00462965">
              <w:rPr>
                <w:rFonts w:cstheme="minorHAnsi"/>
              </w:rPr>
              <w:t xml:space="preserve"> </w:t>
            </w:r>
            <w:r w:rsidRPr="00462965">
              <w:rPr>
                <w:rFonts w:cstheme="minorHAnsi"/>
              </w:rPr>
              <w:t xml:space="preserve">przewodniczącemu. Ze względu na wagę konsekwencji obwieszczenia informacji w KRZ (m.in. związanych z biegiem terminów procesowych), wywierających skutek erga omnes, jak również fakt, że obwieszczaniu nie podlegają wyłącznie orzeczenia, ale również inne dokumenty oraz informacje, które wymagają przed ich obwieszczeniem </w:t>
            </w:r>
            <w:r w:rsidR="001769F3" w:rsidRPr="00462965">
              <w:rPr>
                <w:rFonts w:cstheme="minorHAnsi"/>
              </w:rPr>
              <w:t>stosownego zredagowania</w:t>
            </w:r>
            <w:r w:rsidRPr="00462965">
              <w:rPr>
                <w:rFonts w:cstheme="minorHAnsi"/>
              </w:rPr>
              <w:t>, wysoce celowe jest powierzenie kompetencji w tym zakresie</w:t>
            </w:r>
            <w:r w:rsidR="001769F3" w:rsidRPr="00462965">
              <w:rPr>
                <w:rFonts w:cstheme="minorHAnsi"/>
              </w:rPr>
              <w:t xml:space="preserve"> </w:t>
            </w:r>
            <w:r w:rsidRPr="00462965">
              <w:rPr>
                <w:rFonts w:cstheme="minorHAnsi"/>
              </w:rPr>
              <w:t>wyłącznie organom sądowym i</w:t>
            </w:r>
            <w:r w:rsidR="00FA4250">
              <w:rPr>
                <w:rFonts w:cstheme="minorHAnsi"/>
              </w:rPr>
              <w:t> </w:t>
            </w:r>
            <w:r w:rsidRPr="00462965">
              <w:rPr>
                <w:rFonts w:cstheme="minorHAnsi"/>
              </w:rPr>
              <w:t>osobom uprawnionym do podejmowania decyzji</w:t>
            </w:r>
            <w:r w:rsidR="001769F3" w:rsidRPr="00462965">
              <w:rPr>
                <w:rFonts w:cstheme="minorHAnsi"/>
              </w:rPr>
              <w:t xml:space="preserve"> merytorycznych, które dokonując </w:t>
            </w:r>
            <w:r w:rsidR="001769F3" w:rsidRPr="00462965">
              <w:rPr>
                <w:rFonts w:cstheme="minorHAnsi"/>
              </w:rPr>
              <w:lastRenderedPageBreak/>
              <w:t>takich obwieszczeń, ponoszą równocześnie</w:t>
            </w:r>
            <w:r w:rsidR="00FA4250">
              <w:rPr>
                <w:rFonts w:cstheme="minorHAnsi"/>
              </w:rPr>
              <w:t xml:space="preserve"> </w:t>
            </w:r>
            <w:r w:rsidR="001769F3" w:rsidRPr="00462965">
              <w:rPr>
                <w:rFonts w:cstheme="minorHAnsi"/>
              </w:rPr>
              <w:t>odpowiedzialność za prawidłowość wykonania tej czynności. Trudno jest podzielić wyrażony w uzasadnieniu projektu pogląd, że dokonywanie obwieszczeń, również w systemie teleinformatycznym, stanowi czynność techniczną. Dokonanie</w:t>
            </w:r>
            <w:r w:rsidR="00711F68" w:rsidRPr="00462965">
              <w:rPr>
                <w:rFonts w:cstheme="minorHAnsi"/>
              </w:rPr>
              <w:t xml:space="preserve"> </w:t>
            </w:r>
            <w:r w:rsidR="001769F3" w:rsidRPr="00462965">
              <w:rPr>
                <w:rFonts w:cstheme="minorHAnsi"/>
              </w:rPr>
              <w:t>obwieszczenia w rozumieniu tych przepisów Prawa upadłościowego, w których posłużono się tym określeniem, ma charakter aktu stosowania prawa.</w:t>
            </w:r>
          </w:p>
        </w:tc>
        <w:tc>
          <w:tcPr>
            <w:tcW w:w="1027" w:type="pct"/>
          </w:tcPr>
          <w:p w14:paraId="5F9EE29C" w14:textId="77777777" w:rsidR="00343E6B" w:rsidRPr="00486628" w:rsidRDefault="00343E6B" w:rsidP="00343E6B">
            <w:pPr>
              <w:jc w:val="both"/>
              <w:rPr>
                <w:rFonts w:cstheme="minorHAnsi"/>
              </w:rPr>
            </w:pPr>
          </w:p>
        </w:tc>
        <w:tc>
          <w:tcPr>
            <w:tcW w:w="1108" w:type="pct"/>
          </w:tcPr>
          <w:p w14:paraId="3ADB9A1C" w14:textId="77777777" w:rsidR="00EE63E6" w:rsidRPr="007368C7" w:rsidRDefault="009265BC" w:rsidP="00BC45D4">
            <w:pPr>
              <w:jc w:val="both"/>
              <w:rPr>
                <w:rFonts w:cstheme="minorHAnsi"/>
                <w:b/>
                <w:bCs/>
              </w:rPr>
            </w:pPr>
            <w:r w:rsidRPr="007368C7">
              <w:rPr>
                <w:rFonts w:cstheme="minorHAnsi"/>
                <w:b/>
                <w:bCs/>
              </w:rPr>
              <w:t xml:space="preserve">Uwaga nieuwzględniona </w:t>
            </w:r>
          </w:p>
          <w:p w14:paraId="52468339" w14:textId="6EE6E9B3" w:rsidR="00343E6B" w:rsidRPr="007368C7" w:rsidRDefault="00EE63E6" w:rsidP="00BC45D4">
            <w:pPr>
              <w:jc w:val="both"/>
              <w:rPr>
                <w:rFonts w:cstheme="minorHAnsi"/>
              </w:rPr>
            </w:pPr>
            <w:r w:rsidRPr="007368C7">
              <w:rPr>
                <w:rFonts w:cstheme="minorHAnsi"/>
              </w:rPr>
              <w:t>Odróżnić należy techniczną czynność odnotowania daty prawomocności od stwierdzenia prawomocności orzeczenia (w drodze postanowienia, na wniosek strony). Projekt stanowi usankcjonowanie praktyki już funkcjonującej w sądach (art. 219 ust. 4 P.U.).</w:t>
            </w:r>
          </w:p>
          <w:p w14:paraId="035033BE" w14:textId="431A084B" w:rsidR="009265BC" w:rsidRPr="007368C7" w:rsidRDefault="009265BC" w:rsidP="00BC45D4">
            <w:pPr>
              <w:jc w:val="both"/>
              <w:rPr>
                <w:rFonts w:cstheme="minorHAnsi"/>
              </w:rPr>
            </w:pPr>
            <w:r w:rsidRPr="007368C7">
              <w:rPr>
                <w:rFonts w:cstheme="minorHAnsi"/>
              </w:rPr>
              <w:t>Zmiana jest istotna z punktu widzenia sprawności postępowania. Treść obwieszczenia</w:t>
            </w:r>
            <w:r w:rsidR="00EE63E6" w:rsidRPr="007368C7">
              <w:rPr>
                <w:rFonts w:cstheme="minorHAnsi"/>
              </w:rPr>
              <w:t xml:space="preserve"> generuje się</w:t>
            </w:r>
            <w:r w:rsidRPr="007368C7">
              <w:rPr>
                <w:rFonts w:cstheme="minorHAnsi"/>
              </w:rPr>
              <w:t xml:space="preserve"> </w:t>
            </w:r>
            <w:r w:rsidR="00EE63E6" w:rsidRPr="007368C7">
              <w:rPr>
                <w:rFonts w:cstheme="minorHAnsi"/>
              </w:rPr>
              <w:t xml:space="preserve">automatycznie w systemie teleinformatycznym obsługującym postępowanie sądowe. </w:t>
            </w:r>
          </w:p>
        </w:tc>
      </w:tr>
      <w:tr w:rsidR="003B3876" w:rsidRPr="00486628" w14:paraId="3D707E48" w14:textId="36DDC063" w:rsidTr="00AC5078">
        <w:tc>
          <w:tcPr>
            <w:tcW w:w="158" w:type="pct"/>
          </w:tcPr>
          <w:p w14:paraId="59D4B0DA" w14:textId="1F49229D" w:rsidR="00343E6B" w:rsidRPr="00486628" w:rsidRDefault="00F92A39" w:rsidP="00343E6B">
            <w:pPr>
              <w:jc w:val="center"/>
              <w:rPr>
                <w:rFonts w:cstheme="minorHAnsi"/>
              </w:rPr>
            </w:pPr>
            <w:r>
              <w:rPr>
                <w:rFonts w:cstheme="minorHAnsi"/>
              </w:rPr>
              <w:t>5</w:t>
            </w:r>
          </w:p>
        </w:tc>
        <w:tc>
          <w:tcPr>
            <w:tcW w:w="698" w:type="pct"/>
          </w:tcPr>
          <w:p w14:paraId="4F917855" w14:textId="2EB210AC" w:rsidR="00343E6B" w:rsidRPr="00486628" w:rsidRDefault="00F92A39" w:rsidP="00343E6B">
            <w:pPr>
              <w:jc w:val="both"/>
              <w:rPr>
                <w:rFonts w:cstheme="minorHAnsi"/>
              </w:rPr>
            </w:pPr>
            <w:r>
              <w:rPr>
                <w:rFonts w:cstheme="minorHAnsi"/>
              </w:rPr>
              <w:t>Prokurator Krajowy</w:t>
            </w:r>
          </w:p>
        </w:tc>
        <w:tc>
          <w:tcPr>
            <w:tcW w:w="591" w:type="pct"/>
          </w:tcPr>
          <w:p w14:paraId="1AC22641" w14:textId="78B814B4" w:rsidR="00343E6B" w:rsidRPr="002B3340" w:rsidRDefault="00711F68" w:rsidP="00343E6B">
            <w:pPr>
              <w:jc w:val="both"/>
              <w:rPr>
                <w:rFonts w:cstheme="minorHAnsi"/>
                <w:lang w:val="en-GB"/>
              </w:rPr>
            </w:pPr>
            <w:r w:rsidRPr="002B3340">
              <w:rPr>
                <w:rFonts w:cstheme="minorHAnsi"/>
                <w:b/>
                <w:bCs/>
                <w:lang w:val="en-GB"/>
              </w:rPr>
              <w:t>Art. 1 pkt 4</w:t>
            </w:r>
            <w:r w:rsidRPr="002B3340">
              <w:rPr>
                <w:rFonts w:cstheme="minorHAnsi"/>
                <w:lang w:val="en-GB"/>
              </w:rPr>
              <w:t xml:space="preserve"> (a</w:t>
            </w:r>
            <w:r w:rsidR="00467F6A" w:rsidRPr="002B3340">
              <w:rPr>
                <w:rFonts w:cstheme="minorHAnsi"/>
                <w:lang w:val="en-GB"/>
              </w:rPr>
              <w:t>rt. 370a ust.</w:t>
            </w:r>
            <w:r w:rsidRPr="002B3340">
              <w:rPr>
                <w:rFonts w:cstheme="minorHAnsi"/>
                <w:lang w:val="en-GB"/>
              </w:rPr>
              <w:t xml:space="preserve"> </w:t>
            </w:r>
            <w:r w:rsidR="00F92A39" w:rsidRPr="002B3340">
              <w:rPr>
                <w:rFonts w:cstheme="minorHAnsi"/>
                <w:lang w:val="en-GB"/>
              </w:rPr>
              <w:t>1</w:t>
            </w:r>
            <w:r w:rsidR="00467F6A" w:rsidRPr="002B3340">
              <w:rPr>
                <w:rFonts w:cstheme="minorHAnsi"/>
                <w:lang w:val="en-GB"/>
              </w:rPr>
              <w:t>a</w:t>
            </w:r>
            <w:r w:rsidRPr="002B3340">
              <w:rPr>
                <w:rFonts w:cstheme="minorHAnsi"/>
                <w:lang w:val="en-GB"/>
              </w:rPr>
              <w:t xml:space="preserve"> P.U).</w:t>
            </w:r>
          </w:p>
        </w:tc>
        <w:tc>
          <w:tcPr>
            <w:tcW w:w="1418" w:type="pct"/>
          </w:tcPr>
          <w:p w14:paraId="25424922" w14:textId="725BE704" w:rsidR="00343E6B" w:rsidRPr="00462965" w:rsidRDefault="00F92A39" w:rsidP="00462965">
            <w:pPr>
              <w:jc w:val="both"/>
              <w:rPr>
                <w:rFonts w:cstheme="minorHAnsi"/>
              </w:rPr>
            </w:pPr>
            <w:r w:rsidRPr="00462965">
              <w:rPr>
                <w:rFonts w:cstheme="minorHAnsi"/>
              </w:rPr>
              <w:t>Użyte w projektowanym przepisie sformułowanie „z upływem trzeciego miesiąca od upływu okresu, na który został ustalony plan spłaty wierzycieli” jest dalece nieprecyzyjne i może powodować rozbieżności interpretacyjne co do sposobu</w:t>
            </w:r>
            <w:r w:rsidR="004A663B" w:rsidRPr="00462965">
              <w:rPr>
                <w:rFonts w:cstheme="minorHAnsi"/>
              </w:rPr>
              <w:t xml:space="preserve"> </w:t>
            </w:r>
            <w:r w:rsidRPr="00462965">
              <w:rPr>
                <w:rFonts w:cstheme="minorHAnsi"/>
              </w:rPr>
              <w:t>obliczenia terminu umorzenia niezaspokojonych zobowiązań upadłego powstałych przed dniem ogłoszenia upadłości. Dostrzec należy, że każdorazowo, gdy ustawodawca w Prawie upadłościowym posługuje się określeniem „z upływem” dla</w:t>
            </w:r>
            <w:r w:rsidR="004A663B" w:rsidRPr="00462965">
              <w:rPr>
                <w:rFonts w:cstheme="minorHAnsi"/>
              </w:rPr>
              <w:t xml:space="preserve"> </w:t>
            </w:r>
            <w:r w:rsidRPr="00462965">
              <w:rPr>
                <w:rFonts w:cstheme="minorHAnsi"/>
              </w:rPr>
              <w:t xml:space="preserve">wyznaczenia czasu zaistnienia określonego skutku prawnego, upływ ten nakazuje liczyć od dnia określonego faktu. W przypadku proponowanego zapisu upływ okresu ma być liczony od upływu innego okresu, również nie oznaczonego precyzyjnie, co potęguję niedookreśloność kaskadowej konstrukcji kryterium czasowego, które z uwagi na swój charakter powinno być maksymalnie precyzyjne, a tym samym </w:t>
            </w:r>
            <w:r w:rsidRPr="00462965">
              <w:rPr>
                <w:rFonts w:cstheme="minorHAnsi"/>
              </w:rPr>
              <w:lastRenderedPageBreak/>
              <w:t xml:space="preserve">jednoznaczne. </w:t>
            </w:r>
            <w:r w:rsidR="00EB034B" w:rsidRPr="00462965">
              <w:rPr>
                <w:rFonts w:cstheme="minorHAnsi"/>
              </w:rPr>
              <w:t>Nie odniesienie</w:t>
            </w:r>
            <w:r w:rsidRPr="00462965">
              <w:rPr>
                <w:rFonts w:cstheme="minorHAnsi"/>
              </w:rPr>
              <w:t xml:space="preserve"> pojęcia „upływu trzeciego miesiąca” (lepszym sformułowaniem byłoby „upływu trzech miesięcy”) do dnia określonego faktu prawnego (w tym przypadku ostatniego dnia okresu spłaty wierzycieli przez upadłego, określonego w postanowieniu wydanym na podstawie art. 370a ust. 1 Prawa upadłościowego) rodzi ryzyko odczytywania tego przepisu jako nakazującego liczyć</w:t>
            </w:r>
            <w:r w:rsidR="00A05D40">
              <w:rPr>
                <w:rFonts w:cstheme="minorHAnsi"/>
              </w:rPr>
              <w:t xml:space="preserve"> </w:t>
            </w:r>
            <w:r w:rsidRPr="00462965">
              <w:rPr>
                <w:rFonts w:cstheme="minorHAnsi"/>
              </w:rPr>
              <w:t>owe trzy miesiące od końca miesiąca, w którym upłynął końcowy termin spłaty wierzycieli.</w:t>
            </w:r>
          </w:p>
        </w:tc>
        <w:tc>
          <w:tcPr>
            <w:tcW w:w="1027" w:type="pct"/>
          </w:tcPr>
          <w:p w14:paraId="7AFC55B2" w14:textId="77777777" w:rsidR="00343E6B" w:rsidRPr="00486628" w:rsidRDefault="00343E6B" w:rsidP="00343E6B">
            <w:pPr>
              <w:jc w:val="both"/>
              <w:rPr>
                <w:rFonts w:cstheme="minorHAnsi"/>
              </w:rPr>
            </w:pPr>
          </w:p>
        </w:tc>
        <w:tc>
          <w:tcPr>
            <w:tcW w:w="1108" w:type="pct"/>
          </w:tcPr>
          <w:p w14:paraId="742A70ED" w14:textId="659D1431" w:rsidR="00343E6B" w:rsidRPr="007368C7" w:rsidRDefault="0036535A" w:rsidP="00BC45D4">
            <w:pPr>
              <w:jc w:val="both"/>
              <w:rPr>
                <w:rFonts w:cstheme="minorHAnsi"/>
              </w:rPr>
            </w:pPr>
            <w:r w:rsidRPr="007368C7">
              <w:rPr>
                <w:rFonts w:cstheme="minorHAnsi"/>
                <w:b/>
                <w:bCs/>
              </w:rPr>
              <w:t>Uwaga uwzględniona</w:t>
            </w:r>
            <w:r w:rsidR="00B65541" w:rsidRPr="007368C7">
              <w:rPr>
                <w:rFonts w:cstheme="minorHAnsi"/>
                <w:b/>
                <w:bCs/>
              </w:rPr>
              <w:t xml:space="preserve">. </w:t>
            </w:r>
          </w:p>
        </w:tc>
      </w:tr>
      <w:tr w:rsidR="003B3876" w:rsidRPr="00486628" w14:paraId="02F565B5" w14:textId="1B3B3893" w:rsidTr="00AC5078">
        <w:tc>
          <w:tcPr>
            <w:tcW w:w="158" w:type="pct"/>
          </w:tcPr>
          <w:p w14:paraId="1FA96A4C" w14:textId="592476AE" w:rsidR="00343E6B" w:rsidRPr="00486628" w:rsidRDefault="00F92A39" w:rsidP="00343E6B">
            <w:pPr>
              <w:jc w:val="center"/>
              <w:rPr>
                <w:rFonts w:cstheme="minorHAnsi"/>
              </w:rPr>
            </w:pPr>
            <w:r>
              <w:rPr>
                <w:rFonts w:cstheme="minorHAnsi"/>
              </w:rPr>
              <w:t>6</w:t>
            </w:r>
          </w:p>
        </w:tc>
        <w:tc>
          <w:tcPr>
            <w:tcW w:w="698" w:type="pct"/>
          </w:tcPr>
          <w:p w14:paraId="415FACCB" w14:textId="7A6625CA" w:rsidR="00343E6B" w:rsidRPr="00486628" w:rsidRDefault="00F92A39" w:rsidP="00343E6B">
            <w:pPr>
              <w:jc w:val="both"/>
              <w:rPr>
                <w:rFonts w:cstheme="minorHAnsi"/>
              </w:rPr>
            </w:pPr>
            <w:r>
              <w:rPr>
                <w:rFonts w:cstheme="minorHAnsi"/>
              </w:rPr>
              <w:t xml:space="preserve">Prokurat Krajowy </w:t>
            </w:r>
          </w:p>
        </w:tc>
        <w:tc>
          <w:tcPr>
            <w:tcW w:w="591" w:type="pct"/>
          </w:tcPr>
          <w:p w14:paraId="0E74B0A8" w14:textId="49E89197" w:rsidR="00343E6B" w:rsidRPr="00486628" w:rsidRDefault="00010C51" w:rsidP="00343E6B">
            <w:pPr>
              <w:jc w:val="both"/>
              <w:rPr>
                <w:rFonts w:cstheme="minorHAnsi"/>
              </w:rPr>
            </w:pPr>
            <w:r w:rsidRPr="003F549A">
              <w:rPr>
                <w:rFonts w:cstheme="minorHAnsi"/>
                <w:b/>
                <w:bCs/>
              </w:rPr>
              <w:t>Art. 1 pkt 5 i 7</w:t>
            </w:r>
            <w:r w:rsidR="00C00CD1" w:rsidRPr="003F549A">
              <w:rPr>
                <w:rFonts w:cstheme="minorHAnsi"/>
                <w:b/>
                <w:bCs/>
              </w:rPr>
              <w:t>, oraz pkt 17 i 18</w:t>
            </w:r>
            <w:r>
              <w:rPr>
                <w:rFonts w:cstheme="minorHAnsi"/>
              </w:rPr>
              <w:t xml:space="preserve"> (u</w:t>
            </w:r>
            <w:r w:rsidR="00F05DD5" w:rsidRPr="00F05DD5">
              <w:rPr>
                <w:rFonts w:cstheme="minorHAnsi"/>
              </w:rPr>
              <w:t>chylenie art. 370b</w:t>
            </w:r>
            <w:r w:rsidR="00654C2E">
              <w:rPr>
                <w:rFonts w:cstheme="minorHAnsi"/>
              </w:rPr>
              <w:t xml:space="preserve"> i zmiana </w:t>
            </w:r>
            <w:r>
              <w:rPr>
                <w:rFonts w:cstheme="minorHAnsi"/>
              </w:rPr>
              <w:t xml:space="preserve">art. </w:t>
            </w:r>
            <w:r w:rsidR="00654C2E">
              <w:rPr>
                <w:rFonts w:cstheme="minorHAnsi"/>
              </w:rPr>
              <w:t>370d</w:t>
            </w:r>
            <w:r>
              <w:rPr>
                <w:rFonts w:cstheme="minorHAnsi"/>
              </w:rPr>
              <w:t>.</w:t>
            </w:r>
            <w:r w:rsidR="00C00CD1">
              <w:rPr>
                <w:rFonts w:cstheme="minorHAnsi"/>
              </w:rPr>
              <w:t xml:space="preserve"> oraz art. 491</w:t>
            </w:r>
            <w:r w:rsidR="00C00CD1">
              <w:rPr>
                <w:rFonts w:cstheme="minorHAnsi"/>
                <w:vertAlign w:val="superscript"/>
              </w:rPr>
              <w:t xml:space="preserve">18 </w:t>
            </w:r>
            <w:r w:rsidR="00C00CD1">
              <w:rPr>
                <w:rFonts w:cstheme="minorHAnsi"/>
              </w:rPr>
              <w:t>i art. 491</w:t>
            </w:r>
            <w:r w:rsidR="00C00CD1">
              <w:rPr>
                <w:rFonts w:cstheme="minorHAnsi"/>
                <w:vertAlign w:val="superscript"/>
              </w:rPr>
              <w:t>19</w:t>
            </w:r>
            <w:r w:rsidR="00AA42B3">
              <w:rPr>
                <w:rFonts w:cstheme="minorHAnsi"/>
                <w:vertAlign w:val="superscript"/>
              </w:rPr>
              <w:t xml:space="preserve"> </w:t>
            </w:r>
            <w:r w:rsidR="00AA42B3">
              <w:rPr>
                <w:rFonts w:cstheme="minorHAnsi"/>
              </w:rPr>
              <w:t>P.U.</w:t>
            </w:r>
            <w:r>
              <w:rPr>
                <w:rFonts w:cstheme="minorHAnsi"/>
              </w:rPr>
              <w:t>)</w:t>
            </w:r>
          </w:p>
        </w:tc>
        <w:tc>
          <w:tcPr>
            <w:tcW w:w="1418" w:type="pct"/>
          </w:tcPr>
          <w:p w14:paraId="355E9E38" w14:textId="4023A758" w:rsidR="00F05DD5" w:rsidRPr="00462965" w:rsidRDefault="00F05DD5" w:rsidP="00462965">
            <w:pPr>
              <w:jc w:val="both"/>
              <w:rPr>
                <w:rFonts w:cstheme="minorHAnsi"/>
              </w:rPr>
            </w:pPr>
            <w:r w:rsidRPr="00462965">
              <w:rPr>
                <w:rFonts w:cstheme="minorHAnsi"/>
              </w:rPr>
              <w:t>Zmianę tę należy ocenić krytycznie. W</w:t>
            </w:r>
            <w:r w:rsidR="00010C51" w:rsidRPr="00462965">
              <w:rPr>
                <w:rFonts w:cstheme="minorHAnsi"/>
              </w:rPr>
              <w:t> </w:t>
            </w:r>
            <w:r w:rsidRPr="00462965">
              <w:rPr>
                <w:rFonts w:cstheme="minorHAnsi"/>
              </w:rPr>
              <w:t xml:space="preserve">uzasadnieniu jako w praktyce </w:t>
            </w:r>
            <w:r w:rsidR="00654C2E" w:rsidRPr="00462965">
              <w:rPr>
                <w:rFonts w:cstheme="minorHAnsi"/>
              </w:rPr>
              <w:t>jedyny argument</w:t>
            </w:r>
            <w:r w:rsidRPr="00462965">
              <w:rPr>
                <w:rFonts w:cstheme="minorHAnsi"/>
              </w:rPr>
              <w:t xml:space="preserve"> powołano, że „postępowanie upadłościowe co do zasady ma charakter</w:t>
            </w:r>
            <w:r w:rsidR="00654C2E" w:rsidRPr="00462965">
              <w:rPr>
                <w:rFonts w:cstheme="minorHAnsi"/>
              </w:rPr>
              <w:t xml:space="preserve"> </w:t>
            </w:r>
            <w:r w:rsidRPr="00462965">
              <w:rPr>
                <w:rFonts w:cstheme="minorHAnsi"/>
              </w:rPr>
              <w:t>wykonawczy, a w postępowaniach wykonawczych (analogicznie w postępowaniu</w:t>
            </w:r>
            <w:r w:rsidR="00654C2E" w:rsidRPr="00462965">
              <w:rPr>
                <w:rFonts w:cstheme="minorHAnsi"/>
              </w:rPr>
              <w:t xml:space="preserve"> </w:t>
            </w:r>
            <w:r w:rsidRPr="00462965">
              <w:rPr>
                <w:rFonts w:cstheme="minorHAnsi"/>
              </w:rPr>
              <w:t>egzekucyjnym)</w:t>
            </w:r>
            <w:r w:rsidR="00D6385C" w:rsidRPr="00462965">
              <w:rPr>
                <w:rFonts w:cstheme="minorHAnsi"/>
              </w:rPr>
              <w:t xml:space="preserve"> </w:t>
            </w:r>
            <w:r w:rsidRPr="00462965">
              <w:rPr>
                <w:rFonts w:cstheme="minorHAnsi"/>
              </w:rPr>
              <w:t>nadzwyczajny środek zaskarżenia w postaci skargi kasacyjnej nie</w:t>
            </w:r>
            <w:r w:rsidR="00654C2E" w:rsidRPr="00462965">
              <w:rPr>
                <w:rFonts w:cstheme="minorHAnsi"/>
              </w:rPr>
              <w:t xml:space="preserve"> </w:t>
            </w:r>
            <w:r w:rsidRPr="00462965">
              <w:rPr>
                <w:rFonts w:cstheme="minorHAnsi"/>
              </w:rPr>
              <w:t>występuje”, w związku z czym proponowane uchylenie podstawy do wniesienia takiej</w:t>
            </w:r>
            <w:r w:rsidR="00654C2E" w:rsidRPr="00462965">
              <w:rPr>
                <w:rFonts w:cstheme="minorHAnsi"/>
              </w:rPr>
              <w:t xml:space="preserve"> </w:t>
            </w:r>
            <w:r w:rsidRPr="00462965">
              <w:rPr>
                <w:rFonts w:cstheme="minorHAnsi"/>
              </w:rPr>
              <w:t>skargi zapewni „spójność systemową”. Argument ten jest nieprzekonujący i nie</w:t>
            </w:r>
            <w:r w:rsidR="00654C2E" w:rsidRPr="00462965">
              <w:rPr>
                <w:rFonts w:cstheme="minorHAnsi"/>
              </w:rPr>
              <w:t xml:space="preserve"> </w:t>
            </w:r>
            <w:r w:rsidRPr="00462965">
              <w:rPr>
                <w:rFonts w:cstheme="minorHAnsi"/>
              </w:rPr>
              <w:t>wytrzymuje krytyki w zestawieniu z racjami, które leżały u podstaw wprowadzenia</w:t>
            </w:r>
            <w:r w:rsidR="00654C2E" w:rsidRPr="00462965">
              <w:rPr>
                <w:rFonts w:cstheme="minorHAnsi"/>
              </w:rPr>
              <w:t xml:space="preserve"> </w:t>
            </w:r>
            <w:r w:rsidRPr="00462965">
              <w:rPr>
                <w:rFonts w:cstheme="minorHAnsi"/>
              </w:rPr>
              <w:t>możliwości wniesienia skargi kasacyjnej od postanowień sądu drugiej instancji</w:t>
            </w:r>
            <w:r w:rsidR="00654C2E" w:rsidRPr="00462965">
              <w:rPr>
                <w:rFonts w:cstheme="minorHAnsi"/>
              </w:rPr>
              <w:t xml:space="preserve"> </w:t>
            </w:r>
            <w:r w:rsidRPr="00462965">
              <w:rPr>
                <w:rFonts w:cstheme="minorHAnsi"/>
              </w:rPr>
              <w:t>wskazanych w uchylanym przepisie, co nastąpiło ustawą z dnia 15 maja 2015 r. -</w:t>
            </w:r>
          </w:p>
          <w:p w14:paraId="2DA9C665" w14:textId="5FC29D1C" w:rsidR="00343E6B" w:rsidRPr="00462965" w:rsidRDefault="00F05DD5" w:rsidP="00462965">
            <w:pPr>
              <w:jc w:val="both"/>
              <w:rPr>
                <w:rFonts w:cstheme="minorHAnsi"/>
              </w:rPr>
            </w:pPr>
            <w:r w:rsidRPr="00462965">
              <w:rPr>
                <w:rFonts w:cstheme="minorHAnsi"/>
              </w:rPr>
              <w:t>Prawo restrukturyzacyjne (Dz. U. poz. 978), zmieniająca Prawo upadłościowe z dniem 1 stycznia 2016 r. Racje te</w:t>
            </w:r>
            <w:r w:rsidR="00654C2E" w:rsidRPr="00462965">
              <w:rPr>
                <w:rFonts w:cstheme="minorHAnsi"/>
              </w:rPr>
              <w:t xml:space="preserve"> </w:t>
            </w:r>
            <w:r w:rsidRPr="00462965">
              <w:rPr>
                <w:rFonts w:cstheme="minorHAnsi"/>
              </w:rPr>
              <w:t xml:space="preserve">trafnie wyrażono w </w:t>
            </w:r>
            <w:r w:rsidRPr="00462965">
              <w:rPr>
                <w:rFonts w:cstheme="minorHAnsi"/>
              </w:rPr>
              <w:lastRenderedPageBreak/>
              <w:t xml:space="preserve">piśmiennictwie w następujący sposób: „z uwagi na </w:t>
            </w:r>
            <w:r w:rsidR="00654C2E" w:rsidRPr="00462965">
              <w:rPr>
                <w:rFonts w:cstheme="minorHAnsi"/>
              </w:rPr>
              <w:t>wyjątkową doniosłość</w:t>
            </w:r>
            <w:r w:rsidRPr="00462965">
              <w:rPr>
                <w:rFonts w:cstheme="minorHAnsi"/>
              </w:rPr>
              <w:t xml:space="preserve"> prawną i ekonomiczną oddłużenia przedsiębiorcy jednoosobowego,</w:t>
            </w:r>
            <w:r w:rsidR="00654C2E" w:rsidRPr="00462965">
              <w:rPr>
                <w:rFonts w:cstheme="minorHAnsi"/>
              </w:rPr>
              <w:t xml:space="preserve"> </w:t>
            </w:r>
            <w:r w:rsidRPr="00462965">
              <w:rPr>
                <w:rFonts w:cstheme="minorHAnsi"/>
              </w:rPr>
              <w:t>co w praktyce oznacza wywłaszczenie wierzycieli z ich praw i przeniesienie na nich</w:t>
            </w:r>
            <w:r w:rsidR="00654C2E" w:rsidRPr="00462965">
              <w:rPr>
                <w:rFonts w:cstheme="minorHAnsi"/>
              </w:rPr>
              <w:t xml:space="preserve"> </w:t>
            </w:r>
            <w:r w:rsidRPr="00462965">
              <w:rPr>
                <w:rFonts w:cstheme="minorHAnsi"/>
              </w:rPr>
              <w:t>ciężaru finansowego oddłużenia, ustawodawca przewidział możliwość wniesienia</w:t>
            </w:r>
            <w:r w:rsidR="00654C2E" w:rsidRPr="00462965">
              <w:rPr>
                <w:rFonts w:cstheme="minorHAnsi"/>
              </w:rPr>
              <w:t xml:space="preserve"> </w:t>
            </w:r>
            <w:r w:rsidRPr="00462965">
              <w:rPr>
                <w:rFonts w:cstheme="minorHAnsi"/>
              </w:rPr>
              <w:t>skargi kasacyjnej od postanowienia sądu drugiej instancji o ustaleniu planu spłaty</w:t>
            </w:r>
            <w:r w:rsidR="00654C2E" w:rsidRPr="00462965">
              <w:rPr>
                <w:rFonts w:cstheme="minorHAnsi"/>
              </w:rPr>
              <w:t xml:space="preserve"> </w:t>
            </w:r>
            <w:r w:rsidRPr="00462965">
              <w:rPr>
                <w:rFonts w:cstheme="minorHAnsi"/>
              </w:rPr>
              <w:t>wierzycieli bądź postanowienia o umorzeniu zobowiązań bez jego ustalenia, bądź</w:t>
            </w:r>
            <w:r w:rsidR="00654C2E" w:rsidRPr="00462965">
              <w:rPr>
                <w:rFonts w:cstheme="minorHAnsi"/>
              </w:rPr>
              <w:t xml:space="preserve"> </w:t>
            </w:r>
            <w:r w:rsidRPr="00462965">
              <w:rPr>
                <w:rFonts w:cstheme="minorHAnsi"/>
              </w:rPr>
              <w:t xml:space="preserve">postanowienia o warunkowym umorzeniu zobowiązań” </w:t>
            </w:r>
          </w:p>
        </w:tc>
        <w:tc>
          <w:tcPr>
            <w:tcW w:w="1027" w:type="pct"/>
          </w:tcPr>
          <w:p w14:paraId="652CCE5B" w14:textId="77777777" w:rsidR="00343E6B" w:rsidRPr="00486628" w:rsidRDefault="00343E6B" w:rsidP="00343E6B">
            <w:pPr>
              <w:jc w:val="both"/>
              <w:rPr>
                <w:rFonts w:cstheme="minorHAnsi"/>
              </w:rPr>
            </w:pPr>
          </w:p>
        </w:tc>
        <w:tc>
          <w:tcPr>
            <w:tcW w:w="1108" w:type="pct"/>
          </w:tcPr>
          <w:p w14:paraId="6E7C99E2" w14:textId="5FADF550" w:rsidR="00EE63E6" w:rsidRPr="007368C7" w:rsidRDefault="00EE63E6" w:rsidP="00BC45D4">
            <w:pPr>
              <w:jc w:val="both"/>
              <w:rPr>
                <w:rFonts w:cstheme="minorHAnsi"/>
                <w:b/>
                <w:bCs/>
              </w:rPr>
            </w:pPr>
            <w:r w:rsidRPr="007368C7">
              <w:rPr>
                <w:rFonts w:cstheme="minorHAnsi"/>
                <w:b/>
                <w:bCs/>
              </w:rPr>
              <w:t>Uwaga nieuwzględniona</w:t>
            </w:r>
          </w:p>
          <w:p w14:paraId="03A60153" w14:textId="7E7D3D3B" w:rsidR="00343E6B" w:rsidRPr="007368C7" w:rsidRDefault="00EE63E6" w:rsidP="00BC45D4">
            <w:pPr>
              <w:jc w:val="both"/>
              <w:rPr>
                <w:rFonts w:cstheme="minorHAnsi"/>
              </w:rPr>
            </w:pPr>
            <w:r w:rsidRPr="007368C7">
              <w:rPr>
                <w:rFonts w:cstheme="minorHAnsi"/>
              </w:rPr>
              <w:t xml:space="preserve">W zakresie zniesienie skargi kasacyjnej – po pierwsze, w postępowaniach tych skarga ma znikome zastosowanie w praktyce.  Ponadto, biorąc pod uwagę ustawowe przesłanki umorzenia zobowiązań oraz ustalenia lub zmiany planu spłaty wierzycieli, wskazać należy, że ogniskują się one przede wszystkim wokół materii dotyczącej ustaleń faktycznych (w zakresie możliwości zarobkowych upadłego i jego sytuacji osobistej, przyczyn powstania stanu niewypłacalności, stopnia winy w dorowadzeniu do stanu niewypłacalności, a także co do przesłanek humanitaryzmu i słuszności), a nie sfery interpretacji </w:t>
            </w:r>
            <w:r w:rsidRPr="007368C7">
              <w:rPr>
                <w:rFonts w:cstheme="minorHAnsi"/>
              </w:rPr>
              <w:lastRenderedPageBreak/>
              <w:t>przepisów prawa. Kwestia ustaleń faktycznych nie mieści się w zakresie kontroli kasacyjnej sprawowanej przez Sąd Najwyższy</w:t>
            </w:r>
            <w:r w:rsidR="008C40E2" w:rsidRPr="007368C7">
              <w:rPr>
                <w:rFonts w:cstheme="minorHAnsi"/>
              </w:rPr>
              <w:t>.</w:t>
            </w:r>
          </w:p>
          <w:p w14:paraId="49F61846" w14:textId="1BDB3869" w:rsidR="008C40E2" w:rsidRPr="007368C7" w:rsidRDefault="008C40E2" w:rsidP="00BC45D4">
            <w:pPr>
              <w:jc w:val="both"/>
              <w:rPr>
                <w:rFonts w:cstheme="minorHAnsi"/>
              </w:rPr>
            </w:pPr>
            <w:r w:rsidRPr="007368C7">
              <w:rPr>
                <w:rFonts w:cstheme="minorHAnsi"/>
              </w:rPr>
              <w:t>Problematyka zapewnienia spójności orzeczniczej w sprawach dotyczących oddłużenia jest gwarantowana instytucją pytań prawnych do Sądu Najwyższego.</w:t>
            </w:r>
          </w:p>
        </w:tc>
      </w:tr>
      <w:tr w:rsidR="003B3876" w:rsidRPr="00486628" w14:paraId="2555D3EE" w14:textId="010E0A1A" w:rsidTr="00AC5078">
        <w:tc>
          <w:tcPr>
            <w:tcW w:w="158" w:type="pct"/>
          </w:tcPr>
          <w:p w14:paraId="347FD3D6" w14:textId="45D195AB" w:rsidR="00343E6B" w:rsidRPr="00486628" w:rsidRDefault="00654C2E" w:rsidP="00343E6B">
            <w:pPr>
              <w:jc w:val="center"/>
              <w:rPr>
                <w:rFonts w:cstheme="minorHAnsi"/>
              </w:rPr>
            </w:pPr>
            <w:r>
              <w:rPr>
                <w:rFonts w:cstheme="minorHAnsi"/>
              </w:rPr>
              <w:lastRenderedPageBreak/>
              <w:t xml:space="preserve">7 </w:t>
            </w:r>
          </w:p>
        </w:tc>
        <w:tc>
          <w:tcPr>
            <w:tcW w:w="698" w:type="pct"/>
          </w:tcPr>
          <w:p w14:paraId="26EE7ECD" w14:textId="672265DE" w:rsidR="00343E6B" w:rsidRPr="00486628" w:rsidRDefault="00654C2E" w:rsidP="00343E6B">
            <w:pPr>
              <w:jc w:val="both"/>
              <w:rPr>
                <w:rFonts w:cstheme="minorHAnsi"/>
              </w:rPr>
            </w:pPr>
            <w:r>
              <w:rPr>
                <w:rFonts w:cstheme="minorHAnsi"/>
              </w:rPr>
              <w:t xml:space="preserve">Prokurator Krajowy </w:t>
            </w:r>
          </w:p>
        </w:tc>
        <w:tc>
          <w:tcPr>
            <w:tcW w:w="591" w:type="pct"/>
          </w:tcPr>
          <w:p w14:paraId="268351F2" w14:textId="2B340A06" w:rsidR="00343E6B" w:rsidRPr="00486628" w:rsidRDefault="00143971" w:rsidP="00343E6B">
            <w:pPr>
              <w:jc w:val="both"/>
              <w:rPr>
                <w:rFonts w:cstheme="minorHAnsi"/>
              </w:rPr>
            </w:pPr>
            <w:r w:rsidRPr="003F549A">
              <w:rPr>
                <w:rFonts w:cstheme="minorHAnsi"/>
                <w:b/>
                <w:bCs/>
              </w:rPr>
              <w:t xml:space="preserve">Art. 1 pkt </w:t>
            </w:r>
            <w:r w:rsidR="009757B6">
              <w:rPr>
                <w:rFonts w:cstheme="minorHAnsi"/>
                <w:b/>
                <w:bCs/>
              </w:rPr>
              <w:t xml:space="preserve">6 </w:t>
            </w:r>
            <w:r w:rsidR="006D2F73">
              <w:rPr>
                <w:rFonts w:cstheme="minorHAnsi"/>
                <w:b/>
                <w:bCs/>
              </w:rPr>
              <w:t xml:space="preserve">                                                                                               </w:t>
            </w:r>
            <w:r>
              <w:rPr>
                <w:rFonts w:cstheme="minorHAnsi"/>
              </w:rPr>
              <w:t>(</w:t>
            </w:r>
            <w:r w:rsidR="00654C2E" w:rsidRPr="00654C2E">
              <w:rPr>
                <w:rFonts w:cstheme="minorHAnsi"/>
              </w:rPr>
              <w:t>art. 3</w:t>
            </w:r>
            <w:r>
              <w:rPr>
                <w:rFonts w:cstheme="minorHAnsi"/>
              </w:rPr>
              <w:t>70</w:t>
            </w:r>
            <w:r w:rsidR="00654C2E" w:rsidRPr="00654C2E">
              <w:rPr>
                <w:rFonts w:cstheme="minorHAnsi"/>
              </w:rPr>
              <w:t>c ust. 4</w:t>
            </w:r>
            <w:r>
              <w:rPr>
                <w:rFonts w:cstheme="minorHAnsi"/>
              </w:rPr>
              <w:t xml:space="preserve"> P.U.)</w:t>
            </w:r>
          </w:p>
        </w:tc>
        <w:tc>
          <w:tcPr>
            <w:tcW w:w="1418" w:type="pct"/>
          </w:tcPr>
          <w:p w14:paraId="16EB71BB" w14:textId="129BB21E" w:rsidR="00343E6B" w:rsidRPr="00462965" w:rsidRDefault="00654C2E" w:rsidP="00462965">
            <w:pPr>
              <w:jc w:val="both"/>
              <w:rPr>
                <w:rFonts w:cstheme="minorHAnsi"/>
              </w:rPr>
            </w:pPr>
            <w:r w:rsidRPr="00462965">
              <w:rPr>
                <w:rFonts w:cstheme="minorHAnsi"/>
              </w:rPr>
              <w:t xml:space="preserve">Projektodawcy nie przedstawili argumentów dostatecznie wyjaśniających powody tej zmiany, która wbrew treści uzasadnienia nie sprowadza się wyłącznie do dodania zapisu wskazującego, że „sąd nie bada treści i formy dokumentów” (a więc sprawozdania o swojej sytuacji majątkowej i zawodowej oraz rocznego zeznania podatkowego), które z mocy poprzedzających zdań tego przepisu jest zobowiązany corocznie składać upadły. W szczególności nie został przedstawiony powód, dla którego poszerzono zakres objętych sprawozdaniem upadłego informacji o „możliwości zarobkowe, wydatki potrzebne na swoje utrzymanie i osób pozostających na jego utrzymaniu, w tym na potrzeby mieszkaniowe”. Sformułowania te są dalece nieprecyzyjne i niedookreślone, nie wiadomo dla przykładu, jakiego okresu mają dotyczyć </w:t>
            </w:r>
            <w:r w:rsidRPr="00462965">
              <w:rPr>
                <w:rFonts w:cstheme="minorHAnsi"/>
              </w:rPr>
              <w:lastRenderedPageBreak/>
              <w:t>informacje o możliwościach zarobkowych (czy chodzi o okres poprzedni rok, czy o czas składania sprawozdania, a może o przewidywane w przyszłości możliwości zarobkowe); co oznacza określenie „wydatki potrzebne na swoje utrzymanie i osób pozostających na jego utrzymaniu” -w innych procedurach w przypadku ustalania statusu materialnego uczestnika rozliczeniowy postępowania, np. pod kątem przydzielenia pełnomocnika lub obrońcy z urzędu albo uwzględnienia wniosku o zwolnienie od kosztów, ustawa mówi o „niezbędnym utrzymaniu” (art. 78 § 1 k.p.k.), czy też „utrzymaniu koniecznym siebie i rodziny”(art. 117 § 2 k.p.c.), a więc dookreśla to kryterium w sposób racjonalizujący i minimalizujący wysokość możliwych do wykazania obciążeń, podczas gdy proponowana formuła pozwalać będzie upadłemu wskazać w sposób zupełnie</w:t>
            </w:r>
            <w:r w:rsidR="00143971" w:rsidRPr="00462965">
              <w:rPr>
                <w:rFonts w:cstheme="minorHAnsi"/>
              </w:rPr>
              <w:t xml:space="preserve"> </w:t>
            </w:r>
            <w:r w:rsidRPr="00462965">
              <w:rPr>
                <w:rFonts w:cstheme="minorHAnsi"/>
              </w:rPr>
              <w:t>arbitralny i praktycznie nieweryfikowalny kwotę wydatków „potrzebnych na</w:t>
            </w:r>
            <w:r w:rsidR="008D0DD1" w:rsidRPr="00462965">
              <w:rPr>
                <w:rFonts w:cstheme="minorHAnsi"/>
              </w:rPr>
              <w:t xml:space="preserve"> </w:t>
            </w:r>
            <w:r w:rsidRPr="00462965">
              <w:rPr>
                <w:rFonts w:cstheme="minorHAnsi"/>
              </w:rPr>
              <w:t>utrzymanie”, które będą mogły zostać przez niego określone w sposób dalece</w:t>
            </w:r>
            <w:r w:rsidR="008D0DD1" w:rsidRPr="00462965">
              <w:rPr>
                <w:rFonts w:cstheme="minorHAnsi"/>
              </w:rPr>
              <w:t xml:space="preserve"> </w:t>
            </w:r>
            <w:r w:rsidRPr="00462965">
              <w:rPr>
                <w:rFonts w:cstheme="minorHAnsi"/>
              </w:rPr>
              <w:t xml:space="preserve">wykraczający poza wysokość wydatków niezbędnych. </w:t>
            </w:r>
          </w:p>
        </w:tc>
        <w:tc>
          <w:tcPr>
            <w:tcW w:w="1027" w:type="pct"/>
          </w:tcPr>
          <w:p w14:paraId="6176CAFA" w14:textId="77777777" w:rsidR="00343E6B" w:rsidRPr="00486628" w:rsidRDefault="00343E6B" w:rsidP="00343E6B">
            <w:pPr>
              <w:jc w:val="both"/>
              <w:rPr>
                <w:rFonts w:cstheme="minorHAnsi"/>
              </w:rPr>
            </w:pPr>
          </w:p>
        </w:tc>
        <w:tc>
          <w:tcPr>
            <w:tcW w:w="1108" w:type="pct"/>
          </w:tcPr>
          <w:p w14:paraId="0462149C" w14:textId="77777777" w:rsidR="00343E6B" w:rsidRPr="007368C7" w:rsidRDefault="00EE7F8A" w:rsidP="00BC45D4">
            <w:pPr>
              <w:jc w:val="both"/>
              <w:rPr>
                <w:rFonts w:cstheme="minorHAnsi"/>
              </w:rPr>
            </w:pPr>
            <w:r w:rsidRPr="007368C7">
              <w:rPr>
                <w:rFonts w:cstheme="minorHAnsi"/>
                <w:b/>
                <w:bCs/>
              </w:rPr>
              <w:t>Uwaga uwzględniona poprzez uzupełnienie uzasadnienia</w:t>
            </w:r>
            <w:r w:rsidRPr="007368C7">
              <w:rPr>
                <w:rFonts w:cstheme="minorHAnsi"/>
              </w:rPr>
              <w:t xml:space="preserve">. </w:t>
            </w:r>
          </w:p>
          <w:p w14:paraId="5C9FCD9B" w14:textId="1D78A7F8" w:rsidR="00146CCD" w:rsidRPr="007368C7" w:rsidRDefault="00146CCD" w:rsidP="00BC45D4">
            <w:pPr>
              <w:jc w:val="both"/>
              <w:rPr>
                <w:rFonts w:cstheme="minorHAnsi"/>
              </w:rPr>
            </w:pPr>
            <w:r w:rsidRPr="007368C7">
              <w:rPr>
                <w:rFonts w:cstheme="minorHAnsi"/>
              </w:rPr>
              <w:t>Legislacyjnie: zamiana „</w:t>
            </w:r>
            <w:r w:rsidR="00217AB4" w:rsidRPr="007368C7">
              <w:rPr>
                <w:rFonts w:cstheme="minorHAnsi"/>
              </w:rPr>
              <w:t>wydatki potrzebne na swoje utrzymanie i osób pozostających na jego utrzymaniu” zastąpić „wydatki konieczne na utrzymanie siebie i osób pozostających na jego utrzymaniu”</w:t>
            </w:r>
            <w:r w:rsidR="00116CD3" w:rsidRPr="007368C7">
              <w:rPr>
                <w:rFonts w:cstheme="minorHAnsi"/>
              </w:rPr>
              <w:t>. Analogiczną zmianę należy wprowadzić w art. 491</w:t>
            </w:r>
            <w:r w:rsidR="00116CD3" w:rsidRPr="007368C7">
              <w:rPr>
                <w:rFonts w:cstheme="minorHAnsi"/>
                <w:vertAlign w:val="superscript"/>
              </w:rPr>
              <w:t>18</w:t>
            </w:r>
            <w:r w:rsidR="00116CD3" w:rsidRPr="007368C7">
              <w:rPr>
                <w:rFonts w:cstheme="minorHAnsi"/>
              </w:rPr>
              <w:t xml:space="preserve"> ust. 3.</w:t>
            </w:r>
          </w:p>
          <w:p w14:paraId="12A644AA" w14:textId="6116E94B" w:rsidR="00D85338" w:rsidRPr="007368C7" w:rsidRDefault="00D85338" w:rsidP="00BC45D4">
            <w:pPr>
              <w:jc w:val="both"/>
              <w:rPr>
                <w:rFonts w:cstheme="minorHAnsi"/>
              </w:rPr>
            </w:pPr>
            <w:r w:rsidRPr="007368C7">
              <w:rPr>
                <w:rFonts w:cstheme="minorHAnsi"/>
              </w:rPr>
              <w:t xml:space="preserve">Ratio legis rozszerzenia zakresu sprawozdania upadłego sprowadza się do przedstawienia pełnej jego sytuacji zawodowej i majątkowej. Należy podkreślić, że obecnie brak informacji w zakresie </w:t>
            </w:r>
            <w:r w:rsidR="00BC42F6" w:rsidRPr="007368C7">
              <w:rPr>
                <w:rFonts w:cstheme="minorHAnsi"/>
              </w:rPr>
              <w:t xml:space="preserve">możliwości zarobkowych, wydatków potrzebnych na utrzymanie swoje i </w:t>
            </w:r>
            <w:r w:rsidR="00BC42F6" w:rsidRPr="007368C7">
              <w:rPr>
                <w:rFonts w:cstheme="minorHAnsi"/>
              </w:rPr>
              <w:lastRenderedPageBreak/>
              <w:t xml:space="preserve">osób pozostających na jego utrzymaniu, w tym potrzeby mieszkaniowe, powoduje, że adresat sprawozdania nie posiada pełnej wiedzy na temat rzeczywistej sytuacji upadłego. </w:t>
            </w:r>
          </w:p>
        </w:tc>
      </w:tr>
      <w:tr w:rsidR="003B3876" w:rsidRPr="00486628" w14:paraId="68B858D8" w14:textId="0FA4F099" w:rsidTr="00AC5078">
        <w:tc>
          <w:tcPr>
            <w:tcW w:w="158" w:type="pct"/>
          </w:tcPr>
          <w:p w14:paraId="3ACA2E91" w14:textId="0632DBBE" w:rsidR="00343E6B" w:rsidRPr="00486628" w:rsidRDefault="008D0DD1" w:rsidP="00343E6B">
            <w:pPr>
              <w:jc w:val="center"/>
              <w:rPr>
                <w:rFonts w:cstheme="minorHAnsi"/>
              </w:rPr>
            </w:pPr>
            <w:r>
              <w:rPr>
                <w:rFonts w:cstheme="minorHAnsi"/>
              </w:rPr>
              <w:lastRenderedPageBreak/>
              <w:t>8</w:t>
            </w:r>
          </w:p>
        </w:tc>
        <w:tc>
          <w:tcPr>
            <w:tcW w:w="698" w:type="pct"/>
          </w:tcPr>
          <w:p w14:paraId="796945F1" w14:textId="2A34066E" w:rsidR="00343E6B" w:rsidRPr="00486628" w:rsidRDefault="008D0DD1" w:rsidP="00343E6B">
            <w:pPr>
              <w:jc w:val="both"/>
              <w:rPr>
                <w:rFonts w:cstheme="minorHAnsi"/>
              </w:rPr>
            </w:pPr>
            <w:r>
              <w:rPr>
                <w:rFonts w:cstheme="minorHAnsi"/>
              </w:rPr>
              <w:t xml:space="preserve">Prokurator Krajowy </w:t>
            </w:r>
          </w:p>
        </w:tc>
        <w:tc>
          <w:tcPr>
            <w:tcW w:w="591" w:type="pct"/>
          </w:tcPr>
          <w:p w14:paraId="56AD2383" w14:textId="54C2F871" w:rsidR="00343E6B" w:rsidRPr="00486628" w:rsidRDefault="009D2B3A" w:rsidP="00343E6B">
            <w:pPr>
              <w:jc w:val="both"/>
              <w:rPr>
                <w:rFonts w:cstheme="minorHAnsi"/>
              </w:rPr>
            </w:pPr>
            <w:r w:rsidRPr="003F549A">
              <w:rPr>
                <w:rFonts w:cstheme="minorHAnsi"/>
                <w:b/>
                <w:bCs/>
              </w:rPr>
              <w:t>Art. 1 pkt. 9</w:t>
            </w:r>
            <w:r w:rsidR="00937F67" w:rsidRPr="003F549A">
              <w:rPr>
                <w:rFonts w:cstheme="minorHAnsi"/>
                <w:b/>
                <w:bCs/>
              </w:rPr>
              <w:t xml:space="preserve"> i pkt. 20</w:t>
            </w:r>
            <w:r>
              <w:rPr>
                <w:rFonts w:cstheme="minorHAnsi"/>
              </w:rPr>
              <w:t xml:space="preserve"> (a</w:t>
            </w:r>
            <w:r w:rsidR="008D0DD1">
              <w:rPr>
                <w:rFonts w:cstheme="minorHAnsi"/>
              </w:rPr>
              <w:t xml:space="preserve">rt. </w:t>
            </w:r>
            <w:r w:rsidR="008D0DD1" w:rsidRPr="008D0DD1">
              <w:rPr>
                <w:rFonts w:cstheme="minorHAnsi"/>
              </w:rPr>
              <w:t>370f ust. 1</w:t>
            </w:r>
            <w:r w:rsidR="00937F67">
              <w:rPr>
                <w:rFonts w:cstheme="minorHAnsi"/>
              </w:rPr>
              <w:t xml:space="preserve"> i art. 491</w:t>
            </w:r>
            <w:r w:rsidR="00937F67">
              <w:rPr>
                <w:rFonts w:cstheme="minorHAnsi"/>
                <w:vertAlign w:val="superscript"/>
              </w:rPr>
              <w:t>21</w:t>
            </w:r>
            <w:r>
              <w:rPr>
                <w:rFonts w:cstheme="minorHAnsi"/>
              </w:rPr>
              <w:t xml:space="preserve"> P.U.). </w:t>
            </w:r>
          </w:p>
        </w:tc>
        <w:tc>
          <w:tcPr>
            <w:tcW w:w="1418" w:type="pct"/>
          </w:tcPr>
          <w:p w14:paraId="4B384742" w14:textId="437EE49F" w:rsidR="00343E6B" w:rsidRPr="00462965" w:rsidRDefault="008D0DD1" w:rsidP="00462965">
            <w:pPr>
              <w:jc w:val="both"/>
              <w:rPr>
                <w:rFonts w:cstheme="minorHAnsi"/>
              </w:rPr>
            </w:pPr>
            <w:r w:rsidRPr="00462965">
              <w:rPr>
                <w:rFonts w:cstheme="minorHAnsi"/>
              </w:rPr>
              <w:t>Projektowane brzmienie radykalnie przemodeluje obecnie obowiązujący</w:t>
            </w:r>
            <w:r w:rsidR="00C00CD1" w:rsidRPr="00462965">
              <w:rPr>
                <w:rFonts w:cstheme="minorHAnsi"/>
              </w:rPr>
              <w:t xml:space="preserve"> </w:t>
            </w:r>
            <w:r w:rsidRPr="00462965">
              <w:rPr>
                <w:rFonts w:cstheme="minorHAnsi"/>
              </w:rPr>
              <w:t>przepis, w szczególności poprzez eliminację z jego treści podstawy do wydania przez</w:t>
            </w:r>
            <w:r w:rsidR="00C00CD1" w:rsidRPr="00462965">
              <w:rPr>
                <w:rFonts w:cstheme="minorHAnsi"/>
              </w:rPr>
              <w:t xml:space="preserve"> </w:t>
            </w:r>
            <w:r w:rsidRPr="00462965">
              <w:rPr>
                <w:rFonts w:cstheme="minorHAnsi"/>
              </w:rPr>
              <w:t>sąd postanowienia o stwierdzeniu wykonania planu spłaty i umorzeniu zobowiązań</w:t>
            </w:r>
            <w:r w:rsidR="006733AA" w:rsidRPr="00462965">
              <w:rPr>
                <w:rFonts w:cstheme="minorHAnsi"/>
              </w:rPr>
              <w:t xml:space="preserve"> </w:t>
            </w:r>
            <w:r w:rsidRPr="00462965">
              <w:rPr>
                <w:rFonts w:cstheme="minorHAnsi"/>
              </w:rPr>
              <w:t xml:space="preserve">upadłego, o których mowa w art. 369 ust. 1, </w:t>
            </w:r>
            <w:r w:rsidRPr="00462965">
              <w:rPr>
                <w:rFonts w:cstheme="minorHAnsi"/>
              </w:rPr>
              <w:lastRenderedPageBreak/>
              <w:t>niewykonanych w wyniku realizacji planu</w:t>
            </w:r>
            <w:r w:rsidR="006733AA" w:rsidRPr="00462965">
              <w:rPr>
                <w:rFonts w:cstheme="minorHAnsi"/>
              </w:rPr>
              <w:t xml:space="preserve"> </w:t>
            </w:r>
            <w:r w:rsidRPr="00462965">
              <w:rPr>
                <w:rFonts w:cstheme="minorHAnsi"/>
              </w:rPr>
              <w:t>spłaty wierzycieli. Uzasadnienie projektu należycie nie wyjaśnia, czy projektodawcy</w:t>
            </w:r>
            <w:r w:rsidR="006733AA" w:rsidRPr="00462965">
              <w:rPr>
                <w:rFonts w:cstheme="minorHAnsi"/>
              </w:rPr>
              <w:t xml:space="preserve"> </w:t>
            </w:r>
            <w:r w:rsidRPr="00462965">
              <w:rPr>
                <w:rFonts w:cstheme="minorHAnsi"/>
              </w:rPr>
              <w:t>przewidują zniesienie potrzeby wydawania takiego postanowienia, w szczególności</w:t>
            </w:r>
            <w:r w:rsidR="006733AA" w:rsidRPr="00462965">
              <w:rPr>
                <w:rFonts w:cstheme="minorHAnsi"/>
              </w:rPr>
              <w:t xml:space="preserve"> </w:t>
            </w:r>
            <w:r w:rsidRPr="00462965">
              <w:rPr>
                <w:rFonts w:cstheme="minorHAnsi"/>
              </w:rPr>
              <w:t>w zakresie odnoszącym się do stwierdzenia wykonania planu spłaty (w odniesieniu do</w:t>
            </w:r>
            <w:r w:rsidR="006733AA" w:rsidRPr="00462965">
              <w:rPr>
                <w:rFonts w:cstheme="minorHAnsi"/>
              </w:rPr>
              <w:t xml:space="preserve"> </w:t>
            </w:r>
            <w:r w:rsidRPr="00462965">
              <w:rPr>
                <w:rFonts w:cstheme="minorHAnsi"/>
              </w:rPr>
              <w:t>umorzenia zobowiązań upadłego powołano się na: „przyjęcie zasady, że do umorzenia</w:t>
            </w:r>
            <w:r w:rsidR="006733AA" w:rsidRPr="00462965">
              <w:rPr>
                <w:rFonts w:cstheme="minorHAnsi"/>
              </w:rPr>
              <w:t xml:space="preserve"> </w:t>
            </w:r>
            <w:r w:rsidRPr="00462965">
              <w:rPr>
                <w:rFonts w:cstheme="minorHAnsi"/>
              </w:rPr>
              <w:t>zobowiązań upadłego dochodzi z mocy prawa po upływie 3 miesięcy od zakończenia</w:t>
            </w:r>
            <w:r w:rsidR="00C00CD1" w:rsidRPr="00462965">
              <w:rPr>
                <w:rFonts w:cstheme="minorHAnsi"/>
              </w:rPr>
              <w:t xml:space="preserve"> </w:t>
            </w:r>
            <w:r w:rsidRPr="00462965">
              <w:rPr>
                <w:rFonts w:cstheme="minorHAnsi"/>
              </w:rPr>
              <w:t>realizacji planu spłaty wierzycieli, pod warunkiem, że plan spłaty wierzycieli nie</w:t>
            </w:r>
            <w:r w:rsidR="00C00CD1" w:rsidRPr="00462965">
              <w:rPr>
                <w:rFonts w:cstheme="minorHAnsi"/>
              </w:rPr>
              <w:t xml:space="preserve"> </w:t>
            </w:r>
            <w:r w:rsidRPr="00462965">
              <w:rPr>
                <w:rFonts w:cstheme="minorHAnsi"/>
              </w:rPr>
              <w:t>został przez sąd uchylony ani zmieniony”), a jeżeli odpowiedź na to pytanie jest</w:t>
            </w:r>
            <w:r w:rsidR="00C00CD1" w:rsidRPr="00462965">
              <w:rPr>
                <w:rFonts w:cstheme="minorHAnsi"/>
              </w:rPr>
              <w:t xml:space="preserve"> </w:t>
            </w:r>
            <w:r w:rsidRPr="00462965">
              <w:rPr>
                <w:rFonts w:cstheme="minorHAnsi"/>
              </w:rPr>
              <w:t>pozytywna, jaki właściwie istotny cel poza redukcją czynności sądu w ten sposób</w:t>
            </w:r>
            <w:r w:rsidR="00C00CD1" w:rsidRPr="00462965">
              <w:rPr>
                <w:rFonts w:cstheme="minorHAnsi"/>
              </w:rPr>
              <w:t xml:space="preserve"> </w:t>
            </w:r>
            <w:r w:rsidRPr="00462965">
              <w:rPr>
                <w:rFonts w:cstheme="minorHAnsi"/>
              </w:rPr>
              <w:t xml:space="preserve">zostanie osiągnięty. Bez wątpienia zrodzi się bowiem ryzyko skutku przeciwnego, a mianowicie radykalnego osłabienia ochrony interesów wierzycieli, poprzez pozbawienie możliwości zaskarżenia orzeczenia sądu stwierdzającego wykonanie przez upadłego planu spłaty, wymaganego przez aktualny stan prawny, którego prawidłowość, skoro opiera się ono na konieczności ustalenia, że upadły wykonał obowiązki określone w planie spłaty wierzycieli, powinna podlegać możliwości kontroli instancyjnej. Zmiana ta, pomimo dostrzeżenia faktu, że jej negatywne, wskazane powyżej konsekwencje starano się substytuować możliwościami wnoszenia przez wierzycieli zażaleń na postanowienia w </w:t>
            </w:r>
            <w:r w:rsidRPr="00462965">
              <w:rPr>
                <w:rFonts w:cstheme="minorHAnsi"/>
              </w:rPr>
              <w:lastRenderedPageBreak/>
              <w:t xml:space="preserve">przedmiocie wniosków o uchylenie planu spłaty wierzycieli oraz w przedmiocie zmiany planu spłaty wierzycieli, wydawane na podstawie art. 370d ust. 1 i la oraz na postanowienie o uchyleniu planu spłaty wierzycieli, wydawane na podstawie art. 370e ust. 1, może wzbudzać zasadnicze wątpliwości natury konstytucyjnej. Prowadzić bowiem będzie </w:t>
            </w:r>
            <w:r w:rsidR="00823A7C" w:rsidRPr="00462965">
              <w:rPr>
                <w:rFonts w:cstheme="minorHAnsi"/>
              </w:rPr>
              <w:t>do faktycznego</w:t>
            </w:r>
            <w:r w:rsidRPr="00462965">
              <w:rPr>
                <w:rFonts w:cstheme="minorHAnsi"/>
              </w:rPr>
              <w:t xml:space="preserve"> ograniczenia prawa do sądu, sprowadzając się do ukształtowania</w:t>
            </w:r>
            <w:r w:rsidR="00C00CD1" w:rsidRPr="00462965">
              <w:rPr>
                <w:rFonts w:cstheme="minorHAnsi"/>
              </w:rPr>
              <w:t xml:space="preserve"> </w:t>
            </w:r>
            <w:r w:rsidRPr="00462965">
              <w:rPr>
                <w:rFonts w:cstheme="minorHAnsi"/>
              </w:rPr>
              <w:t xml:space="preserve">normatywnej konstrukcji wywierającej </w:t>
            </w:r>
            <w:r w:rsidRPr="00462965">
              <w:rPr>
                <w:rFonts w:cstheme="minorHAnsi"/>
                <w:i/>
                <w:iCs/>
              </w:rPr>
              <w:t xml:space="preserve">ex lege </w:t>
            </w:r>
            <w:r w:rsidRPr="00462965">
              <w:rPr>
                <w:rFonts w:cstheme="minorHAnsi"/>
              </w:rPr>
              <w:t>skutek konstytutywny godzący w przysługujące wierzycielom prawa majątkowe, bez możliwości zainicjowania przez</w:t>
            </w:r>
            <w:r w:rsidR="00823A7C" w:rsidRPr="00462965">
              <w:rPr>
                <w:rFonts w:cstheme="minorHAnsi"/>
              </w:rPr>
              <w:t xml:space="preserve"> </w:t>
            </w:r>
            <w:r w:rsidRPr="00462965">
              <w:rPr>
                <w:rFonts w:cstheme="minorHAnsi"/>
              </w:rPr>
              <w:t>wierzycieli efektywnej kontroli instancyjnej rozstrzygnięć sądowych, z których te</w:t>
            </w:r>
            <w:r w:rsidR="00823A7C" w:rsidRPr="00462965">
              <w:rPr>
                <w:rFonts w:cstheme="minorHAnsi"/>
              </w:rPr>
              <w:t xml:space="preserve"> </w:t>
            </w:r>
            <w:r w:rsidRPr="00462965">
              <w:rPr>
                <w:rFonts w:cstheme="minorHAnsi"/>
              </w:rPr>
              <w:t>negatywne konsekwencje dla nich będą wynikać</w:t>
            </w:r>
            <w:r w:rsidR="00C00CD1" w:rsidRPr="00462965">
              <w:rPr>
                <w:rFonts w:cstheme="minorHAnsi"/>
              </w:rPr>
              <w:t>.</w:t>
            </w:r>
          </w:p>
        </w:tc>
        <w:tc>
          <w:tcPr>
            <w:tcW w:w="1027" w:type="pct"/>
          </w:tcPr>
          <w:p w14:paraId="491293AE" w14:textId="77777777" w:rsidR="00343E6B" w:rsidRPr="00486628" w:rsidRDefault="00343E6B" w:rsidP="00343E6B">
            <w:pPr>
              <w:jc w:val="both"/>
              <w:rPr>
                <w:rFonts w:cstheme="minorHAnsi"/>
              </w:rPr>
            </w:pPr>
          </w:p>
        </w:tc>
        <w:tc>
          <w:tcPr>
            <w:tcW w:w="1108" w:type="pct"/>
          </w:tcPr>
          <w:p w14:paraId="63DE2ACE" w14:textId="77777777" w:rsidR="00146CCD" w:rsidRPr="007368C7" w:rsidRDefault="00EE7F8A" w:rsidP="00BC45D4">
            <w:pPr>
              <w:jc w:val="both"/>
              <w:rPr>
                <w:rFonts w:cstheme="minorHAnsi"/>
                <w:b/>
                <w:bCs/>
              </w:rPr>
            </w:pPr>
            <w:r w:rsidRPr="007368C7">
              <w:rPr>
                <w:rFonts w:cstheme="minorHAnsi"/>
                <w:b/>
                <w:bCs/>
              </w:rPr>
              <w:t>Uwaga nieuwzględniona</w:t>
            </w:r>
          </w:p>
          <w:p w14:paraId="2C41E357" w14:textId="6028F2F1" w:rsidR="00A84A71" w:rsidRPr="007368C7" w:rsidRDefault="00146CCD" w:rsidP="00BC45D4">
            <w:pPr>
              <w:jc w:val="both"/>
              <w:rPr>
                <w:rFonts w:cstheme="minorHAnsi"/>
              </w:rPr>
            </w:pPr>
            <w:r w:rsidRPr="007368C7">
              <w:rPr>
                <w:rFonts w:cstheme="minorHAnsi"/>
              </w:rPr>
              <w:t>Intencj</w:t>
            </w:r>
            <w:r w:rsidR="00A84A71" w:rsidRPr="007368C7">
              <w:rPr>
                <w:rFonts w:cstheme="minorHAnsi"/>
              </w:rPr>
              <w:t>ą</w:t>
            </w:r>
            <w:r w:rsidRPr="007368C7">
              <w:rPr>
                <w:rFonts w:cstheme="minorHAnsi"/>
              </w:rPr>
              <w:t xml:space="preserve"> wprowadzanej regulacji jest umorzenie </w:t>
            </w:r>
            <w:r w:rsidR="00EE7F8A" w:rsidRPr="007368C7">
              <w:rPr>
                <w:rFonts w:cstheme="minorHAnsi"/>
              </w:rPr>
              <w:t>z mocy prawa</w:t>
            </w:r>
            <w:r w:rsidR="0050399B" w:rsidRPr="007368C7">
              <w:rPr>
                <w:rFonts w:cstheme="minorHAnsi"/>
              </w:rPr>
              <w:t xml:space="preserve"> (ip</w:t>
            </w:r>
            <w:r w:rsidR="00A84A71" w:rsidRPr="007368C7">
              <w:rPr>
                <w:rFonts w:cstheme="minorHAnsi"/>
              </w:rPr>
              <w:t>s</w:t>
            </w:r>
            <w:r w:rsidR="0050399B" w:rsidRPr="007368C7">
              <w:rPr>
                <w:rFonts w:cstheme="minorHAnsi"/>
              </w:rPr>
              <w:t>o iure)</w:t>
            </w:r>
            <w:r w:rsidR="00EE7F8A" w:rsidRPr="007368C7">
              <w:rPr>
                <w:rFonts w:cstheme="minorHAnsi"/>
              </w:rPr>
              <w:t>.</w:t>
            </w:r>
            <w:r w:rsidRPr="007368C7">
              <w:rPr>
                <w:rFonts w:cstheme="minorHAnsi"/>
              </w:rPr>
              <w:t xml:space="preserve"> </w:t>
            </w:r>
          </w:p>
          <w:p w14:paraId="45AEDD75" w14:textId="203F0224" w:rsidR="00343E6B" w:rsidRPr="007368C7" w:rsidRDefault="00146CCD" w:rsidP="00BC45D4">
            <w:pPr>
              <w:jc w:val="both"/>
              <w:rPr>
                <w:rFonts w:cstheme="minorHAnsi"/>
              </w:rPr>
            </w:pPr>
            <w:r w:rsidRPr="007368C7">
              <w:rPr>
                <w:rFonts w:cstheme="minorHAnsi"/>
              </w:rPr>
              <w:t xml:space="preserve">Postanowienie </w:t>
            </w:r>
            <w:r w:rsidR="00217AB4" w:rsidRPr="007368C7">
              <w:rPr>
                <w:rFonts w:cstheme="minorHAnsi"/>
              </w:rPr>
              <w:t>może zostać wydane</w:t>
            </w:r>
            <w:r w:rsidR="00A84A71" w:rsidRPr="007368C7">
              <w:rPr>
                <w:rFonts w:cstheme="minorHAnsi"/>
              </w:rPr>
              <w:t>,</w:t>
            </w:r>
            <w:r w:rsidR="00217AB4" w:rsidRPr="007368C7">
              <w:rPr>
                <w:rFonts w:cstheme="minorHAnsi"/>
              </w:rPr>
              <w:t xml:space="preserve"> jednakże jego charakter pozostaje deklaratoryjny. </w:t>
            </w:r>
          </w:p>
        </w:tc>
      </w:tr>
      <w:tr w:rsidR="003B3876" w:rsidRPr="00486628" w14:paraId="3C048770" w14:textId="77777777" w:rsidTr="00AC5078">
        <w:tc>
          <w:tcPr>
            <w:tcW w:w="158" w:type="pct"/>
          </w:tcPr>
          <w:p w14:paraId="772B5AF9" w14:textId="14CCA2D1" w:rsidR="00412724" w:rsidRDefault="00412724" w:rsidP="00343E6B">
            <w:pPr>
              <w:jc w:val="center"/>
              <w:rPr>
                <w:rFonts w:cstheme="minorHAnsi"/>
              </w:rPr>
            </w:pPr>
            <w:r>
              <w:rPr>
                <w:rFonts w:cstheme="minorHAnsi"/>
              </w:rPr>
              <w:lastRenderedPageBreak/>
              <w:t>9</w:t>
            </w:r>
          </w:p>
        </w:tc>
        <w:tc>
          <w:tcPr>
            <w:tcW w:w="698" w:type="pct"/>
          </w:tcPr>
          <w:p w14:paraId="554E01D6" w14:textId="6222179A" w:rsidR="00412724" w:rsidRDefault="00412724" w:rsidP="00343E6B">
            <w:pPr>
              <w:jc w:val="both"/>
              <w:rPr>
                <w:rFonts w:cstheme="minorHAnsi"/>
              </w:rPr>
            </w:pPr>
            <w:r>
              <w:rPr>
                <w:rFonts w:cstheme="minorHAnsi"/>
              </w:rPr>
              <w:t xml:space="preserve">Sąd Apelacyjny w Szczenicie </w:t>
            </w:r>
          </w:p>
        </w:tc>
        <w:tc>
          <w:tcPr>
            <w:tcW w:w="591" w:type="pct"/>
          </w:tcPr>
          <w:p w14:paraId="2CA9407E" w14:textId="21AE279D" w:rsidR="00412724" w:rsidRPr="002B3340" w:rsidRDefault="003F549A" w:rsidP="00343E6B">
            <w:pPr>
              <w:jc w:val="both"/>
              <w:rPr>
                <w:rFonts w:cstheme="minorHAnsi"/>
                <w:lang w:val="en-GB"/>
              </w:rPr>
            </w:pPr>
            <w:r w:rsidRPr="002B3340">
              <w:rPr>
                <w:rFonts w:cstheme="minorHAnsi"/>
                <w:b/>
                <w:bCs/>
                <w:lang w:val="en-GB"/>
              </w:rPr>
              <w:t>Art. 1 pkt 13 lit. a</w:t>
            </w:r>
            <w:r w:rsidRPr="002B3340">
              <w:rPr>
                <w:rFonts w:cstheme="minorHAnsi"/>
                <w:lang w:val="en-GB"/>
              </w:rPr>
              <w:t xml:space="preserve"> (</w:t>
            </w:r>
            <w:r w:rsidR="00412724" w:rsidRPr="002B3340">
              <w:rPr>
                <w:rFonts w:cstheme="minorHAnsi"/>
                <w:lang w:val="en-GB"/>
              </w:rPr>
              <w:t>art.</w:t>
            </w:r>
            <w:r w:rsidR="007641A3" w:rsidRPr="002B3340">
              <w:rPr>
                <w:rFonts w:cstheme="minorHAnsi"/>
                <w:lang w:val="en-GB"/>
              </w:rPr>
              <w:t xml:space="preserve"> </w:t>
            </w:r>
            <w:r w:rsidR="00412724" w:rsidRPr="002B3340">
              <w:rPr>
                <w:rFonts w:cstheme="minorHAnsi"/>
                <w:lang w:val="en-GB"/>
              </w:rPr>
              <w:t>491</w:t>
            </w:r>
            <w:r w:rsidR="00412724" w:rsidRPr="002B3340">
              <w:rPr>
                <w:rFonts w:cstheme="minorHAnsi"/>
                <w:vertAlign w:val="superscript"/>
                <w:lang w:val="en-GB"/>
              </w:rPr>
              <w:t>9</w:t>
            </w:r>
            <w:r w:rsidR="00412724" w:rsidRPr="002B3340">
              <w:rPr>
                <w:rFonts w:cstheme="minorHAnsi"/>
                <w:lang w:val="en-GB"/>
              </w:rPr>
              <w:t xml:space="preserve"> ust. 1</w:t>
            </w:r>
            <w:r w:rsidRPr="002B3340">
              <w:rPr>
                <w:rFonts w:cstheme="minorHAnsi"/>
                <w:lang w:val="en-GB"/>
              </w:rPr>
              <w:t xml:space="preserve"> P.U.)</w:t>
            </w:r>
          </w:p>
        </w:tc>
        <w:tc>
          <w:tcPr>
            <w:tcW w:w="1418" w:type="pct"/>
          </w:tcPr>
          <w:p w14:paraId="570E5B3C" w14:textId="690B2E77" w:rsidR="007641A3" w:rsidRPr="00462965" w:rsidRDefault="007641A3" w:rsidP="00462965">
            <w:pPr>
              <w:jc w:val="both"/>
              <w:rPr>
                <w:rFonts w:cstheme="minorHAnsi"/>
              </w:rPr>
            </w:pPr>
            <w:r w:rsidRPr="00462965">
              <w:rPr>
                <w:rFonts w:cstheme="minorHAnsi"/>
              </w:rPr>
              <w:t>Należy się sprzeciwić projektowanemu art. 491</w:t>
            </w:r>
            <w:r w:rsidRPr="00462965">
              <w:rPr>
                <w:rFonts w:cstheme="minorHAnsi"/>
                <w:vertAlign w:val="superscript"/>
              </w:rPr>
              <w:t>9</w:t>
            </w:r>
            <w:r w:rsidRPr="00462965">
              <w:rPr>
                <w:rFonts w:cstheme="minorHAnsi"/>
              </w:rPr>
              <w:t xml:space="preserve"> ust. 1 prawa upadłościowego, proponującego sztywne wynagrodzenie syndyka w kwocie jednego przeciętnego</w:t>
            </w:r>
            <w:r w:rsidR="008B4B87">
              <w:rPr>
                <w:rFonts w:cstheme="minorHAnsi"/>
              </w:rPr>
              <w:t xml:space="preserve"> </w:t>
            </w:r>
            <w:r w:rsidRPr="00462965">
              <w:rPr>
                <w:rFonts w:cstheme="minorHAnsi"/>
              </w:rPr>
              <w:t>miesięcznego wynagrodzenia w sektorze przedsiębiorstw bez wypłat nagród z zysku</w:t>
            </w:r>
            <w:r w:rsidR="008B4B87">
              <w:rPr>
                <w:rFonts w:cstheme="minorHAnsi"/>
              </w:rPr>
              <w:t xml:space="preserve"> </w:t>
            </w:r>
            <w:r w:rsidRPr="00462965">
              <w:rPr>
                <w:rFonts w:cstheme="minorHAnsi"/>
              </w:rPr>
              <w:t xml:space="preserve">w trzecim kwartale roku poprzedniego, ogłoszonego przez Prezesa Głównego Urzędu Statystycznego. Co prawda na aprobatę zasługuje zmiana polegająca na zastosowaniu jednego wskaźnika statystycznego do wszystkich rodzajów postępowań w ustawie Prawo upadłościowe, gdy dotychczas w art. 22a, art. 162 ust. 3 i art. 235 ust. 1 pr. upadł. ustawodawca posługiwał się wskaźnikiem z III </w:t>
            </w:r>
            <w:r w:rsidRPr="00462965">
              <w:rPr>
                <w:rFonts w:cstheme="minorHAnsi"/>
              </w:rPr>
              <w:lastRenderedPageBreak/>
              <w:t>kwartału, ale już w dotychczasowym art. 491</w:t>
            </w:r>
            <w:r w:rsidRPr="00462965">
              <w:rPr>
                <w:rFonts w:cstheme="minorHAnsi"/>
                <w:vertAlign w:val="superscript"/>
              </w:rPr>
              <w:t>9</w:t>
            </w:r>
            <w:r w:rsidRPr="00462965">
              <w:rPr>
                <w:rFonts w:cstheme="minorHAnsi"/>
              </w:rPr>
              <w:t xml:space="preserve"> ust. 2 pr. upadł. wskaźnikiem z IV kwartału. Wskaźnik z III kwartału 2025 r. to 8.851,42 zł</w:t>
            </w:r>
            <w:r w:rsidR="003F549A" w:rsidRPr="00462965">
              <w:rPr>
                <w:rFonts w:cstheme="minorHAnsi"/>
              </w:rPr>
              <w:t>.</w:t>
            </w:r>
          </w:p>
          <w:p w14:paraId="0369B16F" w14:textId="29FF0234" w:rsidR="007641A3" w:rsidRPr="00462965" w:rsidRDefault="007641A3" w:rsidP="00462965">
            <w:pPr>
              <w:jc w:val="both"/>
              <w:rPr>
                <w:rFonts w:cstheme="minorHAnsi"/>
              </w:rPr>
            </w:pPr>
            <w:r w:rsidRPr="00462965">
              <w:rPr>
                <w:rFonts w:cstheme="minorHAnsi"/>
              </w:rPr>
              <w:t>Wymaga doprecyzowania, czy w upadłości konsumenckiej wynagrodzenie syndyka podlega powiększeniu o stawkę podatku VAT (art. 167a pr. upadł.). Z uwagi a to, iż większość doradców restrukturyzacyjnych podlega obowiązkowi rozliczenia podatku VAT, sztywne wynagrodzenie</w:t>
            </w:r>
            <w:r w:rsidR="003F549A" w:rsidRPr="00462965">
              <w:rPr>
                <w:rFonts w:cstheme="minorHAnsi"/>
              </w:rPr>
              <w:t xml:space="preserve"> </w:t>
            </w:r>
            <w:r w:rsidRPr="00462965">
              <w:rPr>
                <w:rFonts w:cstheme="minorHAnsi"/>
              </w:rPr>
              <w:t>(8.851,42 zł +23 %) wynosiłoby 10.887,24 zł. W sytuacji, gdy większość postępowań</w:t>
            </w:r>
            <w:r w:rsidR="003F549A" w:rsidRPr="00462965">
              <w:rPr>
                <w:rFonts w:cstheme="minorHAnsi"/>
              </w:rPr>
              <w:t xml:space="preserve"> </w:t>
            </w:r>
            <w:r w:rsidRPr="00462965">
              <w:rPr>
                <w:rFonts w:cstheme="minorHAnsi"/>
              </w:rPr>
              <w:t>upadłościowych konsumenckich to postępowania bezmasowe lub o niewielkich wpływach, samo wynagrodzenie syndyka w kwocie przewyższającej 10.000 zł brutto stanowiłoby ogromny czynnik kosztowo twórczy, wykładane przez Skarb Państwa.</w:t>
            </w:r>
          </w:p>
          <w:p w14:paraId="2380FBB0" w14:textId="661B60F2" w:rsidR="007641A3" w:rsidRPr="00462965" w:rsidRDefault="007641A3" w:rsidP="00462965">
            <w:pPr>
              <w:jc w:val="both"/>
              <w:rPr>
                <w:rFonts w:cstheme="minorHAnsi"/>
              </w:rPr>
            </w:pPr>
            <w:r w:rsidRPr="00462965">
              <w:rPr>
                <w:rFonts w:cstheme="minorHAnsi"/>
              </w:rPr>
              <w:t>W bardzo wielu postępowaniach wierzyciele nie zgłaszają swoich wierzytelności lub kwoty zgłaszane są bagatelne (kilkaset złotych, kilka-kilkanaście tysięcy złotych). Nie można zapominać, iż koszty postępowania, w tym zaliczkowane przez Skarb Państwa muszą być całości w ramach planu spłaty spłacone przez upadłego (art. 491</w:t>
            </w:r>
            <w:r w:rsidRPr="00462965">
              <w:rPr>
                <w:rFonts w:cstheme="minorHAnsi"/>
                <w:vertAlign w:val="superscript"/>
              </w:rPr>
              <w:t>15</w:t>
            </w:r>
            <w:r w:rsidRPr="00462965">
              <w:rPr>
                <w:rFonts w:cstheme="minorHAnsi"/>
              </w:rPr>
              <w:t xml:space="preserve"> ust. 2 pr. upadł.).</w:t>
            </w:r>
          </w:p>
          <w:p w14:paraId="741BDBC4" w14:textId="1918212A" w:rsidR="00412724" w:rsidRPr="00462965" w:rsidRDefault="007641A3" w:rsidP="00462965">
            <w:pPr>
              <w:jc w:val="both"/>
              <w:rPr>
                <w:rFonts w:cstheme="minorHAnsi"/>
              </w:rPr>
            </w:pPr>
            <w:r w:rsidRPr="00462965">
              <w:rPr>
                <w:rFonts w:cstheme="minorHAnsi"/>
              </w:rPr>
              <w:t>Kwota ryczałtowego wynagrodzenia syndyka brutto powinna być zdecydowanie niższa, przy bezmasowych, niewielkich postępowaniach, których jest większość.</w:t>
            </w:r>
          </w:p>
        </w:tc>
        <w:tc>
          <w:tcPr>
            <w:tcW w:w="1027" w:type="pct"/>
          </w:tcPr>
          <w:p w14:paraId="6BCADEAB" w14:textId="77777777" w:rsidR="00412724" w:rsidRPr="00486628" w:rsidRDefault="00412724" w:rsidP="00343E6B">
            <w:pPr>
              <w:jc w:val="both"/>
              <w:rPr>
                <w:rFonts w:cstheme="minorHAnsi"/>
              </w:rPr>
            </w:pPr>
          </w:p>
        </w:tc>
        <w:tc>
          <w:tcPr>
            <w:tcW w:w="1108" w:type="pct"/>
          </w:tcPr>
          <w:p w14:paraId="0F870B36" w14:textId="5E93FC3D" w:rsidR="00412724" w:rsidRPr="007368C7" w:rsidRDefault="00993BBE" w:rsidP="00BC45D4">
            <w:pPr>
              <w:jc w:val="both"/>
              <w:rPr>
                <w:rFonts w:cstheme="minorHAnsi"/>
                <w:b/>
                <w:bCs/>
              </w:rPr>
            </w:pPr>
            <w:r w:rsidRPr="007368C7">
              <w:rPr>
                <w:rFonts w:cstheme="minorHAnsi"/>
                <w:b/>
                <w:bCs/>
              </w:rPr>
              <w:t>Uwaga uwzględniona</w:t>
            </w:r>
          </w:p>
          <w:p w14:paraId="590FB521" w14:textId="2ECDB7F3" w:rsidR="00993BBE" w:rsidRPr="007368C7" w:rsidRDefault="00A84A71" w:rsidP="00BC45D4">
            <w:pPr>
              <w:jc w:val="both"/>
              <w:rPr>
                <w:rFonts w:cstheme="minorHAnsi"/>
              </w:rPr>
            </w:pPr>
            <w:r w:rsidRPr="007368C7">
              <w:rPr>
                <w:rFonts w:cstheme="minorHAnsi"/>
              </w:rPr>
              <w:t>Do projektu wprowadzono</w:t>
            </w:r>
            <w:r w:rsidR="00993BBE" w:rsidRPr="007368C7">
              <w:rPr>
                <w:rFonts w:cstheme="minorHAnsi"/>
              </w:rPr>
              <w:t xml:space="preserve"> wentyl bezpieczeństwa w zakresie obniżenia wynagrodzenia </w:t>
            </w:r>
            <w:r w:rsidRPr="007368C7">
              <w:rPr>
                <w:rFonts w:cstheme="minorHAnsi"/>
              </w:rPr>
              <w:t xml:space="preserve">(w </w:t>
            </w:r>
            <w:r w:rsidR="00993BBE" w:rsidRPr="007368C7">
              <w:rPr>
                <w:rFonts w:cstheme="minorHAnsi"/>
              </w:rPr>
              <w:t>wyjątkow</w:t>
            </w:r>
            <w:r w:rsidRPr="007368C7">
              <w:rPr>
                <w:rFonts w:cstheme="minorHAnsi"/>
              </w:rPr>
              <w:t>ych</w:t>
            </w:r>
            <w:r w:rsidR="00993BBE" w:rsidRPr="007368C7">
              <w:rPr>
                <w:rFonts w:cstheme="minorHAnsi"/>
              </w:rPr>
              <w:t xml:space="preserve"> sytuacj</w:t>
            </w:r>
            <w:r w:rsidRPr="007368C7">
              <w:rPr>
                <w:rFonts w:cstheme="minorHAnsi"/>
              </w:rPr>
              <w:t>ach</w:t>
            </w:r>
            <w:r w:rsidR="00993BBE" w:rsidRPr="007368C7">
              <w:rPr>
                <w:rFonts w:cstheme="minorHAnsi"/>
              </w:rPr>
              <w:t xml:space="preserve">) </w:t>
            </w:r>
            <w:r w:rsidR="00232EC9" w:rsidRPr="007368C7">
              <w:rPr>
                <w:rFonts w:cstheme="minorHAnsi"/>
              </w:rPr>
              <w:t xml:space="preserve">poprzez </w:t>
            </w:r>
            <w:r w:rsidR="001535E3" w:rsidRPr="007368C7">
              <w:rPr>
                <w:rFonts w:cstheme="minorHAnsi"/>
              </w:rPr>
              <w:t xml:space="preserve">nadanie </w:t>
            </w:r>
            <w:r w:rsidR="00232EC9" w:rsidRPr="007368C7">
              <w:rPr>
                <w:rFonts w:cstheme="minorHAnsi"/>
              </w:rPr>
              <w:t xml:space="preserve">ust. </w:t>
            </w:r>
            <w:r w:rsidR="001535E3" w:rsidRPr="007368C7">
              <w:rPr>
                <w:rFonts w:cstheme="minorHAnsi"/>
              </w:rPr>
              <w:t>3</w:t>
            </w:r>
            <w:r w:rsidR="00232EC9" w:rsidRPr="007368C7">
              <w:rPr>
                <w:rFonts w:cstheme="minorHAnsi"/>
              </w:rPr>
              <w:t xml:space="preserve"> nowego brzmienia:</w:t>
            </w:r>
          </w:p>
          <w:p w14:paraId="4C62CAC4" w14:textId="707F885B" w:rsidR="00993BBE" w:rsidRPr="007368C7" w:rsidRDefault="00D4635C" w:rsidP="00BC45D4">
            <w:pPr>
              <w:jc w:val="both"/>
              <w:rPr>
                <w:rFonts w:cstheme="minorHAnsi"/>
              </w:rPr>
            </w:pPr>
            <w:r w:rsidRPr="00F8696E">
              <w:rPr>
                <w:rFonts w:cstheme="minorHAnsi"/>
                <w:i/>
                <w:iCs/>
              </w:rPr>
              <w:t xml:space="preserve">Ust. </w:t>
            </w:r>
            <w:r w:rsidR="001535E3" w:rsidRPr="00F8696E">
              <w:rPr>
                <w:rFonts w:cstheme="minorHAnsi"/>
                <w:i/>
                <w:iCs/>
              </w:rPr>
              <w:t>3</w:t>
            </w:r>
            <w:r w:rsidRPr="00F8696E">
              <w:rPr>
                <w:rFonts w:cstheme="minorHAnsi"/>
                <w:i/>
                <w:iCs/>
              </w:rPr>
              <w:t xml:space="preserve">. </w:t>
            </w:r>
            <w:r w:rsidR="001535E3" w:rsidRPr="00F8696E">
              <w:rPr>
                <w:rFonts w:cstheme="minorHAnsi"/>
                <w:i/>
                <w:iCs/>
              </w:rPr>
              <w:t xml:space="preserve"> Jeżeli wysokość wynagrodzenia syndyka, o której mowa w ust. 2 byłaby rażąco wygórowana w stosunku do nakładu jego pracy wynikającego z przebiegu prowadzonego postępowania, w szczególności w razie umorzenia postępowania na wczesnym etapie, sąd może z</w:t>
            </w:r>
            <w:r w:rsidR="001535E3" w:rsidRPr="007368C7">
              <w:rPr>
                <w:rFonts w:cstheme="minorHAnsi"/>
              </w:rPr>
              <w:t xml:space="preserve"> </w:t>
            </w:r>
            <w:r w:rsidR="001535E3" w:rsidRPr="00F8696E">
              <w:rPr>
                <w:rFonts w:cstheme="minorHAnsi"/>
                <w:i/>
                <w:iCs/>
              </w:rPr>
              <w:lastRenderedPageBreak/>
              <w:t>urzędu obniżyć wynagrodzenie syndyka do wysokości nie niższej niż jedna czwarta przeciętnego wynagrodzenia, o którym mowa w ust. 2.”,</w:t>
            </w:r>
          </w:p>
          <w:p w14:paraId="27F0B51C" w14:textId="77777777" w:rsidR="007D6F41" w:rsidRPr="007368C7" w:rsidRDefault="007D6F41" w:rsidP="00BC45D4">
            <w:pPr>
              <w:jc w:val="both"/>
              <w:rPr>
                <w:rFonts w:cstheme="minorHAnsi"/>
              </w:rPr>
            </w:pPr>
          </w:p>
          <w:p w14:paraId="79BFD299" w14:textId="2C8A14B4" w:rsidR="002C11C7" w:rsidRPr="007368C7" w:rsidRDefault="002C11C7" w:rsidP="00BC45D4">
            <w:pPr>
              <w:jc w:val="both"/>
              <w:rPr>
                <w:rFonts w:cstheme="minorHAnsi"/>
              </w:rPr>
            </w:pPr>
            <w:r w:rsidRPr="007368C7">
              <w:rPr>
                <w:rFonts w:cstheme="minorHAnsi"/>
              </w:rPr>
              <w:t>Dodatkowo,</w:t>
            </w:r>
            <w:r w:rsidR="001535E3" w:rsidRPr="007368C7">
              <w:rPr>
                <w:rFonts w:cstheme="minorHAnsi"/>
              </w:rPr>
              <w:t xml:space="preserve"> dodano</w:t>
            </w:r>
            <w:r w:rsidRPr="007368C7">
              <w:rPr>
                <w:rFonts w:cstheme="minorHAnsi"/>
              </w:rPr>
              <w:t xml:space="preserve"> ust. 3</w:t>
            </w:r>
            <w:r w:rsidR="001535E3" w:rsidRPr="007368C7">
              <w:rPr>
                <w:rFonts w:cstheme="minorHAnsi"/>
              </w:rPr>
              <w:t xml:space="preserve">d </w:t>
            </w:r>
            <w:r w:rsidRPr="007368C7">
              <w:rPr>
                <w:rFonts w:cstheme="minorHAnsi"/>
              </w:rPr>
              <w:t>w brzmieniu:</w:t>
            </w:r>
          </w:p>
          <w:p w14:paraId="60CD38AF" w14:textId="0909C0A0" w:rsidR="0031137B" w:rsidRPr="00F8696E" w:rsidRDefault="001535E3" w:rsidP="001535E3">
            <w:pPr>
              <w:jc w:val="both"/>
              <w:rPr>
                <w:rFonts w:cstheme="minorHAnsi"/>
                <w:i/>
                <w:iCs/>
              </w:rPr>
            </w:pPr>
            <w:r w:rsidRPr="00F8696E">
              <w:rPr>
                <w:rFonts w:cstheme="minorHAnsi"/>
                <w:i/>
                <w:iCs/>
              </w:rPr>
              <w:t>Syndyk jest uprawniony do pobrania wynagrodzenia po uprawomocnieniu się postanowienia, o którym mowa w ust. 3c. W przypadku, gdy środki masy upadłości nie pozwalają na pokrycie wynagrodzenia syndyka, w postanowieniu, o którym mowa w ust. 3c, sąd określa wysokość wynagrodzenia, która zostanie wypłacona ze środków Skarbu Państwa.</w:t>
            </w:r>
          </w:p>
        </w:tc>
      </w:tr>
      <w:tr w:rsidR="003B3876" w:rsidRPr="00486628" w14:paraId="5D5F978E" w14:textId="77777777" w:rsidTr="00AC5078">
        <w:tc>
          <w:tcPr>
            <w:tcW w:w="158" w:type="pct"/>
          </w:tcPr>
          <w:p w14:paraId="34A694A0" w14:textId="016EF10C" w:rsidR="007641A3" w:rsidRDefault="007641A3" w:rsidP="00343E6B">
            <w:pPr>
              <w:jc w:val="center"/>
              <w:rPr>
                <w:rFonts w:cstheme="minorHAnsi"/>
              </w:rPr>
            </w:pPr>
            <w:r>
              <w:rPr>
                <w:rFonts w:cstheme="minorHAnsi"/>
              </w:rPr>
              <w:lastRenderedPageBreak/>
              <w:t>10</w:t>
            </w:r>
          </w:p>
        </w:tc>
        <w:tc>
          <w:tcPr>
            <w:tcW w:w="698" w:type="pct"/>
          </w:tcPr>
          <w:p w14:paraId="75A09291" w14:textId="3C0DC12C" w:rsidR="007641A3" w:rsidRDefault="00143468" w:rsidP="00343E6B">
            <w:pPr>
              <w:jc w:val="both"/>
              <w:rPr>
                <w:rFonts w:cstheme="minorHAnsi"/>
              </w:rPr>
            </w:pPr>
            <w:r>
              <w:rPr>
                <w:rFonts w:cstheme="minorHAnsi"/>
              </w:rPr>
              <w:t xml:space="preserve">Sąd Apelacyjny w Szczecinie </w:t>
            </w:r>
          </w:p>
        </w:tc>
        <w:tc>
          <w:tcPr>
            <w:tcW w:w="591" w:type="pct"/>
          </w:tcPr>
          <w:p w14:paraId="2C23B9B7" w14:textId="69785334" w:rsidR="007641A3" w:rsidRPr="002B3340" w:rsidRDefault="00703610" w:rsidP="00343E6B">
            <w:pPr>
              <w:jc w:val="both"/>
              <w:rPr>
                <w:rFonts w:cstheme="minorHAnsi"/>
                <w:lang w:val="en-GB"/>
              </w:rPr>
            </w:pPr>
            <w:r w:rsidRPr="002B3340">
              <w:rPr>
                <w:rFonts w:cstheme="minorHAnsi"/>
                <w:b/>
                <w:bCs/>
                <w:lang w:val="en-GB"/>
              </w:rPr>
              <w:t>Art. 1 pkt 13 lit. d</w:t>
            </w:r>
            <w:r w:rsidRPr="002B3340">
              <w:rPr>
                <w:rFonts w:cstheme="minorHAnsi"/>
                <w:lang w:val="en-GB"/>
              </w:rPr>
              <w:t xml:space="preserve"> (</w:t>
            </w:r>
            <w:r w:rsidR="00143468" w:rsidRPr="002B3340">
              <w:rPr>
                <w:rFonts w:cstheme="minorHAnsi"/>
                <w:lang w:val="en-GB"/>
              </w:rPr>
              <w:t>art.</w:t>
            </w:r>
            <w:r w:rsidR="003F549A" w:rsidRPr="002B3340">
              <w:rPr>
                <w:rFonts w:cstheme="minorHAnsi"/>
                <w:lang w:val="en-GB"/>
              </w:rPr>
              <w:t xml:space="preserve"> </w:t>
            </w:r>
            <w:r w:rsidR="00143468" w:rsidRPr="002B3340">
              <w:rPr>
                <w:rFonts w:cstheme="minorHAnsi"/>
                <w:lang w:val="en-GB"/>
              </w:rPr>
              <w:t>491</w:t>
            </w:r>
            <w:r w:rsidR="00143468" w:rsidRPr="002B3340">
              <w:rPr>
                <w:rFonts w:cstheme="minorHAnsi"/>
                <w:vertAlign w:val="superscript"/>
                <w:lang w:val="en-GB"/>
              </w:rPr>
              <w:t>9</w:t>
            </w:r>
            <w:r w:rsidR="00143468" w:rsidRPr="002B3340">
              <w:rPr>
                <w:rFonts w:cstheme="minorHAnsi"/>
                <w:lang w:val="en-GB"/>
              </w:rPr>
              <w:t xml:space="preserve"> </w:t>
            </w:r>
            <w:r w:rsidR="003F549A" w:rsidRPr="002B3340">
              <w:rPr>
                <w:rFonts w:cstheme="minorHAnsi"/>
                <w:lang w:val="en-GB"/>
              </w:rPr>
              <w:t>u</w:t>
            </w:r>
            <w:r w:rsidR="00143468" w:rsidRPr="002B3340">
              <w:rPr>
                <w:rFonts w:cstheme="minorHAnsi"/>
                <w:lang w:val="en-GB"/>
              </w:rPr>
              <w:t>st. 3c</w:t>
            </w:r>
            <w:r w:rsidRPr="002B3340">
              <w:rPr>
                <w:rFonts w:cstheme="minorHAnsi"/>
                <w:lang w:val="en-GB"/>
              </w:rPr>
              <w:t xml:space="preserve"> P.U.)</w:t>
            </w:r>
          </w:p>
        </w:tc>
        <w:tc>
          <w:tcPr>
            <w:tcW w:w="1418" w:type="pct"/>
          </w:tcPr>
          <w:p w14:paraId="719870D4" w14:textId="2B46DEF2" w:rsidR="007641A3" w:rsidRPr="00462965" w:rsidRDefault="00143468" w:rsidP="00462965">
            <w:pPr>
              <w:jc w:val="both"/>
              <w:rPr>
                <w:rFonts w:cstheme="minorHAnsi"/>
              </w:rPr>
            </w:pPr>
            <w:r w:rsidRPr="00462965">
              <w:rPr>
                <w:rFonts w:cstheme="minorHAnsi"/>
              </w:rPr>
              <w:t>Niezrozumiała jest procedura wypłaty wynagrodzenia syndykowi na podstawie</w:t>
            </w:r>
            <w:r w:rsidR="008B4B87">
              <w:rPr>
                <w:rFonts w:cstheme="minorHAnsi"/>
              </w:rPr>
              <w:t xml:space="preserve"> </w:t>
            </w:r>
            <w:r w:rsidRPr="00462965">
              <w:rPr>
                <w:rFonts w:cstheme="minorHAnsi"/>
              </w:rPr>
              <w:t xml:space="preserve">projektowanego </w:t>
            </w:r>
            <w:r w:rsidR="00703610" w:rsidRPr="00462965">
              <w:rPr>
                <w:rFonts w:cstheme="minorHAnsi"/>
              </w:rPr>
              <w:t xml:space="preserve">art. </w:t>
            </w:r>
            <w:r w:rsidRPr="00462965">
              <w:rPr>
                <w:rFonts w:cstheme="minorHAnsi"/>
              </w:rPr>
              <w:t>.491</w:t>
            </w:r>
            <w:r w:rsidRPr="00462965">
              <w:rPr>
                <w:rFonts w:cstheme="minorHAnsi"/>
                <w:vertAlign w:val="superscript"/>
              </w:rPr>
              <w:t>9</w:t>
            </w:r>
            <w:r w:rsidRPr="00462965">
              <w:rPr>
                <w:rFonts w:cstheme="minorHAnsi"/>
              </w:rPr>
              <w:t xml:space="preserve"> ust. 3c pr. upadł. „bez przyznania wynagrodzenia postanowieniem sądu, na podstawie rachunku wystawionego przez syndyka (…)”.</w:t>
            </w:r>
            <w:r w:rsidR="00703610" w:rsidRPr="00462965">
              <w:rPr>
                <w:rFonts w:cstheme="minorHAnsi"/>
              </w:rPr>
              <w:t xml:space="preserve"> </w:t>
            </w:r>
            <w:r w:rsidRPr="00462965">
              <w:rPr>
                <w:rFonts w:cstheme="minorHAnsi"/>
              </w:rPr>
              <w:t>O ile miało to w założeniu odciążyć orzeczników, przedłożenie rachunku (faktury?) winno następować poza systemem KRZ. Dla rozwiania wątpliwości, winno być wskazane, że syndyk przedkłada ten rachunek bezpośrednio oddziałowi finansowemu sądu. W innym przypadku</w:t>
            </w:r>
            <w:r w:rsidR="008B4B87">
              <w:rPr>
                <w:rFonts w:cstheme="minorHAnsi"/>
              </w:rPr>
              <w:t xml:space="preserve"> </w:t>
            </w:r>
            <w:r w:rsidRPr="00462965">
              <w:rPr>
                <w:rFonts w:cstheme="minorHAnsi"/>
              </w:rPr>
              <w:t>pojawią się kolejne wątpliwości interpretacyjne, związane z obiegiem dokumentów i angażowaniem orzeczników w czynności poza orzecznicze (w jaki sposób rachunki mają trafiać do księgowości, np. czy z sądu upadłościowego poprzez wprowadzony w sądach system</w:t>
            </w:r>
            <w:r w:rsidR="00703610" w:rsidRPr="00462965">
              <w:rPr>
                <w:rFonts w:cstheme="minorHAnsi"/>
              </w:rPr>
              <w:t xml:space="preserve"> </w:t>
            </w:r>
            <w:r w:rsidRPr="00462965">
              <w:rPr>
                <w:rFonts w:cstheme="minorHAnsi"/>
              </w:rPr>
              <w:t xml:space="preserve">EZD?). </w:t>
            </w:r>
          </w:p>
        </w:tc>
        <w:tc>
          <w:tcPr>
            <w:tcW w:w="1027" w:type="pct"/>
          </w:tcPr>
          <w:p w14:paraId="002D5C92" w14:textId="77777777" w:rsidR="007641A3" w:rsidRPr="00486628" w:rsidRDefault="007641A3" w:rsidP="00343E6B">
            <w:pPr>
              <w:jc w:val="both"/>
              <w:rPr>
                <w:rFonts w:cstheme="minorHAnsi"/>
              </w:rPr>
            </w:pPr>
          </w:p>
        </w:tc>
        <w:tc>
          <w:tcPr>
            <w:tcW w:w="1108" w:type="pct"/>
          </w:tcPr>
          <w:p w14:paraId="7E19EFF5" w14:textId="77777777" w:rsidR="001535E3" w:rsidRPr="007368C7" w:rsidRDefault="001535E3" w:rsidP="001535E3">
            <w:pPr>
              <w:jc w:val="both"/>
              <w:rPr>
                <w:rFonts w:cstheme="minorHAnsi"/>
                <w:b/>
                <w:bCs/>
              </w:rPr>
            </w:pPr>
            <w:r w:rsidRPr="007368C7">
              <w:rPr>
                <w:rFonts w:cstheme="minorHAnsi"/>
                <w:b/>
                <w:bCs/>
              </w:rPr>
              <w:t>Uwaga uwzględniona</w:t>
            </w:r>
          </w:p>
          <w:p w14:paraId="4DF42AF4" w14:textId="77777777" w:rsidR="001535E3" w:rsidRPr="007368C7" w:rsidRDefault="001535E3" w:rsidP="001535E3">
            <w:pPr>
              <w:jc w:val="both"/>
              <w:rPr>
                <w:rFonts w:cstheme="minorHAnsi"/>
              </w:rPr>
            </w:pPr>
          </w:p>
          <w:p w14:paraId="2B20A4FD" w14:textId="66256E78" w:rsidR="001535E3" w:rsidRPr="007368C7" w:rsidRDefault="001535E3" w:rsidP="001535E3">
            <w:pPr>
              <w:jc w:val="both"/>
              <w:rPr>
                <w:rFonts w:cstheme="minorHAnsi"/>
              </w:rPr>
            </w:pPr>
            <w:r w:rsidRPr="007368C7">
              <w:rPr>
                <w:rFonts w:cstheme="minorHAnsi"/>
              </w:rPr>
              <w:t>W art. 491</w:t>
            </w:r>
            <w:r w:rsidRPr="007368C7">
              <w:rPr>
                <w:rFonts w:cstheme="minorHAnsi"/>
                <w:vertAlign w:val="superscript"/>
              </w:rPr>
              <w:t>9</w:t>
            </w:r>
            <w:r w:rsidRPr="007368C7">
              <w:rPr>
                <w:rFonts w:cstheme="minorHAnsi"/>
              </w:rPr>
              <w:t xml:space="preserve"> dodano ust. 3d w brzmieniu:</w:t>
            </w:r>
          </w:p>
          <w:p w14:paraId="674501B6" w14:textId="5AFDE9FD" w:rsidR="00D93225" w:rsidRPr="00F8696E" w:rsidRDefault="001535E3" w:rsidP="001535E3">
            <w:pPr>
              <w:jc w:val="both"/>
              <w:rPr>
                <w:rFonts w:cstheme="minorHAnsi"/>
                <w:i/>
                <w:iCs/>
              </w:rPr>
            </w:pPr>
            <w:r w:rsidRPr="00F8696E">
              <w:rPr>
                <w:rFonts w:cstheme="minorHAnsi"/>
                <w:i/>
                <w:iCs/>
              </w:rPr>
              <w:t>Syndyk jest uprawniony do pobrania wynagrodzenia po uprawomocnieniu się postanowienia o którym mowa w ust. 3c. W przypadku, gdy środki masy upadłości nie pozwalają na pokrycie wynagrodzenia syndyka, w postanowieniu, o którym mowa w ust. 3c, sąd określa wysokość wynagrodzenia, która zostanie wypłacona ze środków Skarbu Państwa.</w:t>
            </w:r>
          </w:p>
        </w:tc>
      </w:tr>
      <w:tr w:rsidR="003B3876" w:rsidRPr="00486628" w14:paraId="2D8C8B84" w14:textId="77777777" w:rsidTr="00AC5078">
        <w:tc>
          <w:tcPr>
            <w:tcW w:w="158" w:type="pct"/>
          </w:tcPr>
          <w:p w14:paraId="13CEE412" w14:textId="0E48C89A" w:rsidR="001F4890" w:rsidRDefault="001F4890" w:rsidP="00343E6B">
            <w:pPr>
              <w:jc w:val="center"/>
              <w:rPr>
                <w:rFonts w:cstheme="minorHAnsi"/>
              </w:rPr>
            </w:pPr>
            <w:r>
              <w:rPr>
                <w:rFonts w:cstheme="minorHAnsi"/>
              </w:rPr>
              <w:t>11</w:t>
            </w:r>
          </w:p>
        </w:tc>
        <w:tc>
          <w:tcPr>
            <w:tcW w:w="698" w:type="pct"/>
          </w:tcPr>
          <w:p w14:paraId="031039B8" w14:textId="50A4D73F" w:rsidR="001F4890" w:rsidRDefault="009566BF" w:rsidP="00343E6B">
            <w:pPr>
              <w:jc w:val="both"/>
              <w:rPr>
                <w:rFonts w:cstheme="minorHAnsi"/>
              </w:rPr>
            </w:pPr>
            <w:r w:rsidRPr="009566BF">
              <w:rPr>
                <w:rFonts w:cstheme="minorHAnsi"/>
              </w:rPr>
              <w:t>Związek Przedsiębiorstw Finansowych w Polsce</w:t>
            </w:r>
          </w:p>
        </w:tc>
        <w:tc>
          <w:tcPr>
            <w:tcW w:w="591" w:type="pct"/>
          </w:tcPr>
          <w:p w14:paraId="291E1815" w14:textId="3E951B45" w:rsidR="00703610" w:rsidRPr="0001263F" w:rsidRDefault="00703610" w:rsidP="00343E6B">
            <w:pPr>
              <w:jc w:val="both"/>
              <w:rPr>
                <w:rFonts w:cstheme="minorHAnsi"/>
                <w:b/>
                <w:bCs/>
              </w:rPr>
            </w:pPr>
            <w:r w:rsidRPr="0001263F">
              <w:rPr>
                <w:rFonts w:cstheme="minorHAnsi"/>
                <w:b/>
                <w:bCs/>
              </w:rPr>
              <w:t xml:space="preserve">Art. </w:t>
            </w:r>
            <w:r w:rsidR="0001263F" w:rsidRPr="0001263F">
              <w:rPr>
                <w:rFonts w:cstheme="minorHAnsi"/>
                <w:b/>
                <w:bCs/>
              </w:rPr>
              <w:t>1 pkt. 8 lit b</w:t>
            </w:r>
          </w:p>
          <w:p w14:paraId="2082FDA5" w14:textId="0566B7EC" w:rsidR="001F4890" w:rsidRPr="00143468" w:rsidRDefault="0001263F" w:rsidP="0001263F">
            <w:pPr>
              <w:jc w:val="both"/>
              <w:rPr>
                <w:rFonts w:cstheme="minorHAnsi"/>
              </w:rPr>
            </w:pPr>
            <w:r>
              <w:rPr>
                <w:rFonts w:cstheme="minorHAnsi"/>
              </w:rPr>
              <w:t>(uchylenie art. 370e ust. 2 P.U.)</w:t>
            </w:r>
          </w:p>
        </w:tc>
        <w:tc>
          <w:tcPr>
            <w:tcW w:w="1418" w:type="pct"/>
          </w:tcPr>
          <w:p w14:paraId="26EF4F04" w14:textId="69CB4769" w:rsidR="00BD6D9C" w:rsidRPr="00462965" w:rsidRDefault="00BD6D9C" w:rsidP="00462965">
            <w:pPr>
              <w:jc w:val="both"/>
              <w:rPr>
                <w:rFonts w:cstheme="minorHAnsi"/>
              </w:rPr>
            </w:pPr>
            <w:r w:rsidRPr="00462965">
              <w:rPr>
                <w:rFonts w:cstheme="minorHAnsi"/>
              </w:rPr>
              <w:t>Jako negatywną w ujęciu systemowym, z punktu widzenia wierzycieli należy przyjąć</w:t>
            </w:r>
            <w:r w:rsidR="006D2F73">
              <w:rPr>
                <w:rFonts w:cstheme="minorHAnsi"/>
              </w:rPr>
              <w:t xml:space="preserve"> </w:t>
            </w:r>
            <w:r w:rsidRPr="00462965">
              <w:rPr>
                <w:rFonts w:cstheme="minorHAnsi"/>
              </w:rPr>
              <w:t>proponowaną w Projekcie ustawy zmianę zakładającą brak uchylenia przez sąd upadłościowy planu spłaty, w przypadku braku złożenia przez upadłego sprawozdania rocznego. Obecne przepisy formułują zasadę zgodnie z którą, w przypadku braku złożenia sprawozdania z wykonania planu spłaty, sąd jest obowiązany</w:t>
            </w:r>
            <w:r w:rsidR="00EE1E93">
              <w:rPr>
                <w:rFonts w:cstheme="minorHAnsi"/>
              </w:rPr>
              <w:t xml:space="preserve"> </w:t>
            </w:r>
            <w:r w:rsidRPr="00462965">
              <w:rPr>
                <w:rFonts w:cstheme="minorHAnsi"/>
              </w:rPr>
              <w:t xml:space="preserve">uchylić plan spłaty, ale i także zmianę, zgodnie z którą sąd nie będzie oceniać wniesionego uzasadnienia pod żadnym kątem, zarówno treści jak i formy. Zmianę w kierunku </w:t>
            </w:r>
            <w:r w:rsidRPr="00462965">
              <w:rPr>
                <w:rFonts w:cstheme="minorHAnsi"/>
              </w:rPr>
              <w:lastRenderedPageBreak/>
              <w:t>odstąpienia od uchylenia planu spłaty z urzędu przez sąd uzasadnia się</w:t>
            </w:r>
            <w:r w:rsidR="0001263F" w:rsidRPr="00462965">
              <w:rPr>
                <w:rFonts w:cstheme="minorHAnsi"/>
              </w:rPr>
              <w:t xml:space="preserve"> </w:t>
            </w:r>
            <w:r w:rsidRPr="00462965">
              <w:rPr>
                <w:rFonts w:cstheme="minorHAnsi"/>
              </w:rPr>
              <w:t>„wykluczeniem cyfrowym dłużnika” przyjmując, że w praktyce, dłużnicy nie radzą sobie ze składaniem dokumentacji przez system teleinformatyczny i wobec tego, działanie polegające na automatycznym uchyleniu planu spłaty w opisanym przypadku mogłoby naruszać zasady proporcjonalności. Takie uzasadnienie może budzić wątpliwości co do swojej zasadności, ponieważ całe postępowanie upadłościowe, jest co do zasady oparte na systemie teleinformatycznym.</w:t>
            </w:r>
          </w:p>
          <w:p w14:paraId="5C496674" w14:textId="0AA9A5F6" w:rsidR="001F4890" w:rsidRPr="00462965" w:rsidRDefault="00BD6D9C" w:rsidP="00462965">
            <w:pPr>
              <w:jc w:val="both"/>
              <w:rPr>
                <w:rFonts w:cstheme="minorHAnsi"/>
              </w:rPr>
            </w:pPr>
            <w:r w:rsidRPr="00462965">
              <w:rPr>
                <w:rFonts w:cstheme="minorHAnsi"/>
              </w:rPr>
              <w:t>Z punktu widzenia wierzycieli, ustalenie planu spłaty i obecny nadzór sądów upadłościowych nad jego realizacją, jest gwarancją spełnienia wszystkich celów i funkcji tego postępowania. Wierzyciele w tym postępowaniu, w przypadku braku spełnienia obowiązku przez dłużnika, wniesienia sprawozdania z realizacji planu spłaty, nie będą mieli narzędzi do bieżącego analizowania ani także nadzorowania realizacji spłat, w ujęciu ogółu wierzycieli. Nie będzie wiadomym, jaki jest faktyczny wymiar jego realizacji mając na względzie ogół praw wierzycieli oraz stan majątku dłużnika (który właśnie</w:t>
            </w:r>
            <w:r w:rsidR="006D2F73">
              <w:rPr>
                <w:rFonts w:cstheme="minorHAnsi"/>
              </w:rPr>
              <w:t xml:space="preserve"> </w:t>
            </w:r>
            <w:r w:rsidRPr="00462965">
              <w:rPr>
                <w:rFonts w:cstheme="minorHAnsi"/>
              </w:rPr>
              <w:t>wynika ze złożonego sprawozdania).</w:t>
            </w:r>
          </w:p>
        </w:tc>
        <w:tc>
          <w:tcPr>
            <w:tcW w:w="1027" w:type="pct"/>
          </w:tcPr>
          <w:p w14:paraId="39285A0E" w14:textId="062922F4" w:rsidR="009566BF" w:rsidRPr="009566BF" w:rsidRDefault="0001263F" w:rsidP="009566BF">
            <w:pPr>
              <w:jc w:val="both"/>
              <w:rPr>
                <w:rFonts w:cstheme="minorHAnsi"/>
              </w:rPr>
            </w:pPr>
            <w:r>
              <w:rPr>
                <w:rFonts w:cstheme="minorHAnsi"/>
                <w:i/>
                <w:iCs/>
              </w:rPr>
              <w:lastRenderedPageBreak/>
              <w:t xml:space="preserve">W art. 370e </w:t>
            </w:r>
            <w:r w:rsidR="009566BF" w:rsidRPr="009566BF">
              <w:rPr>
                <w:rFonts w:cstheme="minorHAnsi"/>
                <w:i/>
                <w:iCs/>
              </w:rPr>
              <w:t xml:space="preserve">w ust. 2 pkt 1 otrzymuje brzmienie: </w:t>
            </w:r>
          </w:p>
          <w:p w14:paraId="5C13B063" w14:textId="77777777" w:rsidR="009566BF" w:rsidRPr="009566BF" w:rsidRDefault="009566BF" w:rsidP="009566BF">
            <w:pPr>
              <w:jc w:val="both"/>
              <w:rPr>
                <w:rFonts w:cstheme="minorHAnsi"/>
              </w:rPr>
            </w:pPr>
            <w:r w:rsidRPr="009566BF">
              <w:rPr>
                <w:rFonts w:cstheme="minorHAnsi"/>
                <w:i/>
                <w:iCs/>
              </w:rPr>
              <w:t xml:space="preserve">1. W przypadku jeżeli upadły: </w:t>
            </w:r>
          </w:p>
          <w:p w14:paraId="7A62B5FB" w14:textId="77777777" w:rsidR="009566BF" w:rsidRPr="009566BF" w:rsidRDefault="009566BF" w:rsidP="009566BF">
            <w:pPr>
              <w:jc w:val="both"/>
              <w:rPr>
                <w:rFonts w:cstheme="minorHAnsi"/>
              </w:rPr>
            </w:pPr>
            <w:r w:rsidRPr="009566BF">
              <w:rPr>
                <w:rFonts w:cstheme="minorHAnsi"/>
                <w:i/>
                <w:iCs/>
              </w:rPr>
              <w:t xml:space="preserve">1) nie złożył w terminie sprawozdania z wykonania planu spłaty wierzycieli zgodnie z art. 370c ust. 4; </w:t>
            </w:r>
          </w:p>
          <w:p w14:paraId="37EC4D3A" w14:textId="77777777" w:rsidR="009566BF" w:rsidRPr="009566BF" w:rsidRDefault="009566BF" w:rsidP="009566BF">
            <w:pPr>
              <w:jc w:val="both"/>
              <w:rPr>
                <w:rFonts w:cstheme="minorHAnsi"/>
              </w:rPr>
            </w:pPr>
            <w:r w:rsidRPr="009566BF">
              <w:rPr>
                <w:rFonts w:cstheme="minorHAnsi"/>
                <w:i/>
                <w:iCs/>
              </w:rPr>
              <w:t xml:space="preserve">2) w sprawozdaniu z wykonania planu spłaty wierzycieli zataił osiągnięte przychody lub nabyte składniki majątkowe, o których mowa w art. 370c ust. 4; </w:t>
            </w:r>
          </w:p>
          <w:p w14:paraId="7F5B8B66" w14:textId="77777777" w:rsidR="009566BF" w:rsidRPr="009566BF" w:rsidRDefault="009566BF" w:rsidP="009566BF">
            <w:pPr>
              <w:jc w:val="both"/>
              <w:rPr>
                <w:rFonts w:cstheme="minorHAnsi"/>
              </w:rPr>
            </w:pPr>
            <w:r w:rsidRPr="009566BF">
              <w:rPr>
                <w:rFonts w:cstheme="minorHAnsi"/>
                <w:i/>
                <w:iCs/>
              </w:rPr>
              <w:lastRenderedPageBreak/>
              <w:t xml:space="preserve">3) dokonał czynności prawnej, o której mowa w art. 370c ust. 2, bez zgody sądu albo czynność ta nie została przez sąd zatwierdzona; </w:t>
            </w:r>
          </w:p>
          <w:p w14:paraId="75FFC661" w14:textId="77777777" w:rsidR="009566BF" w:rsidRPr="009566BF" w:rsidRDefault="009566BF" w:rsidP="009566BF">
            <w:pPr>
              <w:jc w:val="both"/>
              <w:rPr>
                <w:rFonts w:cstheme="minorHAnsi"/>
              </w:rPr>
            </w:pPr>
            <w:r w:rsidRPr="009566BF">
              <w:rPr>
                <w:rFonts w:cstheme="minorHAnsi"/>
                <w:i/>
                <w:iCs/>
              </w:rPr>
              <w:t xml:space="preserve">4) ukrywał majątek lub czynność prawna upadłego została prawomocnie uznana za dokonaną z pokrzywdzeniem wierzycieli, </w:t>
            </w:r>
          </w:p>
          <w:p w14:paraId="06EC53E0" w14:textId="706A8107" w:rsidR="001F4890" w:rsidRPr="00486628" w:rsidRDefault="009566BF" w:rsidP="009566BF">
            <w:pPr>
              <w:jc w:val="both"/>
              <w:rPr>
                <w:rFonts w:cstheme="minorHAnsi"/>
              </w:rPr>
            </w:pPr>
            <w:r w:rsidRPr="009566BF">
              <w:rPr>
                <w:rFonts w:cstheme="minorHAnsi"/>
                <w:i/>
                <w:iCs/>
              </w:rPr>
              <w:t>Sąd z urzędu albo na wniosek wierzyciela może uchylić plan spłaty wierzycieli po wysłuchaniu upadłego i wierzycieli objętych planem spłaty, chyba że uchybienie obowiązkom jest nieznaczne lub umorzenie pozostałej części zobowiązań upadłego jest uzasadnione względami słuszności lub względami humanitarnymi. Na postanowienie sądu przysługuje zażalenie.”.</w:t>
            </w:r>
          </w:p>
        </w:tc>
        <w:tc>
          <w:tcPr>
            <w:tcW w:w="1108" w:type="pct"/>
          </w:tcPr>
          <w:p w14:paraId="7CE6746A" w14:textId="731E0AAE" w:rsidR="001A6CD5" w:rsidRPr="007368C7" w:rsidRDefault="00D93225" w:rsidP="00BC45D4">
            <w:pPr>
              <w:jc w:val="both"/>
              <w:rPr>
                <w:rFonts w:cstheme="minorHAnsi"/>
                <w:b/>
                <w:bCs/>
              </w:rPr>
            </w:pPr>
            <w:r w:rsidRPr="007368C7">
              <w:rPr>
                <w:rFonts w:cstheme="minorHAnsi"/>
                <w:b/>
                <w:bCs/>
              </w:rPr>
              <w:lastRenderedPageBreak/>
              <w:t xml:space="preserve">Uwaga nieuwzględniona  </w:t>
            </w:r>
          </w:p>
          <w:p w14:paraId="335A62C9" w14:textId="4E9330F6" w:rsidR="006F72D4" w:rsidRPr="007368C7" w:rsidRDefault="00516AFC" w:rsidP="00A92F50">
            <w:pPr>
              <w:jc w:val="both"/>
              <w:rPr>
                <w:rFonts w:cstheme="minorHAnsi"/>
              </w:rPr>
            </w:pPr>
            <w:r w:rsidRPr="007368C7">
              <w:rPr>
                <w:rFonts w:cstheme="minorHAnsi"/>
              </w:rPr>
              <w:t xml:space="preserve">Plan spłaty wierzycieli realizuje przede wszystkim prywatny interes majątkowy wierzycieli, tj. zmierza do zaspokojenia przysługujących im roszczeń, wcześniej ustalonych co do zasady i wysokości przez sąd upadłościowy. Pierwiastek publiczny rozumiany jako interes ogólnospołeczny na tym etapie postępowania nie pełni funkcji wiodącej. W związku z tym nadzór państwa nad prawidłowością </w:t>
            </w:r>
            <w:r w:rsidRPr="007368C7">
              <w:rPr>
                <w:rFonts w:cstheme="minorHAnsi"/>
              </w:rPr>
              <w:lastRenderedPageBreak/>
              <w:t xml:space="preserve">wykonywania planu spłaty wierzycieli powinien mieć miejsce tylko wtedy, gdy żądają tego interesariusze. To właśnie wierzyciele mają najlepszą wiedzę na temat tego, czy przysługujące im roszczenia są spłacane przez dłużnika czy też zaprzestano realizacji planu spłaty wierzycieli. Rolą sądu nie jest </w:t>
            </w:r>
            <w:r w:rsidR="006F72D4" w:rsidRPr="007368C7">
              <w:rPr>
                <w:rFonts w:cstheme="minorHAnsi"/>
              </w:rPr>
              <w:t>realizacja z urzędu ochrony interesów wierzycieli</w:t>
            </w:r>
            <w:r w:rsidRPr="007368C7">
              <w:rPr>
                <w:rFonts w:cstheme="minorHAnsi"/>
              </w:rPr>
              <w:t xml:space="preserve"> w zakresie prawidłowej realizacji obowiązków płatniczych ciążących na ich dłużnikach. </w:t>
            </w:r>
            <w:r w:rsidR="006F72D4" w:rsidRPr="007368C7">
              <w:rPr>
                <w:rFonts w:cstheme="minorHAnsi"/>
              </w:rPr>
              <w:t xml:space="preserve"> </w:t>
            </w:r>
          </w:p>
        </w:tc>
      </w:tr>
      <w:tr w:rsidR="003B3876" w:rsidRPr="00486628" w14:paraId="68D42EB7" w14:textId="77777777" w:rsidTr="00AC5078">
        <w:tc>
          <w:tcPr>
            <w:tcW w:w="158" w:type="pct"/>
          </w:tcPr>
          <w:p w14:paraId="1343C5DF" w14:textId="3C2C6055" w:rsidR="00DD1D82" w:rsidRPr="00486628" w:rsidRDefault="000911AE" w:rsidP="00343E6B">
            <w:pPr>
              <w:jc w:val="center"/>
              <w:rPr>
                <w:rFonts w:cstheme="minorHAnsi"/>
              </w:rPr>
            </w:pPr>
            <w:r>
              <w:rPr>
                <w:rFonts w:cstheme="minorHAnsi"/>
              </w:rPr>
              <w:lastRenderedPageBreak/>
              <w:t>12</w:t>
            </w:r>
          </w:p>
        </w:tc>
        <w:tc>
          <w:tcPr>
            <w:tcW w:w="698" w:type="pct"/>
          </w:tcPr>
          <w:p w14:paraId="2A0AB782" w14:textId="48610821" w:rsidR="00DD1D82" w:rsidRDefault="000911AE" w:rsidP="00343E6B">
            <w:pPr>
              <w:jc w:val="both"/>
              <w:rPr>
                <w:rFonts w:cstheme="minorHAnsi"/>
              </w:rPr>
            </w:pPr>
            <w:r w:rsidRPr="000911AE">
              <w:rPr>
                <w:rFonts w:cstheme="minorHAnsi"/>
              </w:rPr>
              <w:t>Związek Przedsiębiorstw Finansowych w Polsce</w:t>
            </w:r>
          </w:p>
        </w:tc>
        <w:tc>
          <w:tcPr>
            <w:tcW w:w="591" w:type="pct"/>
          </w:tcPr>
          <w:p w14:paraId="1B53A89A" w14:textId="25E19CEC" w:rsidR="00A00F27" w:rsidRPr="00343E6B" w:rsidRDefault="000911AE" w:rsidP="00A00F27">
            <w:pPr>
              <w:jc w:val="both"/>
              <w:rPr>
                <w:rFonts w:cstheme="minorHAnsi"/>
              </w:rPr>
            </w:pPr>
            <w:r w:rsidRPr="000911AE">
              <w:rPr>
                <w:rFonts w:cstheme="minorHAnsi"/>
              </w:rPr>
              <w:t xml:space="preserve">art. 369 ust. 1a oraz art. 369 ust. 2 </w:t>
            </w:r>
            <w:r w:rsidR="00A00F27">
              <w:rPr>
                <w:rFonts w:cstheme="minorHAnsi"/>
              </w:rPr>
              <w:t>P.U</w:t>
            </w:r>
            <w:r w:rsidR="00356E3C">
              <w:rPr>
                <w:rFonts w:cstheme="minorHAnsi"/>
              </w:rPr>
              <w:t xml:space="preserve">. </w:t>
            </w:r>
          </w:p>
          <w:p w14:paraId="782EB23E" w14:textId="766995B9" w:rsidR="00DD1D82" w:rsidRPr="00343E6B" w:rsidRDefault="00DD1D82" w:rsidP="000911AE">
            <w:pPr>
              <w:jc w:val="both"/>
              <w:rPr>
                <w:rFonts w:cstheme="minorHAnsi"/>
              </w:rPr>
            </w:pPr>
          </w:p>
        </w:tc>
        <w:tc>
          <w:tcPr>
            <w:tcW w:w="1418" w:type="pct"/>
          </w:tcPr>
          <w:p w14:paraId="3278E152" w14:textId="16E2FCC2" w:rsidR="00DD1D82" w:rsidRPr="00462965" w:rsidRDefault="000911AE" w:rsidP="00462965">
            <w:pPr>
              <w:jc w:val="both"/>
              <w:rPr>
                <w:rFonts w:cstheme="minorHAnsi"/>
              </w:rPr>
            </w:pPr>
            <w:r w:rsidRPr="00462965">
              <w:rPr>
                <w:rFonts w:cstheme="minorHAnsi"/>
              </w:rPr>
              <w:t xml:space="preserve">Proponuje się doprecyzowanie norm zawartych w art. 369 ust. 1a oraz art. 369 ust. 2 Prawa upadłościowego, poprzez dodanie w nich odwołania do przepisu art. 370a ust. 11 Prawa upadłościowego co pozwoliłoby </w:t>
            </w:r>
            <w:r w:rsidRPr="00462965">
              <w:rPr>
                <w:rFonts w:cstheme="minorHAnsi"/>
              </w:rPr>
              <w:lastRenderedPageBreak/>
              <w:t>zapewnić spójną wykładnię systemową i celowościową przepisów art. 369 ust. 1a oraz art. 369 ust. 2 Prawa Upadłościowego w duchu ochrony słusznych praw wierzycieli.</w:t>
            </w:r>
            <w:r w:rsidR="00356E3C" w:rsidRPr="00462965">
              <w:rPr>
                <w:rFonts w:cstheme="minorHAnsi"/>
              </w:rPr>
              <w:t xml:space="preserve"> </w:t>
            </w:r>
            <w:r w:rsidRPr="00462965">
              <w:rPr>
                <w:rFonts w:cstheme="minorHAnsi"/>
              </w:rPr>
              <w:t>W szczególności, zapobiegłaby pojawiającym się błędnym praktykom orzeczniczym, zmierzającym w kierunku uznania, że umorzenie zobowiązań upadłego bez ustalenia planu spłaty wierzycieli powoduje wygaśnięcie hipoteki ustanowionej na nieruchomości osoby trzeciej, odpowiadającej za dług jedynie z nieruchomości</w:t>
            </w:r>
            <w:r w:rsidR="005D284F">
              <w:rPr>
                <w:rFonts w:cstheme="minorHAnsi"/>
              </w:rPr>
              <w:t>.</w:t>
            </w:r>
          </w:p>
        </w:tc>
        <w:tc>
          <w:tcPr>
            <w:tcW w:w="1027" w:type="pct"/>
          </w:tcPr>
          <w:p w14:paraId="2891001C" w14:textId="31A2F729" w:rsidR="00DD1D82" w:rsidRDefault="000911AE" w:rsidP="00343E6B">
            <w:pPr>
              <w:jc w:val="both"/>
              <w:rPr>
                <w:rFonts w:cstheme="minorHAnsi"/>
              </w:rPr>
            </w:pPr>
            <w:r>
              <w:rPr>
                <w:rFonts w:cstheme="minorHAnsi"/>
              </w:rPr>
              <w:lastRenderedPageBreak/>
              <w:t>art. 369 ust. 1a</w:t>
            </w:r>
          </w:p>
          <w:p w14:paraId="73B990CC" w14:textId="04943584" w:rsidR="000911AE" w:rsidRPr="000911AE" w:rsidRDefault="000911AE" w:rsidP="000911AE">
            <w:pPr>
              <w:jc w:val="both"/>
              <w:rPr>
                <w:rFonts w:cstheme="minorHAnsi"/>
              </w:rPr>
            </w:pPr>
            <w:r w:rsidRPr="000911AE">
              <w:rPr>
                <w:rFonts w:cstheme="minorHAnsi"/>
              </w:rPr>
              <w:t>„W terminie, o którym mowa w ust. 1, upadły będący osobą fizyczną może również złożyć</w:t>
            </w:r>
            <w:r w:rsidR="00470E0A">
              <w:rPr>
                <w:rFonts w:cstheme="minorHAnsi"/>
              </w:rPr>
              <w:t xml:space="preserve"> </w:t>
            </w:r>
            <w:r w:rsidRPr="000911AE">
              <w:rPr>
                <w:rFonts w:cstheme="minorHAnsi"/>
              </w:rPr>
              <w:t xml:space="preserve">wniosek o umorzenie </w:t>
            </w:r>
            <w:r w:rsidRPr="000911AE">
              <w:rPr>
                <w:rFonts w:cstheme="minorHAnsi"/>
              </w:rPr>
              <w:lastRenderedPageBreak/>
              <w:t>zobowiązań bez ustalenia planu spłaty wierzycieli, jeśli osobista</w:t>
            </w:r>
            <w:r w:rsidR="00470E0A">
              <w:rPr>
                <w:rFonts w:cstheme="minorHAnsi"/>
              </w:rPr>
              <w:t xml:space="preserve"> </w:t>
            </w:r>
            <w:r w:rsidRPr="000911AE">
              <w:rPr>
                <w:rFonts w:cstheme="minorHAnsi"/>
              </w:rPr>
              <w:t>sytuacja upadłego w oczywisty sposób wskazuje, że jest on trwale niezdolny do</w:t>
            </w:r>
            <w:r w:rsidR="00356E3C">
              <w:rPr>
                <w:rFonts w:cstheme="minorHAnsi"/>
              </w:rPr>
              <w:t xml:space="preserve"> </w:t>
            </w:r>
            <w:r w:rsidRPr="000911AE">
              <w:rPr>
                <w:rFonts w:cstheme="minorHAnsi"/>
              </w:rPr>
              <w:t>dokonywania jakichkolwiek spłat</w:t>
            </w:r>
            <w:r w:rsidR="00755DA8">
              <w:rPr>
                <w:rFonts w:cstheme="minorHAnsi"/>
              </w:rPr>
              <w:t xml:space="preserve"> </w:t>
            </w:r>
            <w:r w:rsidRPr="000911AE">
              <w:rPr>
                <w:rFonts w:cstheme="minorHAnsi"/>
              </w:rPr>
              <w:t>w ramach planu spłaty wierzycieli. Przepis art. 370f ust.</w:t>
            </w:r>
          </w:p>
          <w:p w14:paraId="3E1CBAD8" w14:textId="77777777" w:rsidR="000911AE" w:rsidRDefault="000911AE" w:rsidP="000911AE">
            <w:pPr>
              <w:jc w:val="both"/>
              <w:rPr>
                <w:rFonts w:cstheme="minorHAnsi"/>
              </w:rPr>
            </w:pPr>
            <w:r w:rsidRPr="000911AE">
              <w:rPr>
                <w:rFonts w:cstheme="minorHAnsi"/>
              </w:rPr>
              <w:t>2 stosuje się. Przepis art. 370a ust. 11 stosuje się odpowiednio.”</w:t>
            </w:r>
          </w:p>
          <w:p w14:paraId="71514363" w14:textId="77777777" w:rsidR="000911AE" w:rsidRDefault="000911AE" w:rsidP="000911AE">
            <w:pPr>
              <w:jc w:val="both"/>
              <w:rPr>
                <w:rFonts w:cstheme="minorHAnsi"/>
              </w:rPr>
            </w:pPr>
          </w:p>
          <w:p w14:paraId="23B0B740" w14:textId="77777777" w:rsidR="000911AE" w:rsidRDefault="000911AE" w:rsidP="000911AE">
            <w:pPr>
              <w:jc w:val="both"/>
              <w:rPr>
                <w:rFonts w:cstheme="minorHAnsi"/>
              </w:rPr>
            </w:pPr>
            <w:r>
              <w:rPr>
                <w:rFonts w:cstheme="minorHAnsi"/>
              </w:rPr>
              <w:t xml:space="preserve">Art. 369 ust 2 </w:t>
            </w:r>
          </w:p>
          <w:p w14:paraId="28D41A12" w14:textId="595C7A98" w:rsidR="000911AE" w:rsidRPr="000911AE" w:rsidRDefault="000911AE" w:rsidP="000911AE">
            <w:pPr>
              <w:jc w:val="both"/>
              <w:rPr>
                <w:rFonts w:cstheme="minorHAnsi"/>
              </w:rPr>
            </w:pPr>
            <w:r w:rsidRPr="000911AE">
              <w:rPr>
                <w:rFonts w:cstheme="minorHAnsi"/>
              </w:rPr>
              <w:t>„Jeżeli niezdolność do dokonywania jakichkolwiek spłat w ramach planu spłaty wierzycieli</w:t>
            </w:r>
            <w:r w:rsidR="00470E0A">
              <w:rPr>
                <w:rFonts w:cstheme="minorHAnsi"/>
              </w:rPr>
              <w:t xml:space="preserve"> </w:t>
            </w:r>
            <w:r w:rsidRPr="000911AE">
              <w:rPr>
                <w:rFonts w:cstheme="minorHAnsi"/>
              </w:rPr>
              <w:t>wynikająca z osobistej sytuacji upadłego nie ma charakteru trwałego, sąd umarza</w:t>
            </w:r>
          </w:p>
          <w:p w14:paraId="6268D6BC" w14:textId="2C9F4F48" w:rsidR="000911AE" w:rsidRPr="00486628" w:rsidRDefault="000911AE" w:rsidP="000911AE">
            <w:pPr>
              <w:jc w:val="both"/>
              <w:rPr>
                <w:rFonts w:cstheme="minorHAnsi"/>
              </w:rPr>
            </w:pPr>
            <w:r w:rsidRPr="000911AE">
              <w:rPr>
                <w:rFonts w:cstheme="minorHAnsi"/>
              </w:rPr>
              <w:t>zobowiązania upadłego bez ustalenia planu spłaty wierzycieli pod warunkiem, że w</w:t>
            </w:r>
            <w:r w:rsidR="00755DA8">
              <w:rPr>
                <w:rFonts w:cstheme="minorHAnsi"/>
              </w:rPr>
              <w:t xml:space="preserve"> </w:t>
            </w:r>
            <w:r w:rsidRPr="000911AE">
              <w:rPr>
                <w:rFonts w:cstheme="minorHAnsi"/>
              </w:rPr>
              <w:t>terminie pięciu lat od dnia uprawomocnienia się</w:t>
            </w:r>
            <w:r w:rsidR="00755DA8">
              <w:rPr>
                <w:rFonts w:cstheme="minorHAnsi"/>
              </w:rPr>
              <w:t xml:space="preserve"> </w:t>
            </w:r>
            <w:r w:rsidRPr="000911AE">
              <w:rPr>
                <w:rFonts w:cstheme="minorHAnsi"/>
              </w:rPr>
              <w:t xml:space="preserve">postanowienia o warunkowym </w:t>
            </w:r>
            <w:r w:rsidR="00755DA8" w:rsidRPr="000911AE">
              <w:rPr>
                <w:rFonts w:cstheme="minorHAnsi"/>
              </w:rPr>
              <w:t>umorzeniu zobowiązań</w:t>
            </w:r>
            <w:r w:rsidRPr="000911AE">
              <w:rPr>
                <w:rFonts w:cstheme="minorHAnsi"/>
              </w:rPr>
              <w:t xml:space="preserve"> upadłego bez ustalenia planu spłaty wierzycieli upadły ani żaden z wierzycieli</w:t>
            </w:r>
            <w:r w:rsidR="00755DA8">
              <w:rPr>
                <w:rFonts w:cstheme="minorHAnsi"/>
              </w:rPr>
              <w:t xml:space="preserve"> </w:t>
            </w:r>
            <w:r w:rsidRPr="000911AE">
              <w:rPr>
                <w:rFonts w:cstheme="minorHAnsi"/>
              </w:rPr>
              <w:t>nie złoży wniosku o ustalenie planu spłaty wierzycieli, na skutek którego sąd, uznając, że</w:t>
            </w:r>
            <w:r w:rsidR="00A00F27">
              <w:rPr>
                <w:rFonts w:cstheme="minorHAnsi"/>
              </w:rPr>
              <w:t xml:space="preserve"> </w:t>
            </w:r>
            <w:r w:rsidRPr="000911AE">
              <w:rPr>
                <w:rFonts w:cstheme="minorHAnsi"/>
              </w:rPr>
              <w:t xml:space="preserve">ustała niezdolność upadłego do </w:t>
            </w:r>
            <w:r w:rsidRPr="000911AE">
              <w:rPr>
                <w:rFonts w:cstheme="minorHAnsi"/>
              </w:rPr>
              <w:lastRenderedPageBreak/>
              <w:t>dokonywania jakichkolwiek spłat w ramach planu spłaty</w:t>
            </w:r>
            <w:r w:rsidR="00A00F27">
              <w:rPr>
                <w:rFonts w:cstheme="minorHAnsi"/>
              </w:rPr>
              <w:t xml:space="preserve"> </w:t>
            </w:r>
            <w:r w:rsidRPr="000911AE">
              <w:rPr>
                <w:rFonts w:cstheme="minorHAnsi"/>
              </w:rPr>
              <w:t>wierzycieli, uchyli postanowienie o warunkowym umorzeniu</w:t>
            </w:r>
            <w:r w:rsidR="00E66215">
              <w:rPr>
                <w:rFonts w:cstheme="minorHAnsi"/>
              </w:rPr>
              <w:t xml:space="preserve"> </w:t>
            </w:r>
            <w:r w:rsidRPr="000911AE">
              <w:rPr>
                <w:rFonts w:cstheme="minorHAnsi"/>
              </w:rPr>
              <w:t>zobowiązań upadłego bez</w:t>
            </w:r>
            <w:r w:rsidR="00755DA8">
              <w:rPr>
                <w:rFonts w:cstheme="minorHAnsi"/>
              </w:rPr>
              <w:t xml:space="preserve"> </w:t>
            </w:r>
            <w:r w:rsidRPr="000911AE">
              <w:rPr>
                <w:rFonts w:cstheme="minorHAnsi"/>
              </w:rPr>
              <w:t>ustalenia planu spłaty wierzycieli i ustali plan spłaty wierzycieli. Przepisy art. 370a ust. 10i art. 370f ust. 2 stosuje się. Przepis art. 370a ust. 11 stosuje się odpowiednio.”</w:t>
            </w:r>
          </w:p>
        </w:tc>
        <w:tc>
          <w:tcPr>
            <w:tcW w:w="1108" w:type="pct"/>
          </w:tcPr>
          <w:p w14:paraId="24FB2EF8" w14:textId="77777777" w:rsidR="00DD1D82" w:rsidRPr="007368C7" w:rsidRDefault="00851C28" w:rsidP="00BC45D4">
            <w:pPr>
              <w:jc w:val="both"/>
              <w:rPr>
                <w:rFonts w:cstheme="minorHAnsi"/>
                <w:b/>
                <w:bCs/>
              </w:rPr>
            </w:pPr>
            <w:r w:rsidRPr="007368C7">
              <w:rPr>
                <w:rFonts w:cstheme="minorHAnsi"/>
                <w:b/>
                <w:bCs/>
              </w:rPr>
              <w:lastRenderedPageBreak/>
              <w:t>Uwaga nieuwzględniona</w:t>
            </w:r>
          </w:p>
          <w:p w14:paraId="6B02E33B" w14:textId="6DAE6D91" w:rsidR="007C5BCA" w:rsidRPr="007368C7" w:rsidRDefault="007C5BCA" w:rsidP="00BC45D4">
            <w:pPr>
              <w:jc w:val="both"/>
              <w:rPr>
                <w:rFonts w:cstheme="minorHAnsi"/>
              </w:rPr>
            </w:pPr>
            <w:r w:rsidRPr="007368C7">
              <w:rPr>
                <w:rFonts w:cstheme="minorHAnsi"/>
              </w:rPr>
              <w:t>Uwaga narusza zasadę akcesoryjności hipoteki.</w:t>
            </w:r>
          </w:p>
        </w:tc>
      </w:tr>
      <w:tr w:rsidR="003B3876" w:rsidRPr="00486628" w14:paraId="75BB01A3" w14:textId="77777777" w:rsidTr="00AC5078">
        <w:tc>
          <w:tcPr>
            <w:tcW w:w="158" w:type="pct"/>
          </w:tcPr>
          <w:p w14:paraId="38C9CE44" w14:textId="1F1EFB7F" w:rsidR="006430E8" w:rsidRPr="00486628" w:rsidRDefault="00E51F25" w:rsidP="00343E6B">
            <w:pPr>
              <w:jc w:val="center"/>
              <w:rPr>
                <w:rFonts w:cstheme="minorHAnsi"/>
              </w:rPr>
            </w:pPr>
            <w:r>
              <w:rPr>
                <w:rFonts w:cstheme="minorHAnsi"/>
              </w:rPr>
              <w:lastRenderedPageBreak/>
              <w:t>13</w:t>
            </w:r>
          </w:p>
        </w:tc>
        <w:tc>
          <w:tcPr>
            <w:tcW w:w="698" w:type="pct"/>
          </w:tcPr>
          <w:p w14:paraId="30FACD5D" w14:textId="5409F6D9" w:rsidR="006430E8" w:rsidRDefault="00E51F25" w:rsidP="00343E6B">
            <w:pPr>
              <w:jc w:val="both"/>
              <w:rPr>
                <w:rFonts w:cstheme="minorHAnsi"/>
              </w:rPr>
            </w:pPr>
            <w:r>
              <w:rPr>
                <w:rFonts w:cstheme="minorHAnsi"/>
              </w:rPr>
              <w:t xml:space="preserve">Prokuratoria Generalna </w:t>
            </w:r>
          </w:p>
        </w:tc>
        <w:tc>
          <w:tcPr>
            <w:tcW w:w="591" w:type="pct"/>
          </w:tcPr>
          <w:p w14:paraId="20A52747" w14:textId="462FBE4A" w:rsidR="006430E8" w:rsidRPr="003B596F" w:rsidRDefault="003B596F" w:rsidP="00343E6B">
            <w:pPr>
              <w:jc w:val="both"/>
              <w:rPr>
                <w:rFonts w:cstheme="minorHAnsi"/>
                <w:b/>
                <w:bCs/>
              </w:rPr>
            </w:pPr>
            <w:r w:rsidRPr="003B596F">
              <w:rPr>
                <w:rFonts w:cstheme="minorHAnsi"/>
                <w:b/>
                <w:bCs/>
              </w:rPr>
              <w:t>A</w:t>
            </w:r>
            <w:r w:rsidR="00E51F25" w:rsidRPr="003B596F">
              <w:rPr>
                <w:rFonts w:cstheme="minorHAnsi"/>
                <w:b/>
                <w:bCs/>
              </w:rPr>
              <w:t xml:space="preserve">rt. 1 pkt 7, pkt 12, pkt 13 lit. c oraz pkt 18 lit. d </w:t>
            </w:r>
          </w:p>
        </w:tc>
        <w:tc>
          <w:tcPr>
            <w:tcW w:w="1418" w:type="pct"/>
          </w:tcPr>
          <w:p w14:paraId="7AE094FF" w14:textId="4A35C67C" w:rsidR="006430E8" w:rsidRPr="00462965" w:rsidRDefault="00A11EE6" w:rsidP="00462965">
            <w:pPr>
              <w:jc w:val="both"/>
              <w:rPr>
                <w:rFonts w:cstheme="minorHAnsi"/>
              </w:rPr>
            </w:pPr>
            <w:r w:rsidRPr="00462965">
              <w:rPr>
                <w:rFonts w:cstheme="minorHAnsi"/>
              </w:rPr>
              <w:t>S</w:t>
            </w:r>
            <w:r w:rsidR="00E51F25" w:rsidRPr="00462965">
              <w:rPr>
                <w:rFonts w:cstheme="minorHAnsi"/>
              </w:rPr>
              <w:t xml:space="preserve">łowa „dłużnik” i „dłużnika” powinny zostać zastąpione odpowiednio słowami „upadły” i „upadłego”. </w:t>
            </w:r>
          </w:p>
        </w:tc>
        <w:tc>
          <w:tcPr>
            <w:tcW w:w="1027" w:type="pct"/>
          </w:tcPr>
          <w:p w14:paraId="14C10269" w14:textId="4EF0CA11" w:rsidR="006430E8" w:rsidRPr="00486628" w:rsidRDefault="006430E8" w:rsidP="006430E8">
            <w:pPr>
              <w:jc w:val="both"/>
              <w:rPr>
                <w:rFonts w:cstheme="minorHAnsi"/>
              </w:rPr>
            </w:pPr>
          </w:p>
        </w:tc>
        <w:tc>
          <w:tcPr>
            <w:tcW w:w="1108" w:type="pct"/>
          </w:tcPr>
          <w:p w14:paraId="2285FC7C" w14:textId="4E2E6B05" w:rsidR="006430E8" w:rsidRPr="007368C7" w:rsidRDefault="00E33927" w:rsidP="00BC45D4">
            <w:pPr>
              <w:jc w:val="both"/>
              <w:rPr>
                <w:rFonts w:cstheme="minorHAnsi"/>
              </w:rPr>
            </w:pPr>
            <w:r w:rsidRPr="007368C7">
              <w:rPr>
                <w:rFonts w:cstheme="minorHAnsi"/>
              </w:rPr>
              <w:t xml:space="preserve">Pkt 7 – </w:t>
            </w:r>
            <w:r w:rsidR="0086576C" w:rsidRPr="007368C7">
              <w:rPr>
                <w:rFonts w:cstheme="minorHAnsi"/>
              </w:rPr>
              <w:t>uwzględniono</w:t>
            </w:r>
          </w:p>
          <w:p w14:paraId="27377C87" w14:textId="04E2E53A" w:rsidR="00E33927" w:rsidRPr="007368C7" w:rsidRDefault="00E33927" w:rsidP="00BC45D4">
            <w:pPr>
              <w:jc w:val="both"/>
              <w:rPr>
                <w:rFonts w:cstheme="minorHAnsi"/>
              </w:rPr>
            </w:pPr>
            <w:r w:rsidRPr="007368C7">
              <w:rPr>
                <w:rFonts w:cstheme="minorHAnsi"/>
              </w:rPr>
              <w:t>Pkt 12 – niezasadne</w:t>
            </w:r>
          </w:p>
          <w:p w14:paraId="69599D58" w14:textId="38B4254E" w:rsidR="00E33927" w:rsidRPr="007368C7" w:rsidRDefault="00E33927" w:rsidP="00BC45D4">
            <w:pPr>
              <w:jc w:val="both"/>
              <w:rPr>
                <w:rFonts w:cstheme="minorHAnsi"/>
              </w:rPr>
            </w:pPr>
            <w:r w:rsidRPr="007368C7">
              <w:rPr>
                <w:rFonts w:cstheme="minorHAnsi"/>
              </w:rPr>
              <w:t>Pkt 13 lit. c – niezasadne</w:t>
            </w:r>
          </w:p>
          <w:p w14:paraId="4B862EB7" w14:textId="4F7BBCCA" w:rsidR="00E33927" w:rsidRPr="007368C7" w:rsidRDefault="00E33927" w:rsidP="00BC45D4">
            <w:pPr>
              <w:jc w:val="both"/>
              <w:rPr>
                <w:rFonts w:cstheme="minorHAnsi"/>
              </w:rPr>
            </w:pPr>
            <w:r w:rsidRPr="007368C7">
              <w:rPr>
                <w:rFonts w:cstheme="minorHAnsi"/>
              </w:rPr>
              <w:t xml:space="preserve">Pkt 18 lit. d - </w:t>
            </w:r>
            <w:r w:rsidR="0086576C" w:rsidRPr="007368C7">
              <w:rPr>
                <w:rFonts w:cstheme="minorHAnsi"/>
              </w:rPr>
              <w:t>uwzględniono</w:t>
            </w:r>
          </w:p>
        </w:tc>
      </w:tr>
      <w:tr w:rsidR="003B3876" w:rsidRPr="00486628" w14:paraId="29F3829B" w14:textId="2B1C7284" w:rsidTr="00AC5078">
        <w:tc>
          <w:tcPr>
            <w:tcW w:w="158" w:type="pct"/>
          </w:tcPr>
          <w:p w14:paraId="652043FD" w14:textId="446BB1E8" w:rsidR="00343E6B" w:rsidRPr="00486628" w:rsidRDefault="00E51F25" w:rsidP="00343E6B">
            <w:pPr>
              <w:jc w:val="center"/>
              <w:rPr>
                <w:rFonts w:cstheme="minorHAnsi"/>
              </w:rPr>
            </w:pPr>
            <w:r>
              <w:rPr>
                <w:rFonts w:cstheme="minorHAnsi"/>
              </w:rPr>
              <w:t>14</w:t>
            </w:r>
          </w:p>
        </w:tc>
        <w:tc>
          <w:tcPr>
            <w:tcW w:w="698" w:type="pct"/>
          </w:tcPr>
          <w:p w14:paraId="21DD2863" w14:textId="12ACFEAA" w:rsidR="00343E6B" w:rsidRPr="00486628" w:rsidRDefault="0073232F" w:rsidP="00343E6B">
            <w:pPr>
              <w:jc w:val="both"/>
              <w:rPr>
                <w:rFonts w:cstheme="minorHAnsi"/>
              </w:rPr>
            </w:pPr>
            <w:r w:rsidRPr="0073232F">
              <w:rPr>
                <w:rFonts w:cstheme="minorHAnsi"/>
              </w:rPr>
              <w:t>Prokuratoria Generalna</w:t>
            </w:r>
          </w:p>
        </w:tc>
        <w:tc>
          <w:tcPr>
            <w:tcW w:w="591" w:type="pct"/>
          </w:tcPr>
          <w:p w14:paraId="3C6331E3" w14:textId="597C3D34" w:rsidR="00343E6B" w:rsidRPr="002B3340" w:rsidRDefault="00E51F25" w:rsidP="00343E6B">
            <w:pPr>
              <w:jc w:val="both"/>
              <w:rPr>
                <w:rFonts w:cstheme="minorHAnsi"/>
                <w:lang w:val="en-GB"/>
              </w:rPr>
            </w:pPr>
            <w:r w:rsidRPr="002B3340">
              <w:rPr>
                <w:rFonts w:cstheme="minorHAnsi"/>
                <w:b/>
                <w:bCs/>
                <w:lang w:val="en-GB"/>
              </w:rPr>
              <w:t xml:space="preserve">art. 1 pkt 7 lit. d, pkt. 18 </w:t>
            </w:r>
            <w:r w:rsidR="003B596F" w:rsidRPr="002B3340">
              <w:rPr>
                <w:rFonts w:cstheme="minorHAnsi"/>
                <w:lang w:val="en-GB"/>
              </w:rPr>
              <w:t>(art. 370d ust. 3a i art. 419</w:t>
            </w:r>
            <w:r w:rsidR="003B596F" w:rsidRPr="002B3340">
              <w:rPr>
                <w:rFonts w:cstheme="minorHAnsi"/>
                <w:vertAlign w:val="superscript"/>
                <w:lang w:val="en-GB"/>
              </w:rPr>
              <w:t>19</w:t>
            </w:r>
            <w:r w:rsidR="003B596F" w:rsidRPr="002B3340">
              <w:rPr>
                <w:rFonts w:cstheme="minorHAnsi"/>
                <w:lang w:val="en-GB"/>
              </w:rPr>
              <w:t xml:space="preserve"> P.U.)</w:t>
            </w:r>
          </w:p>
        </w:tc>
        <w:tc>
          <w:tcPr>
            <w:tcW w:w="1418" w:type="pct"/>
          </w:tcPr>
          <w:p w14:paraId="447D95B9" w14:textId="09061504" w:rsidR="00343E6B" w:rsidRPr="00462965" w:rsidRDefault="00E51F25" w:rsidP="00462965">
            <w:pPr>
              <w:jc w:val="both"/>
              <w:rPr>
                <w:rFonts w:cstheme="minorHAnsi"/>
              </w:rPr>
            </w:pPr>
            <w:r w:rsidRPr="00462965">
              <w:rPr>
                <w:rFonts w:cstheme="minorHAnsi"/>
              </w:rPr>
              <w:t>Regulacja jest nieadekwatna w sytuacji, kiedy nie ma związku pomiędzy nieterminowym złożeniem sprawozdania a złożeniem wniosku. Przykładowo wniosek może zostać złożony już po złożeniu sprawozdania</w:t>
            </w:r>
            <w:r w:rsidR="001E60E7">
              <w:rPr>
                <w:rFonts w:cstheme="minorHAnsi"/>
              </w:rPr>
              <w:t>.</w:t>
            </w:r>
          </w:p>
        </w:tc>
        <w:tc>
          <w:tcPr>
            <w:tcW w:w="1027" w:type="pct"/>
          </w:tcPr>
          <w:p w14:paraId="20E5C641" w14:textId="77777777" w:rsidR="00343E6B" w:rsidRPr="00486628" w:rsidRDefault="00343E6B" w:rsidP="00343E6B">
            <w:pPr>
              <w:jc w:val="both"/>
              <w:rPr>
                <w:rFonts w:cstheme="minorHAnsi"/>
              </w:rPr>
            </w:pPr>
          </w:p>
        </w:tc>
        <w:tc>
          <w:tcPr>
            <w:tcW w:w="1108" w:type="pct"/>
          </w:tcPr>
          <w:p w14:paraId="7D620B90" w14:textId="107BE0FA" w:rsidR="00343E6B" w:rsidRPr="007368C7" w:rsidRDefault="00567912" w:rsidP="00BC45D4">
            <w:pPr>
              <w:jc w:val="both"/>
              <w:rPr>
                <w:rFonts w:cstheme="minorHAnsi"/>
                <w:b/>
                <w:bCs/>
              </w:rPr>
            </w:pPr>
            <w:r w:rsidRPr="007368C7">
              <w:rPr>
                <w:rFonts w:cstheme="minorHAnsi"/>
                <w:b/>
                <w:bCs/>
              </w:rPr>
              <w:t>Uwaga niejasna</w:t>
            </w:r>
          </w:p>
        </w:tc>
      </w:tr>
      <w:tr w:rsidR="003B3876" w:rsidRPr="00486628" w14:paraId="24851AE9" w14:textId="35629CCF" w:rsidTr="00AC5078">
        <w:tc>
          <w:tcPr>
            <w:tcW w:w="158" w:type="pct"/>
          </w:tcPr>
          <w:p w14:paraId="7DE649B9" w14:textId="5371F3F0" w:rsidR="00343E6B" w:rsidRPr="00486628" w:rsidRDefault="00E51F25" w:rsidP="00343E6B">
            <w:pPr>
              <w:jc w:val="center"/>
              <w:rPr>
                <w:rFonts w:cstheme="minorHAnsi"/>
              </w:rPr>
            </w:pPr>
            <w:r>
              <w:rPr>
                <w:rFonts w:cstheme="minorHAnsi"/>
              </w:rPr>
              <w:t>15</w:t>
            </w:r>
          </w:p>
        </w:tc>
        <w:tc>
          <w:tcPr>
            <w:tcW w:w="698" w:type="pct"/>
          </w:tcPr>
          <w:p w14:paraId="06A7411C" w14:textId="5080FCEB" w:rsidR="00343E6B" w:rsidRPr="00486628" w:rsidRDefault="0073232F" w:rsidP="00343E6B">
            <w:pPr>
              <w:jc w:val="both"/>
              <w:rPr>
                <w:rFonts w:cstheme="minorHAnsi"/>
              </w:rPr>
            </w:pPr>
            <w:r w:rsidRPr="0073232F">
              <w:rPr>
                <w:rFonts w:cstheme="minorHAnsi"/>
              </w:rPr>
              <w:t>Prokuratoria Generalna</w:t>
            </w:r>
          </w:p>
        </w:tc>
        <w:tc>
          <w:tcPr>
            <w:tcW w:w="591" w:type="pct"/>
          </w:tcPr>
          <w:p w14:paraId="59798F3C" w14:textId="4B4096F2" w:rsidR="00343E6B" w:rsidRPr="002B3340" w:rsidRDefault="00A11EE6" w:rsidP="00343E6B">
            <w:pPr>
              <w:jc w:val="both"/>
              <w:rPr>
                <w:rFonts w:cstheme="minorHAnsi"/>
                <w:lang w:val="en-GB"/>
              </w:rPr>
            </w:pPr>
            <w:r w:rsidRPr="002B3340">
              <w:rPr>
                <w:rFonts w:cstheme="minorHAnsi"/>
                <w:b/>
                <w:bCs/>
                <w:lang w:val="en-GB"/>
              </w:rPr>
              <w:t>A</w:t>
            </w:r>
            <w:r w:rsidR="00DB7D6A" w:rsidRPr="002B3340">
              <w:rPr>
                <w:rFonts w:cstheme="minorHAnsi"/>
                <w:b/>
                <w:bCs/>
                <w:lang w:val="en-GB"/>
              </w:rPr>
              <w:t>rt. 1 pkt 7 lit. f</w:t>
            </w:r>
            <w:r w:rsidRPr="002B3340">
              <w:rPr>
                <w:rFonts w:cstheme="minorHAnsi"/>
                <w:b/>
                <w:bCs/>
                <w:lang w:val="en-GB"/>
              </w:rPr>
              <w:t xml:space="preserve"> </w:t>
            </w:r>
            <w:r w:rsidRPr="002B3340">
              <w:rPr>
                <w:rFonts w:cstheme="minorHAnsi"/>
                <w:lang w:val="en-GB"/>
              </w:rPr>
              <w:t>(370d ust.4a)</w:t>
            </w:r>
          </w:p>
        </w:tc>
        <w:tc>
          <w:tcPr>
            <w:tcW w:w="1418" w:type="pct"/>
          </w:tcPr>
          <w:p w14:paraId="2778D640" w14:textId="502A7CE4" w:rsidR="00343E6B" w:rsidRPr="00462965" w:rsidRDefault="00A11EE6" w:rsidP="00462965">
            <w:pPr>
              <w:jc w:val="both"/>
              <w:rPr>
                <w:rFonts w:cstheme="minorHAnsi"/>
              </w:rPr>
            </w:pPr>
            <w:r w:rsidRPr="00462965">
              <w:rPr>
                <w:rFonts w:cstheme="minorHAnsi"/>
              </w:rPr>
              <w:t>N</w:t>
            </w:r>
            <w:r w:rsidR="00DB7D6A" w:rsidRPr="00462965">
              <w:rPr>
                <w:rFonts w:cstheme="minorHAnsi"/>
              </w:rPr>
              <w:t>ależy uzupełnić o odesłanie do projektowanego art. 370d ust. 2a Prawa upadłościowego</w:t>
            </w:r>
            <w:r w:rsidR="001E60E7">
              <w:rPr>
                <w:rFonts w:cstheme="minorHAnsi"/>
              </w:rPr>
              <w:t>.</w:t>
            </w:r>
          </w:p>
        </w:tc>
        <w:tc>
          <w:tcPr>
            <w:tcW w:w="1027" w:type="pct"/>
          </w:tcPr>
          <w:p w14:paraId="61C02CD7" w14:textId="77777777" w:rsidR="00343E6B" w:rsidRPr="00486628" w:rsidRDefault="00343E6B" w:rsidP="00343E6B">
            <w:pPr>
              <w:jc w:val="both"/>
              <w:rPr>
                <w:rFonts w:cstheme="minorHAnsi"/>
              </w:rPr>
            </w:pPr>
          </w:p>
        </w:tc>
        <w:tc>
          <w:tcPr>
            <w:tcW w:w="1108" w:type="pct"/>
          </w:tcPr>
          <w:p w14:paraId="5C11DA01" w14:textId="264EBAAC" w:rsidR="00343E6B" w:rsidRPr="007368C7" w:rsidRDefault="00567912" w:rsidP="00BC45D4">
            <w:pPr>
              <w:jc w:val="both"/>
              <w:rPr>
                <w:rFonts w:cstheme="minorHAnsi"/>
              </w:rPr>
            </w:pPr>
            <w:r w:rsidRPr="007368C7">
              <w:rPr>
                <w:rFonts w:cstheme="minorHAnsi"/>
                <w:b/>
                <w:bCs/>
              </w:rPr>
              <w:t>Uwaga nieuwzględniona</w:t>
            </w:r>
          </w:p>
          <w:p w14:paraId="232670AA" w14:textId="2E79D838" w:rsidR="00567912" w:rsidRPr="007368C7" w:rsidRDefault="00567912" w:rsidP="00BC45D4">
            <w:pPr>
              <w:jc w:val="both"/>
              <w:rPr>
                <w:rFonts w:cstheme="minorHAnsi"/>
              </w:rPr>
            </w:pPr>
            <w:r w:rsidRPr="007368C7">
              <w:rPr>
                <w:rFonts w:cstheme="minorHAnsi"/>
              </w:rPr>
              <w:t>Ust. 2a także stanowi zmianę planu spłaty wierzy</w:t>
            </w:r>
            <w:r w:rsidR="007C5BCA" w:rsidRPr="007368C7">
              <w:rPr>
                <w:rFonts w:cstheme="minorHAnsi"/>
              </w:rPr>
              <w:t>cieli</w:t>
            </w:r>
            <w:r w:rsidRPr="007368C7">
              <w:rPr>
                <w:rFonts w:cstheme="minorHAnsi"/>
              </w:rPr>
              <w:t xml:space="preserve">. </w:t>
            </w:r>
          </w:p>
        </w:tc>
      </w:tr>
      <w:tr w:rsidR="003B3876" w:rsidRPr="00486628" w14:paraId="446D7351" w14:textId="77777777" w:rsidTr="00AC5078">
        <w:tc>
          <w:tcPr>
            <w:tcW w:w="158" w:type="pct"/>
          </w:tcPr>
          <w:p w14:paraId="3B8DAE25" w14:textId="768314E5" w:rsidR="005F7A15" w:rsidRPr="00486628" w:rsidRDefault="00DB7D6A" w:rsidP="005F7A15">
            <w:pPr>
              <w:jc w:val="center"/>
              <w:rPr>
                <w:rFonts w:cstheme="minorHAnsi"/>
              </w:rPr>
            </w:pPr>
            <w:r>
              <w:rPr>
                <w:rFonts w:cstheme="minorHAnsi"/>
              </w:rPr>
              <w:t>16</w:t>
            </w:r>
          </w:p>
        </w:tc>
        <w:tc>
          <w:tcPr>
            <w:tcW w:w="698" w:type="pct"/>
          </w:tcPr>
          <w:p w14:paraId="455EA792" w14:textId="691B5DA9" w:rsidR="005F7A15" w:rsidRPr="00506F73" w:rsidRDefault="0073232F" w:rsidP="005F7A15">
            <w:pPr>
              <w:jc w:val="both"/>
              <w:rPr>
                <w:rFonts w:ascii="Calibri" w:hAnsi="Calibri" w:cs="Calibri"/>
              </w:rPr>
            </w:pPr>
            <w:r w:rsidRPr="0073232F">
              <w:rPr>
                <w:rFonts w:ascii="Calibri" w:hAnsi="Calibri" w:cs="Calibri"/>
              </w:rPr>
              <w:t>Prokuratoria Generalna</w:t>
            </w:r>
          </w:p>
        </w:tc>
        <w:tc>
          <w:tcPr>
            <w:tcW w:w="591" w:type="pct"/>
          </w:tcPr>
          <w:p w14:paraId="5B4F559E" w14:textId="542C66C2" w:rsidR="005F7A15" w:rsidRPr="002B3340" w:rsidRDefault="00DB7D6A" w:rsidP="005F7A15">
            <w:pPr>
              <w:jc w:val="both"/>
              <w:rPr>
                <w:rFonts w:ascii="Calibri" w:hAnsi="Calibri" w:cs="Calibri"/>
                <w:bCs/>
                <w:lang w:val="en-GB"/>
              </w:rPr>
            </w:pPr>
            <w:r w:rsidRPr="002B3340">
              <w:rPr>
                <w:rFonts w:ascii="Calibri" w:hAnsi="Calibri" w:cs="Calibri"/>
                <w:b/>
                <w:lang w:val="en-GB"/>
              </w:rPr>
              <w:t xml:space="preserve">Art. </w:t>
            </w:r>
            <w:r w:rsidR="00525687" w:rsidRPr="002B3340">
              <w:rPr>
                <w:rFonts w:ascii="Calibri" w:hAnsi="Calibri" w:cs="Calibri"/>
                <w:b/>
                <w:lang w:val="en-GB"/>
              </w:rPr>
              <w:t>1 pkt 8</w:t>
            </w:r>
            <w:r w:rsidRPr="002B3340">
              <w:rPr>
                <w:rFonts w:ascii="Calibri" w:hAnsi="Calibri" w:cs="Calibri"/>
                <w:b/>
                <w:lang w:val="en-GB"/>
              </w:rPr>
              <w:t xml:space="preserve"> lit b</w:t>
            </w:r>
            <w:r w:rsidR="00525687" w:rsidRPr="002B3340">
              <w:rPr>
                <w:rFonts w:ascii="Calibri" w:hAnsi="Calibri" w:cs="Calibri"/>
                <w:bCs/>
                <w:lang w:val="en-GB"/>
              </w:rPr>
              <w:t xml:space="preserve"> (</w:t>
            </w:r>
            <w:r w:rsidR="008916D8" w:rsidRPr="002B3340">
              <w:rPr>
                <w:rFonts w:ascii="Calibri" w:hAnsi="Calibri" w:cs="Calibri"/>
                <w:bCs/>
                <w:lang w:val="en-GB"/>
              </w:rPr>
              <w:t xml:space="preserve">art. </w:t>
            </w:r>
            <w:r w:rsidRPr="002B3340">
              <w:rPr>
                <w:rFonts w:ascii="Calibri" w:hAnsi="Calibri" w:cs="Calibri"/>
                <w:bCs/>
                <w:lang w:val="en-GB"/>
              </w:rPr>
              <w:t>370e ust. 2 pkt 1 P</w:t>
            </w:r>
            <w:r w:rsidR="00525687" w:rsidRPr="002B3340">
              <w:rPr>
                <w:rFonts w:ascii="Calibri" w:hAnsi="Calibri" w:cs="Calibri"/>
                <w:bCs/>
                <w:lang w:val="en-GB"/>
              </w:rPr>
              <w:t xml:space="preserve">.U.) </w:t>
            </w:r>
          </w:p>
        </w:tc>
        <w:tc>
          <w:tcPr>
            <w:tcW w:w="1418" w:type="pct"/>
          </w:tcPr>
          <w:p w14:paraId="0D94767A" w14:textId="772C4180" w:rsidR="005F7A15" w:rsidRPr="00462965" w:rsidRDefault="00DB7D6A" w:rsidP="00462965">
            <w:pPr>
              <w:jc w:val="both"/>
              <w:rPr>
                <w:rFonts w:cstheme="minorHAnsi"/>
                <w:b/>
              </w:rPr>
            </w:pPr>
            <w:r w:rsidRPr="00462965">
              <w:rPr>
                <w:rFonts w:eastAsia="Times New Roman" w:cstheme="minorHAnsi"/>
              </w:rPr>
              <w:t xml:space="preserve">Uchylenie art. 370e ust. 2 pkt 1 Pu bez zapewnienia adekwatnej sankcji za nieterminowe złożenie sprawozdania (nie przewiduje takiej sankcji art. 1 pkt 7 lit. d projektu) wydaje się iść za daleko. Sprawozdanie nie tylko stanowi źródło informacji dla wierzycieli, ale także – przykładowo – jest podstawą stosowania normy z art. 370e ust. 2 pkt 2 Pu. Wydaje się, </w:t>
            </w:r>
            <w:r w:rsidRPr="00462965">
              <w:rPr>
                <w:rFonts w:eastAsia="Times New Roman" w:cstheme="minorHAnsi"/>
              </w:rPr>
              <w:lastRenderedPageBreak/>
              <w:t>że dla osiągnięcia celów projektodawcy wystarczające byłoby złagodzenie obecnej sankcji np. poprzez zastąpienie obowiązku możliwością jej stosowania z uwzględnieniem przyczyn, dla których sprawozdanie nie zostało złożone</w:t>
            </w:r>
            <w:r w:rsidR="00437C86">
              <w:rPr>
                <w:rFonts w:eastAsia="Times New Roman" w:cstheme="minorHAnsi"/>
              </w:rPr>
              <w:t>.</w:t>
            </w:r>
          </w:p>
        </w:tc>
        <w:tc>
          <w:tcPr>
            <w:tcW w:w="1027" w:type="pct"/>
          </w:tcPr>
          <w:p w14:paraId="1391E543" w14:textId="20EC8A3E" w:rsidR="005F7A15" w:rsidRPr="00506F73" w:rsidRDefault="005F7A15" w:rsidP="005F7A15">
            <w:pPr>
              <w:jc w:val="both"/>
              <w:rPr>
                <w:rFonts w:ascii="Calibri" w:hAnsi="Calibri" w:cs="Calibri"/>
              </w:rPr>
            </w:pPr>
          </w:p>
        </w:tc>
        <w:tc>
          <w:tcPr>
            <w:tcW w:w="1108" w:type="pct"/>
          </w:tcPr>
          <w:p w14:paraId="0660A01D" w14:textId="77777777" w:rsidR="005F7A15" w:rsidRPr="007368C7" w:rsidRDefault="00567912" w:rsidP="00BC45D4">
            <w:pPr>
              <w:jc w:val="both"/>
              <w:rPr>
                <w:rFonts w:cstheme="minorHAnsi"/>
                <w:b/>
                <w:bCs/>
              </w:rPr>
            </w:pPr>
            <w:r w:rsidRPr="007368C7">
              <w:rPr>
                <w:rFonts w:cstheme="minorHAnsi"/>
                <w:b/>
                <w:bCs/>
              </w:rPr>
              <w:t>Uwaga nieuwzględniona</w:t>
            </w:r>
          </w:p>
          <w:p w14:paraId="5F1504FE" w14:textId="081F2DEB" w:rsidR="007C5BCA" w:rsidRPr="007368C7" w:rsidRDefault="007C5BCA" w:rsidP="00BC45D4">
            <w:pPr>
              <w:jc w:val="both"/>
              <w:rPr>
                <w:rFonts w:cstheme="minorHAnsi"/>
              </w:rPr>
            </w:pPr>
            <w:r w:rsidRPr="007368C7">
              <w:rPr>
                <w:rFonts w:cstheme="minorHAnsi"/>
              </w:rPr>
              <w:t>Rozwiązanie jest konsekwencją przyjętej koncepcji</w:t>
            </w:r>
            <w:r w:rsidR="00FB6BB4" w:rsidRPr="007368C7">
              <w:rPr>
                <w:rFonts w:cstheme="minorHAnsi"/>
              </w:rPr>
              <w:t xml:space="preserve">. Plan spłaty wierzycieli realizuje przede wszystkim prywatny interes majątkowy wierzycieli, tj. zmierza do zaspokojenia przysługujących im roszczeń, wcześniej ustalonych co do zasady i wysokości przez sąd </w:t>
            </w:r>
            <w:r w:rsidR="00FB6BB4" w:rsidRPr="007368C7">
              <w:rPr>
                <w:rFonts w:cstheme="minorHAnsi"/>
              </w:rPr>
              <w:lastRenderedPageBreak/>
              <w:t>upadłościowy. Pierwiastek publiczny rozumiany jako interes ogólnospołeczny na tym etapie postępowania nie pełni funkcji wiodącej. W związku z tym nadzór państwa nad prawidłowością wykonywania planu spłaty wierzycieli powinien mieć miejsce tylko wtedy, gdy żądają tego interesariusze. To właśnie wierzyciele mają najlepszą wiedzę na temat tego, czy przysługujące im roszczenia są spłacane przez dłużnika czy też zaprzestano realizacji planu spłaty wierzycieli. Rolą sądu nie jest realizacja z urzędu ochrony interesów wierzycieli w zakresie prawidłowej realizacji obowiązków płatniczych ciążących na ich dłużnikach.</w:t>
            </w:r>
          </w:p>
        </w:tc>
      </w:tr>
      <w:tr w:rsidR="003B3876" w:rsidRPr="00486628" w14:paraId="1BE5DF9A" w14:textId="14BCFDD5" w:rsidTr="00AC5078">
        <w:tc>
          <w:tcPr>
            <w:tcW w:w="158" w:type="pct"/>
          </w:tcPr>
          <w:p w14:paraId="21661837" w14:textId="3E8A3BFD" w:rsidR="005F7A15" w:rsidRPr="00486628" w:rsidRDefault="00681F4E" w:rsidP="005F7A15">
            <w:pPr>
              <w:jc w:val="center"/>
              <w:rPr>
                <w:rFonts w:cstheme="minorHAnsi"/>
              </w:rPr>
            </w:pPr>
            <w:r>
              <w:rPr>
                <w:rFonts w:cstheme="minorHAnsi"/>
              </w:rPr>
              <w:lastRenderedPageBreak/>
              <w:t>17</w:t>
            </w:r>
          </w:p>
        </w:tc>
        <w:tc>
          <w:tcPr>
            <w:tcW w:w="698" w:type="pct"/>
          </w:tcPr>
          <w:p w14:paraId="64BBB8F7" w14:textId="530BEBD4" w:rsidR="005F7A15" w:rsidRPr="00506F73" w:rsidRDefault="0073232F" w:rsidP="005F7A15">
            <w:pPr>
              <w:jc w:val="both"/>
              <w:rPr>
                <w:rFonts w:ascii="Calibri" w:hAnsi="Calibri" w:cs="Calibri"/>
              </w:rPr>
            </w:pPr>
            <w:r w:rsidRPr="0073232F">
              <w:rPr>
                <w:rFonts w:ascii="Calibri" w:hAnsi="Calibri" w:cs="Calibri"/>
              </w:rPr>
              <w:t>Prokuratoria Generalna</w:t>
            </w:r>
          </w:p>
        </w:tc>
        <w:tc>
          <w:tcPr>
            <w:tcW w:w="591" w:type="pct"/>
          </w:tcPr>
          <w:p w14:paraId="10B3C469" w14:textId="53BB9AEC" w:rsidR="005F7A15" w:rsidRPr="002B3340" w:rsidRDefault="00681F4E" w:rsidP="005F7A15">
            <w:pPr>
              <w:jc w:val="both"/>
              <w:rPr>
                <w:rFonts w:ascii="Calibri" w:hAnsi="Calibri" w:cs="Calibri"/>
                <w:lang w:val="en-GB"/>
              </w:rPr>
            </w:pPr>
            <w:r w:rsidRPr="002B3340">
              <w:rPr>
                <w:rFonts w:ascii="Calibri" w:hAnsi="Calibri" w:cs="Calibri"/>
                <w:b/>
                <w:bCs/>
                <w:lang w:val="en-GB"/>
              </w:rPr>
              <w:t>art. 1 pkt 9 lit. a</w:t>
            </w:r>
            <w:r w:rsidR="00AF427A" w:rsidRPr="002B3340">
              <w:rPr>
                <w:rFonts w:ascii="Calibri" w:hAnsi="Calibri" w:cs="Calibri"/>
                <w:b/>
                <w:bCs/>
                <w:lang w:val="en-GB"/>
              </w:rPr>
              <w:t xml:space="preserve"> </w:t>
            </w:r>
            <w:r w:rsidR="00AF427A" w:rsidRPr="002B3340">
              <w:rPr>
                <w:rFonts w:ascii="Calibri" w:hAnsi="Calibri" w:cs="Calibri"/>
                <w:lang w:val="en-GB"/>
              </w:rPr>
              <w:t>(art. 370f ust. 1 P.U.)</w:t>
            </w:r>
          </w:p>
        </w:tc>
        <w:tc>
          <w:tcPr>
            <w:tcW w:w="1418" w:type="pct"/>
          </w:tcPr>
          <w:p w14:paraId="5B829A1A" w14:textId="550D9FC2" w:rsidR="005F7A15" w:rsidRPr="00462965" w:rsidRDefault="00681F4E" w:rsidP="00462965">
            <w:pPr>
              <w:jc w:val="both"/>
              <w:rPr>
                <w:rFonts w:cstheme="minorHAnsi"/>
              </w:rPr>
            </w:pPr>
            <w:r w:rsidRPr="00462965">
              <w:rPr>
                <w:rFonts w:cstheme="minorHAnsi"/>
              </w:rPr>
              <w:t>Sformułowanie użyte w art. 1 pkt 9 lit. a projektu wskazujące, że określone wnioski powinny być złożone „w terminie trzech miesięcy od upływu okresu, na który został ustalony plan spłaty wierzycieli” jest o tyle niewłaściwe, że regulacja ta powinna uwzględniać także te wnioski, które zostały złożone przed upływem okresu, na który został ustalony plan spłaty wierzycieli. Rozwiązanie, do którego odnosi się uwaga jest powielane w innych miejscach projektu</w:t>
            </w:r>
            <w:r w:rsidR="00AF427A" w:rsidRPr="00462965">
              <w:rPr>
                <w:rFonts w:cstheme="minorHAnsi"/>
              </w:rPr>
              <w:t>.</w:t>
            </w:r>
          </w:p>
        </w:tc>
        <w:tc>
          <w:tcPr>
            <w:tcW w:w="1027" w:type="pct"/>
          </w:tcPr>
          <w:p w14:paraId="3C5ECCDC" w14:textId="77777777" w:rsidR="005F7A15" w:rsidRPr="00506F73" w:rsidRDefault="005F7A15" w:rsidP="005F7A15">
            <w:pPr>
              <w:jc w:val="both"/>
              <w:rPr>
                <w:rFonts w:ascii="Calibri" w:hAnsi="Calibri" w:cs="Calibri"/>
              </w:rPr>
            </w:pPr>
          </w:p>
        </w:tc>
        <w:tc>
          <w:tcPr>
            <w:tcW w:w="1108" w:type="pct"/>
          </w:tcPr>
          <w:p w14:paraId="2587AA0F" w14:textId="77777777" w:rsidR="005F7A15" w:rsidRPr="007368C7" w:rsidRDefault="00032CC2" w:rsidP="00BC45D4">
            <w:pPr>
              <w:jc w:val="both"/>
              <w:rPr>
                <w:rFonts w:cstheme="minorHAnsi"/>
                <w:b/>
                <w:bCs/>
              </w:rPr>
            </w:pPr>
            <w:r w:rsidRPr="007368C7">
              <w:rPr>
                <w:rFonts w:cstheme="minorHAnsi"/>
                <w:b/>
                <w:bCs/>
              </w:rPr>
              <w:t>Uwaga nieuwzględniona</w:t>
            </w:r>
          </w:p>
          <w:p w14:paraId="31628037" w14:textId="355C2390" w:rsidR="00032CC2" w:rsidRPr="007368C7" w:rsidRDefault="00FC30D7" w:rsidP="00BC45D4">
            <w:pPr>
              <w:jc w:val="both"/>
              <w:rPr>
                <w:rFonts w:cstheme="minorHAnsi"/>
              </w:rPr>
            </w:pPr>
            <w:r w:rsidRPr="007368C7">
              <w:rPr>
                <w:rFonts w:cstheme="minorHAnsi"/>
              </w:rPr>
              <w:t>Podniesione zagadnienie dotyczy interpretacji przepisów prawa</w:t>
            </w:r>
            <w:r w:rsidR="00E1666E" w:rsidRPr="007368C7">
              <w:rPr>
                <w:rFonts w:cstheme="minorHAnsi"/>
              </w:rPr>
              <w:t>, przepis wskazuje jedynie termin maksymalny do złożenia wniosku. Nie budzi wątpliwości,</w:t>
            </w:r>
            <w:r w:rsidR="004C486F" w:rsidRPr="007368C7">
              <w:rPr>
                <w:rFonts w:cstheme="minorHAnsi"/>
              </w:rPr>
              <w:t xml:space="preserve"> że wierzyciele mają możliwość wnoszenia do sądu o zmianę lub uchylenie planu spłaty nie tylko w okresie realizacji planu, ale również w ciągu dodatkowych trzech </w:t>
            </w:r>
            <w:r w:rsidR="004C486F" w:rsidRPr="007368C7">
              <w:rPr>
                <w:rFonts w:cstheme="minorHAnsi"/>
              </w:rPr>
              <w:lastRenderedPageBreak/>
              <w:t>miesięcy od upływu okresu, na który plan ustalono.</w:t>
            </w:r>
          </w:p>
        </w:tc>
      </w:tr>
      <w:tr w:rsidR="00FF142F" w:rsidRPr="00486628" w14:paraId="63FC44A4" w14:textId="77777777" w:rsidTr="00AC5078">
        <w:tc>
          <w:tcPr>
            <w:tcW w:w="158" w:type="pct"/>
          </w:tcPr>
          <w:p w14:paraId="1C631774" w14:textId="088B04EB" w:rsidR="00B12B48" w:rsidRDefault="00B12B48" w:rsidP="005F7A15">
            <w:pPr>
              <w:jc w:val="center"/>
              <w:rPr>
                <w:rFonts w:cstheme="minorHAnsi"/>
              </w:rPr>
            </w:pPr>
            <w:r>
              <w:rPr>
                <w:rFonts w:cstheme="minorHAnsi"/>
              </w:rPr>
              <w:lastRenderedPageBreak/>
              <w:t>18</w:t>
            </w:r>
          </w:p>
        </w:tc>
        <w:tc>
          <w:tcPr>
            <w:tcW w:w="698" w:type="pct"/>
          </w:tcPr>
          <w:p w14:paraId="208779D6" w14:textId="5BF8C777" w:rsidR="00B12B48" w:rsidRPr="00506F73" w:rsidRDefault="0073232F" w:rsidP="0073232F">
            <w:pPr>
              <w:rPr>
                <w:rFonts w:ascii="Calibri" w:hAnsi="Calibri" w:cs="Calibri"/>
              </w:rPr>
            </w:pPr>
            <w:r>
              <w:rPr>
                <w:rFonts w:ascii="Calibri" w:hAnsi="Calibri" w:cs="Calibri"/>
              </w:rPr>
              <w:t>S</w:t>
            </w:r>
            <w:r w:rsidR="006E69D8">
              <w:rPr>
                <w:rFonts w:ascii="Calibri" w:hAnsi="Calibri" w:cs="Calibri"/>
              </w:rPr>
              <w:t>ąd Apelacyjny</w:t>
            </w:r>
            <w:r>
              <w:rPr>
                <w:rFonts w:ascii="Calibri" w:hAnsi="Calibri" w:cs="Calibri"/>
              </w:rPr>
              <w:t xml:space="preserve"> w Katowicach </w:t>
            </w:r>
          </w:p>
        </w:tc>
        <w:tc>
          <w:tcPr>
            <w:tcW w:w="591" w:type="pct"/>
          </w:tcPr>
          <w:p w14:paraId="0859BF2B" w14:textId="13CCE6CE" w:rsidR="00B12B48" w:rsidRPr="00681F4E" w:rsidRDefault="006E69D8" w:rsidP="005F7A15">
            <w:pPr>
              <w:jc w:val="both"/>
              <w:rPr>
                <w:rFonts w:ascii="Calibri" w:hAnsi="Calibri" w:cs="Calibri"/>
              </w:rPr>
            </w:pPr>
            <w:r w:rsidRPr="006E69D8">
              <w:rPr>
                <w:rFonts w:ascii="Calibri" w:hAnsi="Calibri" w:cs="Calibri"/>
                <w:b/>
                <w:bCs/>
              </w:rPr>
              <w:t>Art. 1 pkt 17</w:t>
            </w:r>
            <w:r>
              <w:rPr>
                <w:rFonts w:ascii="Calibri" w:hAnsi="Calibri" w:cs="Calibri"/>
              </w:rPr>
              <w:t xml:space="preserve"> (art. </w:t>
            </w:r>
            <w:r w:rsidR="0073232F" w:rsidRPr="0073232F">
              <w:rPr>
                <w:rFonts w:ascii="Calibri" w:hAnsi="Calibri" w:cs="Calibri"/>
              </w:rPr>
              <w:t>491</w:t>
            </w:r>
            <w:r w:rsidR="0073232F">
              <w:rPr>
                <w:rFonts w:ascii="Calibri" w:hAnsi="Calibri" w:cs="Calibri"/>
                <w:vertAlign w:val="superscript"/>
              </w:rPr>
              <w:t>18</w:t>
            </w:r>
            <w:r w:rsidR="0073232F" w:rsidRPr="0073232F">
              <w:rPr>
                <w:rFonts w:ascii="Calibri" w:hAnsi="Calibri" w:cs="Calibri"/>
              </w:rPr>
              <w:t xml:space="preserve"> ust. 3</w:t>
            </w:r>
            <w:r>
              <w:rPr>
                <w:rFonts w:ascii="Calibri" w:hAnsi="Calibri" w:cs="Calibri"/>
              </w:rPr>
              <w:t xml:space="preserve"> P.U.)</w:t>
            </w:r>
          </w:p>
        </w:tc>
        <w:tc>
          <w:tcPr>
            <w:tcW w:w="1418" w:type="pct"/>
          </w:tcPr>
          <w:p w14:paraId="3DD414AC" w14:textId="695DA9E5" w:rsidR="0073232F" w:rsidRPr="00462965" w:rsidRDefault="0073232F" w:rsidP="00462965">
            <w:pPr>
              <w:jc w:val="both"/>
              <w:rPr>
                <w:rFonts w:cstheme="minorHAnsi"/>
              </w:rPr>
            </w:pPr>
            <w:r w:rsidRPr="00462965">
              <w:rPr>
                <w:rFonts w:cstheme="minorHAnsi"/>
              </w:rPr>
              <w:t>Ostanie zdanie tego przepisu, że „Sąd nie bada treści i formy dokumentów,</w:t>
            </w:r>
            <w:r w:rsidR="006E69D8" w:rsidRPr="00462965">
              <w:rPr>
                <w:rFonts w:cstheme="minorHAnsi"/>
              </w:rPr>
              <w:t xml:space="preserve"> </w:t>
            </w:r>
            <w:r w:rsidRPr="00462965">
              <w:rPr>
                <w:rFonts w:cstheme="minorHAnsi"/>
              </w:rPr>
              <w:t>o których mowa w zdaniu pierwszym i drugim” rodzi wątpliwości, czy sąd powinien kontrolować sam</w:t>
            </w:r>
            <w:r w:rsidR="006E69D8" w:rsidRPr="00462965">
              <w:rPr>
                <w:rFonts w:cstheme="minorHAnsi"/>
              </w:rPr>
              <w:t xml:space="preserve"> </w:t>
            </w:r>
            <w:r w:rsidRPr="00462965">
              <w:rPr>
                <w:rFonts w:cstheme="minorHAnsi"/>
              </w:rPr>
              <w:t>fakt składania sprawozdań przez dłużnika i wzywać dłużnika do ich złożenia gdy ten nie wykonuje tego</w:t>
            </w:r>
            <w:r w:rsidR="006E69D8" w:rsidRPr="00462965">
              <w:rPr>
                <w:rFonts w:cstheme="minorHAnsi"/>
              </w:rPr>
              <w:t xml:space="preserve"> </w:t>
            </w:r>
            <w:r w:rsidRPr="00462965">
              <w:rPr>
                <w:rFonts w:cstheme="minorHAnsi"/>
              </w:rPr>
              <w:t>obowiązku. Czy też sąd w ogóle nie kontroluje czy sprawozdania wpływają do akt, tak jak nie bada ich</w:t>
            </w:r>
            <w:r w:rsidR="006E69D8" w:rsidRPr="00462965">
              <w:rPr>
                <w:rFonts w:cstheme="minorHAnsi"/>
              </w:rPr>
              <w:t xml:space="preserve"> </w:t>
            </w:r>
            <w:r w:rsidRPr="00462965">
              <w:rPr>
                <w:rFonts w:cstheme="minorHAnsi"/>
              </w:rPr>
              <w:t>formy i treści dokumentów.</w:t>
            </w:r>
          </w:p>
          <w:p w14:paraId="76077F7A" w14:textId="78D4D008" w:rsidR="00B12B48" w:rsidRPr="00462965" w:rsidRDefault="0073232F" w:rsidP="00462965">
            <w:pPr>
              <w:jc w:val="both"/>
              <w:rPr>
                <w:rFonts w:cstheme="minorHAnsi"/>
              </w:rPr>
            </w:pPr>
            <w:r w:rsidRPr="00462965">
              <w:rPr>
                <w:rFonts w:cstheme="minorHAnsi"/>
              </w:rPr>
              <w:t>W ocenie sędziów sąd nie powinien w ogóle kontrolować, czy sprawozdania wpływają, czy też</w:t>
            </w:r>
            <w:r w:rsidR="006E69D8" w:rsidRPr="00462965">
              <w:rPr>
                <w:rFonts w:cstheme="minorHAnsi"/>
              </w:rPr>
              <w:t xml:space="preserve"> </w:t>
            </w:r>
            <w:r w:rsidRPr="00462965">
              <w:rPr>
                <w:rFonts w:cstheme="minorHAnsi"/>
              </w:rPr>
              <w:t>nie. Tymczasem z zapisu, że „Sąd nie bada treści i formy dokumentów, o których mowa w zdaniu</w:t>
            </w:r>
            <w:r w:rsidR="005A0F07" w:rsidRPr="00462965">
              <w:rPr>
                <w:rFonts w:cstheme="minorHAnsi"/>
              </w:rPr>
              <w:t xml:space="preserve"> </w:t>
            </w:r>
            <w:r w:rsidRPr="00462965">
              <w:rPr>
                <w:rFonts w:cstheme="minorHAnsi"/>
              </w:rPr>
              <w:t>pierwszym i drugim”, można wywodzić, że sam fakt składania sprawozdań przez dłużnika nadal</w:t>
            </w:r>
            <w:r w:rsidR="005A0F07" w:rsidRPr="00462965">
              <w:rPr>
                <w:rFonts w:cstheme="minorHAnsi"/>
              </w:rPr>
              <w:t xml:space="preserve"> </w:t>
            </w:r>
            <w:r w:rsidRPr="00462965">
              <w:rPr>
                <w:rFonts w:cstheme="minorHAnsi"/>
              </w:rPr>
              <w:t>pozostaje pod kontrolą sądu. A jeśli tak, to nadal będzie ciążył na sądzie obowiązek badania co roku</w:t>
            </w:r>
            <w:r w:rsidR="00BC3815" w:rsidRPr="00462965">
              <w:rPr>
                <w:rFonts w:cstheme="minorHAnsi"/>
              </w:rPr>
              <w:t xml:space="preserve"> </w:t>
            </w:r>
            <w:r w:rsidRPr="00462965">
              <w:rPr>
                <w:rFonts w:cstheme="minorHAnsi"/>
              </w:rPr>
              <w:t>setek spraw celem ustalenia, czy sprawozdania są składane przez dłużników, a jeśli nie są, do wzywania</w:t>
            </w:r>
            <w:r w:rsidR="00BC3815" w:rsidRPr="00462965">
              <w:rPr>
                <w:rFonts w:cstheme="minorHAnsi"/>
              </w:rPr>
              <w:t xml:space="preserve"> </w:t>
            </w:r>
            <w:r w:rsidRPr="00462965">
              <w:rPr>
                <w:rFonts w:cstheme="minorHAnsi"/>
              </w:rPr>
              <w:t>do ich złożenia bez konieczności następczego badania ich pod względem treści i formy.</w:t>
            </w:r>
          </w:p>
        </w:tc>
        <w:tc>
          <w:tcPr>
            <w:tcW w:w="1027" w:type="pct"/>
          </w:tcPr>
          <w:p w14:paraId="18B267A1" w14:textId="77777777" w:rsidR="00B12B48" w:rsidRPr="00506F73" w:rsidRDefault="00B12B48" w:rsidP="005F7A15">
            <w:pPr>
              <w:jc w:val="both"/>
              <w:rPr>
                <w:rFonts w:ascii="Calibri" w:hAnsi="Calibri" w:cs="Calibri"/>
              </w:rPr>
            </w:pPr>
          </w:p>
        </w:tc>
        <w:tc>
          <w:tcPr>
            <w:tcW w:w="1108" w:type="pct"/>
          </w:tcPr>
          <w:p w14:paraId="60986D0A" w14:textId="77777777" w:rsidR="00B12B48" w:rsidRPr="007368C7" w:rsidRDefault="00032CC2" w:rsidP="00BC45D4">
            <w:pPr>
              <w:jc w:val="both"/>
              <w:rPr>
                <w:rFonts w:cstheme="minorHAnsi"/>
                <w:b/>
                <w:bCs/>
              </w:rPr>
            </w:pPr>
            <w:r w:rsidRPr="007368C7">
              <w:rPr>
                <w:rFonts w:cstheme="minorHAnsi"/>
                <w:b/>
                <w:bCs/>
              </w:rPr>
              <w:t xml:space="preserve">Uwaga </w:t>
            </w:r>
            <w:r w:rsidR="003C42AE" w:rsidRPr="007368C7">
              <w:rPr>
                <w:rFonts w:cstheme="minorHAnsi"/>
                <w:b/>
                <w:bCs/>
              </w:rPr>
              <w:t>nieuwzględniona</w:t>
            </w:r>
          </w:p>
          <w:p w14:paraId="0F3E4C28" w14:textId="77090F5C" w:rsidR="004000E8" w:rsidRPr="007368C7" w:rsidRDefault="004000E8" w:rsidP="00BC45D4">
            <w:pPr>
              <w:jc w:val="both"/>
              <w:rPr>
                <w:rFonts w:cstheme="minorHAnsi"/>
              </w:rPr>
            </w:pPr>
            <w:r w:rsidRPr="007368C7">
              <w:rPr>
                <w:rFonts w:cstheme="minorHAnsi"/>
              </w:rPr>
              <w:t>Wskazanie w projektowym przepisie wprost, że składanie sprawozdań i dokumentów, o których mowa powyżej, nie podlega nadzorowi sądu</w:t>
            </w:r>
            <w:r w:rsidR="00526D7E" w:rsidRPr="007368C7">
              <w:rPr>
                <w:rFonts w:cstheme="minorHAnsi"/>
              </w:rPr>
              <w:t xml:space="preserve"> </w:t>
            </w:r>
            <w:r w:rsidRPr="007368C7">
              <w:rPr>
                <w:rFonts w:cstheme="minorHAnsi"/>
              </w:rPr>
              <w:t xml:space="preserve">oznacza, że złożenie tych dokumentów nie podlega także kontroli formalnej na gruncie przepisów postępowania cywilnego, co odzwierciedla uzasadnienie do projektu. </w:t>
            </w:r>
          </w:p>
        </w:tc>
      </w:tr>
      <w:tr w:rsidR="00FF142F" w:rsidRPr="00486628" w14:paraId="3AF9959F" w14:textId="77777777" w:rsidTr="00AC5078">
        <w:tc>
          <w:tcPr>
            <w:tcW w:w="158" w:type="pct"/>
          </w:tcPr>
          <w:p w14:paraId="45FA5899" w14:textId="32CDCD0B" w:rsidR="00826995" w:rsidRDefault="00826995" w:rsidP="005F7A15">
            <w:pPr>
              <w:jc w:val="center"/>
              <w:rPr>
                <w:rFonts w:cstheme="minorHAnsi"/>
              </w:rPr>
            </w:pPr>
            <w:r>
              <w:rPr>
                <w:rFonts w:cstheme="minorHAnsi"/>
              </w:rPr>
              <w:t xml:space="preserve">19 </w:t>
            </w:r>
          </w:p>
        </w:tc>
        <w:tc>
          <w:tcPr>
            <w:tcW w:w="698" w:type="pct"/>
          </w:tcPr>
          <w:p w14:paraId="3025CEEF" w14:textId="1B45018E" w:rsidR="00826995" w:rsidRDefault="00826995" w:rsidP="0073232F">
            <w:pPr>
              <w:rPr>
                <w:rFonts w:ascii="Calibri" w:hAnsi="Calibri" w:cs="Calibri"/>
              </w:rPr>
            </w:pPr>
            <w:r w:rsidRPr="00826995">
              <w:rPr>
                <w:rFonts w:ascii="Calibri" w:hAnsi="Calibri" w:cs="Calibri"/>
              </w:rPr>
              <w:t>Konfederacja Lewiatan</w:t>
            </w:r>
          </w:p>
        </w:tc>
        <w:tc>
          <w:tcPr>
            <w:tcW w:w="591" w:type="pct"/>
          </w:tcPr>
          <w:p w14:paraId="35806923" w14:textId="2CFD4CD9" w:rsidR="00826995" w:rsidRPr="002B3340" w:rsidRDefault="00B277E4" w:rsidP="005F7A15">
            <w:pPr>
              <w:jc w:val="both"/>
              <w:rPr>
                <w:rFonts w:ascii="Calibri" w:hAnsi="Calibri" w:cs="Calibri"/>
                <w:lang w:val="en-GB"/>
              </w:rPr>
            </w:pPr>
            <w:r w:rsidRPr="002B3340">
              <w:rPr>
                <w:rFonts w:ascii="Calibri" w:hAnsi="Calibri" w:cs="Calibri"/>
                <w:b/>
                <w:bCs/>
                <w:lang w:val="en-GB"/>
              </w:rPr>
              <w:t>Art. 1 pkt. 8</w:t>
            </w:r>
            <w:r w:rsidRPr="002B3340">
              <w:rPr>
                <w:rFonts w:ascii="Calibri" w:hAnsi="Calibri" w:cs="Calibri"/>
                <w:lang w:val="en-GB"/>
              </w:rPr>
              <w:t xml:space="preserve"> (</w:t>
            </w:r>
            <w:r w:rsidR="00826995" w:rsidRPr="002B3340">
              <w:rPr>
                <w:rFonts w:ascii="Calibri" w:hAnsi="Calibri" w:cs="Calibri"/>
                <w:lang w:val="en-GB"/>
              </w:rPr>
              <w:t>art. 370e</w:t>
            </w:r>
            <w:r w:rsidRPr="002B3340">
              <w:rPr>
                <w:rFonts w:ascii="Calibri" w:hAnsi="Calibri" w:cs="Calibri"/>
                <w:lang w:val="en-GB"/>
              </w:rPr>
              <w:t xml:space="preserve"> P.U.)</w:t>
            </w:r>
          </w:p>
        </w:tc>
        <w:tc>
          <w:tcPr>
            <w:tcW w:w="1418" w:type="pct"/>
          </w:tcPr>
          <w:p w14:paraId="7CB8D53E" w14:textId="47929967" w:rsidR="00826995" w:rsidRPr="00462965" w:rsidRDefault="00826995" w:rsidP="00462965">
            <w:pPr>
              <w:jc w:val="both"/>
              <w:rPr>
                <w:rFonts w:cstheme="minorHAnsi"/>
              </w:rPr>
            </w:pPr>
            <w:r w:rsidRPr="00462965">
              <w:rPr>
                <w:rFonts w:cstheme="minorHAnsi"/>
              </w:rPr>
              <w:t xml:space="preserve">Celem reakcji na brak sprawozdania nie powinno być automatyczne uchylenie planu, lecz doprowadzenie do uzyskania informacji, która jest niezbędna dla sądu i wierzycieli. Przyjmując model, w którym większa aktywność w toku wykonywania planu spłaty spoczywa po stronie wierzycieli, nie można jednocześnie abstrahować od potrzeby </w:t>
            </w:r>
            <w:r w:rsidRPr="00462965">
              <w:rPr>
                <w:rFonts w:cstheme="minorHAnsi"/>
              </w:rPr>
              <w:lastRenderedPageBreak/>
              <w:t>zachowania elementów dyscyplinujących dłużnika.</w:t>
            </w:r>
            <w:r w:rsidR="00237E0B">
              <w:rPr>
                <w:rFonts w:cstheme="minorHAnsi"/>
              </w:rPr>
              <w:t xml:space="preserve"> </w:t>
            </w:r>
            <w:r w:rsidRPr="00462965">
              <w:rPr>
                <w:rFonts w:cstheme="minorHAnsi"/>
              </w:rPr>
              <w:t>Zwiększenie aktywności wierzycieli w toku wykonywania planu spłaty nie powinno odbywać się kosztem osłabienia obowiązków dłużnika, w szczególności w zakresie terminowego składania sprawozdań.</w:t>
            </w:r>
            <w:r w:rsidR="00237E0B">
              <w:rPr>
                <w:rFonts w:cstheme="minorHAnsi"/>
              </w:rPr>
              <w:t xml:space="preserve"> </w:t>
            </w:r>
            <w:r w:rsidRPr="00462965">
              <w:rPr>
                <w:rFonts w:cstheme="minorHAnsi"/>
              </w:rPr>
              <w:t>Przerzucenie inicjatywy wyłącznie na</w:t>
            </w:r>
            <w:r w:rsidR="00237E0B">
              <w:rPr>
                <w:rFonts w:cstheme="minorHAnsi"/>
              </w:rPr>
              <w:t xml:space="preserve"> </w:t>
            </w:r>
            <w:r w:rsidRPr="00462965">
              <w:rPr>
                <w:rFonts w:cstheme="minorHAnsi"/>
              </w:rPr>
              <w:t>wierzycieli, bez mechanizmów</w:t>
            </w:r>
            <w:r w:rsidR="00237E0B">
              <w:rPr>
                <w:rFonts w:cstheme="minorHAnsi"/>
              </w:rPr>
              <w:t xml:space="preserve"> </w:t>
            </w:r>
            <w:r w:rsidRPr="00462965">
              <w:rPr>
                <w:rFonts w:cstheme="minorHAnsi"/>
              </w:rPr>
              <w:t>dyscyplinujących dłużnika, narusza</w:t>
            </w:r>
            <w:r w:rsidR="00237E0B">
              <w:rPr>
                <w:rFonts w:cstheme="minorHAnsi"/>
              </w:rPr>
              <w:t xml:space="preserve"> </w:t>
            </w:r>
            <w:r w:rsidRPr="00462965">
              <w:rPr>
                <w:rFonts w:cstheme="minorHAnsi"/>
              </w:rPr>
              <w:t>równowagę stron postępowania.</w:t>
            </w:r>
          </w:p>
          <w:p w14:paraId="0FF1010F" w14:textId="77777777" w:rsidR="00826995" w:rsidRPr="00462965" w:rsidRDefault="00826995" w:rsidP="00462965">
            <w:pPr>
              <w:jc w:val="both"/>
              <w:rPr>
                <w:rFonts w:cstheme="minorHAnsi"/>
              </w:rPr>
            </w:pPr>
            <w:r w:rsidRPr="00462965">
              <w:rPr>
                <w:rFonts w:cstheme="minorHAnsi"/>
              </w:rPr>
              <w:t>Choć w upadłości istotną rolę odgrywa funkcja oddłużeniowa, należy podkreślić, że prymat powinien być również przyznany zaspokojeniu roszczeń wierzycieli, ze względu na konstytucyjną ochronę ich praw majątkowych. W tym sensie obowiązki informacyjne dłużnika, w tym terminowe składanie sprawozdań są integralną częścią „umowy” z wierzycielami. Sprawozdanie z wykonania planu spłaty pełni bowiem nie tylko funkcję techniczną, lecz także funkcję dyscyplinującą i kontrolną, umożliwiającą ocenę sytuacji dłużnika oraz prawidłowości realizacji przyjętych zobowiązań.</w:t>
            </w:r>
          </w:p>
          <w:p w14:paraId="0936A703" w14:textId="752A2742" w:rsidR="00826995" w:rsidRPr="00462965" w:rsidRDefault="00826995" w:rsidP="00462965">
            <w:pPr>
              <w:jc w:val="both"/>
              <w:rPr>
                <w:rFonts w:cstheme="minorHAnsi"/>
              </w:rPr>
            </w:pPr>
            <w:r w:rsidRPr="00462965">
              <w:rPr>
                <w:rFonts w:cstheme="minorHAnsi"/>
              </w:rPr>
              <w:t xml:space="preserve">Odwoływanie się do „wykluczenia cyfrowego” pozostaje w sprzeczności z deklarowanymi i realizowanymi przez państwo celami w zakresie cyfryzacji administracji i gospodarki. Z jednej strony ustawodawca dąży do budowy nowoczesnego, cyfrowego państwa i gospodarki opartej na usługach elektronicznych, z drugiej zaś – w sferze prawa </w:t>
            </w:r>
            <w:r w:rsidRPr="00462965">
              <w:rPr>
                <w:rFonts w:cstheme="minorHAnsi"/>
              </w:rPr>
              <w:lastRenderedPageBreak/>
              <w:t>upadłościowego – przyjmuje założenie niezdolności obywateli do korzystania z podstawowych narzędzi teleinformatycznych, co prowadzi do rezygnacji z egzekwowania ustawowych obowiązków.</w:t>
            </w:r>
          </w:p>
          <w:p w14:paraId="1003C1E3" w14:textId="558D7635" w:rsidR="00826995" w:rsidRPr="00462965" w:rsidRDefault="00826995" w:rsidP="00462965">
            <w:pPr>
              <w:jc w:val="both"/>
              <w:rPr>
                <w:rFonts w:cstheme="minorHAnsi"/>
              </w:rPr>
            </w:pPr>
            <w:r w:rsidRPr="00462965">
              <w:rPr>
                <w:rFonts w:cstheme="minorHAnsi"/>
              </w:rPr>
              <w:t>Zamiast eliminować obowiązki informacyjne po stronie dłużnika, właściwą reakcją ustawodawcy powinno być stosowanie instrumentów wspierających ich realizację, takich jak wezwania do złożenia dokumentów, jasne pouczenia, a także działania informacyjne i szkoleniowe. Wymaganie wykonania określonych czynności, przy jednoczesnym zapewnieniu realnego wsparcia w ich realizacji, lepiej realizuje zasadę proporcjonalności niż całkowite odstąpienie od egzekwowania obowiązków. W dłuższej perspektywie osłabia to zarówno funkcję dyscyplinującą planu spłaty, jak i zdolność systemu prawa do kształtowania kompetencji niezbędnych do funkcjonowania w coraz bardziej zinformatyzowanym obrocie prawnym i gospodarczym.</w:t>
            </w:r>
          </w:p>
          <w:p w14:paraId="4235EE0D" w14:textId="4DAE2FDE" w:rsidR="00826995" w:rsidRPr="00462965" w:rsidRDefault="00826995" w:rsidP="00462965">
            <w:pPr>
              <w:jc w:val="both"/>
              <w:rPr>
                <w:rFonts w:cstheme="minorHAnsi"/>
              </w:rPr>
            </w:pPr>
            <w:r w:rsidRPr="00462965">
              <w:rPr>
                <w:rFonts w:cstheme="minorHAnsi"/>
              </w:rPr>
              <w:t>Złożenie przez dłużnika takiego sprawozdania, jest informacją ogólną i sygnałem dla</w:t>
            </w:r>
            <w:r w:rsidR="00237E0B">
              <w:rPr>
                <w:rFonts w:cstheme="minorHAnsi"/>
              </w:rPr>
              <w:t xml:space="preserve"> </w:t>
            </w:r>
            <w:r w:rsidRPr="00462965">
              <w:rPr>
                <w:rFonts w:cstheme="minorHAnsi"/>
              </w:rPr>
              <w:t>wierzyciela, że w postępowaniu</w:t>
            </w:r>
            <w:r w:rsidR="00237E0B">
              <w:rPr>
                <w:rFonts w:cstheme="minorHAnsi"/>
              </w:rPr>
              <w:t xml:space="preserve"> </w:t>
            </w:r>
            <w:r w:rsidRPr="00462965">
              <w:rPr>
                <w:rFonts w:cstheme="minorHAnsi"/>
              </w:rPr>
              <w:t xml:space="preserve">upadłościowym nadal jest spełniana funkcja prewencyjno-wychowawcza postępowania. Brak sankcji za wykonanie tego obowiązku przez dłużnika, w postaci możliwości uchylenia planu spłaty przez sąd, doprowadzi do pozbawienia tego etapu postępowania </w:t>
            </w:r>
            <w:r w:rsidRPr="00462965">
              <w:rPr>
                <w:rFonts w:cstheme="minorHAnsi"/>
              </w:rPr>
              <w:lastRenderedPageBreak/>
              <w:t>spełnienia celu postępowania, polegającego na wykształceniu w dłużników prawidłowej postawy płatniczej i nabycia odpowiedzialności do tego zagadnienia. Sąd Upadłościowy powinien mieć pozostawioną możliwość uchylenia planu spłaty w przypadku braku spełnienia przez upadłego obowiązku złożenia sprawozdania z wykonania planu spłaty, na zasadzie możliwości, która nie jest wykluczona.</w:t>
            </w:r>
          </w:p>
          <w:p w14:paraId="1A4E340A" w14:textId="29FA36E0" w:rsidR="00826995" w:rsidRPr="00462965" w:rsidRDefault="00826995" w:rsidP="00462965">
            <w:pPr>
              <w:jc w:val="both"/>
              <w:rPr>
                <w:rFonts w:cstheme="minorHAnsi"/>
              </w:rPr>
            </w:pPr>
            <w:r w:rsidRPr="00462965">
              <w:rPr>
                <w:rFonts w:cstheme="minorHAnsi"/>
              </w:rPr>
              <w:t>W przypadku braku złożenia sprawozdania wierzyciele nie będą posiadać konkretnego narzędzia, które uprzednio przysługiwało Sądowi Upadłościowemu. Dlatego też proponowane zmiany powinny umożliwiać wierzycielom lub sądowi nakłonienie dłużnika do realizacji tego obowiązku, pod rygorem uchylenia planu spłaty, ale nie czynić tego automatycznie.</w:t>
            </w:r>
          </w:p>
        </w:tc>
        <w:tc>
          <w:tcPr>
            <w:tcW w:w="1027" w:type="pct"/>
          </w:tcPr>
          <w:p w14:paraId="222DA24C" w14:textId="7AEDBBAD" w:rsidR="00826995" w:rsidRPr="00826995" w:rsidRDefault="00B277E4" w:rsidP="00826995">
            <w:pPr>
              <w:jc w:val="both"/>
              <w:rPr>
                <w:rFonts w:ascii="Calibri" w:hAnsi="Calibri" w:cs="Calibri"/>
              </w:rPr>
            </w:pPr>
            <w:r>
              <w:rPr>
                <w:rFonts w:ascii="Calibri" w:hAnsi="Calibri" w:cs="Calibri"/>
              </w:rPr>
              <w:lastRenderedPageBreak/>
              <w:t>Ust. 2 pkt 1</w:t>
            </w:r>
          </w:p>
          <w:p w14:paraId="72FE52C3" w14:textId="752DF936" w:rsidR="00826995" w:rsidRPr="00826995" w:rsidRDefault="00826995" w:rsidP="00826995">
            <w:pPr>
              <w:jc w:val="both"/>
              <w:rPr>
                <w:rFonts w:ascii="Calibri" w:hAnsi="Calibri" w:cs="Calibri"/>
              </w:rPr>
            </w:pPr>
            <w:r w:rsidRPr="00826995">
              <w:rPr>
                <w:rFonts w:ascii="Calibri" w:hAnsi="Calibri" w:cs="Calibri"/>
              </w:rPr>
              <w:t>W razie niezłożenia sprawozdania z wykonania planu spłaty wierzycieli w terminie o którym mowa w art. 370c ust. 4, sąd wzywa upadłego do jego złożenia, wyznaczając</w:t>
            </w:r>
            <w:r w:rsidR="000E1595">
              <w:rPr>
                <w:rFonts w:ascii="Calibri" w:hAnsi="Calibri" w:cs="Calibri"/>
              </w:rPr>
              <w:t xml:space="preserve"> </w:t>
            </w:r>
            <w:r w:rsidRPr="00826995">
              <w:rPr>
                <w:rFonts w:ascii="Calibri" w:hAnsi="Calibri" w:cs="Calibri"/>
              </w:rPr>
              <w:t xml:space="preserve">dodatkowy siedmiodniowy </w:t>
            </w:r>
            <w:r w:rsidRPr="00826995">
              <w:rPr>
                <w:rFonts w:ascii="Calibri" w:hAnsi="Calibri" w:cs="Calibri"/>
              </w:rPr>
              <w:lastRenderedPageBreak/>
              <w:t>termin.</w:t>
            </w:r>
            <w:r w:rsidR="00B277E4">
              <w:rPr>
                <w:rFonts w:ascii="Calibri" w:hAnsi="Calibri" w:cs="Calibri"/>
              </w:rPr>
              <w:t xml:space="preserve"> </w:t>
            </w:r>
            <w:r w:rsidRPr="00826995">
              <w:rPr>
                <w:rFonts w:ascii="Calibri" w:hAnsi="Calibri" w:cs="Calibri"/>
              </w:rPr>
              <w:t>W razie bezskutecznego upływu</w:t>
            </w:r>
            <w:r w:rsidR="00B277E4">
              <w:rPr>
                <w:rFonts w:ascii="Calibri" w:hAnsi="Calibri" w:cs="Calibri"/>
              </w:rPr>
              <w:t xml:space="preserve"> </w:t>
            </w:r>
            <w:r w:rsidRPr="00826995">
              <w:rPr>
                <w:rFonts w:ascii="Calibri" w:hAnsi="Calibri" w:cs="Calibri"/>
              </w:rPr>
              <w:t>wyznaczonego terminu o którym mowa w ust. 1, Przepis art. 370e ust. 1 stosuje się odpowiednio.</w:t>
            </w:r>
          </w:p>
          <w:p w14:paraId="41940351" w14:textId="77777777" w:rsidR="00B277E4" w:rsidRDefault="00B277E4" w:rsidP="00826995">
            <w:pPr>
              <w:jc w:val="both"/>
              <w:rPr>
                <w:rFonts w:ascii="Calibri" w:hAnsi="Calibri" w:cs="Calibri"/>
              </w:rPr>
            </w:pPr>
          </w:p>
          <w:p w14:paraId="21B9FE40" w14:textId="0B89C548" w:rsidR="00826995" w:rsidRDefault="000E1595" w:rsidP="00826995">
            <w:pPr>
              <w:jc w:val="both"/>
              <w:rPr>
                <w:rFonts w:ascii="Calibri" w:hAnsi="Calibri" w:cs="Calibri"/>
              </w:rPr>
            </w:pPr>
            <w:r w:rsidRPr="00826995">
              <w:rPr>
                <w:rFonts w:ascii="Calibri" w:hAnsi="Calibri" w:cs="Calibri"/>
              </w:rPr>
              <w:t>A</w:t>
            </w:r>
            <w:r w:rsidR="00826995" w:rsidRPr="00826995">
              <w:rPr>
                <w:rFonts w:ascii="Calibri" w:hAnsi="Calibri" w:cs="Calibri"/>
              </w:rPr>
              <w:t>lternatywnie</w:t>
            </w:r>
          </w:p>
          <w:p w14:paraId="4D0D5BF3" w14:textId="77777777" w:rsidR="000E1595" w:rsidRPr="00826995" w:rsidRDefault="000E1595" w:rsidP="00826995">
            <w:pPr>
              <w:jc w:val="both"/>
              <w:rPr>
                <w:rFonts w:ascii="Calibri" w:hAnsi="Calibri" w:cs="Calibri"/>
              </w:rPr>
            </w:pPr>
          </w:p>
          <w:p w14:paraId="775B9704" w14:textId="77777777" w:rsidR="00826995" w:rsidRPr="00826995" w:rsidRDefault="00826995" w:rsidP="00826995">
            <w:pPr>
              <w:jc w:val="both"/>
              <w:rPr>
                <w:rFonts w:ascii="Calibri" w:hAnsi="Calibri" w:cs="Calibri"/>
              </w:rPr>
            </w:pPr>
            <w:r w:rsidRPr="00826995">
              <w:rPr>
                <w:rFonts w:ascii="Calibri" w:hAnsi="Calibri" w:cs="Calibri"/>
              </w:rPr>
              <w:t>ust. 2 punkt 1 otrzymuje brzmienie:</w:t>
            </w:r>
          </w:p>
          <w:p w14:paraId="0FBD7662" w14:textId="77777777" w:rsidR="00826995" w:rsidRPr="00826995" w:rsidRDefault="00826995" w:rsidP="00826995">
            <w:pPr>
              <w:jc w:val="both"/>
              <w:rPr>
                <w:rFonts w:ascii="Calibri" w:hAnsi="Calibri" w:cs="Calibri"/>
              </w:rPr>
            </w:pPr>
            <w:r w:rsidRPr="00826995">
              <w:rPr>
                <w:rFonts w:ascii="Calibri" w:hAnsi="Calibri" w:cs="Calibri"/>
              </w:rPr>
              <w:t>„1. W przypadku jeżeli upadły:</w:t>
            </w:r>
          </w:p>
          <w:p w14:paraId="4A667002" w14:textId="320015B2" w:rsidR="00826995" w:rsidRPr="00826995" w:rsidRDefault="00826995" w:rsidP="00826995">
            <w:pPr>
              <w:jc w:val="both"/>
              <w:rPr>
                <w:rFonts w:ascii="Calibri" w:hAnsi="Calibri" w:cs="Calibri"/>
              </w:rPr>
            </w:pPr>
            <w:r w:rsidRPr="00826995">
              <w:rPr>
                <w:rFonts w:ascii="Calibri" w:hAnsi="Calibri" w:cs="Calibri"/>
              </w:rPr>
              <w:t>1)</w:t>
            </w:r>
            <w:r w:rsidR="000E1595">
              <w:rPr>
                <w:rFonts w:ascii="Calibri" w:hAnsi="Calibri" w:cs="Calibri"/>
              </w:rPr>
              <w:t xml:space="preserve"> </w:t>
            </w:r>
            <w:r w:rsidRPr="00826995">
              <w:rPr>
                <w:rFonts w:ascii="Calibri" w:hAnsi="Calibri" w:cs="Calibri"/>
              </w:rPr>
              <w:t>nie złożył w terminie sprawozdania z wykonania planu spłaty wierzycieli zgodnie z art. 370c ust. 4;</w:t>
            </w:r>
          </w:p>
          <w:p w14:paraId="7C01DD7C" w14:textId="700D7D8B" w:rsidR="00826995" w:rsidRPr="00826995" w:rsidRDefault="00826995" w:rsidP="00826995">
            <w:pPr>
              <w:jc w:val="both"/>
              <w:rPr>
                <w:rFonts w:ascii="Calibri" w:hAnsi="Calibri" w:cs="Calibri"/>
              </w:rPr>
            </w:pPr>
            <w:r w:rsidRPr="00826995">
              <w:rPr>
                <w:rFonts w:ascii="Calibri" w:hAnsi="Calibri" w:cs="Calibri"/>
              </w:rPr>
              <w:t>2)w sprawozdaniu z wykonania planu spłaty wierzycieli zataił osiągnięte przychody lub nabyte składniki majątkowe, o których mowa w art. 370c ust. 4;</w:t>
            </w:r>
          </w:p>
          <w:p w14:paraId="5A94B0DA" w14:textId="484D0F14" w:rsidR="00826995" w:rsidRDefault="00826995" w:rsidP="00826995">
            <w:pPr>
              <w:jc w:val="both"/>
              <w:rPr>
                <w:rFonts w:ascii="Calibri" w:hAnsi="Calibri" w:cs="Calibri"/>
              </w:rPr>
            </w:pPr>
            <w:r w:rsidRPr="00826995">
              <w:rPr>
                <w:rFonts w:ascii="Calibri" w:hAnsi="Calibri" w:cs="Calibri"/>
              </w:rPr>
              <w:t>3)dokonał czynności prawnej, o której mowa w art. 370c ust. 2, bez zgody sądu albo czynność ta nie została przez sąd zatwierdzona;</w:t>
            </w:r>
          </w:p>
          <w:p w14:paraId="77ED922B" w14:textId="0D45E738" w:rsidR="00826995" w:rsidRDefault="00826995" w:rsidP="00826995">
            <w:pPr>
              <w:jc w:val="both"/>
              <w:rPr>
                <w:rFonts w:ascii="Calibri" w:hAnsi="Calibri" w:cs="Calibri"/>
              </w:rPr>
            </w:pPr>
            <w:r w:rsidRPr="00826995">
              <w:rPr>
                <w:rFonts w:ascii="Calibri" w:hAnsi="Calibri" w:cs="Calibri"/>
              </w:rPr>
              <w:t>4)</w:t>
            </w:r>
            <w:r>
              <w:rPr>
                <w:rFonts w:ascii="Calibri" w:hAnsi="Calibri" w:cs="Calibri"/>
              </w:rPr>
              <w:t xml:space="preserve"> </w:t>
            </w:r>
            <w:r w:rsidRPr="00826995">
              <w:rPr>
                <w:rFonts w:ascii="Calibri" w:hAnsi="Calibri" w:cs="Calibri"/>
              </w:rPr>
              <w:t>ukrywał majątek lub czynność prawna upadłego została prawomocnie uznana za dokonaną z pokrzywdzeniem wierzycieli,</w:t>
            </w:r>
          </w:p>
          <w:p w14:paraId="452F32AF" w14:textId="7B80C15D" w:rsidR="00826995" w:rsidRPr="00506F73" w:rsidRDefault="00826995" w:rsidP="00826995">
            <w:pPr>
              <w:jc w:val="both"/>
              <w:rPr>
                <w:rFonts w:ascii="Calibri" w:hAnsi="Calibri" w:cs="Calibri"/>
              </w:rPr>
            </w:pPr>
            <w:r w:rsidRPr="00826995">
              <w:rPr>
                <w:rFonts w:ascii="Calibri" w:hAnsi="Calibri" w:cs="Calibri"/>
              </w:rPr>
              <w:t xml:space="preserve">Sąd z urzędu albo na wniosek wierzyciela może uchylić plan </w:t>
            </w:r>
            <w:r w:rsidRPr="00826995">
              <w:rPr>
                <w:rFonts w:ascii="Calibri" w:hAnsi="Calibri" w:cs="Calibri"/>
              </w:rPr>
              <w:lastRenderedPageBreak/>
              <w:t>spłaty wierzycieli po wysłuchaniu upadłego i wierzycieli objętych planem spłaty, chyba że uchybienie obowiązkom jest nieznaczne lub umorzenie pozostałej części zobowiązań upadłego jest uzasadnione względami słuszności lub względami humanitarnymi. Na postanowienie sądu przysługuje zażalenie</w:t>
            </w:r>
          </w:p>
        </w:tc>
        <w:tc>
          <w:tcPr>
            <w:tcW w:w="1108" w:type="pct"/>
          </w:tcPr>
          <w:p w14:paraId="7327E925" w14:textId="77777777" w:rsidR="00826995" w:rsidRPr="007368C7" w:rsidRDefault="00032CC2" w:rsidP="00BC45D4">
            <w:pPr>
              <w:jc w:val="both"/>
              <w:rPr>
                <w:rFonts w:cstheme="minorHAnsi"/>
                <w:b/>
                <w:bCs/>
              </w:rPr>
            </w:pPr>
            <w:r w:rsidRPr="007368C7">
              <w:rPr>
                <w:rFonts w:cstheme="minorHAnsi"/>
                <w:b/>
                <w:bCs/>
              </w:rPr>
              <w:lastRenderedPageBreak/>
              <w:t xml:space="preserve">Uwaga nieuwzględniona </w:t>
            </w:r>
          </w:p>
          <w:p w14:paraId="3EB82F41" w14:textId="1CD252BA" w:rsidR="008244E3" w:rsidRPr="007368C7" w:rsidRDefault="008244E3" w:rsidP="00BC45D4">
            <w:pPr>
              <w:jc w:val="both"/>
              <w:rPr>
                <w:rFonts w:cstheme="minorHAnsi"/>
              </w:rPr>
            </w:pPr>
            <w:r w:rsidRPr="007368C7">
              <w:rPr>
                <w:rFonts w:cstheme="minorHAnsi"/>
              </w:rPr>
              <w:t xml:space="preserve">Rozwiązanie jest konsekwencją przyjętej koncepcji. Plan spłaty wierzycieli realizuje przede wszystkim prywatny interes majątkowy wierzycieli, tj. zmierza do zaspokojenia przysługujących im roszczeń, wcześniej ustalonych co </w:t>
            </w:r>
            <w:r w:rsidRPr="007368C7">
              <w:rPr>
                <w:rFonts w:cstheme="minorHAnsi"/>
              </w:rPr>
              <w:lastRenderedPageBreak/>
              <w:t>do zasady i wysokości przez sąd upadłościowy. Pierwiastek publiczny rozumiany jako interes ogólnospołeczny na tym etapie postępowania nie pełni funkcji wiodącej. W związku z tym nadzór państwa nad prawidłowością wykonywania planu spłaty wierzycieli powinien mieć miejsce tylko wtedy, gdy żądają tego interesariusze. To właśnie wierzyciele mają najlepszą wiedzę na temat tego, czy przysługujące im roszczenia są spłacane przez dłużnika czy też zaprzestano realizacji planu spłaty wierzycieli. Rolą sądu nie jest realizacja z urzędu ochrony interesów wierzycieli w zakresie prawidłowej realizacji obowiązków płatniczych ciążących na ich dłużnikach.</w:t>
            </w:r>
          </w:p>
        </w:tc>
      </w:tr>
      <w:tr w:rsidR="00FF142F" w:rsidRPr="00486628" w14:paraId="4974557B" w14:textId="77777777" w:rsidTr="00AC5078">
        <w:tc>
          <w:tcPr>
            <w:tcW w:w="158" w:type="pct"/>
          </w:tcPr>
          <w:p w14:paraId="339801EA" w14:textId="2EC09060" w:rsidR="00826995" w:rsidRDefault="00826995" w:rsidP="005F7A15">
            <w:pPr>
              <w:jc w:val="center"/>
              <w:rPr>
                <w:rFonts w:cstheme="minorHAnsi"/>
              </w:rPr>
            </w:pPr>
            <w:r>
              <w:rPr>
                <w:rFonts w:cstheme="minorHAnsi"/>
              </w:rPr>
              <w:lastRenderedPageBreak/>
              <w:t xml:space="preserve">20 </w:t>
            </w:r>
          </w:p>
        </w:tc>
        <w:tc>
          <w:tcPr>
            <w:tcW w:w="698" w:type="pct"/>
          </w:tcPr>
          <w:p w14:paraId="698E375C" w14:textId="4ACB00FE" w:rsidR="00826995" w:rsidRPr="00826995" w:rsidRDefault="00826995" w:rsidP="0073232F">
            <w:pPr>
              <w:rPr>
                <w:rFonts w:ascii="Calibri" w:hAnsi="Calibri" w:cs="Calibri"/>
              </w:rPr>
            </w:pPr>
            <w:r w:rsidRPr="00826995">
              <w:rPr>
                <w:rFonts w:ascii="Calibri" w:hAnsi="Calibri" w:cs="Calibri"/>
              </w:rPr>
              <w:t>Konfederacja Lewiatan</w:t>
            </w:r>
          </w:p>
        </w:tc>
        <w:tc>
          <w:tcPr>
            <w:tcW w:w="591" w:type="pct"/>
          </w:tcPr>
          <w:p w14:paraId="0FEEBDF5" w14:textId="0BCC9718" w:rsidR="00826995" w:rsidRPr="00B277E4" w:rsidRDefault="00826995" w:rsidP="005F7A15">
            <w:pPr>
              <w:jc w:val="both"/>
              <w:rPr>
                <w:rFonts w:ascii="Calibri" w:hAnsi="Calibri" w:cs="Calibri"/>
                <w:b/>
                <w:bCs/>
              </w:rPr>
            </w:pPr>
            <w:r w:rsidRPr="00B277E4">
              <w:rPr>
                <w:rFonts w:ascii="Calibri" w:hAnsi="Calibri" w:cs="Calibri"/>
                <w:b/>
                <w:bCs/>
              </w:rPr>
              <w:t xml:space="preserve">Przepisy przejściowe </w:t>
            </w:r>
          </w:p>
        </w:tc>
        <w:tc>
          <w:tcPr>
            <w:tcW w:w="1418" w:type="pct"/>
          </w:tcPr>
          <w:p w14:paraId="3F2E758E" w14:textId="2FC9289D" w:rsidR="00826995" w:rsidRPr="00462965" w:rsidRDefault="00826995" w:rsidP="00462965">
            <w:pPr>
              <w:jc w:val="both"/>
              <w:rPr>
                <w:rFonts w:cstheme="minorHAnsi"/>
              </w:rPr>
            </w:pPr>
            <w:r w:rsidRPr="00462965">
              <w:rPr>
                <w:rFonts w:cstheme="minorHAnsi"/>
              </w:rPr>
              <w:t>Wydaje się, że najbardziej zasadną zmianą, zgodnie z zasadą lex retro non agit, byłoby wprowadzenie zmiany przepisów nowej ustawy wyłącznie dla spraw, w których wniosek o ogłoszenie upadłości wpłynął po dacie wejścia w życie ustawy. Takie przyjęcie wprowadzi pewność co do przepisów, bez konieczności warunkowania zastosowania określonych przepisów od zaistnienia określonych wydarzeń i umożliwi także wierzycielom właściwe przygotowanie się do ewentualnych zmian prawnych – w nowych postępowaniach.</w:t>
            </w:r>
          </w:p>
          <w:p w14:paraId="54FA2B4E" w14:textId="7460ABB7" w:rsidR="00826995" w:rsidRPr="00462965" w:rsidRDefault="00826995" w:rsidP="00462965">
            <w:pPr>
              <w:jc w:val="both"/>
              <w:rPr>
                <w:rFonts w:cstheme="minorHAnsi"/>
              </w:rPr>
            </w:pPr>
            <w:r w:rsidRPr="00462965">
              <w:rPr>
                <w:rFonts w:cstheme="minorHAnsi"/>
              </w:rPr>
              <w:lastRenderedPageBreak/>
              <w:t>Mając na uwadze potrzebę zapewnienia pewności prawa, przepisy przejściowe powinny przewidywać stosowanie nowych regulacji wyłącznie do postępowań inicjowanych po dniu wejścia w życie ustawy.</w:t>
            </w:r>
          </w:p>
        </w:tc>
        <w:tc>
          <w:tcPr>
            <w:tcW w:w="1027" w:type="pct"/>
          </w:tcPr>
          <w:p w14:paraId="1C5C3E3B" w14:textId="77777777" w:rsidR="00826995" w:rsidRPr="00826995" w:rsidRDefault="00826995" w:rsidP="00826995">
            <w:pPr>
              <w:jc w:val="both"/>
              <w:rPr>
                <w:rFonts w:ascii="Calibri" w:hAnsi="Calibri" w:cs="Calibri"/>
              </w:rPr>
            </w:pPr>
          </w:p>
        </w:tc>
        <w:tc>
          <w:tcPr>
            <w:tcW w:w="1108" w:type="pct"/>
          </w:tcPr>
          <w:p w14:paraId="1E5B25AE" w14:textId="20F99597" w:rsidR="003D3F9E" w:rsidRPr="007368C7" w:rsidRDefault="003D3F9E" w:rsidP="00BC45D4">
            <w:pPr>
              <w:jc w:val="both"/>
              <w:rPr>
                <w:rFonts w:cstheme="minorHAnsi"/>
                <w:b/>
                <w:bCs/>
              </w:rPr>
            </w:pPr>
            <w:r w:rsidRPr="007368C7">
              <w:rPr>
                <w:rFonts w:cstheme="minorHAnsi"/>
                <w:b/>
                <w:bCs/>
              </w:rPr>
              <w:t xml:space="preserve">Uwaga </w:t>
            </w:r>
            <w:r w:rsidR="00612A03" w:rsidRPr="007368C7">
              <w:rPr>
                <w:rFonts w:cstheme="minorHAnsi"/>
                <w:b/>
                <w:bCs/>
              </w:rPr>
              <w:t xml:space="preserve">częściowo uwzględniona. </w:t>
            </w:r>
          </w:p>
          <w:p w14:paraId="4F40ABB6" w14:textId="13AE0905" w:rsidR="003D3F9E" w:rsidRPr="007368C7" w:rsidRDefault="003D3F9E" w:rsidP="00BC45D4">
            <w:pPr>
              <w:jc w:val="both"/>
              <w:rPr>
                <w:rFonts w:cstheme="minorHAnsi"/>
              </w:rPr>
            </w:pPr>
            <w:r w:rsidRPr="007368C7">
              <w:rPr>
                <w:rFonts w:cstheme="minorHAnsi"/>
              </w:rPr>
              <w:t xml:space="preserve">Zmieniono przepisy przejściowe, które </w:t>
            </w:r>
            <w:r w:rsidR="00FC3E5D" w:rsidRPr="007368C7">
              <w:rPr>
                <w:rFonts w:cstheme="minorHAnsi"/>
              </w:rPr>
              <w:t>regulują wpływ</w:t>
            </w:r>
            <w:r w:rsidRPr="007368C7">
              <w:rPr>
                <w:rFonts w:cstheme="minorHAnsi"/>
              </w:rPr>
              <w:t xml:space="preserve"> nowelizacji na stosunki powstałe pod działaniem dotychczasowych przepisów praw, co jest zgodne z § 30 Rozporządzenia Prezesa Rady Ministrów z dnia 20 czerwca 2002 r.</w:t>
            </w:r>
          </w:p>
          <w:p w14:paraId="19CC30AE" w14:textId="7D06F594" w:rsidR="008244E3" w:rsidRPr="007368C7" w:rsidRDefault="003D3F9E" w:rsidP="00BC45D4">
            <w:pPr>
              <w:jc w:val="both"/>
              <w:rPr>
                <w:rFonts w:cstheme="minorHAnsi"/>
              </w:rPr>
            </w:pPr>
            <w:r w:rsidRPr="007368C7">
              <w:rPr>
                <w:rFonts w:cstheme="minorHAnsi"/>
              </w:rPr>
              <w:t>w sprawie "Zasad techniki prawodawczej".</w:t>
            </w:r>
          </w:p>
        </w:tc>
      </w:tr>
      <w:tr w:rsidR="00FF142F" w:rsidRPr="00486628" w14:paraId="3067C9F2" w14:textId="77777777" w:rsidTr="00AC5078">
        <w:tc>
          <w:tcPr>
            <w:tcW w:w="158" w:type="pct"/>
          </w:tcPr>
          <w:p w14:paraId="403DEA56" w14:textId="5CC40835" w:rsidR="00CC7F2E" w:rsidRDefault="00CC7F2E" w:rsidP="005F7A15">
            <w:pPr>
              <w:jc w:val="center"/>
              <w:rPr>
                <w:rFonts w:cstheme="minorHAnsi"/>
              </w:rPr>
            </w:pPr>
            <w:r>
              <w:rPr>
                <w:rFonts w:cstheme="minorHAnsi"/>
              </w:rPr>
              <w:t>21</w:t>
            </w:r>
          </w:p>
        </w:tc>
        <w:tc>
          <w:tcPr>
            <w:tcW w:w="698" w:type="pct"/>
          </w:tcPr>
          <w:p w14:paraId="2253CAB2" w14:textId="16A0D9AC" w:rsidR="00CC7F2E" w:rsidRPr="00826995" w:rsidRDefault="00CC7F2E" w:rsidP="0073232F">
            <w:pPr>
              <w:rPr>
                <w:rFonts w:ascii="Calibri" w:hAnsi="Calibri" w:cs="Calibri"/>
              </w:rPr>
            </w:pPr>
            <w:r w:rsidRPr="00CC7F2E">
              <w:rPr>
                <w:rFonts w:ascii="Calibri" w:hAnsi="Calibri" w:cs="Calibri"/>
              </w:rPr>
              <w:t>Konfederacja Lewiatan</w:t>
            </w:r>
          </w:p>
        </w:tc>
        <w:tc>
          <w:tcPr>
            <w:tcW w:w="591" w:type="pct"/>
          </w:tcPr>
          <w:p w14:paraId="0393E642" w14:textId="797EC963" w:rsidR="00CC7F2E" w:rsidRDefault="00CC7F2E" w:rsidP="005F7A15">
            <w:pPr>
              <w:jc w:val="both"/>
              <w:rPr>
                <w:rFonts w:ascii="Calibri" w:hAnsi="Calibri" w:cs="Calibri"/>
              </w:rPr>
            </w:pPr>
            <w:r w:rsidRPr="00CC7F2E">
              <w:rPr>
                <w:rFonts w:ascii="Calibri" w:hAnsi="Calibri" w:cs="Calibri"/>
              </w:rPr>
              <w:t>art. 369 ust. 1a oraz art. 369 ust. 2</w:t>
            </w:r>
            <w:r>
              <w:rPr>
                <w:rFonts w:ascii="Calibri" w:hAnsi="Calibri" w:cs="Calibri"/>
              </w:rPr>
              <w:t xml:space="preserve"> PU</w:t>
            </w:r>
          </w:p>
        </w:tc>
        <w:tc>
          <w:tcPr>
            <w:tcW w:w="1418" w:type="pct"/>
          </w:tcPr>
          <w:p w14:paraId="6D2A3D02" w14:textId="3B82912C" w:rsidR="00CC7F2E" w:rsidRPr="00462965" w:rsidRDefault="00CC7F2E" w:rsidP="00462965">
            <w:pPr>
              <w:jc w:val="both"/>
              <w:rPr>
                <w:rFonts w:cstheme="minorHAnsi"/>
              </w:rPr>
            </w:pPr>
            <w:r w:rsidRPr="00462965">
              <w:rPr>
                <w:rFonts w:cstheme="minorHAnsi"/>
              </w:rPr>
              <w:t>Konieczność doprecyzowania norm zawartych w art. 369 ust. 1a oraz ust. 2 Prawa Upadłościowego poprzez wprowadzenie bezpośredniego odesłania do art. 370a ust. 11 ustawy podyktowana jest potrzebą zapewnienia spójnej wykładni systemowej oraz wzmocnienia ochrony słusznych praw wierzycieli w obliczu negatywnych rozbieżności w praktyce orzeczniczej.</w:t>
            </w:r>
          </w:p>
          <w:p w14:paraId="139D290D" w14:textId="760009F8" w:rsidR="00CC7F2E" w:rsidRPr="00462965" w:rsidRDefault="00CC7F2E" w:rsidP="00462965">
            <w:pPr>
              <w:jc w:val="both"/>
              <w:rPr>
                <w:rFonts w:cstheme="minorHAnsi"/>
              </w:rPr>
            </w:pPr>
            <w:r w:rsidRPr="00462965">
              <w:rPr>
                <w:rFonts w:cstheme="minorHAnsi"/>
              </w:rPr>
              <w:t>Zmiana ta zmierza do jednoznacznego przesądzenia, że umorzenie zobowiązań upadłego – zarówno bez ustalenia planu spłaty, jak i w ramach warunkowego umorzenia – nie prowadzi do wygaśnięcia zabezpieczeń ustanowionych na majątku osób trzecich, w szczególności hipotek, a tym samym nie narusza praw wierzycieli wynikających z tych zabezpieczeń. Celem proponowanej regulacji jest wyeliminowanie istniejących wątpliwości interpretacyjnych oraz zapobieżenie rozbieżnym praktykom orzeczniczym, które mogłyby prowadzić do niezamierzonego zwolnienia dłużników rzeczowych z odpowiedzialności wyłącznie w następstwie oddłużenia dłużnika osobistego.</w:t>
            </w:r>
          </w:p>
          <w:p w14:paraId="5BF5326A" w14:textId="0F3C96AA" w:rsidR="00CC7F2E" w:rsidRPr="00462965" w:rsidRDefault="00CC7F2E" w:rsidP="00462965">
            <w:pPr>
              <w:jc w:val="both"/>
              <w:rPr>
                <w:rFonts w:cstheme="minorHAnsi"/>
              </w:rPr>
            </w:pPr>
            <w:r w:rsidRPr="00462965">
              <w:rPr>
                <w:rFonts w:cstheme="minorHAnsi"/>
              </w:rPr>
              <w:t xml:space="preserve">Doprecyzowanie to zwiększa pewność obrotu prawnego oraz zapewnia konsekwentne </w:t>
            </w:r>
            <w:r w:rsidRPr="00462965">
              <w:rPr>
                <w:rFonts w:cstheme="minorHAnsi"/>
              </w:rPr>
              <w:lastRenderedPageBreak/>
              <w:t>stosowanie przyjętej przez ustawodawcę koncepcji ograniczenia akcesoryjności zabezpieczeń rzeczowych w postępowaniu upadłościowym</w:t>
            </w:r>
          </w:p>
        </w:tc>
        <w:tc>
          <w:tcPr>
            <w:tcW w:w="1027" w:type="pct"/>
          </w:tcPr>
          <w:p w14:paraId="32C6A88B" w14:textId="432FFC79" w:rsidR="00CC7F2E" w:rsidRDefault="00CC7F2E" w:rsidP="00CC7F2E">
            <w:pPr>
              <w:jc w:val="both"/>
              <w:rPr>
                <w:rFonts w:ascii="Calibri" w:hAnsi="Calibri" w:cs="Calibri"/>
              </w:rPr>
            </w:pPr>
            <w:r w:rsidRPr="00CC7F2E">
              <w:rPr>
                <w:rFonts w:ascii="Calibri" w:hAnsi="Calibri" w:cs="Calibri"/>
              </w:rPr>
              <w:lastRenderedPageBreak/>
              <w:t>art. 369 ust. 1a</w:t>
            </w:r>
            <w:r>
              <w:t xml:space="preserve"> </w:t>
            </w:r>
            <w:r w:rsidRPr="00CC7F2E">
              <w:rPr>
                <w:rFonts w:ascii="Calibri" w:hAnsi="Calibri" w:cs="Calibri"/>
              </w:rPr>
              <w:t>Prawa Upadłościowego</w:t>
            </w:r>
          </w:p>
          <w:p w14:paraId="3CA7784B" w14:textId="12965E12" w:rsidR="00CC7F2E" w:rsidRPr="00CC7F2E" w:rsidRDefault="00CC7F2E" w:rsidP="00CC7F2E">
            <w:pPr>
              <w:jc w:val="both"/>
              <w:rPr>
                <w:rFonts w:ascii="Calibri" w:hAnsi="Calibri" w:cs="Calibri"/>
              </w:rPr>
            </w:pPr>
            <w:r w:rsidRPr="00CC7F2E">
              <w:rPr>
                <w:rFonts w:ascii="Calibri" w:hAnsi="Calibri" w:cs="Calibri"/>
              </w:rPr>
              <w:t>„W terminie, o którym mowa w ust. 1, upadły będący osobą fizyczną może również złożyć wniosek o umorzenie zobowiązań bez ustalenia planu spłaty wierzycieli, jeśli osobista sytuacja upadłego w oczywisty sposób wskazuje, że jest on trwale niezdolny do dokonywania jakichkolwiek spłat w ramach planu spłaty wierzycieli. Przepis art. 370f ust. 2 stosuje się. Przepis art. 370a ust. 11 stosuje się odpowiednio.”</w:t>
            </w:r>
          </w:p>
          <w:p w14:paraId="7FBEAFAE" w14:textId="77777777" w:rsidR="00CC7F2E" w:rsidRPr="00CC7F2E" w:rsidRDefault="00CC7F2E" w:rsidP="00CC7F2E">
            <w:pPr>
              <w:jc w:val="both"/>
              <w:rPr>
                <w:rFonts w:ascii="Calibri" w:hAnsi="Calibri" w:cs="Calibri"/>
              </w:rPr>
            </w:pPr>
            <w:r w:rsidRPr="00CC7F2E">
              <w:rPr>
                <w:rFonts w:ascii="Calibri" w:hAnsi="Calibri" w:cs="Calibri"/>
              </w:rPr>
              <w:t>art. 369 ust. 2 Prawa Upadłościowego</w:t>
            </w:r>
          </w:p>
          <w:p w14:paraId="5166AFA1" w14:textId="77777777" w:rsidR="00CC7F2E" w:rsidRPr="00CC7F2E" w:rsidRDefault="00CC7F2E" w:rsidP="00CC7F2E">
            <w:pPr>
              <w:jc w:val="both"/>
              <w:rPr>
                <w:rFonts w:ascii="Calibri" w:hAnsi="Calibri" w:cs="Calibri"/>
              </w:rPr>
            </w:pPr>
            <w:r w:rsidRPr="00CC7F2E">
              <w:rPr>
                <w:rFonts w:ascii="Calibri" w:hAnsi="Calibri" w:cs="Calibri"/>
              </w:rPr>
              <w:t>proponowana treść przepisu:</w:t>
            </w:r>
          </w:p>
          <w:p w14:paraId="689BEE70" w14:textId="6B6C926C" w:rsidR="00CC7F2E" w:rsidRPr="00826995" w:rsidRDefault="00CC7F2E" w:rsidP="00CC7F2E">
            <w:pPr>
              <w:jc w:val="both"/>
              <w:rPr>
                <w:rFonts w:ascii="Calibri" w:hAnsi="Calibri" w:cs="Calibri"/>
              </w:rPr>
            </w:pPr>
            <w:r w:rsidRPr="00CC7F2E">
              <w:rPr>
                <w:rFonts w:ascii="Calibri" w:hAnsi="Calibri" w:cs="Calibri"/>
              </w:rPr>
              <w:t xml:space="preserve">„Jeżeli niezdolność do dokonywania jakichkolwiek spłat w ramach planu spłaty wierzycieli wynikająca z osobistej sytuacji upadłego nie ma charakteru trwałego, sąd umarza zobowiązania upadłego bez ustalenia planu spłaty wierzycieli </w:t>
            </w:r>
            <w:r w:rsidRPr="00CC7F2E">
              <w:rPr>
                <w:rFonts w:ascii="Calibri" w:hAnsi="Calibri" w:cs="Calibri"/>
              </w:rPr>
              <w:lastRenderedPageBreak/>
              <w:t>pod warunkiem, że w terminie pięciu lat od dnia uprawomocnienia się postanowienia o warunkowym umorzeniu zobowiązań upadłego bez ustalenia planu spłaty wierzycieli upadły ani żaden z wierzycieli nie złoży wniosku o ustalenie planu spłaty wierzycieli, na skutek którego sąd, uznając, że ustała niezdolność upadłego do dokonywania jakichkolwiek spłat w ramach planu spłaty wierzycieli, uchyli postanowienie o warunkowym umorzeniu zobowiązań upadłego bez ustalenia planu spłaty wierzycieli i ustali plan spłaty wierzycieli. Przepisy art. 370a ust. 10 i art. 370f ust. 2 stosuje się. Przepis art. 370a ust. 11 stosuje się odpowiednio.”</w:t>
            </w:r>
          </w:p>
        </w:tc>
        <w:tc>
          <w:tcPr>
            <w:tcW w:w="1108" w:type="pct"/>
          </w:tcPr>
          <w:p w14:paraId="412B42CF" w14:textId="77777777" w:rsidR="00526D7E" w:rsidRPr="007368C7" w:rsidRDefault="00481B88" w:rsidP="00BC45D4">
            <w:pPr>
              <w:jc w:val="both"/>
              <w:rPr>
                <w:rFonts w:cstheme="minorHAnsi"/>
                <w:b/>
                <w:bCs/>
              </w:rPr>
            </w:pPr>
            <w:r w:rsidRPr="007368C7">
              <w:rPr>
                <w:rFonts w:cstheme="minorHAnsi"/>
                <w:b/>
                <w:bCs/>
              </w:rPr>
              <w:lastRenderedPageBreak/>
              <w:t>Uwaga nieuwzględniona</w:t>
            </w:r>
          </w:p>
          <w:p w14:paraId="41172809" w14:textId="27D8EB47" w:rsidR="00CC7F2E" w:rsidRPr="007368C7" w:rsidRDefault="002E6F26" w:rsidP="00BC45D4">
            <w:pPr>
              <w:jc w:val="both"/>
              <w:rPr>
                <w:rFonts w:cstheme="minorHAnsi"/>
              </w:rPr>
            </w:pPr>
            <w:r w:rsidRPr="007368C7">
              <w:rPr>
                <w:rFonts w:cstheme="minorHAnsi"/>
              </w:rPr>
              <w:t>Uwaga narusza zasadę akcesoryjności hipoteki.</w:t>
            </w:r>
          </w:p>
        </w:tc>
      </w:tr>
      <w:tr w:rsidR="00B43E02" w:rsidRPr="00486628" w14:paraId="262A22D1" w14:textId="77777777" w:rsidTr="00AC5078">
        <w:tc>
          <w:tcPr>
            <w:tcW w:w="158" w:type="pct"/>
          </w:tcPr>
          <w:p w14:paraId="1BDA8A8B" w14:textId="0189B1CE" w:rsidR="00B43E02" w:rsidRDefault="00B43E02" w:rsidP="005F7A15">
            <w:pPr>
              <w:jc w:val="center"/>
              <w:rPr>
                <w:rFonts w:cstheme="minorHAnsi"/>
              </w:rPr>
            </w:pPr>
            <w:r>
              <w:rPr>
                <w:rFonts w:cstheme="minorHAnsi"/>
              </w:rPr>
              <w:t>2</w:t>
            </w:r>
            <w:r w:rsidR="00AA645B">
              <w:rPr>
                <w:rFonts w:cstheme="minorHAnsi"/>
              </w:rPr>
              <w:t>2</w:t>
            </w:r>
          </w:p>
        </w:tc>
        <w:tc>
          <w:tcPr>
            <w:tcW w:w="698" w:type="pct"/>
          </w:tcPr>
          <w:p w14:paraId="2A01C5C6" w14:textId="2F7B7902" w:rsidR="00B43E02" w:rsidRDefault="00B43E02" w:rsidP="0073232F">
            <w:pPr>
              <w:rPr>
                <w:rFonts w:ascii="Calibri" w:hAnsi="Calibri" w:cs="Calibri"/>
              </w:rPr>
            </w:pPr>
            <w:r>
              <w:rPr>
                <w:rFonts w:ascii="Calibri" w:hAnsi="Calibri" w:cs="Calibri"/>
              </w:rPr>
              <w:t>S</w:t>
            </w:r>
            <w:r w:rsidR="00351962">
              <w:rPr>
                <w:rFonts w:ascii="Calibri" w:hAnsi="Calibri" w:cs="Calibri"/>
              </w:rPr>
              <w:t>ąd Apelacyjny</w:t>
            </w:r>
            <w:r>
              <w:rPr>
                <w:rFonts w:ascii="Calibri" w:hAnsi="Calibri" w:cs="Calibri"/>
              </w:rPr>
              <w:t xml:space="preserve"> w Poznaniu </w:t>
            </w:r>
          </w:p>
        </w:tc>
        <w:tc>
          <w:tcPr>
            <w:tcW w:w="591" w:type="pct"/>
          </w:tcPr>
          <w:p w14:paraId="210CF727" w14:textId="4B3C4F00" w:rsidR="00B43E02" w:rsidRPr="003B3876" w:rsidRDefault="00351962" w:rsidP="003B3876">
            <w:pPr>
              <w:jc w:val="both"/>
              <w:rPr>
                <w:rFonts w:ascii="Calibri" w:hAnsi="Calibri" w:cs="Calibri"/>
              </w:rPr>
            </w:pPr>
            <w:r>
              <w:rPr>
                <w:rFonts w:ascii="Calibri" w:hAnsi="Calibri" w:cs="Calibri"/>
                <w:b/>
                <w:bCs/>
              </w:rPr>
              <w:t xml:space="preserve">Art. 1 pkt. 1 </w:t>
            </w:r>
            <w:r>
              <w:rPr>
                <w:rFonts w:ascii="Calibri" w:hAnsi="Calibri" w:cs="Calibri"/>
              </w:rPr>
              <w:t>(</w:t>
            </w:r>
            <w:r w:rsidR="00DD7D9F">
              <w:rPr>
                <w:rFonts w:ascii="Calibri" w:hAnsi="Calibri" w:cs="Calibri"/>
              </w:rPr>
              <w:t>a</w:t>
            </w:r>
            <w:r w:rsidR="00B43E02">
              <w:rPr>
                <w:rFonts w:ascii="Calibri" w:hAnsi="Calibri" w:cs="Calibri"/>
              </w:rPr>
              <w:t xml:space="preserve">rt. </w:t>
            </w:r>
            <w:r w:rsidR="00B43E02" w:rsidRPr="00B43E02">
              <w:rPr>
                <w:rFonts w:ascii="Calibri" w:hAnsi="Calibri" w:cs="Calibri"/>
              </w:rPr>
              <w:t xml:space="preserve">168 ust. 2a </w:t>
            </w:r>
            <w:r w:rsidR="00DD7D9F">
              <w:rPr>
                <w:rFonts w:ascii="Calibri" w:hAnsi="Calibri" w:cs="Calibri"/>
              </w:rPr>
              <w:t>P.U.)</w:t>
            </w:r>
          </w:p>
        </w:tc>
        <w:tc>
          <w:tcPr>
            <w:tcW w:w="1418" w:type="pct"/>
          </w:tcPr>
          <w:p w14:paraId="09724BD1" w14:textId="55D2D1F4" w:rsidR="00B43E02" w:rsidRPr="00462965" w:rsidRDefault="00B43E02" w:rsidP="00462965">
            <w:pPr>
              <w:jc w:val="both"/>
              <w:rPr>
                <w:rFonts w:cstheme="minorHAnsi"/>
              </w:rPr>
            </w:pPr>
            <w:r w:rsidRPr="00462965">
              <w:rPr>
                <w:rFonts w:cstheme="minorHAnsi"/>
              </w:rPr>
              <w:t xml:space="preserve">Powyższa regulacja powinna </w:t>
            </w:r>
            <w:r w:rsidR="00351962" w:rsidRPr="00462965">
              <w:rPr>
                <w:rFonts w:cstheme="minorHAnsi"/>
              </w:rPr>
              <w:t>brzmieć sprawozdania</w:t>
            </w:r>
            <w:r w:rsidRPr="00462965">
              <w:rPr>
                <w:rFonts w:cstheme="minorHAnsi"/>
              </w:rPr>
              <w:t>, o których</w:t>
            </w:r>
            <w:r w:rsidR="0016380A" w:rsidRPr="00462965">
              <w:rPr>
                <w:rFonts w:cstheme="minorHAnsi"/>
              </w:rPr>
              <w:t xml:space="preserve"> </w:t>
            </w:r>
            <w:r w:rsidRPr="00462965">
              <w:rPr>
                <w:rFonts w:cstheme="minorHAnsi"/>
              </w:rPr>
              <w:t>mowa w ust. 1, 2 i 4, rozpoznaje sędzia-komisarz po wysłuchaniu w miarę potrzeby i możliwości syndyka,</w:t>
            </w:r>
            <w:r w:rsidR="0016380A" w:rsidRPr="00462965">
              <w:rPr>
                <w:rFonts w:cstheme="minorHAnsi"/>
              </w:rPr>
              <w:t xml:space="preserve"> </w:t>
            </w:r>
            <w:r w:rsidRPr="00462965">
              <w:rPr>
                <w:rFonts w:cstheme="minorHAnsi"/>
              </w:rPr>
              <w:t>upadłego i członków rady wierzycieli” można zmodyfikować do treści „sprawozdania, o których mowa</w:t>
            </w:r>
            <w:r w:rsidR="0016380A" w:rsidRPr="00462965">
              <w:rPr>
                <w:rFonts w:cstheme="minorHAnsi"/>
              </w:rPr>
              <w:t xml:space="preserve"> </w:t>
            </w:r>
            <w:r w:rsidRPr="00462965">
              <w:rPr>
                <w:rFonts w:cstheme="minorHAnsi"/>
              </w:rPr>
              <w:t>w ust. 1, 2 i 4, rozpoznaje sędzia-komisarz po wysłuchaniu, w razie uznania tego za konieczne, syndyka,</w:t>
            </w:r>
            <w:r w:rsidR="0016380A" w:rsidRPr="00462965">
              <w:rPr>
                <w:rFonts w:cstheme="minorHAnsi"/>
              </w:rPr>
              <w:t xml:space="preserve"> </w:t>
            </w:r>
            <w:r w:rsidRPr="00462965">
              <w:rPr>
                <w:rFonts w:cstheme="minorHAnsi"/>
              </w:rPr>
              <w:t xml:space="preserve">upadłego </w:t>
            </w:r>
            <w:r w:rsidRPr="00462965">
              <w:rPr>
                <w:rFonts w:cstheme="minorHAnsi"/>
              </w:rPr>
              <w:lastRenderedPageBreak/>
              <w:t>i członków rady wierzycieli”. Celem wskazanej zmiany jest wyeliminowanie możliwości</w:t>
            </w:r>
            <w:r w:rsidR="0016380A" w:rsidRPr="00462965">
              <w:rPr>
                <w:rFonts w:cstheme="minorHAnsi"/>
              </w:rPr>
              <w:t xml:space="preserve"> </w:t>
            </w:r>
            <w:r w:rsidRPr="00462965">
              <w:rPr>
                <w:rFonts w:cstheme="minorHAnsi"/>
              </w:rPr>
              <w:t>przypisywania komukolwiek poza sędzią - komisarzem prawa do decydowania, kiedy strony postępowania</w:t>
            </w:r>
            <w:r w:rsidR="0016380A" w:rsidRPr="00462965">
              <w:rPr>
                <w:rFonts w:cstheme="minorHAnsi"/>
              </w:rPr>
              <w:t xml:space="preserve"> </w:t>
            </w:r>
            <w:r w:rsidRPr="00462965">
              <w:rPr>
                <w:rFonts w:cstheme="minorHAnsi"/>
              </w:rPr>
              <w:t>mają zostać wysłuchane w ramach postępowania dotyczącego analizy przedkładanych przez syndyka</w:t>
            </w:r>
            <w:r w:rsidR="0016380A" w:rsidRPr="00462965">
              <w:rPr>
                <w:rFonts w:cstheme="minorHAnsi"/>
              </w:rPr>
              <w:t xml:space="preserve"> </w:t>
            </w:r>
            <w:r w:rsidRPr="00462965">
              <w:rPr>
                <w:rFonts w:cstheme="minorHAnsi"/>
              </w:rPr>
              <w:t>sprawozdań. Stwierdzenie, że sprawozdania rozpoznaje sędzia - komisarz po wysłuchaniu w miarę</w:t>
            </w:r>
            <w:r w:rsidR="0016380A" w:rsidRPr="00462965">
              <w:rPr>
                <w:rFonts w:cstheme="minorHAnsi"/>
              </w:rPr>
              <w:t xml:space="preserve"> </w:t>
            </w:r>
            <w:r w:rsidRPr="00462965">
              <w:rPr>
                <w:rFonts w:cstheme="minorHAnsi"/>
              </w:rPr>
              <w:t>potrzeby i możliwości syndyka, upadłego i członków rady wierzycieli rodzi wątpliwości interpretacyjne</w:t>
            </w:r>
            <w:r w:rsidR="0016380A" w:rsidRPr="00462965">
              <w:rPr>
                <w:rFonts w:cstheme="minorHAnsi"/>
              </w:rPr>
              <w:t xml:space="preserve"> </w:t>
            </w:r>
            <w:r w:rsidRPr="00462965">
              <w:rPr>
                <w:rFonts w:cstheme="minorHAnsi"/>
              </w:rPr>
              <w:t>w zakresie tego, czy winni oni zostać każdorazowo przesłuchani, jeżeli będzie taka możliwość, czy też mogą</w:t>
            </w:r>
            <w:r w:rsidR="006341B9">
              <w:rPr>
                <w:rFonts w:cstheme="minorHAnsi"/>
              </w:rPr>
              <w:t xml:space="preserve"> </w:t>
            </w:r>
            <w:r w:rsidRPr="00462965">
              <w:rPr>
                <w:rFonts w:cstheme="minorHAnsi"/>
              </w:rPr>
              <w:t>oni zostać przesłuchani, jeśli sędzia - komisarz uzna, iż jest to niezbędne dla podjęcia prawidłowej decyzji</w:t>
            </w:r>
            <w:r w:rsidR="0016380A" w:rsidRPr="00462965">
              <w:rPr>
                <w:rFonts w:cstheme="minorHAnsi"/>
              </w:rPr>
              <w:t xml:space="preserve"> </w:t>
            </w:r>
            <w:r w:rsidRPr="00462965">
              <w:rPr>
                <w:rFonts w:cstheme="minorHAnsi"/>
              </w:rPr>
              <w:t>merytorycznej w zakresie przedłożonego mu sprawozdania. Sądzę, że proponowana korekta pozwoli na</w:t>
            </w:r>
            <w:r w:rsidR="0016380A" w:rsidRPr="00462965">
              <w:rPr>
                <w:rFonts w:cstheme="minorHAnsi"/>
              </w:rPr>
              <w:t xml:space="preserve"> </w:t>
            </w:r>
            <w:r w:rsidRPr="00462965">
              <w:rPr>
                <w:rFonts w:cstheme="minorHAnsi"/>
              </w:rPr>
              <w:t>wyeliminowanie możliwych wątpliwości interpretacyjnych.</w:t>
            </w:r>
          </w:p>
        </w:tc>
        <w:tc>
          <w:tcPr>
            <w:tcW w:w="1027" w:type="pct"/>
          </w:tcPr>
          <w:p w14:paraId="00D350B2" w14:textId="77777777" w:rsidR="00B43E02" w:rsidRPr="00CC7F2E" w:rsidRDefault="00B43E02" w:rsidP="00CC7F2E">
            <w:pPr>
              <w:jc w:val="both"/>
              <w:rPr>
                <w:rFonts w:ascii="Calibri" w:hAnsi="Calibri" w:cs="Calibri"/>
              </w:rPr>
            </w:pPr>
          </w:p>
        </w:tc>
        <w:tc>
          <w:tcPr>
            <w:tcW w:w="1108" w:type="pct"/>
          </w:tcPr>
          <w:p w14:paraId="7CEA2F90" w14:textId="37C51634" w:rsidR="00B43E02" w:rsidRPr="007368C7" w:rsidRDefault="00481B88" w:rsidP="00BC45D4">
            <w:pPr>
              <w:jc w:val="both"/>
              <w:rPr>
                <w:rFonts w:cstheme="minorHAnsi"/>
                <w:b/>
                <w:bCs/>
              </w:rPr>
            </w:pPr>
            <w:r w:rsidRPr="007368C7">
              <w:rPr>
                <w:rFonts w:cstheme="minorHAnsi"/>
                <w:b/>
                <w:bCs/>
              </w:rPr>
              <w:t xml:space="preserve">Uwaga </w:t>
            </w:r>
            <w:r w:rsidR="0015224A" w:rsidRPr="007368C7">
              <w:rPr>
                <w:rFonts w:cstheme="minorHAnsi"/>
                <w:b/>
                <w:bCs/>
              </w:rPr>
              <w:t xml:space="preserve">nieuwzględniona </w:t>
            </w:r>
          </w:p>
          <w:p w14:paraId="22760438" w14:textId="77777777" w:rsidR="00526D7E" w:rsidRPr="007368C7" w:rsidRDefault="0015224A" w:rsidP="00BC45D4">
            <w:pPr>
              <w:jc w:val="both"/>
              <w:rPr>
                <w:rFonts w:cstheme="minorHAnsi"/>
              </w:rPr>
            </w:pPr>
            <w:r w:rsidRPr="007368C7">
              <w:rPr>
                <w:rFonts w:cstheme="minorHAnsi"/>
              </w:rPr>
              <w:t xml:space="preserve">Intencją projektu jest pozostawienie sędziemu komisarzowi swobody orzeczniczej w ramach nadzoru. </w:t>
            </w:r>
          </w:p>
          <w:p w14:paraId="45CB5FE1" w14:textId="0E3F0380" w:rsidR="00C33A8D" w:rsidRPr="007368C7" w:rsidRDefault="0015224A" w:rsidP="00BC45D4">
            <w:pPr>
              <w:jc w:val="both"/>
              <w:rPr>
                <w:rFonts w:cstheme="minorHAnsi"/>
              </w:rPr>
            </w:pPr>
            <w:r w:rsidRPr="007368C7">
              <w:rPr>
                <w:rFonts w:cstheme="minorHAnsi"/>
              </w:rPr>
              <w:t xml:space="preserve">Ponadto wskazać należy, że instytucja wysłuchania uregulowana została w art. 217 P.U. </w:t>
            </w:r>
            <w:r w:rsidR="00147863" w:rsidRPr="007368C7">
              <w:rPr>
                <w:rFonts w:cstheme="minorHAnsi"/>
              </w:rPr>
              <w:lastRenderedPageBreak/>
              <w:t xml:space="preserve">Językowo sformułowanie jest tożsame. </w:t>
            </w:r>
          </w:p>
        </w:tc>
      </w:tr>
      <w:tr w:rsidR="00B43E02" w:rsidRPr="00486628" w14:paraId="03B9DE5C" w14:textId="77777777" w:rsidTr="00AC5078">
        <w:tc>
          <w:tcPr>
            <w:tcW w:w="158" w:type="pct"/>
          </w:tcPr>
          <w:p w14:paraId="671C96B9" w14:textId="5D2B3431" w:rsidR="00B43E02" w:rsidRDefault="00B43E02" w:rsidP="005F7A15">
            <w:pPr>
              <w:jc w:val="center"/>
              <w:rPr>
                <w:rFonts w:cstheme="minorHAnsi"/>
              </w:rPr>
            </w:pPr>
            <w:r>
              <w:rPr>
                <w:rFonts w:cstheme="minorHAnsi"/>
              </w:rPr>
              <w:lastRenderedPageBreak/>
              <w:t>2</w:t>
            </w:r>
            <w:r w:rsidR="00AA645B">
              <w:rPr>
                <w:rFonts w:cstheme="minorHAnsi"/>
              </w:rPr>
              <w:t>3</w:t>
            </w:r>
            <w:r>
              <w:rPr>
                <w:rFonts w:cstheme="minorHAnsi"/>
              </w:rPr>
              <w:t xml:space="preserve"> </w:t>
            </w:r>
          </w:p>
        </w:tc>
        <w:tc>
          <w:tcPr>
            <w:tcW w:w="698" w:type="pct"/>
          </w:tcPr>
          <w:p w14:paraId="4ECF3802" w14:textId="305CC985" w:rsidR="00B43E02" w:rsidRDefault="00B43E02" w:rsidP="0073232F">
            <w:pPr>
              <w:rPr>
                <w:rFonts w:ascii="Calibri" w:hAnsi="Calibri" w:cs="Calibri"/>
              </w:rPr>
            </w:pPr>
            <w:r>
              <w:rPr>
                <w:rFonts w:ascii="Calibri" w:hAnsi="Calibri" w:cs="Calibri"/>
              </w:rPr>
              <w:t>S</w:t>
            </w:r>
            <w:r w:rsidR="00F962B3">
              <w:rPr>
                <w:rFonts w:ascii="Calibri" w:hAnsi="Calibri" w:cs="Calibri"/>
              </w:rPr>
              <w:t>ąd Apelacyjny</w:t>
            </w:r>
            <w:r>
              <w:rPr>
                <w:rFonts w:ascii="Calibri" w:hAnsi="Calibri" w:cs="Calibri"/>
              </w:rPr>
              <w:t xml:space="preserve"> w Poznaniu </w:t>
            </w:r>
          </w:p>
        </w:tc>
        <w:tc>
          <w:tcPr>
            <w:tcW w:w="591" w:type="pct"/>
          </w:tcPr>
          <w:p w14:paraId="7EA487C7" w14:textId="1DDC308E" w:rsidR="00B43E02" w:rsidRDefault="00F962B3" w:rsidP="003B3876">
            <w:pPr>
              <w:jc w:val="both"/>
              <w:rPr>
                <w:rFonts w:ascii="Calibri" w:hAnsi="Calibri" w:cs="Calibri"/>
              </w:rPr>
            </w:pPr>
            <w:r w:rsidRPr="00F962B3">
              <w:rPr>
                <w:rFonts w:ascii="Calibri" w:hAnsi="Calibri" w:cs="Calibri"/>
                <w:b/>
                <w:bCs/>
              </w:rPr>
              <w:t>Art. 1 pkt. 2-3</w:t>
            </w:r>
            <w:r>
              <w:rPr>
                <w:rFonts w:ascii="Calibri" w:hAnsi="Calibri" w:cs="Calibri"/>
              </w:rPr>
              <w:t xml:space="preserve"> (</w:t>
            </w:r>
            <w:r w:rsidR="00B43E02" w:rsidRPr="00B43E02">
              <w:rPr>
                <w:rFonts w:ascii="Calibri" w:hAnsi="Calibri" w:cs="Calibri"/>
              </w:rPr>
              <w:t xml:space="preserve">art. 219 oraz 221 </w:t>
            </w:r>
            <w:r>
              <w:rPr>
                <w:rFonts w:ascii="Calibri" w:hAnsi="Calibri" w:cs="Calibri"/>
              </w:rPr>
              <w:t>P.U.)</w:t>
            </w:r>
          </w:p>
        </w:tc>
        <w:tc>
          <w:tcPr>
            <w:tcW w:w="1418" w:type="pct"/>
          </w:tcPr>
          <w:p w14:paraId="08F9E272" w14:textId="3CE80AAB" w:rsidR="00B43E02" w:rsidRPr="00462965" w:rsidRDefault="00B43E02" w:rsidP="00462965">
            <w:pPr>
              <w:jc w:val="both"/>
              <w:rPr>
                <w:rFonts w:cstheme="minorHAnsi"/>
              </w:rPr>
            </w:pPr>
            <w:r w:rsidRPr="00462965">
              <w:rPr>
                <w:rFonts w:cstheme="minorHAnsi"/>
              </w:rPr>
              <w:t xml:space="preserve">Przepisy art. 219 oraz 221 </w:t>
            </w:r>
            <w:r w:rsidR="00BC64D1">
              <w:rPr>
                <w:rFonts w:cstheme="minorHAnsi"/>
              </w:rPr>
              <w:t>P</w:t>
            </w:r>
            <w:r w:rsidRPr="00462965">
              <w:rPr>
                <w:rFonts w:cstheme="minorHAnsi"/>
              </w:rPr>
              <w:t>.</w:t>
            </w:r>
            <w:r w:rsidR="00BC64D1">
              <w:rPr>
                <w:rFonts w:cstheme="minorHAnsi"/>
              </w:rPr>
              <w:t>U</w:t>
            </w:r>
            <w:r w:rsidRPr="00462965">
              <w:rPr>
                <w:rFonts w:cstheme="minorHAnsi"/>
              </w:rPr>
              <w:t>. w zakresie w jakim dająca uprawnienia większej ilości osób do ujawnienia</w:t>
            </w:r>
            <w:r w:rsidR="00F962B3" w:rsidRPr="00462965">
              <w:rPr>
                <w:rFonts w:cstheme="minorHAnsi"/>
              </w:rPr>
              <w:t xml:space="preserve"> </w:t>
            </w:r>
            <w:r w:rsidRPr="00462965">
              <w:rPr>
                <w:rFonts w:cstheme="minorHAnsi"/>
              </w:rPr>
              <w:t>informacji o prawomocności orzeczenia oraz dokonania obwieszczenia pozwoli na przyspieszenie</w:t>
            </w:r>
            <w:r w:rsidR="008B1B0B">
              <w:rPr>
                <w:rFonts w:cstheme="minorHAnsi"/>
              </w:rPr>
              <w:t xml:space="preserve"> </w:t>
            </w:r>
            <w:r w:rsidRPr="00462965">
              <w:rPr>
                <w:rFonts w:cstheme="minorHAnsi"/>
              </w:rPr>
              <w:t>stwierdzenia prawomocności orzeczeń. Niemniej jednak w</w:t>
            </w:r>
            <w:r w:rsidR="00BC64D1">
              <w:rPr>
                <w:rFonts w:cstheme="minorHAnsi"/>
              </w:rPr>
              <w:t> </w:t>
            </w:r>
            <w:r w:rsidRPr="00462965">
              <w:rPr>
                <w:rFonts w:cstheme="minorHAnsi"/>
              </w:rPr>
              <w:t>przypadku postępowań dotyczących</w:t>
            </w:r>
            <w:r w:rsidR="00F962B3" w:rsidRPr="00462965">
              <w:rPr>
                <w:rFonts w:cstheme="minorHAnsi"/>
              </w:rPr>
              <w:t xml:space="preserve"> </w:t>
            </w:r>
            <w:r w:rsidRPr="00462965">
              <w:rPr>
                <w:rFonts w:cstheme="minorHAnsi"/>
              </w:rPr>
              <w:t>ogłoszenia upadłości osoby fizycznej nieprowadzącej działalności gospodarczej zauważyć trzeba, że</w:t>
            </w:r>
            <w:r w:rsidR="00F962B3" w:rsidRPr="00462965">
              <w:rPr>
                <w:rFonts w:cstheme="minorHAnsi"/>
              </w:rPr>
              <w:t xml:space="preserve"> </w:t>
            </w:r>
            <w:r w:rsidRPr="00462965">
              <w:rPr>
                <w:rFonts w:cstheme="minorHAnsi"/>
              </w:rPr>
              <w:t xml:space="preserve">szczególnie w sprawach GUp-k-upr stwierdzenie prawomocności nie </w:t>
            </w:r>
            <w:r w:rsidRPr="00462965">
              <w:rPr>
                <w:rFonts w:cstheme="minorHAnsi"/>
              </w:rPr>
              <w:lastRenderedPageBreak/>
              <w:t>jest jedyną czynnością, którą należy</w:t>
            </w:r>
            <w:r w:rsidR="00F962B3" w:rsidRPr="00462965">
              <w:rPr>
                <w:rFonts w:cstheme="minorHAnsi"/>
              </w:rPr>
              <w:t xml:space="preserve"> </w:t>
            </w:r>
            <w:r w:rsidRPr="00462965">
              <w:rPr>
                <w:rFonts w:cstheme="minorHAnsi"/>
              </w:rPr>
              <w:t>przedsięwziąć w celu kompleksowego rozpoznania sprawy. Niejednokrotnie bowiem zaraz po uprawomocnieniu orzeczenia w przedmiocie ustalenia planu spłaty orzecznik wydaje zarządzenie o zarejestrowaniu sprawy w repertorium GUu oraz wydaje zarządzenie o wypłacie wynagrodzenia syndyka i przekazanie odpisu prawomocnego postanowienia do wydziału egzekucyjnego. Tym samym osoba, która dokonuje prawomocności i obwieszczenia postanowienia o ustaleniu planu spłaty winna również mieć kompetencje do wypłacenia syndykowi wynagrodzenia, rejestracji sprawy w innym repertorium oraz przekazania odpisu prawomocnego postanowienia do właściwego wydziału. W</w:t>
            </w:r>
            <w:r w:rsidR="00BC64D1">
              <w:rPr>
                <w:rFonts w:cstheme="minorHAnsi"/>
              </w:rPr>
              <w:t> </w:t>
            </w:r>
            <w:r w:rsidRPr="00462965">
              <w:rPr>
                <w:rFonts w:cstheme="minorHAnsi"/>
              </w:rPr>
              <w:t>przeciwnym razie zachodzi realne niebezpieczeństwo, że orzecznik widząc, że postanowienie jest prawomocne pozostanie w</w:t>
            </w:r>
            <w:r w:rsidR="00BC64D1">
              <w:rPr>
                <w:rFonts w:cstheme="minorHAnsi"/>
              </w:rPr>
              <w:t> </w:t>
            </w:r>
            <w:r w:rsidRPr="00462965">
              <w:rPr>
                <w:rFonts w:cstheme="minorHAnsi"/>
              </w:rPr>
              <w:t>błędnym przekonaniu, iż w sprawie zostały wydane wszelkie dalsze niezbędne dyspozycje celem jego zakończenia. Bardzo często się bowiem zdarza, że w Systemie KRZ znajduje się wiele dokumentów</w:t>
            </w:r>
            <w:r w:rsidR="00F66431" w:rsidRPr="00462965">
              <w:rPr>
                <w:rFonts w:cstheme="minorHAnsi"/>
              </w:rPr>
              <w:t xml:space="preserve"> </w:t>
            </w:r>
            <w:r w:rsidRPr="00462965">
              <w:rPr>
                <w:rFonts w:cstheme="minorHAnsi"/>
              </w:rPr>
              <w:t>kierowanych przez strony, pomiędzy którymi łatwo może umknąć fakt, iż chociażby nie zarejestrowano</w:t>
            </w:r>
            <w:r w:rsidR="00F66431" w:rsidRPr="00462965">
              <w:rPr>
                <w:rFonts w:cstheme="minorHAnsi"/>
              </w:rPr>
              <w:t xml:space="preserve"> </w:t>
            </w:r>
            <w:r w:rsidRPr="00462965">
              <w:rPr>
                <w:rFonts w:cstheme="minorHAnsi"/>
              </w:rPr>
              <w:t>sprawy w repertorium GUu. Wychwycenie tego uchybienia na dalszym etapie może nie być możliwe</w:t>
            </w:r>
            <w:r w:rsidR="001B770C" w:rsidRPr="00462965">
              <w:rPr>
                <w:rFonts w:cstheme="minorHAnsi"/>
              </w:rPr>
              <w:t xml:space="preserve"> </w:t>
            </w:r>
            <w:r w:rsidRPr="00462965">
              <w:rPr>
                <w:rFonts w:cstheme="minorHAnsi"/>
              </w:rPr>
              <w:t>chociażby z uwagi na ilość spraw zakreślonych w Systemie KRZ znajdujących się w decernacie każdego</w:t>
            </w:r>
            <w:r w:rsidR="001B770C" w:rsidRPr="00462965">
              <w:rPr>
                <w:rFonts w:cstheme="minorHAnsi"/>
              </w:rPr>
              <w:t xml:space="preserve"> </w:t>
            </w:r>
            <w:r w:rsidRPr="00462965">
              <w:rPr>
                <w:rFonts w:cstheme="minorHAnsi"/>
              </w:rPr>
              <w:t xml:space="preserve">referendarza sądowego, </w:t>
            </w:r>
            <w:r w:rsidRPr="00462965">
              <w:rPr>
                <w:rFonts w:cstheme="minorHAnsi"/>
              </w:rPr>
              <w:lastRenderedPageBreak/>
              <w:t>a to referendarze sądowi są przede wszystkim odpowiedzialni za podejmowanie</w:t>
            </w:r>
            <w:r w:rsidR="001B770C" w:rsidRPr="00462965">
              <w:rPr>
                <w:rFonts w:cstheme="minorHAnsi"/>
              </w:rPr>
              <w:t xml:space="preserve"> </w:t>
            </w:r>
            <w:r w:rsidRPr="00462965">
              <w:rPr>
                <w:rFonts w:cstheme="minorHAnsi"/>
              </w:rPr>
              <w:t>wszystkich decyzji w sprawach zakreślonych</w:t>
            </w:r>
            <w:r w:rsidR="001B770C" w:rsidRPr="00462965">
              <w:rPr>
                <w:rFonts w:cstheme="minorHAnsi"/>
              </w:rPr>
              <w:t>.</w:t>
            </w:r>
          </w:p>
        </w:tc>
        <w:tc>
          <w:tcPr>
            <w:tcW w:w="1027" w:type="pct"/>
          </w:tcPr>
          <w:p w14:paraId="7570DA58" w14:textId="77777777" w:rsidR="00B43E02" w:rsidRPr="00CC7F2E" w:rsidRDefault="00B43E02" w:rsidP="00CC7F2E">
            <w:pPr>
              <w:jc w:val="both"/>
              <w:rPr>
                <w:rFonts w:ascii="Calibri" w:hAnsi="Calibri" w:cs="Calibri"/>
              </w:rPr>
            </w:pPr>
          </w:p>
        </w:tc>
        <w:tc>
          <w:tcPr>
            <w:tcW w:w="1108" w:type="pct"/>
          </w:tcPr>
          <w:p w14:paraId="4EF24693" w14:textId="77777777" w:rsidR="00B43E02" w:rsidRPr="007368C7" w:rsidRDefault="00147863" w:rsidP="00BC45D4">
            <w:pPr>
              <w:jc w:val="both"/>
              <w:rPr>
                <w:rFonts w:cstheme="minorHAnsi"/>
                <w:b/>
                <w:bCs/>
              </w:rPr>
            </w:pPr>
            <w:r w:rsidRPr="007368C7">
              <w:rPr>
                <w:rFonts w:cstheme="minorHAnsi"/>
                <w:b/>
                <w:bCs/>
              </w:rPr>
              <w:t>Uwaga nieuwzględniona</w:t>
            </w:r>
          </w:p>
          <w:p w14:paraId="39D3D737" w14:textId="77777777" w:rsidR="00147863" w:rsidRPr="007368C7" w:rsidRDefault="00556660" w:rsidP="00BC45D4">
            <w:pPr>
              <w:jc w:val="both"/>
              <w:rPr>
                <w:rFonts w:cstheme="minorHAnsi"/>
              </w:rPr>
            </w:pPr>
            <w:r w:rsidRPr="007368C7">
              <w:rPr>
                <w:rFonts w:cstheme="minorHAnsi"/>
              </w:rPr>
              <w:t>Odróżnić należy techniczną czynność odnotowania daty prawomocności od stwierdzenia prawomocności orzeczenia (w drodze postanowienia, na wniosek strony). Projekt stanowi usankcjonowanie praktyki już funkcjonującej w sądach (art. 219 ust. 4 P.U.).</w:t>
            </w:r>
          </w:p>
          <w:p w14:paraId="0575653F" w14:textId="56F2986E" w:rsidR="00556660" w:rsidRPr="007368C7" w:rsidRDefault="00556660" w:rsidP="00BC45D4">
            <w:pPr>
              <w:jc w:val="both"/>
              <w:rPr>
                <w:rFonts w:cstheme="minorHAnsi"/>
              </w:rPr>
            </w:pPr>
            <w:r w:rsidRPr="007368C7">
              <w:rPr>
                <w:rFonts w:cstheme="minorHAnsi"/>
              </w:rPr>
              <w:lastRenderedPageBreak/>
              <w:t>Problematyka dotyczy organizacji pracy konkretnych wydziałów.</w:t>
            </w:r>
          </w:p>
        </w:tc>
      </w:tr>
      <w:tr w:rsidR="00F66431" w:rsidRPr="00486628" w14:paraId="65A150EC" w14:textId="77777777" w:rsidTr="00AC5078">
        <w:tc>
          <w:tcPr>
            <w:tcW w:w="158" w:type="pct"/>
          </w:tcPr>
          <w:p w14:paraId="0F75E588" w14:textId="4AF5606C" w:rsidR="00F66431" w:rsidRDefault="00F66431" w:rsidP="005F7A15">
            <w:pPr>
              <w:jc w:val="center"/>
              <w:rPr>
                <w:rFonts w:cstheme="minorHAnsi"/>
              </w:rPr>
            </w:pPr>
            <w:r>
              <w:rPr>
                <w:rFonts w:cstheme="minorHAnsi"/>
              </w:rPr>
              <w:lastRenderedPageBreak/>
              <w:t>2</w:t>
            </w:r>
            <w:r w:rsidR="00AA645B">
              <w:rPr>
                <w:rFonts w:cstheme="minorHAnsi"/>
              </w:rPr>
              <w:t>4</w:t>
            </w:r>
          </w:p>
        </w:tc>
        <w:tc>
          <w:tcPr>
            <w:tcW w:w="698" w:type="pct"/>
          </w:tcPr>
          <w:p w14:paraId="38F35C5C" w14:textId="4612B94E" w:rsidR="00F66431" w:rsidRDefault="003E2E31" w:rsidP="0073232F">
            <w:pPr>
              <w:rPr>
                <w:rFonts w:ascii="Calibri" w:hAnsi="Calibri" w:cs="Calibri"/>
              </w:rPr>
            </w:pPr>
            <w:r>
              <w:rPr>
                <w:rFonts w:ascii="Calibri" w:hAnsi="Calibri" w:cs="Calibri"/>
              </w:rPr>
              <w:t>S</w:t>
            </w:r>
            <w:r w:rsidR="00EC499C">
              <w:rPr>
                <w:rFonts w:ascii="Calibri" w:hAnsi="Calibri" w:cs="Calibri"/>
              </w:rPr>
              <w:t xml:space="preserve">ąd Apelacyjny </w:t>
            </w:r>
            <w:r>
              <w:rPr>
                <w:rFonts w:ascii="Calibri" w:hAnsi="Calibri" w:cs="Calibri"/>
              </w:rPr>
              <w:t xml:space="preserve">w Poznaniu </w:t>
            </w:r>
          </w:p>
        </w:tc>
        <w:tc>
          <w:tcPr>
            <w:tcW w:w="591" w:type="pct"/>
          </w:tcPr>
          <w:p w14:paraId="6B2B19F9" w14:textId="05622471" w:rsidR="00F66431" w:rsidRPr="00B43E02" w:rsidRDefault="00EC499C" w:rsidP="003B3876">
            <w:pPr>
              <w:jc w:val="both"/>
              <w:rPr>
                <w:rFonts w:ascii="Calibri" w:hAnsi="Calibri" w:cs="Calibri"/>
              </w:rPr>
            </w:pPr>
            <w:r w:rsidRPr="00EC499C">
              <w:rPr>
                <w:rFonts w:ascii="Calibri" w:hAnsi="Calibri" w:cs="Calibri"/>
                <w:b/>
                <w:bCs/>
              </w:rPr>
              <w:t>Art. 1 pkt. 6 i 17</w:t>
            </w:r>
            <w:r>
              <w:rPr>
                <w:rFonts w:ascii="Calibri" w:hAnsi="Calibri" w:cs="Calibri"/>
              </w:rPr>
              <w:t xml:space="preserve"> </w:t>
            </w:r>
            <w:r w:rsidR="00F6272A">
              <w:rPr>
                <w:rFonts w:ascii="Calibri" w:hAnsi="Calibri" w:cs="Calibri"/>
              </w:rPr>
              <w:t xml:space="preserve">(art. </w:t>
            </w:r>
            <w:r w:rsidR="003E2E31" w:rsidRPr="003E2E31">
              <w:rPr>
                <w:rFonts w:ascii="Calibri" w:hAnsi="Calibri" w:cs="Calibri"/>
              </w:rPr>
              <w:t>370c ust. 4 oraz art. 491</w:t>
            </w:r>
            <w:r w:rsidR="00F6272A">
              <w:rPr>
                <w:rFonts w:ascii="Calibri" w:hAnsi="Calibri" w:cs="Calibri"/>
                <w:vertAlign w:val="superscript"/>
              </w:rPr>
              <w:t>1</w:t>
            </w:r>
            <w:r w:rsidR="00C82E94">
              <w:rPr>
                <w:rFonts w:ascii="Calibri" w:hAnsi="Calibri" w:cs="Calibri"/>
                <w:vertAlign w:val="superscript"/>
              </w:rPr>
              <w:t>8</w:t>
            </w:r>
            <w:r w:rsidR="003E2E31" w:rsidRPr="003E2E31">
              <w:rPr>
                <w:rFonts w:ascii="Calibri" w:hAnsi="Calibri" w:cs="Calibri"/>
              </w:rPr>
              <w:t xml:space="preserve"> ust. 3</w:t>
            </w:r>
            <w:r w:rsidR="003E2E31">
              <w:rPr>
                <w:rFonts w:ascii="Calibri" w:hAnsi="Calibri" w:cs="Calibri"/>
              </w:rPr>
              <w:t xml:space="preserve"> P.U.</w:t>
            </w:r>
            <w:r w:rsidR="00C82E94">
              <w:rPr>
                <w:rFonts w:ascii="Calibri" w:hAnsi="Calibri" w:cs="Calibri"/>
              </w:rPr>
              <w:t>)</w:t>
            </w:r>
          </w:p>
        </w:tc>
        <w:tc>
          <w:tcPr>
            <w:tcW w:w="1418" w:type="pct"/>
          </w:tcPr>
          <w:p w14:paraId="36159A9D" w14:textId="3085C4BF" w:rsidR="003E2E31" w:rsidRPr="00462965" w:rsidRDefault="003E2E31" w:rsidP="00462965">
            <w:pPr>
              <w:jc w:val="both"/>
              <w:rPr>
                <w:rFonts w:cstheme="minorHAnsi"/>
              </w:rPr>
            </w:pPr>
            <w:r w:rsidRPr="00462965">
              <w:rPr>
                <w:rFonts w:cstheme="minorHAnsi"/>
              </w:rPr>
              <w:t>Podkreślenia wymaga, że ustawodawcy całkowicie umknęła w tym przypadku dyspozycja art. 216a p.u. stanowiącym, że w postępowaniu upadłościowym</w:t>
            </w:r>
            <w:r w:rsidR="00C82E94" w:rsidRPr="00462965">
              <w:rPr>
                <w:rFonts w:cstheme="minorHAnsi"/>
              </w:rPr>
              <w:t xml:space="preserve"> </w:t>
            </w:r>
            <w:r w:rsidRPr="00462965">
              <w:rPr>
                <w:rFonts w:cstheme="minorHAnsi"/>
              </w:rPr>
              <w:t>pisma i dokumenty wnosi się wyłącznie za pośrednictwem</w:t>
            </w:r>
            <w:r w:rsidR="00C82E94" w:rsidRPr="00462965">
              <w:rPr>
                <w:rFonts w:cstheme="minorHAnsi"/>
              </w:rPr>
              <w:t> </w:t>
            </w:r>
            <w:r w:rsidRPr="00462965">
              <w:rPr>
                <w:rFonts w:cstheme="minorHAnsi"/>
              </w:rPr>
              <w:t>systemu</w:t>
            </w:r>
            <w:r w:rsidR="00C82E94" w:rsidRPr="00462965">
              <w:rPr>
                <w:rFonts w:cstheme="minorHAnsi"/>
              </w:rPr>
              <w:t> t</w:t>
            </w:r>
            <w:r w:rsidRPr="00462965">
              <w:rPr>
                <w:rFonts w:cstheme="minorHAnsi"/>
              </w:rPr>
              <w:t>eleinformatycznego. Skoro sąd nie</w:t>
            </w:r>
            <w:r w:rsidR="00C82E94" w:rsidRPr="00462965">
              <w:rPr>
                <w:rFonts w:cstheme="minorHAnsi"/>
              </w:rPr>
              <w:t xml:space="preserve"> </w:t>
            </w:r>
            <w:r w:rsidRPr="00462965">
              <w:rPr>
                <w:rFonts w:cstheme="minorHAnsi"/>
              </w:rPr>
              <w:t>będzie badał treści i formy dokumentów w postaci sprawozdania z sytuacji majątkowej i zawodowej</w:t>
            </w:r>
            <w:r w:rsidR="00C82E94" w:rsidRPr="00462965">
              <w:rPr>
                <w:rFonts w:cstheme="minorHAnsi"/>
              </w:rPr>
              <w:t xml:space="preserve"> </w:t>
            </w:r>
            <w:r w:rsidRPr="00462965">
              <w:rPr>
                <w:rFonts w:cstheme="minorHAnsi"/>
              </w:rPr>
              <w:t>dłużnika za poprzedni rok kalendarzowy musi to zrobić wierzyciel, albowiem wyłącznie na jego wniosek</w:t>
            </w:r>
            <w:r w:rsidR="00C82E94" w:rsidRPr="00462965">
              <w:rPr>
                <w:rFonts w:cstheme="minorHAnsi"/>
              </w:rPr>
              <w:t xml:space="preserve"> </w:t>
            </w:r>
            <w:r w:rsidRPr="00462965">
              <w:rPr>
                <w:rFonts w:cstheme="minorHAnsi"/>
              </w:rPr>
              <w:t>bądź wniosek dłużnika może dojść do zmiany lub uchylenia planu spłaty. Nietrudno jednak wyobrazić</w:t>
            </w:r>
            <w:r w:rsidR="00C82E94" w:rsidRPr="00462965">
              <w:rPr>
                <w:rFonts w:cstheme="minorHAnsi"/>
              </w:rPr>
              <w:t xml:space="preserve"> </w:t>
            </w:r>
            <w:r w:rsidRPr="00462965">
              <w:rPr>
                <w:rFonts w:cstheme="minorHAnsi"/>
              </w:rPr>
              <w:t>sobie sytuację, w której sprawozdanie upadłego zostanie przez niego przedłożone w formie tradycyjnej</w:t>
            </w:r>
            <w:r w:rsidR="00C82E94" w:rsidRPr="00462965">
              <w:rPr>
                <w:rFonts w:cstheme="minorHAnsi"/>
              </w:rPr>
              <w:t xml:space="preserve"> </w:t>
            </w:r>
            <w:r w:rsidRPr="00462965">
              <w:rPr>
                <w:rFonts w:cstheme="minorHAnsi"/>
              </w:rPr>
              <w:t>z pominięciem Systemu KRZ, chociażby z uwagi na podeszły wiek i brak sprawności z korzystania</w:t>
            </w:r>
            <w:r w:rsidR="00C82E94" w:rsidRPr="00462965">
              <w:rPr>
                <w:rFonts w:cstheme="minorHAnsi"/>
              </w:rPr>
              <w:t xml:space="preserve"> </w:t>
            </w:r>
            <w:r w:rsidRPr="00462965">
              <w:rPr>
                <w:rFonts w:cstheme="minorHAnsi"/>
              </w:rPr>
              <w:t>z systemów teleinformatycznych lub wykluczenie cyfrowe, i taki dokument nie zostanie umieszczony</w:t>
            </w:r>
            <w:r w:rsidR="00C82E94" w:rsidRPr="00462965">
              <w:rPr>
                <w:rFonts w:cstheme="minorHAnsi"/>
              </w:rPr>
              <w:t xml:space="preserve"> </w:t>
            </w:r>
            <w:r w:rsidRPr="00462965">
              <w:rPr>
                <w:rFonts w:cstheme="minorHAnsi"/>
              </w:rPr>
              <w:t>w systemie teleinformatycznym. W zaistniałej sytuacji ze sprawozdaniem nie będzie mógł się zapoznać</w:t>
            </w:r>
          </w:p>
          <w:p w14:paraId="08B1EF08" w14:textId="426B7AC2" w:rsidR="003E2E31" w:rsidRPr="00462965" w:rsidRDefault="003E2E31" w:rsidP="00462965">
            <w:pPr>
              <w:jc w:val="both"/>
              <w:rPr>
                <w:rFonts w:cstheme="minorHAnsi"/>
              </w:rPr>
            </w:pPr>
            <w:r w:rsidRPr="00462965">
              <w:rPr>
                <w:rFonts w:cstheme="minorHAnsi"/>
              </w:rPr>
              <w:t>wierzyciel, który akta postępowania może analizować wyłącznie poprzez System KRZ, w następstwie czego</w:t>
            </w:r>
            <w:r w:rsidR="00C82E94" w:rsidRPr="00462965">
              <w:rPr>
                <w:rFonts w:cstheme="minorHAnsi"/>
              </w:rPr>
              <w:t xml:space="preserve"> </w:t>
            </w:r>
            <w:r w:rsidRPr="00462965">
              <w:rPr>
                <w:rFonts w:cstheme="minorHAnsi"/>
              </w:rPr>
              <w:t>może on wystąpić z wnioskiem o uchylenie planu spłaty. Taki wniosek będzie inicjował następnie całą</w:t>
            </w:r>
            <w:r w:rsidR="00C82E94" w:rsidRPr="00462965">
              <w:rPr>
                <w:rFonts w:cstheme="minorHAnsi"/>
              </w:rPr>
              <w:t xml:space="preserve"> </w:t>
            </w:r>
            <w:r w:rsidRPr="00462965">
              <w:rPr>
                <w:rFonts w:cstheme="minorHAnsi"/>
              </w:rPr>
              <w:t xml:space="preserve">procedurę związaną z uchyleniem planu spłaty, </w:t>
            </w:r>
            <w:r w:rsidRPr="00462965">
              <w:rPr>
                <w:rFonts w:cstheme="minorHAnsi"/>
              </w:rPr>
              <w:lastRenderedPageBreak/>
              <w:t>tj. konieczność rejestracji takiej sprawy, doręczenie</w:t>
            </w:r>
            <w:r w:rsidR="00C82E94" w:rsidRPr="00462965">
              <w:rPr>
                <w:rFonts w:cstheme="minorHAnsi"/>
              </w:rPr>
              <w:t xml:space="preserve"> </w:t>
            </w:r>
            <w:r w:rsidRPr="00462965">
              <w:rPr>
                <w:rFonts w:cstheme="minorHAnsi"/>
              </w:rPr>
              <w:t>odpisów wniosku, wyznaczenie terminu rozprawy i wezwanie na nią dłużnika oraz jego wysłuchanie.</w:t>
            </w:r>
          </w:p>
          <w:p w14:paraId="7F18116E" w14:textId="366EEB01" w:rsidR="003E2E31" w:rsidRPr="00462965" w:rsidRDefault="003E2E31" w:rsidP="00462965">
            <w:pPr>
              <w:jc w:val="both"/>
              <w:rPr>
                <w:rFonts w:cstheme="minorHAnsi"/>
              </w:rPr>
            </w:pPr>
            <w:r w:rsidRPr="00462965">
              <w:rPr>
                <w:rFonts w:cstheme="minorHAnsi"/>
              </w:rPr>
              <w:t>Jednocześnie w przypadku, w którym sąd upadłościowy uzna, że dłużnik w rzeczywistości wykonuje plan</w:t>
            </w:r>
            <w:r w:rsidR="00C82E94" w:rsidRPr="00462965">
              <w:rPr>
                <w:rFonts w:cstheme="minorHAnsi"/>
              </w:rPr>
              <w:t xml:space="preserve"> </w:t>
            </w:r>
            <w:r w:rsidRPr="00462965">
              <w:rPr>
                <w:rFonts w:cstheme="minorHAnsi"/>
              </w:rPr>
              <w:t>spłaty i nie jest zasadnym jego uchylenie, to sprawozdanie z wykonania planu spłaty wciąż nie znajdzie się</w:t>
            </w:r>
          </w:p>
          <w:p w14:paraId="6F905C84" w14:textId="6D7B82CB" w:rsidR="00F66431" w:rsidRPr="00462965" w:rsidRDefault="003E2E31" w:rsidP="00462965">
            <w:pPr>
              <w:jc w:val="both"/>
              <w:rPr>
                <w:rFonts w:cstheme="minorHAnsi"/>
              </w:rPr>
            </w:pPr>
            <w:r w:rsidRPr="00462965">
              <w:rPr>
                <w:rFonts w:cstheme="minorHAnsi"/>
              </w:rPr>
              <w:t>w Systemie KRZ, albowiem istnieje one wyłącznie w formie tradycyjnej, a więc wierzyciel wciąż nie będzie</w:t>
            </w:r>
            <w:r w:rsidR="00C82E94" w:rsidRPr="00462965">
              <w:rPr>
                <w:rFonts w:cstheme="minorHAnsi"/>
              </w:rPr>
              <w:t xml:space="preserve"> </w:t>
            </w:r>
            <w:r w:rsidRPr="00462965">
              <w:rPr>
                <w:rFonts w:cstheme="minorHAnsi"/>
              </w:rPr>
              <w:t>miał do niego dostępu, co rodzi obawy że w kolejnych latach ponownie zainicjuje procedurę związaną z uchyleniem planu spłaty wierzycieli (w sytuacji, w której dłużnik wciąż będzie składał sprawozdanie ze</w:t>
            </w:r>
            <w:r w:rsidR="00C82E94" w:rsidRPr="00462965">
              <w:rPr>
                <w:rFonts w:cstheme="minorHAnsi"/>
              </w:rPr>
              <w:t xml:space="preserve"> </w:t>
            </w:r>
            <w:r w:rsidRPr="00462965">
              <w:rPr>
                <w:rFonts w:cstheme="minorHAnsi"/>
              </w:rPr>
              <w:t>swojej sytuacji majątkowej w formie „papierowej”). W mojej ocenie w niniejszej sprawie konieczna jest</w:t>
            </w:r>
            <w:r w:rsidR="00C82E94" w:rsidRPr="00462965">
              <w:rPr>
                <w:rFonts w:cstheme="minorHAnsi"/>
              </w:rPr>
              <w:t xml:space="preserve"> </w:t>
            </w:r>
            <w:r w:rsidRPr="00462965">
              <w:rPr>
                <w:rFonts w:cstheme="minorHAnsi"/>
              </w:rPr>
              <w:t>nowelizacja art. 216a i następne w taki sposób, by możliwym było składanie przez dłużników sprawozdań</w:t>
            </w:r>
            <w:r w:rsidR="00C82E94" w:rsidRPr="00462965">
              <w:rPr>
                <w:rFonts w:cstheme="minorHAnsi"/>
              </w:rPr>
              <w:t xml:space="preserve"> </w:t>
            </w:r>
            <w:r w:rsidRPr="00462965">
              <w:rPr>
                <w:rFonts w:cstheme="minorHAnsi"/>
              </w:rPr>
              <w:t>określonych w art. 370c ust. 4 w formie tradycyjnej i następnie wprowadzanie tych dokumentów do</w:t>
            </w:r>
            <w:r w:rsidR="00C82E94" w:rsidRPr="00462965">
              <w:rPr>
                <w:rFonts w:cstheme="minorHAnsi"/>
              </w:rPr>
              <w:t xml:space="preserve"> </w:t>
            </w:r>
            <w:r w:rsidRPr="00462965">
              <w:rPr>
                <w:rFonts w:cstheme="minorHAnsi"/>
              </w:rPr>
              <w:t>Systemu KRZ przez pracownika Biura Podawczego</w:t>
            </w:r>
            <w:r w:rsidR="00C82E94" w:rsidRPr="00462965">
              <w:rPr>
                <w:rFonts w:cstheme="minorHAnsi"/>
              </w:rPr>
              <w:t>.</w:t>
            </w:r>
          </w:p>
        </w:tc>
        <w:tc>
          <w:tcPr>
            <w:tcW w:w="1027" w:type="pct"/>
          </w:tcPr>
          <w:p w14:paraId="103A25EC" w14:textId="77777777" w:rsidR="00F66431" w:rsidRPr="00CC7F2E" w:rsidRDefault="00F66431" w:rsidP="00CC7F2E">
            <w:pPr>
              <w:jc w:val="both"/>
              <w:rPr>
                <w:rFonts w:ascii="Calibri" w:hAnsi="Calibri" w:cs="Calibri"/>
              </w:rPr>
            </w:pPr>
          </w:p>
        </w:tc>
        <w:tc>
          <w:tcPr>
            <w:tcW w:w="1108" w:type="pct"/>
          </w:tcPr>
          <w:p w14:paraId="5E354585" w14:textId="55C771D6" w:rsidR="00693AA5" w:rsidRPr="007368C7" w:rsidRDefault="00756B21" w:rsidP="00BC45D4">
            <w:pPr>
              <w:jc w:val="both"/>
              <w:rPr>
                <w:rFonts w:cstheme="minorHAnsi"/>
                <w:b/>
                <w:bCs/>
              </w:rPr>
            </w:pPr>
            <w:r w:rsidRPr="007368C7">
              <w:rPr>
                <w:rFonts w:cstheme="minorHAnsi"/>
                <w:b/>
                <w:bCs/>
              </w:rPr>
              <w:t>Uwaga</w:t>
            </w:r>
            <w:r w:rsidR="00784913" w:rsidRPr="007368C7">
              <w:rPr>
                <w:rFonts w:cstheme="minorHAnsi"/>
                <w:b/>
                <w:bCs/>
              </w:rPr>
              <w:t xml:space="preserve"> nie</w:t>
            </w:r>
            <w:r w:rsidRPr="007368C7">
              <w:rPr>
                <w:rFonts w:cstheme="minorHAnsi"/>
                <w:b/>
                <w:bCs/>
              </w:rPr>
              <w:t xml:space="preserve">uwzględniona </w:t>
            </w:r>
          </w:p>
          <w:p w14:paraId="43E94F5D" w14:textId="424A18CE" w:rsidR="00784913" w:rsidRPr="007368C7" w:rsidRDefault="00784913" w:rsidP="00784913">
            <w:pPr>
              <w:jc w:val="both"/>
              <w:rPr>
                <w:rFonts w:cstheme="minorHAnsi"/>
              </w:rPr>
            </w:pPr>
            <w:r w:rsidRPr="007368C7">
              <w:rPr>
                <w:rFonts w:cstheme="minorHAnsi"/>
              </w:rPr>
              <w:t>W ocenie projektodawcy możliwość składania pism poza systemem powinna być przewidziana jedynie w wyjątkowych wypadkach.</w:t>
            </w:r>
          </w:p>
          <w:p w14:paraId="68967B59" w14:textId="77777777" w:rsidR="00784913" w:rsidRPr="007368C7" w:rsidRDefault="00784913" w:rsidP="00784913">
            <w:pPr>
              <w:jc w:val="both"/>
              <w:rPr>
                <w:rFonts w:cstheme="minorHAnsi"/>
              </w:rPr>
            </w:pPr>
            <w:r w:rsidRPr="007368C7">
              <w:rPr>
                <w:rFonts w:cstheme="minorHAnsi"/>
              </w:rPr>
              <w:t>Wprowadzenie takiej zmiany spowoduje poza tym poważne skutki w zakresie biurowości sądowej w wydziałach upadłościowych.</w:t>
            </w:r>
          </w:p>
          <w:p w14:paraId="56B17E5B" w14:textId="2A69A39A" w:rsidR="00784913" w:rsidRPr="007368C7" w:rsidRDefault="00784913" w:rsidP="00784913">
            <w:pPr>
              <w:jc w:val="both"/>
              <w:rPr>
                <w:rFonts w:cstheme="minorHAnsi"/>
              </w:rPr>
            </w:pPr>
            <w:r w:rsidRPr="007368C7">
              <w:rPr>
                <w:rFonts w:cstheme="minorHAnsi"/>
              </w:rPr>
              <w:t>Należy wskazać, że treść wagi jest sprzeczne z ogólnymi celami przyjętymi przez MS - cyfryzacji wymiaru sprawiedliwości.</w:t>
            </w:r>
          </w:p>
          <w:p w14:paraId="72495746" w14:textId="77777777" w:rsidR="00784913" w:rsidRPr="007368C7" w:rsidRDefault="00784913" w:rsidP="00784913">
            <w:pPr>
              <w:jc w:val="both"/>
              <w:rPr>
                <w:rFonts w:cstheme="minorHAnsi"/>
              </w:rPr>
            </w:pPr>
            <w:r w:rsidRPr="007368C7">
              <w:rPr>
                <w:rFonts w:cstheme="minorHAnsi"/>
              </w:rPr>
              <w:t xml:space="preserve">Niemożność odejścia od papieru i brak cyfryzacji postępowań sądowych wskazywana jest jako jeden z czynników wydłużających tempo rozpatrywania spraw </w:t>
            </w:r>
          </w:p>
          <w:p w14:paraId="0CA8DA50" w14:textId="77777777" w:rsidR="00784913" w:rsidRPr="007368C7" w:rsidRDefault="00784913" w:rsidP="00BC45D4">
            <w:pPr>
              <w:jc w:val="both"/>
              <w:rPr>
                <w:rFonts w:cstheme="minorHAnsi"/>
                <w:b/>
                <w:bCs/>
              </w:rPr>
            </w:pPr>
          </w:p>
          <w:p w14:paraId="21CD8CDA" w14:textId="4A52FD75" w:rsidR="008D457D" w:rsidRPr="007368C7" w:rsidRDefault="008D457D" w:rsidP="00784913">
            <w:pPr>
              <w:jc w:val="both"/>
              <w:rPr>
                <w:rFonts w:cstheme="minorHAnsi"/>
              </w:rPr>
            </w:pPr>
          </w:p>
        </w:tc>
      </w:tr>
      <w:tr w:rsidR="003E2E31" w:rsidRPr="00486628" w14:paraId="4E5C4E0D" w14:textId="77777777" w:rsidTr="00AC5078">
        <w:tc>
          <w:tcPr>
            <w:tcW w:w="158" w:type="pct"/>
          </w:tcPr>
          <w:p w14:paraId="3417D1B2" w14:textId="654F5D06" w:rsidR="003E2E31" w:rsidRDefault="003E2E31" w:rsidP="005F7A15">
            <w:pPr>
              <w:jc w:val="center"/>
              <w:rPr>
                <w:rFonts w:cstheme="minorHAnsi"/>
              </w:rPr>
            </w:pPr>
            <w:r>
              <w:rPr>
                <w:rFonts w:cstheme="minorHAnsi"/>
              </w:rPr>
              <w:t>2</w:t>
            </w:r>
            <w:r w:rsidR="00AA645B">
              <w:rPr>
                <w:rFonts w:cstheme="minorHAnsi"/>
              </w:rPr>
              <w:t>5</w:t>
            </w:r>
          </w:p>
        </w:tc>
        <w:tc>
          <w:tcPr>
            <w:tcW w:w="698" w:type="pct"/>
          </w:tcPr>
          <w:p w14:paraId="10D47169" w14:textId="4838607E" w:rsidR="003E2E31" w:rsidRDefault="003E2E31" w:rsidP="0073232F">
            <w:pPr>
              <w:rPr>
                <w:rFonts w:ascii="Calibri" w:hAnsi="Calibri" w:cs="Calibri"/>
              </w:rPr>
            </w:pPr>
            <w:r>
              <w:rPr>
                <w:rFonts w:ascii="Calibri" w:hAnsi="Calibri" w:cs="Calibri"/>
              </w:rPr>
              <w:t>S</w:t>
            </w:r>
            <w:r w:rsidR="00C82E94">
              <w:rPr>
                <w:rFonts w:ascii="Calibri" w:hAnsi="Calibri" w:cs="Calibri"/>
              </w:rPr>
              <w:t xml:space="preserve">ąd Apelacyjny </w:t>
            </w:r>
            <w:r>
              <w:rPr>
                <w:rFonts w:ascii="Calibri" w:hAnsi="Calibri" w:cs="Calibri"/>
              </w:rPr>
              <w:t xml:space="preserve">w Poznaniu </w:t>
            </w:r>
          </w:p>
        </w:tc>
        <w:tc>
          <w:tcPr>
            <w:tcW w:w="591" w:type="pct"/>
          </w:tcPr>
          <w:p w14:paraId="410F7128" w14:textId="77777777" w:rsidR="003E2E31" w:rsidRPr="003E2E31" w:rsidRDefault="003E2E31" w:rsidP="003B3876">
            <w:pPr>
              <w:jc w:val="both"/>
              <w:rPr>
                <w:rFonts w:ascii="Calibri" w:hAnsi="Calibri" w:cs="Calibri"/>
              </w:rPr>
            </w:pPr>
          </w:p>
        </w:tc>
        <w:tc>
          <w:tcPr>
            <w:tcW w:w="1418" w:type="pct"/>
          </w:tcPr>
          <w:p w14:paraId="0874E539" w14:textId="18030AB8" w:rsidR="003E2E31" w:rsidRPr="00462965" w:rsidRDefault="003E2E31" w:rsidP="00462965">
            <w:pPr>
              <w:jc w:val="both"/>
              <w:rPr>
                <w:rFonts w:cstheme="minorHAnsi"/>
              </w:rPr>
            </w:pPr>
            <w:r w:rsidRPr="00462965">
              <w:rPr>
                <w:rFonts w:cstheme="minorHAnsi"/>
              </w:rPr>
              <w:t>Odnosząc się do obwieszczenia informacji o dacie, w której zobowiązania upadłego powstałe przed</w:t>
            </w:r>
            <w:r w:rsidR="00C82E94" w:rsidRPr="00462965">
              <w:rPr>
                <w:rFonts w:cstheme="minorHAnsi"/>
              </w:rPr>
              <w:t xml:space="preserve"> </w:t>
            </w:r>
            <w:r w:rsidRPr="00462965">
              <w:rPr>
                <w:rFonts w:cstheme="minorHAnsi"/>
              </w:rPr>
              <w:t>dniem ogłoszenia upadłości i niewykonane w wyniku wykonania planu spłaty wierzycieli uległy umorzeniu</w:t>
            </w:r>
            <w:r w:rsidR="00C82E94" w:rsidRPr="00462965">
              <w:rPr>
                <w:rFonts w:cstheme="minorHAnsi"/>
              </w:rPr>
              <w:t xml:space="preserve"> </w:t>
            </w:r>
            <w:r w:rsidRPr="00462965">
              <w:rPr>
                <w:rFonts w:cstheme="minorHAnsi"/>
              </w:rPr>
              <w:t xml:space="preserve">z mocy prawa zasadne wydaje się wprowadzenie przepisu analogicznego do projektowanej </w:t>
            </w:r>
            <w:r w:rsidRPr="00462965">
              <w:rPr>
                <w:rFonts w:cstheme="minorHAnsi"/>
              </w:rPr>
              <w:lastRenderedPageBreak/>
              <w:t>zmiany art.</w:t>
            </w:r>
            <w:r w:rsidR="00C82E94" w:rsidRPr="00462965">
              <w:rPr>
                <w:rFonts w:cstheme="minorHAnsi"/>
              </w:rPr>
              <w:t xml:space="preserve"> </w:t>
            </w:r>
            <w:r w:rsidRPr="00462965">
              <w:rPr>
                <w:rFonts w:cstheme="minorHAnsi"/>
              </w:rPr>
              <w:t xml:space="preserve">219 ust. 4 oraz 221 ust. 1a </w:t>
            </w:r>
            <w:r w:rsidR="001352EC">
              <w:rPr>
                <w:rFonts w:cstheme="minorHAnsi"/>
              </w:rPr>
              <w:t>P</w:t>
            </w:r>
            <w:r w:rsidRPr="00462965">
              <w:rPr>
                <w:rFonts w:cstheme="minorHAnsi"/>
              </w:rPr>
              <w:t>.</w:t>
            </w:r>
            <w:r w:rsidR="001352EC">
              <w:rPr>
                <w:rFonts w:cstheme="minorHAnsi"/>
              </w:rPr>
              <w:t>U</w:t>
            </w:r>
            <w:r w:rsidRPr="00462965">
              <w:rPr>
                <w:rFonts w:cstheme="minorHAnsi"/>
              </w:rPr>
              <w:t>., tak by, w przypadkach gdy nie został złożony wniosek o uchylenie planu</w:t>
            </w:r>
            <w:r w:rsidR="00C82E94" w:rsidRPr="00462965">
              <w:rPr>
                <w:rFonts w:cstheme="minorHAnsi"/>
              </w:rPr>
              <w:t xml:space="preserve"> </w:t>
            </w:r>
            <w:r w:rsidRPr="00462965">
              <w:rPr>
                <w:rFonts w:cstheme="minorHAnsi"/>
              </w:rPr>
              <w:t>spłaty, stosownego obwieszczenia poza orzecznikami mógł dokonać również asystent sędziego oraz</w:t>
            </w:r>
            <w:r w:rsidR="00C82E94" w:rsidRPr="00462965">
              <w:rPr>
                <w:rFonts w:cstheme="minorHAnsi"/>
              </w:rPr>
              <w:t xml:space="preserve"> </w:t>
            </w:r>
            <w:r w:rsidRPr="00462965">
              <w:rPr>
                <w:rFonts w:cstheme="minorHAnsi"/>
              </w:rPr>
              <w:t>pracownik sekretariatu. Podkreślenia bowiem wymaga, że przedmiotowe obwieszczenie ma charakter</w:t>
            </w:r>
            <w:r w:rsidR="00C82E94" w:rsidRPr="00462965">
              <w:rPr>
                <w:rFonts w:cstheme="minorHAnsi"/>
              </w:rPr>
              <w:t xml:space="preserve"> </w:t>
            </w:r>
            <w:r w:rsidRPr="00462965">
              <w:rPr>
                <w:rFonts w:cstheme="minorHAnsi"/>
              </w:rPr>
              <w:t>techniczny i mając na uwadze aktualne i znaczne obciążenie sędziów i referendarzy sądowych zasadnym</w:t>
            </w:r>
            <w:r w:rsidR="00C82E94" w:rsidRPr="00462965">
              <w:rPr>
                <w:rFonts w:cstheme="minorHAnsi"/>
              </w:rPr>
              <w:t xml:space="preserve"> </w:t>
            </w:r>
            <w:r w:rsidRPr="00462965">
              <w:rPr>
                <w:rFonts w:cstheme="minorHAnsi"/>
              </w:rPr>
              <w:t xml:space="preserve">wydaje się przyznanie kompetencji do wydania obwieszczenia o dacie, w której zobowiązania </w:t>
            </w:r>
            <w:r w:rsidR="00C82E94" w:rsidRPr="00462965">
              <w:rPr>
                <w:rFonts w:cstheme="minorHAnsi"/>
              </w:rPr>
              <w:t>upadłego powstałe</w:t>
            </w:r>
            <w:r w:rsidRPr="00462965">
              <w:rPr>
                <w:rFonts w:cstheme="minorHAnsi"/>
              </w:rPr>
              <w:t xml:space="preserve"> przed dniem ogłoszenia upadłości i niewykonane w wyniku wykonania planu spłaty wierzycieli</w:t>
            </w:r>
            <w:r w:rsidR="00567173" w:rsidRPr="00462965">
              <w:rPr>
                <w:rFonts w:cstheme="minorHAnsi"/>
              </w:rPr>
              <w:t xml:space="preserve"> </w:t>
            </w:r>
            <w:r w:rsidRPr="00462965">
              <w:rPr>
                <w:rFonts w:cstheme="minorHAnsi"/>
              </w:rPr>
              <w:t>uległy umorzeniu z mocy prawa asystentom sędziów oraz pracownikom sekretariatu, szczególnie, że</w:t>
            </w:r>
            <w:r w:rsidR="00520F24">
              <w:rPr>
                <w:rFonts w:cstheme="minorHAnsi"/>
              </w:rPr>
              <w:t xml:space="preserve"> </w:t>
            </w:r>
            <w:r w:rsidRPr="00462965">
              <w:rPr>
                <w:rFonts w:cstheme="minorHAnsi"/>
              </w:rPr>
              <w:t>przedmiotowe obwieszczenie nie będzie poprzedzone wydaniem odpowiedniego postanowienia, jak ma</w:t>
            </w:r>
            <w:r w:rsidR="00C82E94" w:rsidRPr="00462965">
              <w:rPr>
                <w:rFonts w:cstheme="minorHAnsi"/>
              </w:rPr>
              <w:t xml:space="preserve"> </w:t>
            </w:r>
            <w:r w:rsidRPr="00462965">
              <w:rPr>
                <w:rFonts w:cstheme="minorHAnsi"/>
              </w:rPr>
              <w:t>to miejsce w chwili obecnej</w:t>
            </w:r>
            <w:r w:rsidR="00520F24">
              <w:rPr>
                <w:rFonts w:cstheme="minorHAnsi"/>
              </w:rPr>
              <w:t>.</w:t>
            </w:r>
          </w:p>
        </w:tc>
        <w:tc>
          <w:tcPr>
            <w:tcW w:w="1027" w:type="pct"/>
          </w:tcPr>
          <w:p w14:paraId="078A7F72" w14:textId="77777777" w:rsidR="003E2E31" w:rsidRPr="00CC7F2E" w:rsidRDefault="003E2E31" w:rsidP="00CC7F2E">
            <w:pPr>
              <w:jc w:val="both"/>
              <w:rPr>
                <w:rFonts w:ascii="Calibri" w:hAnsi="Calibri" w:cs="Calibri"/>
              </w:rPr>
            </w:pPr>
          </w:p>
        </w:tc>
        <w:tc>
          <w:tcPr>
            <w:tcW w:w="1108" w:type="pct"/>
          </w:tcPr>
          <w:p w14:paraId="6FAA7319" w14:textId="77777777" w:rsidR="003E2E31" w:rsidRPr="007368C7" w:rsidRDefault="00693AA5" w:rsidP="00BC45D4">
            <w:pPr>
              <w:jc w:val="both"/>
              <w:rPr>
                <w:rFonts w:cstheme="minorHAnsi"/>
                <w:b/>
                <w:bCs/>
              </w:rPr>
            </w:pPr>
            <w:r w:rsidRPr="007368C7">
              <w:rPr>
                <w:rFonts w:cstheme="minorHAnsi"/>
                <w:b/>
                <w:bCs/>
              </w:rPr>
              <w:t>Uwaga nieuwzględniona</w:t>
            </w:r>
          </w:p>
          <w:p w14:paraId="6747F3AE" w14:textId="129CB96A" w:rsidR="00693AA5" w:rsidRPr="007368C7" w:rsidRDefault="00D7758E" w:rsidP="00BC45D4">
            <w:pPr>
              <w:jc w:val="both"/>
              <w:rPr>
                <w:rFonts w:cstheme="minorHAnsi"/>
              </w:rPr>
            </w:pPr>
            <w:r w:rsidRPr="007368C7">
              <w:rPr>
                <w:rFonts w:cstheme="minorHAnsi"/>
              </w:rPr>
              <w:t>Przepis art. 219 i 221 P.U. mają zastosowanie na podstawie art. 491</w:t>
            </w:r>
            <w:r w:rsidRPr="007368C7">
              <w:rPr>
                <w:rFonts w:cstheme="minorHAnsi"/>
                <w:vertAlign w:val="superscript"/>
              </w:rPr>
              <w:t>2</w:t>
            </w:r>
            <w:r w:rsidRPr="007368C7">
              <w:rPr>
                <w:rFonts w:cstheme="minorHAnsi"/>
              </w:rPr>
              <w:t xml:space="preserve"> ust. 1 P.U.</w:t>
            </w:r>
          </w:p>
        </w:tc>
      </w:tr>
      <w:tr w:rsidR="00477F3C" w:rsidRPr="00486628" w14:paraId="487C6292" w14:textId="77777777" w:rsidTr="00AC5078">
        <w:tc>
          <w:tcPr>
            <w:tcW w:w="158" w:type="pct"/>
          </w:tcPr>
          <w:p w14:paraId="3109D729" w14:textId="00710BE3" w:rsidR="00477F3C" w:rsidRDefault="00477F3C" w:rsidP="005F7A15">
            <w:pPr>
              <w:jc w:val="center"/>
              <w:rPr>
                <w:rFonts w:cstheme="minorHAnsi"/>
              </w:rPr>
            </w:pPr>
            <w:r>
              <w:rPr>
                <w:rFonts w:cstheme="minorHAnsi"/>
              </w:rPr>
              <w:t>2</w:t>
            </w:r>
            <w:r w:rsidR="00AA645B">
              <w:rPr>
                <w:rFonts w:cstheme="minorHAnsi"/>
              </w:rPr>
              <w:t>6</w:t>
            </w:r>
          </w:p>
        </w:tc>
        <w:tc>
          <w:tcPr>
            <w:tcW w:w="698" w:type="pct"/>
          </w:tcPr>
          <w:p w14:paraId="6190044D" w14:textId="133CDB9E" w:rsidR="00477F3C" w:rsidRDefault="00477F3C" w:rsidP="0073232F">
            <w:pPr>
              <w:rPr>
                <w:rFonts w:ascii="Calibri" w:hAnsi="Calibri" w:cs="Calibri"/>
              </w:rPr>
            </w:pPr>
            <w:r w:rsidRPr="00477F3C">
              <w:rPr>
                <w:rFonts w:ascii="Calibri" w:hAnsi="Calibri" w:cs="Calibri"/>
              </w:rPr>
              <w:t>KGS Restrukturyzacje</w:t>
            </w:r>
          </w:p>
        </w:tc>
        <w:tc>
          <w:tcPr>
            <w:tcW w:w="591" w:type="pct"/>
          </w:tcPr>
          <w:p w14:paraId="6D01F7F4" w14:textId="2FCDF8AD" w:rsidR="00477F3C" w:rsidRPr="003E2E31" w:rsidRDefault="00647F39" w:rsidP="003B3876">
            <w:pPr>
              <w:jc w:val="both"/>
              <w:rPr>
                <w:rFonts w:ascii="Calibri" w:hAnsi="Calibri" w:cs="Calibri"/>
              </w:rPr>
            </w:pPr>
            <w:r w:rsidRPr="00647F39">
              <w:rPr>
                <w:rFonts w:ascii="Calibri" w:hAnsi="Calibri" w:cs="Calibri"/>
                <w:b/>
                <w:bCs/>
              </w:rPr>
              <w:t>Art. 1 pkt 12</w:t>
            </w:r>
            <w:r>
              <w:rPr>
                <w:rFonts w:ascii="Calibri" w:hAnsi="Calibri" w:cs="Calibri"/>
              </w:rPr>
              <w:t xml:space="preserve"> (art. </w:t>
            </w:r>
            <w:r w:rsidR="00477F3C" w:rsidRPr="00477F3C">
              <w:rPr>
                <w:rFonts w:ascii="Calibri" w:hAnsi="Calibri" w:cs="Calibri"/>
              </w:rPr>
              <w:t xml:space="preserve">491⁷ ust. 3 </w:t>
            </w:r>
            <w:r>
              <w:rPr>
                <w:rFonts w:ascii="Calibri" w:hAnsi="Calibri" w:cs="Calibri"/>
              </w:rPr>
              <w:t>P.U.)</w:t>
            </w:r>
          </w:p>
        </w:tc>
        <w:tc>
          <w:tcPr>
            <w:tcW w:w="1418" w:type="pct"/>
          </w:tcPr>
          <w:p w14:paraId="310D268E" w14:textId="77777777" w:rsidR="00477F3C" w:rsidRPr="00462965" w:rsidRDefault="00477F3C" w:rsidP="00462965">
            <w:pPr>
              <w:jc w:val="both"/>
              <w:rPr>
                <w:rFonts w:cstheme="minorHAnsi"/>
              </w:rPr>
            </w:pPr>
            <w:r w:rsidRPr="00462965">
              <w:rPr>
                <w:rFonts w:cstheme="minorHAnsi"/>
              </w:rPr>
              <w:t>Użycie zwrotu „w szczególności” w przepisie warunkowo dopuszczającym możliwość przyznania dalszej zaliczki oznacza, że nieruchomość została wskazana przykładowo, a nie enumeratywnie. Zatem, jak należy rozumieć już na poziomie wykładni językowej przepis nie wyklucza przyznania zaliczki także w innych przypadkach znacznego rozmiaru lub skomplikowania masy upadłości.</w:t>
            </w:r>
          </w:p>
          <w:p w14:paraId="608CE382" w14:textId="77777777" w:rsidR="00477F3C" w:rsidRPr="00462965" w:rsidRDefault="00477F3C" w:rsidP="00462965">
            <w:pPr>
              <w:jc w:val="both"/>
              <w:rPr>
                <w:rFonts w:cstheme="minorHAnsi"/>
              </w:rPr>
            </w:pPr>
            <w:r w:rsidRPr="00462965">
              <w:rPr>
                <w:rFonts w:cstheme="minorHAnsi"/>
              </w:rPr>
              <w:t xml:space="preserve">Jest to o tyle istotne, że w praktyce syndyka takie składniki majątkowe jak ruchomości </w:t>
            </w:r>
            <w:r w:rsidRPr="00462965">
              <w:rPr>
                <w:rFonts w:cstheme="minorHAnsi"/>
              </w:rPr>
              <w:lastRenderedPageBreak/>
              <w:t>znacznej wartości (np. maszyny, pojazdy, kolekcje), udziały lub akcje w spółkach (zwłaszcza wymagające wyceny, audytu, analizy korporacyjnej) czy wierzytelności sporne lub trudne do wyegzekwowania często generują nie mniejsze, a niekiedy większe koszty niż pojedyncza nieruchomość (opinie biegłych, koszty doradców, postępowania sądowe, zabezpieczenia majątku).</w:t>
            </w:r>
          </w:p>
          <w:p w14:paraId="1800EED6" w14:textId="77777777" w:rsidR="00477F3C" w:rsidRPr="00462965" w:rsidRDefault="00477F3C" w:rsidP="00462965">
            <w:pPr>
              <w:jc w:val="both"/>
              <w:rPr>
                <w:rFonts w:cstheme="minorHAnsi"/>
              </w:rPr>
            </w:pPr>
            <w:r w:rsidRPr="00462965">
              <w:rPr>
                <w:rFonts w:cstheme="minorHAnsi"/>
              </w:rPr>
              <w:t>Niemniej zważywszy na sposób sformułowania przepisu, biorąc pod uwagę doświadczenia z praktycznego stosowania podobnego rodzaju instytucji, istnieje realne ryzyko, że sądy będą interpretować przepis zawężająco, traktując nieruchomość jako „modelowy” przypadek. W konsekwencji syndycy będą mieli trudności z uzyskaniem zaliczki w sprawach, w których masa nie obejmuje nieruchomości.</w:t>
            </w:r>
          </w:p>
          <w:p w14:paraId="7F9240C0" w14:textId="57B3772A" w:rsidR="00477F3C" w:rsidRPr="00462965" w:rsidRDefault="00477F3C" w:rsidP="00462965">
            <w:pPr>
              <w:jc w:val="both"/>
              <w:rPr>
                <w:rFonts w:cstheme="minorHAnsi"/>
              </w:rPr>
            </w:pPr>
            <w:r w:rsidRPr="00462965">
              <w:rPr>
                <w:rFonts w:cstheme="minorHAnsi"/>
              </w:rPr>
              <w:t xml:space="preserve">W ocenie opiniującego obecne brzmienie przepisu nie daje syndykowi wystarczającej pewności prawa. Z perspektywy praktyki postępowania upadłościowego należy poddać pod rozwagę doprecyzowanie przepisu, np. przez </w:t>
            </w:r>
            <w:r w:rsidR="00647F39" w:rsidRPr="00462965">
              <w:rPr>
                <w:rFonts w:cstheme="minorHAnsi"/>
              </w:rPr>
              <w:t>wskazanie:</w:t>
            </w:r>
            <w:r w:rsidRPr="00462965">
              <w:rPr>
                <w:rFonts w:cstheme="minorHAnsi"/>
              </w:rPr>
              <w:t xml:space="preserve"> „…w szczególności, gdy w skład masy upadłości wchodzi nieruchomość lub inne składniki majątkowe wymagające wyceny, zarządzania lub zbycia”.</w:t>
            </w:r>
          </w:p>
        </w:tc>
        <w:tc>
          <w:tcPr>
            <w:tcW w:w="1027" w:type="pct"/>
          </w:tcPr>
          <w:p w14:paraId="28CB025C" w14:textId="77777777" w:rsidR="00477F3C" w:rsidRPr="00CC7F2E" w:rsidRDefault="00477F3C" w:rsidP="00CC7F2E">
            <w:pPr>
              <w:jc w:val="both"/>
              <w:rPr>
                <w:rFonts w:ascii="Calibri" w:hAnsi="Calibri" w:cs="Calibri"/>
              </w:rPr>
            </w:pPr>
          </w:p>
        </w:tc>
        <w:tc>
          <w:tcPr>
            <w:tcW w:w="1108" w:type="pct"/>
          </w:tcPr>
          <w:p w14:paraId="19F07644" w14:textId="77777777" w:rsidR="00477F3C" w:rsidRPr="007368C7" w:rsidRDefault="008D056A" w:rsidP="00BC45D4">
            <w:pPr>
              <w:jc w:val="both"/>
              <w:rPr>
                <w:rFonts w:cstheme="minorHAnsi"/>
                <w:b/>
                <w:bCs/>
              </w:rPr>
            </w:pPr>
            <w:r w:rsidRPr="007368C7">
              <w:rPr>
                <w:rFonts w:cstheme="minorHAnsi"/>
                <w:b/>
                <w:bCs/>
              </w:rPr>
              <w:t xml:space="preserve">Uwaga nieuwzględniona </w:t>
            </w:r>
          </w:p>
          <w:p w14:paraId="0F263999" w14:textId="426DFE8A" w:rsidR="000F64E0" w:rsidRPr="007368C7" w:rsidRDefault="000F64E0" w:rsidP="00BC45D4">
            <w:pPr>
              <w:jc w:val="both"/>
              <w:rPr>
                <w:rFonts w:cstheme="minorHAnsi"/>
              </w:rPr>
            </w:pPr>
            <w:r w:rsidRPr="007368C7">
              <w:rPr>
                <w:rFonts w:cstheme="minorHAnsi"/>
              </w:rPr>
              <w:t>Sformułowanie w szczególności oznacza, że katalog jest otwarty, a wliczanie przekładkowe. Sąd przyznając zaliczkę ocenia zwiększone koszty postępowania wynikające ze znacznego rozmiaru masy upadłości.</w:t>
            </w:r>
          </w:p>
        </w:tc>
      </w:tr>
      <w:tr w:rsidR="00477F3C" w:rsidRPr="00486628" w14:paraId="1C3026C6" w14:textId="77777777" w:rsidTr="00AC5078">
        <w:tc>
          <w:tcPr>
            <w:tcW w:w="158" w:type="pct"/>
          </w:tcPr>
          <w:p w14:paraId="2F4D0172" w14:textId="6E3C8153" w:rsidR="00477F3C" w:rsidRDefault="00477F3C" w:rsidP="005F7A15">
            <w:pPr>
              <w:jc w:val="center"/>
              <w:rPr>
                <w:rFonts w:cstheme="minorHAnsi"/>
              </w:rPr>
            </w:pPr>
            <w:r>
              <w:rPr>
                <w:rFonts w:cstheme="minorHAnsi"/>
              </w:rPr>
              <w:t>2</w:t>
            </w:r>
            <w:r w:rsidR="00AA645B">
              <w:rPr>
                <w:rFonts w:cstheme="minorHAnsi"/>
              </w:rPr>
              <w:t>7</w:t>
            </w:r>
          </w:p>
        </w:tc>
        <w:tc>
          <w:tcPr>
            <w:tcW w:w="698" w:type="pct"/>
          </w:tcPr>
          <w:p w14:paraId="383D3E2B" w14:textId="57A89D8E" w:rsidR="00477F3C" w:rsidRPr="00477F3C" w:rsidRDefault="00477F3C" w:rsidP="0073232F">
            <w:pPr>
              <w:rPr>
                <w:rFonts w:ascii="Calibri" w:hAnsi="Calibri" w:cs="Calibri"/>
              </w:rPr>
            </w:pPr>
            <w:r w:rsidRPr="00477F3C">
              <w:rPr>
                <w:rFonts w:ascii="Calibri" w:hAnsi="Calibri" w:cs="Calibri"/>
              </w:rPr>
              <w:t>KGS Restrukturyzacje</w:t>
            </w:r>
          </w:p>
        </w:tc>
        <w:tc>
          <w:tcPr>
            <w:tcW w:w="591" w:type="pct"/>
          </w:tcPr>
          <w:p w14:paraId="2086C39A" w14:textId="58F9574A" w:rsidR="00477F3C" w:rsidRPr="002B3340" w:rsidRDefault="00047D6B" w:rsidP="003B3876">
            <w:pPr>
              <w:jc w:val="both"/>
              <w:rPr>
                <w:rFonts w:ascii="Calibri" w:hAnsi="Calibri" w:cs="Calibri"/>
                <w:lang w:val="en-GB"/>
              </w:rPr>
            </w:pPr>
            <w:r w:rsidRPr="002B3340">
              <w:rPr>
                <w:rFonts w:ascii="Calibri" w:hAnsi="Calibri" w:cs="Calibri"/>
                <w:b/>
                <w:bCs/>
                <w:lang w:val="en-GB"/>
              </w:rPr>
              <w:t>Art. 1 pkt. 13</w:t>
            </w:r>
            <w:r w:rsidRPr="002B3340">
              <w:rPr>
                <w:rFonts w:ascii="Calibri" w:hAnsi="Calibri" w:cs="Calibri"/>
                <w:lang w:val="en-GB"/>
              </w:rPr>
              <w:t xml:space="preserve"> (a</w:t>
            </w:r>
            <w:r w:rsidR="00477F3C" w:rsidRPr="002B3340">
              <w:rPr>
                <w:rFonts w:ascii="Calibri" w:hAnsi="Calibri" w:cs="Calibri"/>
                <w:lang w:val="en-GB"/>
              </w:rPr>
              <w:t>rt. 491</w:t>
            </w:r>
            <w:r w:rsidR="00477F3C" w:rsidRPr="002B3340">
              <w:rPr>
                <w:rFonts w:ascii="Calibri" w:hAnsi="Calibri" w:cs="Calibri"/>
                <w:vertAlign w:val="superscript"/>
                <w:lang w:val="en-GB"/>
              </w:rPr>
              <w:t xml:space="preserve">9 </w:t>
            </w:r>
            <w:r w:rsidR="00477F3C" w:rsidRPr="002B3340">
              <w:rPr>
                <w:rFonts w:ascii="Calibri" w:hAnsi="Calibri" w:cs="Calibri"/>
                <w:lang w:val="en-GB"/>
              </w:rPr>
              <w:t>P.U.</w:t>
            </w:r>
            <w:r w:rsidRPr="002B3340">
              <w:rPr>
                <w:rFonts w:ascii="Calibri" w:hAnsi="Calibri" w:cs="Calibri"/>
                <w:lang w:val="en-GB"/>
              </w:rPr>
              <w:t>)</w:t>
            </w:r>
            <w:r w:rsidR="00477F3C" w:rsidRPr="002B3340">
              <w:rPr>
                <w:rFonts w:ascii="Calibri" w:hAnsi="Calibri" w:cs="Calibri"/>
                <w:lang w:val="en-GB"/>
              </w:rPr>
              <w:t xml:space="preserve"> </w:t>
            </w:r>
          </w:p>
        </w:tc>
        <w:tc>
          <w:tcPr>
            <w:tcW w:w="1418" w:type="pct"/>
          </w:tcPr>
          <w:p w14:paraId="38E8C0B5" w14:textId="77777777" w:rsidR="00080B72" w:rsidRPr="00462965" w:rsidRDefault="00080B72" w:rsidP="00462965">
            <w:pPr>
              <w:pStyle w:val="Default"/>
              <w:jc w:val="both"/>
              <w:rPr>
                <w:rFonts w:asciiTheme="minorHAnsi" w:hAnsiTheme="minorHAnsi" w:cstheme="minorHAnsi"/>
                <w:sz w:val="22"/>
                <w:szCs w:val="22"/>
              </w:rPr>
            </w:pPr>
            <w:r w:rsidRPr="00462965">
              <w:rPr>
                <w:rFonts w:asciiTheme="minorHAnsi" w:hAnsiTheme="minorHAnsi" w:cstheme="minorHAnsi"/>
                <w:sz w:val="22"/>
                <w:szCs w:val="22"/>
              </w:rPr>
              <w:t xml:space="preserve">Projektowany model wynagrodzenia syndyka oparty na sztywnym ryczałcie oraz powiązaniu wypłaty wynagrodzenia z końcowym etapem postępowania budzi poważne zastrzeżenia. </w:t>
            </w:r>
          </w:p>
          <w:p w14:paraId="5435AB22" w14:textId="5DDC42F3" w:rsidR="00080B72" w:rsidRPr="00462965" w:rsidRDefault="00080B72" w:rsidP="00462965">
            <w:pPr>
              <w:pStyle w:val="Default"/>
              <w:jc w:val="both"/>
              <w:rPr>
                <w:rFonts w:asciiTheme="minorHAnsi" w:hAnsiTheme="minorHAnsi" w:cstheme="minorHAnsi"/>
                <w:sz w:val="22"/>
                <w:szCs w:val="22"/>
              </w:rPr>
            </w:pPr>
            <w:r w:rsidRPr="00462965">
              <w:rPr>
                <w:rFonts w:asciiTheme="minorHAnsi" w:hAnsiTheme="minorHAnsi" w:cstheme="minorHAnsi"/>
                <w:sz w:val="22"/>
                <w:szCs w:val="22"/>
              </w:rPr>
              <w:lastRenderedPageBreak/>
              <w:t>W szczególności należy wskazać, że ryzyko</w:t>
            </w:r>
            <w:r w:rsidR="00047D6B" w:rsidRPr="00462965">
              <w:rPr>
                <w:rFonts w:asciiTheme="minorHAnsi" w:hAnsiTheme="minorHAnsi" w:cstheme="minorHAnsi"/>
                <w:sz w:val="22"/>
                <w:szCs w:val="22"/>
              </w:rPr>
              <w:t xml:space="preserve"> </w:t>
            </w:r>
            <w:r w:rsidRPr="00462965">
              <w:rPr>
                <w:rFonts w:asciiTheme="minorHAnsi" w:hAnsiTheme="minorHAnsi" w:cstheme="minorHAnsi"/>
                <w:sz w:val="22"/>
                <w:szCs w:val="22"/>
              </w:rPr>
              <w:t xml:space="preserve">osobiste i zawodowe syndyka nie ulega zmniejszeniu, a wynagrodzenie w ograniczonym stopniu odzwierciedla faktyczny nakład pracy w sprawach bardziej złożonych. </w:t>
            </w:r>
          </w:p>
          <w:p w14:paraId="6B5AA851" w14:textId="6601574A" w:rsidR="00080B72" w:rsidRPr="00462965" w:rsidRDefault="00080B72" w:rsidP="00462965">
            <w:pPr>
              <w:pStyle w:val="Default"/>
              <w:pageBreakBefore/>
              <w:jc w:val="both"/>
              <w:rPr>
                <w:rFonts w:asciiTheme="minorHAnsi" w:hAnsiTheme="minorHAnsi" w:cstheme="minorHAnsi"/>
                <w:sz w:val="22"/>
                <w:szCs w:val="22"/>
              </w:rPr>
            </w:pPr>
            <w:r w:rsidRPr="00462965">
              <w:rPr>
                <w:rFonts w:asciiTheme="minorHAnsi" w:hAnsiTheme="minorHAnsi" w:cstheme="minorHAnsi"/>
                <w:sz w:val="22"/>
                <w:szCs w:val="22"/>
              </w:rPr>
              <w:t xml:space="preserve">Jednocześnie zakres odpowiedzialności syndyka pozostaje szeroki, a wynagrodzenie z pewnością nie odzwierciedla zróżnicowanie faktycznego nakładu pracy w poszczególnych sprawach. W praktyce przyjęty model może prowadzić do zniechęcenia doświadczonych syndyków do podejmowania się prowadzenia postępowań konsumenckich, co w dłuższej perspektywie może obniżyć jakość i efektywność całego systemu. </w:t>
            </w:r>
          </w:p>
          <w:p w14:paraId="3D9A9DA7" w14:textId="77777777" w:rsidR="00080B72" w:rsidRPr="00462965" w:rsidRDefault="00080B72" w:rsidP="00462965">
            <w:pPr>
              <w:pStyle w:val="Default"/>
              <w:jc w:val="both"/>
              <w:rPr>
                <w:rFonts w:asciiTheme="minorHAnsi" w:hAnsiTheme="minorHAnsi" w:cstheme="minorHAnsi"/>
                <w:sz w:val="22"/>
                <w:szCs w:val="22"/>
              </w:rPr>
            </w:pPr>
            <w:r w:rsidRPr="00462965">
              <w:rPr>
                <w:rFonts w:asciiTheme="minorHAnsi" w:hAnsiTheme="minorHAnsi" w:cstheme="minorHAnsi"/>
                <w:sz w:val="22"/>
                <w:szCs w:val="22"/>
              </w:rPr>
              <w:t xml:space="preserve">Zgodnie z projektowanymi przepisami syndyk jest uprawniony do pobrania wynagrodzenia dopiero po wydaniu jednego z końcowych postanowień (plan spłaty / umorzenie / umorzenie postępowania). W razie braku środków w masie – wynagrodzenie wypłacane jest ze środków Skarbu Państwa bez postanowienia sądu, na podstawie rachunku syndyka. Kwota wypłacona przez Skarb Państwa staje się kosztem postępowania uwzględnianym w planie spłaty. </w:t>
            </w:r>
          </w:p>
          <w:p w14:paraId="3B77342C" w14:textId="5C7EAB1E" w:rsidR="00080B72" w:rsidRPr="00462965" w:rsidRDefault="00080B72" w:rsidP="00462965">
            <w:pPr>
              <w:pStyle w:val="Default"/>
              <w:jc w:val="both"/>
              <w:rPr>
                <w:rFonts w:asciiTheme="minorHAnsi" w:hAnsiTheme="minorHAnsi" w:cstheme="minorHAnsi"/>
                <w:sz w:val="22"/>
                <w:szCs w:val="22"/>
              </w:rPr>
            </w:pPr>
            <w:r w:rsidRPr="00462965">
              <w:rPr>
                <w:rFonts w:asciiTheme="minorHAnsi" w:hAnsiTheme="minorHAnsi" w:cstheme="minorHAnsi"/>
                <w:sz w:val="22"/>
                <w:szCs w:val="22"/>
              </w:rPr>
              <w:t xml:space="preserve">Projektowany model prowadzi do sytuacji, w której syndyk prowadzi postępowanie przez wiele miesięcy, nierzadko kilka lat, ponosi odpowiedzialność organizacyjną, finansową i zawodową, często finansuje bieżące czynności (korespondencja, archiwizacja, dojazdy, </w:t>
            </w:r>
            <w:r w:rsidRPr="00462965">
              <w:rPr>
                <w:rFonts w:asciiTheme="minorHAnsi" w:hAnsiTheme="minorHAnsi" w:cstheme="minorHAnsi"/>
                <w:sz w:val="22"/>
                <w:szCs w:val="22"/>
              </w:rPr>
              <w:lastRenderedPageBreak/>
              <w:t>obsługa kancelaryjna) i jednocześnie nie ma żadnej możliwości pobrania wynagrodzenia</w:t>
            </w:r>
            <w:r w:rsidRPr="00462965">
              <w:rPr>
                <w:rFonts w:asciiTheme="minorHAnsi" w:hAnsiTheme="minorHAnsi" w:cstheme="minorHAnsi"/>
                <w:b/>
                <w:bCs/>
                <w:sz w:val="22"/>
                <w:szCs w:val="22"/>
              </w:rPr>
              <w:t xml:space="preserve">, </w:t>
            </w:r>
            <w:r w:rsidRPr="00462965">
              <w:rPr>
                <w:rFonts w:asciiTheme="minorHAnsi" w:hAnsiTheme="minorHAnsi" w:cstheme="minorHAnsi"/>
                <w:sz w:val="22"/>
                <w:szCs w:val="22"/>
              </w:rPr>
              <w:t>nawet gdy: środki znajdują się w masie, wysokość wynagrodzenia jest z góry określona ustawowo i brak jest sporu, co do prawidłowości działań syndyka. W efekcie syndyk de facto kredytuje masę upadłości i końcowo Skarb Państwa</w:t>
            </w:r>
            <w:r w:rsidRPr="00462965">
              <w:rPr>
                <w:rFonts w:asciiTheme="minorHAnsi" w:hAnsiTheme="minorHAnsi" w:cstheme="minorHAnsi"/>
                <w:b/>
                <w:bCs/>
                <w:sz w:val="22"/>
                <w:szCs w:val="22"/>
              </w:rPr>
              <w:t xml:space="preserve">, </w:t>
            </w:r>
            <w:r w:rsidRPr="00462965">
              <w:rPr>
                <w:rFonts w:asciiTheme="minorHAnsi" w:hAnsiTheme="minorHAnsi" w:cstheme="minorHAnsi"/>
                <w:sz w:val="22"/>
                <w:szCs w:val="22"/>
              </w:rPr>
              <w:t xml:space="preserve">co pozostaje w sprzeczności z zasadą racjonalnego rozkładu ryzyka w postępowaniu upadłościowym. </w:t>
            </w:r>
          </w:p>
          <w:p w14:paraId="671940FE" w14:textId="77777777" w:rsidR="00080B72" w:rsidRPr="00462965" w:rsidRDefault="00080B72" w:rsidP="00462965">
            <w:pPr>
              <w:pStyle w:val="Default"/>
              <w:jc w:val="both"/>
              <w:rPr>
                <w:rFonts w:asciiTheme="minorHAnsi" w:hAnsiTheme="minorHAnsi" w:cstheme="minorHAnsi"/>
                <w:sz w:val="22"/>
                <w:szCs w:val="22"/>
              </w:rPr>
            </w:pPr>
            <w:r w:rsidRPr="00462965">
              <w:rPr>
                <w:rFonts w:asciiTheme="minorHAnsi" w:hAnsiTheme="minorHAnsi" w:cstheme="minorHAnsi"/>
                <w:sz w:val="22"/>
                <w:szCs w:val="22"/>
              </w:rPr>
              <w:t>W tym kontekście szczególną uwagę musi zwracać fakt, że projekt ustawy dodatkowo zakłada, że część kosztów, które dotychczas były pokrywane z masy lub z zaliczek przyznawanych przez sąd będzie w praktyce pokrywana z wynagrodzenia syndyka</w:t>
            </w:r>
            <w:r w:rsidRPr="00462965">
              <w:rPr>
                <w:rFonts w:asciiTheme="minorHAnsi" w:hAnsiTheme="minorHAnsi" w:cstheme="minorHAnsi"/>
                <w:b/>
                <w:bCs/>
                <w:sz w:val="22"/>
                <w:szCs w:val="22"/>
              </w:rPr>
              <w:t xml:space="preserve">. </w:t>
            </w:r>
          </w:p>
          <w:p w14:paraId="4EDF3547" w14:textId="77777777" w:rsidR="00080B72" w:rsidRPr="00462965" w:rsidRDefault="00080B72" w:rsidP="00462965">
            <w:pPr>
              <w:pStyle w:val="Default"/>
              <w:jc w:val="both"/>
              <w:rPr>
                <w:rFonts w:asciiTheme="minorHAnsi" w:hAnsiTheme="minorHAnsi" w:cstheme="minorHAnsi"/>
                <w:sz w:val="22"/>
                <w:szCs w:val="22"/>
              </w:rPr>
            </w:pPr>
            <w:r w:rsidRPr="00462965">
              <w:rPr>
                <w:rFonts w:asciiTheme="minorHAnsi" w:hAnsiTheme="minorHAnsi" w:cstheme="minorHAnsi"/>
                <w:sz w:val="22"/>
                <w:szCs w:val="22"/>
              </w:rPr>
              <w:t xml:space="preserve">Tym bardziej uzasadnione jest oczekiwanie wprowadzenia możliwości wcześniejszej wypłaty wynagrodzenia w sytuacjach nie budzących wątpliwości, lub choćby części tego wynagrodzenia. </w:t>
            </w:r>
          </w:p>
          <w:p w14:paraId="640BB8F0" w14:textId="77777777" w:rsidR="00080B72" w:rsidRPr="00462965" w:rsidRDefault="00080B72" w:rsidP="00462965">
            <w:pPr>
              <w:pStyle w:val="Default"/>
              <w:jc w:val="both"/>
              <w:rPr>
                <w:rFonts w:asciiTheme="minorHAnsi" w:hAnsiTheme="minorHAnsi" w:cstheme="minorHAnsi"/>
                <w:sz w:val="22"/>
                <w:szCs w:val="22"/>
              </w:rPr>
            </w:pPr>
            <w:r w:rsidRPr="00462965">
              <w:rPr>
                <w:rFonts w:asciiTheme="minorHAnsi" w:hAnsiTheme="minorHAnsi" w:cstheme="minorHAnsi"/>
                <w:sz w:val="22"/>
                <w:szCs w:val="22"/>
              </w:rPr>
              <w:t xml:space="preserve">Biorąc pod uwagę argumenty natury systemowej należy wskazać, że syndyk, zarządca czy nadzorca sądowy co do zasady mogą pobierać zaliczki czy uzyskiwać częściowe wynagrodzenie w toku postępowania. </w:t>
            </w:r>
          </w:p>
          <w:p w14:paraId="30C2A85A" w14:textId="77777777" w:rsidR="00080B72" w:rsidRPr="00462965" w:rsidRDefault="00080B72" w:rsidP="00462965">
            <w:pPr>
              <w:pStyle w:val="Default"/>
              <w:jc w:val="both"/>
              <w:rPr>
                <w:rFonts w:asciiTheme="minorHAnsi" w:hAnsiTheme="minorHAnsi" w:cstheme="minorHAnsi"/>
                <w:sz w:val="22"/>
                <w:szCs w:val="22"/>
              </w:rPr>
            </w:pPr>
            <w:r w:rsidRPr="00462965">
              <w:rPr>
                <w:rFonts w:asciiTheme="minorHAnsi" w:hAnsiTheme="minorHAnsi" w:cstheme="minorHAnsi"/>
                <w:sz w:val="22"/>
                <w:szCs w:val="22"/>
              </w:rPr>
              <w:t xml:space="preserve">Brak analogicznego rozwiązania w postępowaniu konsumenckim obniża atrakcyjność pełnienia funkcji syndyka w tych postępowaniach, grozi odpływem </w:t>
            </w:r>
            <w:r w:rsidRPr="00462965">
              <w:rPr>
                <w:rFonts w:asciiTheme="minorHAnsi" w:hAnsiTheme="minorHAnsi" w:cstheme="minorHAnsi"/>
                <w:sz w:val="22"/>
                <w:szCs w:val="22"/>
              </w:rPr>
              <w:lastRenderedPageBreak/>
              <w:t xml:space="preserve">doświadczonych doradców i może wprost przełożyć się na obniżenie jakości postępowań. </w:t>
            </w:r>
          </w:p>
          <w:p w14:paraId="36C16461" w14:textId="77777777" w:rsidR="00080B72" w:rsidRPr="00462965" w:rsidRDefault="00080B72" w:rsidP="00462965">
            <w:pPr>
              <w:pStyle w:val="Default"/>
              <w:jc w:val="both"/>
              <w:rPr>
                <w:rFonts w:asciiTheme="minorHAnsi" w:hAnsiTheme="minorHAnsi" w:cstheme="minorHAnsi"/>
                <w:sz w:val="22"/>
                <w:szCs w:val="22"/>
              </w:rPr>
            </w:pPr>
            <w:r w:rsidRPr="00462965">
              <w:rPr>
                <w:rFonts w:asciiTheme="minorHAnsi" w:hAnsiTheme="minorHAnsi" w:cstheme="minorHAnsi"/>
                <w:sz w:val="22"/>
                <w:szCs w:val="22"/>
              </w:rPr>
              <w:t xml:space="preserve">Z perspektywy syndyka uzasadnione byłoby zatem wprowadzenie przepisu umożliwiającego wypłatę zaliczki na poczet wynagrodzenia. Ewentualnie wprowadzenie regulacji umożliwiającej pobranie wynagrodzenia w zasadniczej części, jeżeli środki znajdują się w masie, wysokość wynagrodzenia wynika wprost z ustawy, a jednocześnie brak jest przesłanek do jego obniżenia. </w:t>
            </w:r>
          </w:p>
          <w:p w14:paraId="6D0AA576" w14:textId="3434B55B" w:rsidR="00477F3C" w:rsidRPr="00462965" w:rsidRDefault="00080B72" w:rsidP="00462965">
            <w:pPr>
              <w:jc w:val="both"/>
              <w:rPr>
                <w:rFonts w:cstheme="minorHAnsi"/>
              </w:rPr>
            </w:pPr>
            <w:r w:rsidRPr="00462965">
              <w:rPr>
                <w:rFonts w:cstheme="minorHAnsi"/>
              </w:rPr>
              <w:t>Alternatywnie należy poddać pod rozwagę możliwość dopuszczenia wypłaty zasadniczej części wynagrodzenia po zakończeniu fazy likwidacyjnej, a przed planem spłaty.</w:t>
            </w:r>
          </w:p>
        </w:tc>
        <w:tc>
          <w:tcPr>
            <w:tcW w:w="1027" w:type="pct"/>
          </w:tcPr>
          <w:p w14:paraId="4C7A9AC0" w14:textId="77777777" w:rsidR="00477F3C" w:rsidRPr="00CC7F2E" w:rsidRDefault="00477F3C" w:rsidP="00CC7F2E">
            <w:pPr>
              <w:jc w:val="both"/>
              <w:rPr>
                <w:rFonts w:ascii="Calibri" w:hAnsi="Calibri" w:cs="Calibri"/>
              </w:rPr>
            </w:pPr>
          </w:p>
        </w:tc>
        <w:tc>
          <w:tcPr>
            <w:tcW w:w="1108" w:type="pct"/>
          </w:tcPr>
          <w:p w14:paraId="14DFB851" w14:textId="77777777" w:rsidR="00477F3C" w:rsidRPr="00C870EE" w:rsidRDefault="008D056A" w:rsidP="00BC45D4">
            <w:pPr>
              <w:jc w:val="both"/>
              <w:rPr>
                <w:rFonts w:cstheme="minorHAnsi"/>
              </w:rPr>
            </w:pPr>
            <w:r w:rsidRPr="00C870EE">
              <w:rPr>
                <w:rFonts w:cstheme="minorHAnsi"/>
              </w:rPr>
              <w:t xml:space="preserve">Uwaga uwzględniona </w:t>
            </w:r>
          </w:p>
          <w:p w14:paraId="4ED79F07" w14:textId="77777777" w:rsidR="00A95626" w:rsidRPr="00C870EE" w:rsidRDefault="00A95626" w:rsidP="00A95626">
            <w:pPr>
              <w:jc w:val="both"/>
              <w:rPr>
                <w:rFonts w:cstheme="minorHAnsi"/>
              </w:rPr>
            </w:pPr>
            <w:r w:rsidRPr="00C870EE">
              <w:rPr>
                <w:rFonts w:cstheme="minorHAnsi"/>
              </w:rPr>
              <w:t xml:space="preserve">Do projektu wprowadzono wentyl bezpieczeństwa w zakresie obniżenia wynagrodzenia (w </w:t>
            </w:r>
            <w:r w:rsidRPr="00C870EE">
              <w:rPr>
                <w:rFonts w:cstheme="minorHAnsi"/>
              </w:rPr>
              <w:lastRenderedPageBreak/>
              <w:t>wyjątkowych sytuacjach) poprzez nadanie ust. 3 nowego brzmienia:</w:t>
            </w:r>
          </w:p>
          <w:p w14:paraId="40FCAC61" w14:textId="2C3AD4D5" w:rsidR="00A95626" w:rsidRPr="00C870EE" w:rsidRDefault="00A95626" w:rsidP="00A95626">
            <w:pPr>
              <w:jc w:val="both"/>
              <w:rPr>
                <w:rFonts w:cstheme="minorHAnsi"/>
              </w:rPr>
            </w:pPr>
            <w:r w:rsidRPr="00C870EE">
              <w:rPr>
                <w:rFonts w:cstheme="minorHAnsi"/>
                <w:i/>
                <w:iCs/>
              </w:rPr>
              <w:t xml:space="preserve">Ust. 3.  </w:t>
            </w:r>
            <w:r w:rsidR="00C870EE" w:rsidRPr="00C870EE">
              <w:rPr>
                <w:rFonts w:cstheme="minorHAnsi"/>
                <w:i/>
                <w:iCs/>
              </w:rPr>
              <w:t>„</w:t>
            </w:r>
            <w:r w:rsidRPr="00C870EE">
              <w:rPr>
                <w:rFonts w:cstheme="minorHAnsi"/>
                <w:i/>
                <w:iCs/>
              </w:rPr>
              <w:t>Jeżeli wysokość wynagrodzenia syndyka, o której mowa w ust. 2 byłaby rażąco wygórowana w stosunku do nakładu jego pracy wynikającego z przebiegu prowadzonego postępowania, w szczególności w razie umorzenia postępowania na wczesnym etapie, sąd może z urzędu obniżyć wynagrodzenie syndyka do wysokości nie niższej niż jedna czwarta przeciętnego wynagrodzenia</w:t>
            </w:r>
            <w:r w:rsidRPr="00C870EE">
              <w:rPr>
                <w:rFonts w:cstheme="minorHAnsi"/>
              </w:rPr>
              <w:t>, o którym mowa w ust. 2.”,</w:t>
            </w:r>
          </w:p>
          <w:p w14:paraId="15BBC5DD" w14:textId="77777777" w:rsidR="00A95626" w:rsidRPr="00C870EE" w:rsidRDefault="00A95626" w:rsidP="00A95626">
            <w:pPr>
              <w:jc w:val="both"/>
              <w:rPr>
                <w:rFonts w:cstheme="minorHAnsi"/>
              </w:rPr>
            </w:pPr>
          </w:p>
          <w:p w14:paraId="72BF4F80" w14:textId="382496D8" w:rsidR="00A95626" w:rsidRPr="00C870EE" w:rsidRDefault="00A95626" w:rsidP="00A95626">
            <w:pPr>
              <w:jc w:val="both"/>
              <w:rPr>
                <w:rFonts w:cstheme="minorHAnsi"/>
              </w:rPr>
            </w:pPr>
            <w:r w:rsidRPr="00C870EE">
              <w:rPr>
                <w:rFonts w:cstheme="minorHAnsi"/>
              </w:rPr>
              <w:t xml:space="preserve">Równocześnie Sąd na wniosek syndyka może podnieść wynagrodzenia </w:t>
            </w:r>
            <w:r w:rsidR="00257016" w:rsidRPr="00C870EE">
              <w:rPr>
                <w:rFonts w:cstheme="minorHAnsi"/>
              </w:rPr>
              <w:t xml:space="preserve">syndyka do czterokrotności kwoty ryczałtu a w szczególnie uzasadnionych przypadkach przyznać je na zasadach ogólnych. </w:t>
            </w:r>
          </w:p>
          <w:p w14:paraId="386DE11A" w14:textId="77777777" w:rsidR="00A95626" w:rsidRPr="00C870EE" w:rsidRDefault="00A95626" w:rsidP="00A95626">
            <w:pPr>
              <w:jc w:val="both"/>
              <w:rPr>
                <w:rFonts w:cstheme="minorHAnsi"/>
              </w:rPr>
            </w:pPr>
          </w:p>
          <w:p w14:paraId="6A617072" w14:textId="77777777" w:rsidR="00A95626" w:rsidRPr="00C870EE" w:rsidRDefault="00A95626" w:rsidP="00A95626">
            <w:pPr>
              <w:jc w:val="both"/>
              <w:rPr>
                <w:rFonts w:cstheme="minorHAnsi"/>
              </w:rPr>
            </w:pPr>
            <w:r w:rsidRPr="00C870EE">
              <w:rPr>
                <w:rFonts w:cstheme="minorHAnsi"/>
              </w:rPr>
              <w:t>Dodatkowo, dodano ust. 3d w brzmieniu:</w:t>
            </w:r>
          </w:p>
          <w:p w14:paraId="11AD443C" w14:textId="0C3C86DC" w:rsidR="00784913" w:rsidRPr="00C870EE" w:rsidRDefault="00C870EE" w:rsidP="00A95626">
            <w:pPr>
              <w:jc w:val="both"/>
              <w:rPr>
                <w:rFonts w:cstheme="minorHAnsi"/>
              </w:rPr>
            </w:pPr>
            <w:r>
              <w:rPr>
                <w:rFonts w:cstheme="minorHAnsi"/>
                <w:i/>
                <w:iCs/>
              </w:rPr>
              <w:t xml:space="preserve">„ </w:t>
            </w:r>
            <w:r w:rsidR="00A95626" w:rsidRPr="00C870EE">
              <w:rPr>
                <w:rFonts w:cstheme="minorHAnsi"/>
                <w:i/>
                <w:iCs/>
              </w:rPr>
              <w:t>Syndyk jest uprawniony do pobrania wynagrodzenia po uprawomocnieniu się postanowienia, o którym mowa w ust. 3c. W przypadku, gdy środki</w:t>
            </w:r>
            <w:r w:rsidR="00A95626" w:rsidRPr="00C870EE">
              <w:rPr>
                <w:rFonts w:cstheme="minorHAnsi"/>
              </w:rPr>
              <w:t xml:space="preserve"> </w:t>
            </w:r>
            <w:r w:rsidR="00A95626" w:rsidRPr="00C870EE">
              <w:rPr>
                <w:rFonts w:cstheme="minorHAnsi"/>
                <w:i/>
                <w:iCs/>
              </w:rPr>
              <w:lastRenderedPageBreak/>
              <w:t>masy upadłości nie pozwalają na pokrycie wynagrodzenia syndyka, w postanowieniu, o którym mowa w ust. 3c, sąd określa wysokość wynagrodzenia, która zostanie wypłacona ze środków Skarbu Państwa.</w:t>
            </w:r>
          </w:p>
          <w:p w14:paraId="168F8D65" w14:textId="100B4B40" w:rsidR="000F64E0" w:rsidRPr="00C870EE" w:rsidRDefault="000F64E0" w:rsidP="00BC45D4">
            <w:pPr>
              <w:jc w:val="both"/>
              <w:rPr>
                <w:rFonts w:cstheme="minorHAnsi"/>
              </w:rPr>
            </w:pPr>
          </w:p>
        </w:tc>
      </w:tr>
      <w:tr w:rsidR="00635955" w:rsidRPr="00486628" w14:paraId="453FE3B2" w14:textId="77777777" w:rsidTr="00AC5078">
        <w:tc>
          <w:tcPr>
            <w:tcW w:w="158" w:type="pct"/>
          </w:tcPr>
          <w:p w14:paraId="69F84C69" w14:textId="2E4B2539" w:rsidR="00635955" w:rsidRDefault="0045069F" w:rsidP="005F7A15">
            <w:pPr>
              <w:jc w:val="center"/>
              <w:rPr>
                <w:rFonts w:cstheme="minorHAnsi"/>
              </w:rPr>
            </w:pPr>
            <w:r>
              <w:rPr>
                <w:rFonts w:cstheme="minorHAnsi"/>
              </w:rPr>
              <w:lastRenderedPageBreak/>
              <w:t>2</w:t>
            </w:r>
            <w:r w:rsidR="00AA645B">
              <w:rPr>
                <w:rFonts w:cstheme="minorHAnsi"/>
              </w:rPr>
              <w:t>8</w:t>
            </w:r>
            <w:r>
              <w:rPr>
                <w:rFonts w:cstheme="minorHAnsi"/>
              </w:rPr>
              <w:t xml:space="preserve"> </w:t>
            </w:r>
          </w:p>
        </w:tc>
        <w:tc>
          <w:tcPr>
            <w:tcW w:w="698" w:type="pct"/>
          </w:tcPr>
          <w:p w14:paraId="75983D12" w14:textId="43505BEC" w:rsidR="00635955" w:rsidRPr="00477F3C" w:rsidRDefault="0045069F" w:rsidP="0073232F">
            <w:pPr>
              <w:rPr>
                <w:rFonts w:ascii="Calibri" w:hAnsi="Calibri" w:cs="Calibri"/>
              </w:rPr>
            </w:pPr>
            <w:r w:rsidRPr="0045069F">
              <w:rPr>
                <w:rFonts w:ascii="Calibri" w:hAnsi="Calibri" w:cs="Calibri"/>
              </w:rPr>
              <w:t>KGS Restrukturyzacje</w:t>
            </w:r>
          </w:p>
        </w:tc>
        <w:tc>
          <w:tcPr>
            <w:tcW w:w="591" w:type="pct"/>
          </w:tcPr>
          <w:p w14:paraId="6C6BCF13" w14:textId="73620D71" w:rsidR="00635955" w:rsidRPr="002B3340" w:rsidRDefault="00FB6BD9" w:rsidP="003B3876">
            <w:pPr>
              <w:jc w:val="both"/>
              <w:rPr>
                <w:rFonts w:ascii="Calibri" w:hAnsi="Calibri" w:cs="Calibri"/>
                <w:lang w:val="en-GB"/>
              </w:rPr>
            </w:pPr>
            <w:r w:rsidRPr="002B3340">
              <w:rPr>
                <w:rFonts w:ascii="Calibri" w:hAnsi="Calibri" w:cs="Calibri"/>
                <w:b/>
                <w:bCs/>
                <w:lang w:val="en-GB"/>
              </w:rPr>
              <w:t>Art. 1 pkt. 4</w:t>
            </w:r>
            <w:r w:rsidRPr="002B3340">
              <w:rPr>
                <w:rFonts w:ascii="Calibri" w:hAnsi="Calibri" w:cs="Calibri"/>
                <w:lang w:val="en-GB"/>
              </w:rPr>
              <w:t xml:space="preserve"> (a</w:t>
            </w:r>
            <w:r w:rsidR="0045069F" w:rsidRPr="002B3340">
              <w:rPr>
                <w:rFonts w:ascii="Calibri" w:hAnsi="Calibri" w:cs="Calibri"/>
                <w:lang w:val="en-GB"/>
              </w:rPr>
              <w:t>rt. 370a P.U.</w:t>
            </w:r>
            <w:r w:rsidRPr="002B3340">
              <w:rPr>
                <w:rFonts w:ascii="Calibri" w:hAnsi="Calibri" w:cs="Calibri"/>
                <w:lang w:val="en-GB"/>
              </w:rPr>
              <w:t>)</w:t>
            </w:r>
            <w:r w:rsidR="0045069F" w:rsidRPr="002B3340">
              <w:rPr>
                <w:rFonts w:ascii="Calibri" w:hAnsi="Calibri" w:cs="Calibri"/>
                <w:lang w:val="en-GB"/>
              </w:rPr>
              <w:t xml:space="preserve"> </w:t>
            </w:r>
          </w:p>
        </w:tc>
        <w:tc>
          <w:tcPr>
            <w:tcW w:w="1418" w:type="pct"/>
          </w:tcPr>
          <w:p w14:paraId="38585E69" w14:textId="77777777" w:rsidR="0045069F" w:rsidRPr="00462965" w:rsidRDefault="0045069F" w:rsidP="00462965">
            <w:pPr>
              <w:pStyle w:val="Default"/>
              <w:jc w:val="both"/>
              <w:rPr>
                <w:rFonts w:asciiTheme="minorHAnsi" w:hAnsiTheme="minorHAnsi" w:cstheme="minorHAnsi"/>
                <w:sz w:val="22"/>
                <w:szCs w:val="22"/>
              </w:rPr>
            </w:pPr>
            <w:r w:rsidRPr="00462965">
              <w:rPr>
                <w:rFonts w:asciiTheme="minorHAnsi" w:hAnsiTheme="minorHAnsi" w:cstheme="minorHAnsi"/>
                <w:sz w:val="22"/>
                <w:szCs w:val="22"/>
              </w:rPr>
              <w:t>Z punktu widzenia ochrony interesów wierzycieli szczególne znaczenie ma wprowadzenie trzymiesięcznego terminu po upływie okresu wykonania planu spłaty wierzycieli, w którym możliwe jest złożenie wniosku o jego uchylenie. Rozwiązanie to ma pełnić funkcję swoistego „okna kontrolnego”, umożliwiającego reakcję na ujawnione nieprawidłowości, co jest rozwiązaniem pożądanym z punktu widzenia ochrony interesów głównych interesariuszy postępowania upadłościowego.</w:t>
            </w:r>
          </w:p>
          <w:p w14:paraId="312AB8C3" w14:textId="77777777" w:rsidR="0045069F" w:rsidRPr="00462965" w:rsidRDefault="0045069F" w:rsidP="00462965">
            <w:pPr>
              <w:pStyle w:val="Default"/>
              <w:jc w:val="both"/>
              <w:rPr>
                <w:rFonts w:asciiTheme="minorHAnsi" w:hAnsiTheme="minorHAnsi" w:cstheme="minorHAnsi"/>
                <w:sz w:val="22"/>
                <w:szCs w:val="22"/>
              </w:rPr>
            </w:pPr>
            <w:r w:rsidRPr="00462965">
              <w:rPr>
                <w:rFonts w:asciiTheme="minorHAnsi" w:hAnsiTheme="minorHAnsi" w:cstheme="minorHAnsi"/>
                <w:sz w:val="22"/>
                <w:szCs w:val="22"/>
              </w:rPr>
              <w:t>Należy wskazać, że konstrukcja ta może generować istotne ryzyka systemowe i praktyczne.</w:t>
            </w:r>
          </w:p>
          <w:p w14:paraId="4EFEE9C7" w14:textId="10F2263C" w:rsidR="0045069F" w:rsidRPr="00462965" w:rsidRDefault="0045069F" w:rsidP="00462965">
            <w:pPr>
              <w:pStyle w:val="Default"/>
              <w:jc w:val="both"/>
              <w:rPr>
                <w:rFonts w:asciiTheme="minorHAnsi" w:hAnsiTheme="minorHAnsi" w:cstheme="minorHAnsi"/>
                <w:sz w:val="22"/>
                <w:szCs w:val="22"/>
              </w:rPr>
            </w:pPr>
            <w:r w:rsidRPr="00462965">
              <w:rPr>
                <w:rFonts w:asciiTheme="minorHAnsi" w:hAnsiTheme="minorHAnsi" w:cstheme="minorHAnsi"/>
                <w:sz w:val="22"/>
                <w:szCs w:val="22"/>
              </w:rPr>
              <w:lastRenderedPageBreak/>
              <w:t xml:space="preserve">Po pierwsze ciężar inicjatywy w zakresie wykrycia i wykazania podstaw do uchylenia planu spłaty został w całości przerzucony na wierzycieli. W praktyce wierzyciele bardzo często nie dysponują bieżącą wiedzą o sytuacji majątkowej i dochodowej upadłego, nie mają dostępu do dokumentów ani instrumentów kontrolnych pozwalających na realną weryfikację prawidłowości wykonania planu spłaty. Dodatkowo osłabienie obowiązków sprawozdawczych upadłego, poprzez usunięcie z tekstu ustawy obligatoryjnej przesłanki uchylenia planu spłaty na skutek </w:t>
            </w:r>
            <w:r w:rsidR="00FB6BD9" w:rsidRPr="00462965">
              <w:rPr>
                <w:rFonts w:asciiTheme="minorHAnsi" w:hAnsiTheme="minorHAnsi" w:cstheme="minorHAnsi"/>
                <w:sz w:val="22"/>
                <w:szCs w:val="22"/>
              </w:rPr>
              <w:t>niezłożenia</w:t>
            </w:r>
            <w:r w:rsidRPr="00462965">
              <w:rPr>
                <w:rFonts w:asciiTheme="minorHAnsi" w:hAnsiTheme="minorHAnsi" w:cstheme="minorHAnsi"/>
                <w:sz w:val="22"/>
                <w:szCs w:val="22"/>
              </w:rPr>
              <w:t xml:space="preserve"> sprawozdania przez upadłego, dodatkowo osłabi wgląd wierzyciela w sytuację upadłego.</w:t>
            </w:r>
          </w:p>
          <w:p w14:paraId="245B6870" w14:textId="77777777" w:rsidR="0045069F" w:rsidRPr="00462965" w:rsidRDefault="0045069F" w:rsidP="00462965">
            <w:pPr>
              <w:pStyle w:val="Default"/>
              <w:jc w:val="both"/>
              <w:rPr>
                <w:rFonts w:asciiTheme="minorHAnsi" w:hAnsiTheme="minorHAnsi" w:cstheme="minorHAnsi"/>
                <w:sz w:val="22"/>
                <w:szCs w:val="22"/>
              </w:rPr>
            </w:pPr>
            <w:r w:rsidRPr="00462965">
              <w:rPr>
                <w:rFonts w:asciiTheme="minorHAnsi" w:hAnsiTheme="minorHAnsi" w:cstheme="minorHAnsi"/>
                <w:sz w:val="22"/>
                <w:szCs w:val="22"/>
              </w:rPr>
              <w:t xml:space="preserve">Po drugie, trzymiesięczny okres na złożenie wniosku o uchylenie planu spłaty może w praktyce prowadzić do instrumentalnego wykorzystywania tego mechanizmu. W szczególności istnieje ryzyko składania wniosków o uchylenie planu spłaty opartych na nieprecyzyjnych lub wątpliwych twierdzeniach, co może skutkować przedłużaniem postępowania i generowaniem dodatkowych kosztów, bez realnych podstaw merytorycznych. Brak jednolitych i precyzyjnych wymogów jakim powinien odpowiadać wniosek wierzyciela może prowadzić do zwiększenia stanu niepewności prawnej i składania wniosków „zaporowych” w szczególności tam, gdzie mamy do czynienia z </w:t>
            </w:r>
            <w:r w:rsidRPr="00462965">
              <w:rPr>
                <w:rFonts w:asciiTheme="minorHAnsi" w:hAnsiTheme="minorHAnsi" w:cstheme="minorHAnsi"/>
                <w:sz w:val="22"/>
                <w:szCs w:val="22"/>
              </w:rPr>
              <w:lastRenderedPageBreak/>
              <w:t>wierzycielami masowymi takimi jak instytucje finansowe. Spowoduje to przerzucenie aktualnie obowiązującego mechanizmu kontroli wykonania planu spłaty, na etap weryfikacji podstaw do jego uchylenia.</w:t>
            </w:r>
          </w:p>
          <w:p w14:paraId="61C24ECD" w14:textId="77777777" w:rsidR="0045069F" w:rsidRPr="00462965" w:rsidRDefault="0045069F" w:rsidP="00462965">
            <w:pPr>
              <w:pStyle w:val="Default"/>
              <w:jc w:val="both"/>
              <w:rPr>
                <w:rFonts w:asciiTheme="minorHAnsi" w:hAnsiTheme="minorHAnsi" w:cstheme="minorHAnsi"/>
                <w:sz w:val="22"/>
                <w:szCs w:val="22"/>
              </w:rPr>
            </w:pPr>
            <w:r w:rsidRPr="00462965">
              <w:rPr>
                <w:rFonts w:asciiTheme="minorHAnsi" w:hAnsiTheme="minorHAnsi" w:cstheme="minorHAnsi"/>
                <w:sz w:val="22"/>
                <w:szCs w:val="22"/>
              </w:rPr>
              <w:t>Po trzecie, z perspektywy bezpieczeństwa obrotu prawnego problematyczne jest to, że ewentualne uchylenie planu spłaty w tym okresie następuje już po formalnym upływie terminu do wykonania wszystkich obowiązków przez upadłego. Może to prowadzić do trudnych do odwrócenia skutków faktycznych i finansowych, w szczególności w sytuacji, gdy upadły podjął już decyzje majątkowe w przekonaniu o definitywnym zakończeniu postępowania.</w:t>
            </w:r>
          </w:p>
          <w:p w14:paraId="7655FE90" w14:textId="77777777" w:rsidR="0045069F" w:rsidRPr="00462965" w:rsidRDefault="0045069F" w:rsidP="00462965">
            <w:pPr>
              <w:pStyle w:val="Default"/>
              <w:jc w:val="both"/>
              <w:rPr>
                <w:rFonts w:asciiTheme="minorHAnsi" w:hAnsiTheme="minorHAnsi" w:cstheme="minorHAnsi"/>
                <w:sz w:val="22"/>
                <w:szCs w:val="22"/>
              </w:rPr>
            </w:pPr>
            <w:r w:rsidRPr="00462965">
              <w:rPr>
                <w:rFonts w:asciiTheme="minorHAnsi" w:hAnsiTheme="minorHAnsi" w:cstheme="minorHAnsi"/>
                <w:sz w:val="22"/>
                <w:szCs w:val="22"/>
              </w:rPr>
              <w:t>Po czwarte, za nieprecyzyjne można uznać to, jakie skutki odniesie złożenie wniosku przez wierzyciela w trzymiesięcznym, ustawowym terminie, jeśli wniosek wierzyciela nie zostanie w tym terminie rozpoznany. Brak jest także terminu, choćby instrukcyjnego, na rozpoznanie wniosku wierzyciela, co może prowadzić do znacznego odłożenia w czasie skutku w postaci definitywnego zakończenia postępowania i umorzenia zobowiązań.</w:t>
            </w:r>
          </w:p>
          <w:p w14:paraId="5C13D053" w14:textId="77777777" w:rsidR="0045069F" w:rsidRPr="00462965" w:rsidRDefault="0045069F" w:rsidP="00462965">
            <w:pPr>
              <w:pStyle w:val="Default"/>
              <w:jc w:val="both"/>
              <w:rPr>
                <w:rFonts w:asciiTheme="minorHAnsi" w:hAnsiTheme="minorHAnsi" w:cstheme="minorHAnsi"/>
                <w:sz w:val="22"/>
                <w:szCs w:val="22"/>
              </w:rPr>
            </w:pPr>
            <w:r w:rsidRPr="00462965">
              <w:rPr>
                <w:rFonts w:asciiTheme="minorHAnsi" w:hAnsiTheme="minorHAnsi" w:cstheme="minorHAnsi"/>
                <w:sz w:val="22"/>
                <w:szCs w:val="22"/>
              </w:rPr>
              <w:t xml:space="preserve">Z powyższych względów należy stwierdzić, że wprowadzenie trzymiesięcznego okresu na złożenie wniosku o uchylenie planu spłaty, w obecnym kształcie, osłabia przejrzystość i stabilność projektowanego modelu automatycznego umorzenia zobowiązań. Z </w:t>
            </w:r>
            <w:r w:rsidRPr="00462965">
              <w:rPr>
                <w:rFonts w:asciiTheme="minorHAnsi" w:hAnsiTheme="minorHAnsi" w:cstheme="minorHAnsi"/>
                <w:sz w:val="22"/>
                <w:szCs w:val="22"/>
              </w:rPr>
              <w:lastRenderedPageBreak/>
              <w:t>perspektywy syndyka rozwiązanie to wymaga doprecyzowania.</w:t>
            </w:r>
          </w:p>
          <w:p w14:paraId="7EF40FB3" w14:textId="7F2BDD49" w:rsidR="00635955" w:rsidRPr="00462965" w:rsidRDefault="0045069F" w:rsidP="00462965">
            <w:pPr>
              <w:pStyle w:val="Default"/>
              <w:jc w:val="both"/>
              <w:rPr>
                <w:rFonts w:asciiTheme="minorHAnsi" w:hAnsiTheme="minorHAnsi" w:cstheme="minorHAnsi"/>
                <w:sz w:val="22"/>
                <w:szCs w:val="22"/>
              </w:rPr>
            </w:pPr>
            <w:r w:rsidRPr="00462965">
              <w:rPr>
                <w:rFonts w:asciiTheme="minorHAnsi" w:hAnsiTheme="minorHAnsi" w:cstheme="minorHAnsi"/>
                <w:sz w:val="22"/>
                <w:szCs w:val="22"/>
              </w:rPr>
              <w:t>W praktyce może to prowadzić do zwiększenia liczby sporów następczych, w tym prób kwestionowania skutku umorzenia zobowiązań już po formalnym zakończeniu postępowania.</w:t>
            </w:r>
          </w:p>
        </w:tc>
        <w:tc>
          <w:tcPr>
            <w:tcW w:w="1027" w:type="pct"/>
          </w:tcPr>
          <w:p w14:paraId="740B3358" w14:textId="77777777" w:rsidR="00635955" w:rsidRPr="00CC7F2E" w:rsidRDefault="00635955" w:rsidP="00CC7F2E">
            <w:pPr>
              <w:jc w:val="both"/>
              <w:rPr>
                <w:rFonts w:ascii="Calibri" w:hAnsi="Calibri" w:cs="Calibri"/>
              </w:rPr>
            </w:pPr>
          </w:p>
        </w:tc>
        <w:tc>
          <w:tcPr>
            <w:tcW w:w="1108" w:type="pct"/>
          </w:tcPr>
          <w:p w14:paraId="568815DD" w14:textId="77777777" w:rsidR="00635955" w:rsidRPr="007368C7" w:rsidRDefault="001532FD" w:rsidP="00BC45D4">
            <w:pPr>
              <w:jc w:val="both"/>
              <w:rPr>
                <w:rFonts w:cstheme="minorHAnsi"/>
                <w:b/>
                <w:bCs/>
              </w:rPr>
            </w:pPr>
            <w:r w:rsidRPr="007368C7">
              <w:rPr>
                <w:rFonts w:cstheme="minorHAnsi"/>
                <w:b/>
                <w:bCs/>
              </w:rPr>
              <w:t>Uwaga nieuwzględniona</w:t>
            </w:r>
          </w:p>
          <w:p w14:paraId="6CBDB7C5" w14:textId="6C43CF58" w:rsidR="001532FD" w:rsidRPr="007368C7" w:rsidRDefault="001145B5" w:rsidP="00BC45D4">
            <w:pPr>
              <w:jc w:val="both"/>
              <w:rPr>
                <w:rFonts w:cstheme="minorHAnsi"/>
              </w:rPr>
            </w:pPr>
            <w:r w:rsidRPr="007368C7">
              <w:rPr>
                <w:rFonts w:cstheme="minorHAnsi"/>
              </w:rPr>
              <w:t xml:space="preserve">Plan spłaty wierzycieli realizuje przede wszystkim prywatny interes majątkowy wierzycieli, tj. zmierza do zaspokojenia przysługujących im roszczeń, wcześniej ustalonych co do zasady i wysokości przez sąd upadłościowy. Pierwiastek publiczny rozumiany jako interes ogólnospołeczny na tym etapie postępowania nie pełni funkcji wiodącej. W związku z tym nadzór państwa nad prawidłowością wykonywania planu spłaty wierzycieli powinien mieć miejsce tylko wtedy, gdy żądają tego </w:t>
            </w:r>
            <w:r w:rsidRPr="007368C7">
              <w:rPr>
                <w:rFonts w:cstheme="minorHAnsi"/>
              </w:rPr>
              <w:lastRenderedPageBreak/>
              <w:t>interesariusze. To właśnie wierzyciele mają najlepszą wiedzę na temat tego, czy przysługujące im roszczenia są spłacane przez dłużnika czy też zaprzestano realizacji planu spłaty wierzycieli. Rolą sądu nie jest realizacja z urzędu ochrony interesów wierzycieli w zakresie prawidłowej realizacji obowiązków płatniczych ciążących na ich dłużnikach.</w:t>
            </w:r>
          </w:p>
        </w:tc>
      </w:tr>
      <w:tr w:rsidR="00C10504" w:rsidRPr="00486628" w14:paraId="356D3ED5" w14:textId="77777777" w:rsidTr="00AC5078">
        <w:tc>
          <w:tcPr>
            <w:tcW w:w="158" w:type="pct"/>
          </w:tcPr>
          <w:p w14:paraId="17976C60" w14:textId="794D144A" w:rsidR="00C10504" w:rsidRDefault="00AA645B" w:rsidP="005F7A15">
            <w:pPr>
              <w:jc w:val="center"/>
              <w:rPr>
                <w:rFonts w:cstheme="minorHAnsi"/>
              </w:rPr>
            </w:pPr>
            <w:r>
              <w:rPr>
                <w:rFonts w:cstheme="minorHAnsi"/>
              </w:rPr>
              <w:lastRenderedPageBreak/>
              <w:t>29</w:t>
            </w:r>
            <w:r w:rsidR="00FA7936">
              <w:rPr>
                <w:rFonts w:cstheme="minorHAnsi"/>
              </w:rPr>
              <w:t xml:space="preserve"> </w:t>
            </w:r>
          </w:p>
        </w:tc>
        <w:tc>
          <w:tcPr>
            <w:tcW w:w="698" w:type="pct"/>
          </w:tcPr>
          <w:p w14:paraId="27254AA3" w14:textId="1D21448D" w:rsidR="00C10504" w:rsidRPr="0045069F" w:rsidRDefault="00FA7936" w:rsidP="0073232F">
            <w:pPr>
              <w:rPr>
                <w:rFonts w:ascii="Calibri" w:hAnsi="Calibri" w:cs="Calibri"/>
              </w:rPr>
            </w:pPr>
            <w:r w:rsidRPr="00FA7936">
              <w:rPr>
                <w:rFonts w:ascii="Calibri" w:hAnsi="Calibri" w:cs="Calibri"/>
              </w:rPr>
              <w:t>Polski Związek Zarządzania Wierzytelnościami</w:t>
            </w:r>
          </w:p>
        </w:tc>
        <w:tc>
          <w:tcPr>
            <w:tcW w:w="591" w:type="pct"/>
          </w:tcPr>
          <w:p w14:paraId="5CAD05B0" w14:textId="2CB51501" w:rsidR="00C10504" w:rsidRDefault="00FA7936" w:rsidP="00FA7936">
            <w:pPr>
              <w:rPr>
                <w:rFonts w:ascii="Calibri" w:hAnsi="Calibri" w:cs="Calibri"/>
              </w:rPr>
            </w:pPr>
            <w:r w:rsidRPr="00BC32A6">
              <w:rPr>
                <w:rFonts w:ascii="Calibri" w:hAnsi="Calibri" w:cs="Calibri"/>
                <w:b/>
                <w:bCs/>
              </w:rPr>
              <w:t>Art. 1 pkt 5, 7,16 i 18</w:t>
            </w:r>
            <w:r w:rsidRPr="00FA7936">
              <w:rPr>
                <w:rFonts w:ascii="Calibri" w:hAnsi="Calibri" w:cs="Calibri"/>
              </w:rPr>
              <w:t xml:space="preserve"> projektu (uchylenie art. 370b .i art. 491</w:t>
            </w:r>
            <w:r w:rsidR="00BC32A6">
              <w:rPr>
                <w:rFonts w:ascii="Calibri" w:hAnsi="Calibri" w:cs="Calibri"/>
                <w:vertAlign w:val="superscript"/>
              </w:rPr>
              <w:t>17</w:t>
            </w:r>
            <w:r w:rsidRPr="00FA7936">
              <w:rPr>
                <w:rFonts w:ascii="Calibri" w:hAnsi="Calibri" w:cs="Calibri"/>
              </w:rPr>
              <w:t xml:space="preserve"> </w:t>
            </w:r>
            <w:r w:rsidR="00BC32A6">
              <w:rPr>
                <w:rFonts w:ascii="Calibri" w:hAnsi="Calibri" w:cs="Calibri"/>
              </w:rPr>
              <w:t>P.U</w:t>
            </w:r>
            <w:r w:rsidRPr="00FA7936">
              <w:rPr>
                <w:rFonts w:ascii="Calibri" w:hAnsi="Calibri" w:cs="Calibri"/>
              </w:rPr>
              <w:t>. oraz zmiany art. 370 d ust. 1 i 1a . i art. 491</w:t>
            </w:r>
            <w:r w:rsidR="00BC32A6">
              <w:rPr>
                <w:rFonts w:ascii="Calibri" w:hAnsi="Calibri" w:cs="Calibri"/>
                <w:vertAlign w:val="superscript"/>
              </w:rPr>
              <w:t xml:space="preserve">19 </w:t>
            </w:r>
            <w:r w:rsidRPr="00FA7936">
              <w:rPr>
                <w:rFonts w:ascii="Calibri" w:hAnsi="Calibri" w:cs="Calibri"/>
              </w:rPr>
              <w:t xml:space="preserve">ust. 1 i 2 </w:t>
            </w:r>
            <w:r w:rsidR="00BC32A6">
              <w:rPr>
                <w:rFonts w:ascii="Calibri" w:hAnsi="Calibri" w:cs="Calibri"/>
              </w:rPr>
              <w:t>P</w:t>
            </w:r>
            <w:r w:rsidRPr="00FA7936">
              <w:rPr>
                <w:rFonts w:ascii="Calibri" w:hAnsi="Calibri" w:cs="Calibri"/>
              </w:rPr>
              <w:t>.</w:t>
            </w:r>
            <w:r w:rsidR="00BC32A6">
              <w:rPr>
                <w:rFonts w:ascii="Calibri" w:hAnsi="Calibri" w:cs="Calibri"/>
              </w:rPr>
              <w:t>U</w:t>
            </w:r>
            <w:r w:rsidRPr="00FA7936">
              <w:rPr>
                <w:rFonts w:ascii="Calibri" w:hAnsi="Calibri" w:cs="Calibri"/>
              </w:rPr>
              <w:t>.)</w:t>
            </w:r>
          </w:p>
        </w:tc>
        <w:tc>
          <w:tcPr>
            <w:tcW w:w="1418" w:type="pct"/>
          </w:tcPr>
          <w:p w14:paraId="5362350D" w14:textId="2A77DDCD" w:rsidR="00FA7936" w:rsidRPr="00462965" w:rsidRDefault="00FA7936" w:rsidP="00462965">
            <w:pPr>
              <w:pStyle w:val="Default"/>
              <w:jc w:val="both"/>
              <w:rPr>
                <w:rFonts w:asciiTheme="minorHAnsi" w:hAnsiTheme="minorHAnsi" w:cstheme="minorHAnsi"/>
                <w:sz w:val="22"/>
                <w:szCs w:val="22"/>
              </w:rPr>
            </w:pPr>
            <w:r w:rsidRPr="00462965">
              <w:rPr>
                <w:rFonts w:asciiTheme="minorHAnsi" w:hAnsiTheme="minorHAnsi" w:cstheme="minorHAnsi"/>
                <w:sz w:val="22"/>
                <w:szCs w:val="22"/>
              </w:rPr>
              <w:t>Uzasadniając uchylenie przepisów</w:t>
            </w:r>
            <w:r w:rsidR="00BC32A6" w:rsidRPr="00462965">
              <w:rPr>
                <w:rFonts w:asciiTheme="minorHAnsi" w:hAnsiTheme="minorHAnsi" w:cstheme="minorHAnsi"/>
                <w:sz w:val="22"/>
                <w:szCs w:val="22"/>
              </w:rPr>
              <w:t xml:space="preserve"> </w:t>
            </w:r>
            <w:r w:rsidRPr="00462965">
              <w:rPr>
                <w:rFonts w:asciiTheme="minorHAnsi" w:hAnsiTheme="minorHAnsi" w:cstheme="minorHAnsi"/>
                <w:sz w:val="22"/>
                <w:szCs w:val="22"/>
              </w:rPr>
              <w:t xml:space="preserve">dopuszczających możliwość wniesienia skargi kasacyjnej od orzeczeń sądu drugiej instancji w przedmiocie umorzenia zobowiązań upadłego jak i ustalenia lub zmiany planu spłaty wierzycieli wskazano, iż postępowania upadłościowe to przede wszystkim postępowanie wykonawcze tak jak postępowanie egzekucyjne, a w postępowaniach wykonawczych nadzwyczajny środek zaskarżenia nie występuje. </w:t>
            </w:r>
          </w:p>
          <w:p w14:paraId="26071EFC" w14:textId="04E4E0E8" w:rsidR="00FA7936" w:rsidRPr="00462965" w:rsidRDefault="00FA7936" w:rsidP="00462965">
            <w:pPr>
              <w:pStyle w:val="Default"/>
              <w:jc w:val="both"/>
              <w:rPr>
                <w:rFonts w:asciiTheme="minorHAnsi" w:hAnsiTheme="minorHAnsi" w:cstheme="minorHAnsi"/>
                <w:sz w:val="22"/>
                <w:szCs w:val="22"/>
              </w:rPr>
            </w:pPr>
            <w:r w:rsidRPr="00462965">
              <w:rPr>
                <w:rFonts w:asciiTheme="minorHAnsi" w:hAnsiTheme="minorHAnsi" w:cstheme="minorHAnsi"/>
                <w:sz w:val="22"/>
                <w:szCs w:val="22"/>
              </w:rPr>
              <w:t>Należy jednak zauważyć, że nie jest zasadne</w:t>
            </w:r>
            <w:r w:rsidR="00BC32A6" w:rsidRPr="00462965">
              <w:rPr>
                <w:rFonts w:asciiTheme="minorHAnsi" w:hAnsiTheme="minorHAnsi" w:cstheme="minorHAnsi"/>
                <w:sz w:val="22"/>
                <w:szCs w:val="22"/>
              </w:rPr>
              <w:t xml:space="preserve"> </w:t>
            </w:r>
            <w:r w:rsidRPr="00462965">
              <w:rPr>
                <w:rFonts w:asciiTheme="minorHAnsi" w:hAnsiTheme="minorHAnsi" w:cstheme="minorHAnsi"/>
                <w:sz w:val="22"/>
                <w:szCs w:val="22"/>
              </w:rPr>
              <w:t>zestawienie postępowania upadłościowego z postępowaniem egzekucyjnym, gdyż w</w:t>
            </w:r>
            <w:r w:rsidR="00BC32A6" w:rsidRPr="00462965">
              <w:rPr>
                <w:rFonts w:asciiTheme="minorHAnsi" w:hAnsiTheme="minorHAnsi" w:cstheme="minorHAnsi"/>
                <w:sz w:val="22"/>
                <w:szCs w:val="22"/>
              </w:rPr>
              <w:t xml:space="preserve"> </w:t>
            </w:r>
            <w:r w:rsidRPr="00462965">
              <w:rPr>
                <w:rFonts w:asciiTheme="minorHAnsi" w:hAnsiTheme="minorHAnsi" w:cstheme="minorHAnsi"/>
                <w:sz w:val="22"/>
                <w:szCs w:val="22"/>
              </w:rPr>
              <w:t xml:space="preserve">postępowaniu upadłościowym, w odróżnieniu od postępowania egzekucyjnego, występuje istotny element postępowania rozpoznawczego. Dotyczy to w szczególności etapu ustalania istnienia i kształtu zgłaszanych wierzytelności (zgłoszenie wierzytelności spornych) czy ustalania czy zostały spełnione przesłanki do odmowy ustalenia planu spłaty jak i ustalanie warunków samego planu spłaty. Powyższe nie odnosi się do postępowania egzekucyjnego, w którym dochodzona </w:t>
            </w:r>
            <w:r w:rsidRPr="00462965">
              <w:rPr>
                <w:rFonts w:asciiTheme="minorHAnsi" w:hAnsiTheme="minorHAnsi" w:cstheme="minorHAnsi"/>
                <w:sz w:val="22"/>
                <w:szCs w:val="22"/>
              </w:rPr>
              <w:lastRenderedPageBreak/>
              <w:t xml:space="preserve">wierzytelność jest już wcześniej stwierdzona tytułem wykonawczym podlegającym wykonaniu w toku egzekucji. Tymczasem w postępowaniu upadłościowym ustala się dopiero czy prawo wierzyciela istnieje. Etap weryfikacji, ustalania istnienia i wysokości wierzytelności w każdym z rodzajów postępowań upadłościowych de facto niczym się nie rożni od dowodzenia i ustalania prawa w toku procesu. </w:t>
            </w:r>
          </w:p>
          <w:p w14:paraId="74C00CCC" w14:textId="7A3C8315" w:rsidR="00C10504" w:rsidRPr="00462965" w:rsidRDefault="00FA7936" w:rsidP="00462965">
            <w:pPr>
              <w:pStyle w:val="Default"/>
              <w:jc w:val="both"/>
              <w:rPr>
                <w:rFonts w:asciiTheme="minorHAnsi" w:hAnsiTheme="minorHAnsi" w:cstheme="minorHAnsi"/>
                <w:sz w:val="22"/>
                <w:szCs w:val="22"/>
              </w:rPr>
            </w:pPr>
            <w:r w:rsidRPr="00462965">
              <w:rPr>
                <w:rFonts w:asciiTheme="minorHAnsi" w:hAnsiTheme="minorHAnsi" w:cstheme="minorHAnsi"/>
                <w:sz w:val="22"/>
                <w:szCs w:val="22"/>
              </w:rPr>
              <w:t xml:space="preserve">Należy zauważyć, iż w postępowaniu upadłościowym osoby fizycznej nieprowadzącej działalności gospodarczej nie ma zastosowania art. 263 p.u. - co oznacza, iż kwestia istnienia i kształtu zgłaszanej wierzytelności musi zostać rozstrzygnięta ostatecznie w toku postępowania upadłościowego i to na etapie ustalania planu spłaty. Ujęcie lub odmowa ujęcia wierzytelności w planie spłaty może być skarżona zarówno przez upadłego jak i wierzyciela, analogicznie jak rozstrzygnięcia w procesie. Skoro w sprawach o prawa majątkowe dochodzone w procesie strona na warunkach opisanych w k.p.c. może skorzystać z nadzwyczajnego środka zaskarżenia to, dlaczego ma być tej możliwości pozbawiana w postępowaniu upadłościowym, gdzie często są dochodzone wierzytelności liczone w dziesiątkach czy setkach tysięcy złotych. Nie ma uzasadnienia dla tego, aby strona dochodząca swojego roszczenia w toku </w:t>
            </w:r>
            <w:r w:rsidRPr="00462965">
              <w:rPr>
                <w:rFonts w:asciiTheme="minorHAnsi" w:hAnsiTheme="minorHAnsi" w:cstheme="minorHAnsi"/>
                <w:sz w:val="22"/>
                <w:szCs w:val="22"/>
              </w:rPr>
              <w:lastRenderedPageBreak/>
              <w:t>postępowania upadłościowego była pozbawiana możliwości skorzystania z nadzwyczajnego środka zaskarżenia, który by jej przysługiwał przy ustalaniu tej samej wierzytelności, gdyby upadłości dłużnika nie ogłoszono. Ponadto rozstrzygnięcia zapadające w postępowaniu upadłościowym mają duży ciężar gatunkowy, zarówno dla upadłego jak i dla wierzycieli</w:t>
            </w:r>
          </w:p>
        </w:tc>
        <w:tc>
          <w:tcPr>
            <w:tcW w:w="1027" w:type="pct"/>
          </w:tcPr>
          <w:p w14:paraId="06B7E27A" w14:textId="77777777" w:rsidR="00C10504" w:rsidRPr="00CC7F2E" w:rsidRDefault="00C10504" w:rsidP="00CC7F2E">
            <w:pPr>
              <w:jc w:val="both"/>
              <w:rPr>
                <w:rFonts w:ascii="Calibri" w:hAnsi="Calibri" w:cs="Calibri"/>
              </w:rPr>
            </w:pPr>
          </w:p>
        </w:tc>
        <w:tc>
          <w:tcPr>
            <w:tcW w:w="1108" w:type="pct"/>
          </w:tcPr>
          <w:p w14:paraId="395BBD26" w14:textId="77777777" w:rsidR="00592158" w:rsidRPr="007368C7" w:rsidRDefault="00FA4A21" w:rsidP="00BC45D4">
            <w:pPr>
              <w:jc w:val="both"/>
              <w:rPr>
                <w:rFonts w:cstheme="minorHAnsi"/>
                <w:b/>
                <w:bCs/>
              </w:rPr>
            </w:pPr>
            <w:r w:rsidRPr="007368C7">
              <w:rPr>
                <w:rFonts w:cstheme="minorHAnsi"/>
                <w:b/>
                <w:bCs/>
              </w:rPr>
              <w:t xml:space="preserve">Uwaga </w:t>
            </w:r>
            <w:r w:rsidR="00592158" w:rsidRPr="007368C7">
              <w:rPr>
                <w:rFonts w:cstheme="minorHAnsi"/>
                <w:b/>
                <w:bCs/>
              </w:rPr>
              <w:t>nieuwzględniona</w:t>
            </w:r>
          </w:p>
          <w:p w14:paraId="5778193E" w14:textId="1229AFE8" w:rsidR="00C10504" w:rsidRPr="007368C7" w:rsidRDefault="00592158" w:rsidP="00BC45D4">
            <w:pPr>
              <w:jc w:val="both"/>
              <w:rPr>
                <w:rFonts w:cstheme="minorHAnsi"/>
              </w:rPr>
            </w:pPr>
            <w:r w:rsidRPr="007368C7">
              <w:rPr>
                <w:rFonts w:cstheme="minorHAnsi"/>
              </w:rPr>
              <w:t xml:space="preserve">Po pierwsze, w postępowaniach tych skarga ma znikome zastosowanie w praktyce. Ponadto, biorąc pod uwagę ustawowe przesłanki umorzenia zobowiązań oraz ustalenia lub zmiany planu spłaty wierzycieli, wskazać należy, że ogniskują się one przede wszystkim wokół materii dotyczącej ustaleń faktycznych (w zakresie możliwości zarobkowych upadłego i jego sytuacji osobistej, przyczyn powstania stanu niewypłacalności, stopnia winy w dorowadzeniu do stanu niewypłacalności, a także co do przesłanek humanitaryzmu i słuszności), a nie sfery interpretacji przepisów prawa. Kwestia ustaleń faktycznych nie mieści się w zakresie kontroli kasacyjnej sprawowanej przez Sąd Najwyższy. Problematyka zapewnienia spójności orzeczniczej w sprawach dotyczących oddłużenia jest </w:t>
            </w:r>
            <w:r w:rsidRPr="007368C7">
              <w:rPr>
                <w:rFonts w:cstheme="minorHAnsi"/>
              </w:rPr>
              <w:lastRenderedPageBreak/>
              <w:t>gwarantowana instytucją pytań prawnych do Sądu Najwyższego.</w:t>
            </w:r>
          </w:p>
        </w:tc>
      </w:tr>
      <w:tr w:rsidR="00DE1C92" w:rsidRPr="00486628" w14:paraId="70FBAB48" w14:textId="77777777" w:rsidTr="00AC5078">
        <w:tc>
          <w:tcPr>
            <w:tcW w:w="158" w:type="pct"/>
          </w:tcPr>
          <w:p w14:paraId="749CA1E1" w14:textId="17918C05" w:rsidR="00DE1C92" w:rsidRDefault="00DE1C92" w:rsidP="005F7A15">
            <w:pPr>
              <w:jc w:val="center"/>
              <w:rPr>
                <w:rFonts w:cstheme="minorHAnsi"/>
              </w:rPr>
            </w:pPr>
            <w:r>
              <w:rPr>
                <w:rFonts w:cstheme="minorHAnsi"/>
              </w:rPr>
              <w:lastRenderedPageBreak/>
              <w:t>3</w:t>
            </w:r>
            <w:r w:rsidR="00AA645B">
              <w:rPr>
                <w:rFonts w:cstheme="minorHAnsi"/>
              </w:rPr>
              <w:t>0</w:t>
            </w:r>
          </w:p>
        </w:tc>
        <w:tc>
          <w:tcPr>
            <w:tcW w:w="698" w:type="pct"/>
          </w:tcPr>
          <w:p w14:paraId="37FB3803" w14:textId="312EBF32" w:rsidR="00DE1C92" w:rsidRPr="00FA7936" w:rsidRDefault="00F901C7" w:rsidP="0073232F">
            <w:pPr>
              <w:rPr>
                <w:rFonts w:ascii="Calibri" w:hAnsi="Calibri" w:cs="Calibri"/>
              </w:rPr>
            </w:pPr>
            <w:r w:rsidRPr="00F901C7">
              <w:rPr>
                <w:rFonts w:ascii="Calibri" w:hAnsi="Calibri" w:cs="Calibri"/>
              </w:rPr>
              <w:t>Polski Związek Zarządzania Wierzytelnościami</w:t>
            </w:r>
          </w:p>
        </w:tc>
        <w:tc>
          <w:tcPr>
            <w:tcW w:w="591" w:type="pct"/>
          </w:tcPr>
          <w:p w14:paraId="3BA0ADEC" w14:textId="6A804B5D" w:rsidR="00DE1C92" w:rsidRPr="00FA7936" w:rsidRDefault="00DE1C92" w:rsidP="00DE1C92">
            <w:pPr>
              <w:rPr>
                <w:rFonts w:ascii="Calibri" w:hAnsi="Calibri" w:cs="Calibri"/>
              </w:rPr>
            </w:pPr>
            <w:r w:rsidRPr="00B52988">
              <w:rPr>
                <w:rFonts w:ascii="Calibri" w:hAnsi="Calibri" w:cs="Calibri"/>
                <w:b/>
                <w:bCs/>
              </w:rPr>
              <w:t>Art. 1 pkt 6</w:t>
            </w:r>
            <w:r w:rsidR="00B52988">
              <w:rPr>
                <w:rFonts w:ascii="Calibri" w:hAnsi="Calibri" w:cs="Calibri"/>
                <w:b/>
                <w:bCs/>
              </w:rPr>
              <w:t xml:space="preserve">, 8, 17 i 19 </w:t>
            </w:r>
            <w:r w:rsidRPr="00DE1C92">
              <w:rPr>
                <w:rFonts w:ascii="Calibri" w:hAnsi="Calibri" w:cs="Calibri"/>
              </w:rPr>
              <w:t>(art. 370c ust. 4 p.u., art. 370e ust. 2 pkt. 1</w:t>
            </w:r>
            <w:r w:rsidR="00B52988">
              <w:rPr>
                <w:rFonts w:ascii="Calibri" w:hAnsi="Calibri" w:cs="Calibri"/>
              </w:rPr>
              <w:t xml:space="preserve">, </w:t>
            </w:r>
            <w:r w:rsidRPr="00DE1C92">
              <w:rPr>
                <w:rFonts w:ascii="Calibri" w:hAnsi="Calibri" w:cs="Calibri"/>
              </w:rPr>
              <w:t>art. 491</w:t>
            </w:r>
            <w:r w:rsidR="00B52988">
              <w:rPr>
                <w:rFonts w:ascii="Calibri" w:hAnsi="Calibri" w:cs="Calibri"/>
                <w:vertAlign w:val="superscript"/>
              </w:rPr>
              <w:t>18</w:t>
            </w:r>
            <w:r w:rsidRPr="00DE1C92">
              <w:rPr>
                <w:rFonts w:ascii="Calibri" w:hAnsi="Calibri" w:cs="Calibri"/>
              </w:rPr>
              <w:t xml:space="preserve"> ust. 3 </w:t>
            </w:r>
            <w:r w:rsidR="00B52988">
              <w:rPr>
                <w:rFonts w:ascii="Calibri" w:hAnsi="Calibri" w:cs="Calibri"/>
              </w:rPr>
              <w:t xml:space="preserve">i </w:t>
            </w:r>
            <w:r w:rsidRPr="00DE1C92">
              <w:rPr>
                <w:rFonts w:ascii="Calibri" w:hAnsi="Calibri" w:cs="Calibri"/>
              </w:rPr>
              <w:t>art. 491</w:t>
            </w:r>
            <w:r w:rsidR="00B52988">
              <w:rPr>
                <w:rFonts w:ascii="Calibri" w:hAnsi="Calibri" w:cs="Calibri"/>
                <w:vertAlign w:val="superscript"/>
              </w:rPr>
              <w:t>20</w:t>
            </w:r>
            <w:r w:rsidRPr="00DE1C92">
              <w:rPr>
                <w:rFonts w:ascii="Calibri" w:hAnsi="Calibri" w:cs="Calibri"/>
              </w:rPr>
              <w:t xml:space="preserve"> ust. 2 pkt. 1 </w:t>
            </w:r>
            <w:r w:rsidR="00B52988">
              <w:rPr>
                <w:rFonts w:ascii="Calibri" w:hAnsi="Calibri" w:cs="Calibri"/>
              </w:rPr>
              <w:t>P.U</w:t>
            </w:r>
            <w:r w:rsidRPr="00DE1C92">
              <w:rPr>
                <w:rFonts w:ascii="Calibri" w:hAnsi="Calibri" w:cs="Calibri"/>
              </w:rPr>
              <w:t xml:space="preserve">.) </w:t>
            </w:r>
          </w:p>
        </w:tc>
        <w:tc>
          <w:tcPr>
            <w:tcW w:w="1418" w:type="pct"/>
          </w:tcPr>
          <w:p w14:paraId="1E3D009E" w14:textId="4D5706D2" w:rsidR="00DE1C92" w:rsidRPr="00462965" w:rsidRDefault="00DE1C92" w:rsidP="00462965">
            <w:pPr>
              <w:pStyle w:val="Default"/>
              <w:jc w:val="both"/>
              <w:rPr>
                <w:rFonts w:asciiTheme="minorHAnsi" w:hAnsiTheme="minorHAnsi" w:cstheme="minorHAnsi"/>
                <w:sz w:val="22"/>
                <w:szCs w:val="22"/>
              </w:rPr>
            </w:pPr>
            <w:r w:rsidRPr="00462965">
              <w:rPr>
                <w:rFonts w:asciiTheme="minorHAnsi" w:hAnsiTheme="minorHAnsi" w:cstheme="minorHAnsi"/>
                <w:sz w:val="22"/>
                <w:szCs w:val="22"/>
              </w:rPr>
              <w:t xml:space="preserve">Proponowane rozwiązanie prowadzi nie tylko do przeniesienia kontroli z sądu na wierzycieli, ale i na jej osłabieniu, poprzez zniesienie sankcji zarówno za nieterminowe składanie przez dłużnika sprawozdań z wykonywania planu spłaty jak i za ich zawartość merytoryczną. Proponowana likwidacja badania treści i formy składanych przez upadłego dokumentów w wykonaniu obowiązków sprawozdawczych połączona z proponowanym usunięciem z katalogu przesłanek do uchylenia planu spłaty przesłanki w postaci nie złożenia przez upadłego w terminie sprawozdania z wykonania planu spłaty wierzycieli powoduje, iż nie złożenie przez dłużnika sprawozdania rocznego lub złożenie sprawozdania nie odpowiadającego treści art. 370C ust. 4 </w:t>
            </w:r>
            <w:r w:rsidR="00FE7E38">
              <w:rPr>
                <w:rFonts w:asciiTheme="minorHAnsi" w:hAnsiTheme="minorHAnsi" w:cstheme="minorHAnsi"/>
                <w:sz w:val="22"/>
                <w:szCs w:val="22"/>
              </w:rPr>
              <w:t>P</w:t>
            </w:r>
            <w:r w:rsidRPr="00462965">
              <w:rPr>
                <w:rFonts w:asciiTheme="minorHAnsi" w:hAnsiTheme="minorHAnsi" w:cstheme="minorHAnsi"/>
                <w:sz w:val="22"/>
                <w:szCs w:val="22"/>
              </w:rPr>
              <w:t>.</w:t>
            </w:r>
            <w:r w:rsidR="00FE7E38">
              <w:rPr>
                <w:rFonts w:asciiTheme="minorHAnsi" w:hAnsiTheme="minorHAnsi" w:cstheme="minorHAnsi"/>
                <w:sz w:val="22"/>
                <w:szCs w:val="22"/>
              </w:rPr>
              <w:t>U</w:t>
            </w:r>
            <w:r w:rsidRPr="00462965">
              <w:rPr>
                <w:rFonts w:asciiTheme="minorHAnsi" w:hAnsiTheme="minorHAnsi" w:cstheme="minorHAnsi"/>
                <w:sz w:val="22"/>
                <w:szCs w:val="22"/>
              </w:rPr>
              <w:t>. lub art. 491</w:t>
            </w:r>
            <w:r w:rsidR="007A6D8F" w:rsidRPr="00462965">
              <w:rPr>
                <w:rFonts w:asciiTheme="minorHAnsi" w:hAnsiTheme="minorHAnsi" w:cstheme="minorHAnsi"/>
                <w:sz w:val="22"/>
                <w:szCs w:val="22"/>
                <w:vertAlign w:val="superscript"/>
              </w:rPr>
              <w:t>18</w:t>
            </w:r>
            <w:r w:rsidRPr="00462965">
              <w:rPr>
                <w:rFonts w:asciiTheme="minorHAnsi" w:hAnsiTheme="minorHAnsi" w:cstheme="minorHAnsi"/>
                <w:sz w:val="22"/>
                <w:szCs w:val="22"/>
              </w:rPr>
              <w:t xml:space="preserve"> ust. 3 </w:t>
            </w:r>
            <w:r w:rsidR="00FE7E38">
              <w:rPr>
                <w:rFonts w:asciiTheme="minorHAnsi" w:hAnsiTheme="minorHAnsi" w:cstheme="minorHAnsi"/>
                <w:sz w:val="22"/>
                <w:szCs w:val="22"/>
              </w:rPr>
              <w:t>p</w:t>
            </w:r>
            <w:r w:rsidRPr="00462965">
              <w:rPr>
                <w:rFonts w:asciiTheme="minorHAnsi" w:hAnsiTheme="minorHAnsi" w:cstheme="minorHAnsi"/>
                <w:sz w:val="22"/>
                <w:szCs w:val="22"/>
              </w:rPr>
              <w:t>.</w:t>
            </w:r>
            <w:r w:rsidR="00FE7E38">
              <w:rPr>
                <w:rFonts w:asciiTheme="minorHAnsi" w:hAnsiTheme="minorHAnsi" w:cstheme="minorHAnsi"/>
                <w:sz w:val="22"/>
                <w:szCs w:val="22"/>
              </w:rPr>
              <w:t>U</w:t>
            </w:r>
            <w:r w:rsidRPr="00462965">
              <w:rPr>
                <w:rFonts w:asciiTheme="minorHAnsi" w:hAnsiTheme="minorHAnsi" w:cstheme="minorHAnsi"/>
                <w:sz w:val="22"/>
                <w:szCs w:val="22"/>
              </w:rPr>
              <w:t xml:space="preserve">. nie pociągałoby za sobą dla dłużnika żadnych negatywnych konsekwencji. Jednocześnie brak sprawozdań to brak wglądu ze strony wierzycieli w dochody i sytuację majątkową dłużnika w okresie </w:t>
            </w:r>
            <w:r w:rsidRPr="00462965">
              <w:rPr>
                <w:rFonts w:asciiTheme="minorHAnsi" w:hAnsiTheme="minorHAnsi" w:cstheme="minorHAnsi"/>
                <w:sz w:val="22"/>
                <w:szCs w:val="22"/>
              </w:rPr>
              <w:lastRenderedPageBreak/>
              <w:t xml:space="preserve">realizacji planu spłaty. W konsekwencji wierzyciele traciliby jedyne źródło wiedzy o zmianach w majątku dłużnika mogące stanowić podstawę wniosku z art. 370d ust. 2 </w:t>
            </w:r>
            <w:r w:rsidR="00FE7E38">
              <w:rPr>
                <w:rFonts w:asciiTheme="minorHAnsi" w:hAnsiTheme="minorHAnsi" w:cstheme="minorHAnsi"/>
                <w:sz w:val="22"/>
                <w:szCs w:val="22"/>
              </w:rPr>
              <w:t>P</w:t>
            </w:r>
            <w:r w:rsidRPr="00462965">
              <w:rPr>
                <w:rFonts w:asciiTheme="minorHAnsi" w:hAnsiTheme="minorHAnsi" w:cstheme="minorHAnsi"/>
                <w:sz w:val="22"/>
                <w:szCs w:val="22"/>
              </w:rPr>
              <w:t>.</w:t>
            </w:r>
            <w:r w:rsidR="00FE7E38">
              <w:rPr>
                <w:rFonts w:asciiTheme="minorHAnsi" w:hAnsiTheme="minorHAnsi" w:cstheme="minorHAnsi"/>
                <w:sz w:val="22"/>
                <w:szCs w:val="22"/>
              </w:rPr>
              <w:t>U</w:t>
            </w:r>
            <w:r w:rsidRPr="00462965">
              <w:rPr>
                <w:rFonts w:asciiTheme="minorHAnsi" w:hAnsiTheme="minorHAnsi" w:cstheme="minorHAnsi"/>
                <w:sz w:val="22"/>
                <w:szCs w:val="22"/>
              </w:rPr>
              <w:t>. lub art. 491</w:t>
            </w:r>
            <w:r w:rsidR="007A6D8F" w:rsidRPr="00462965">
              <w:rPr>
                <w:rFonts w:asciiTheme="minorHAnsi" w:hAnsiTheme="minorHAnsi" w:cstheme="minorHAnsi"/>
                <w:sz w:val="22"/>
                <w:szCs w:val="22"/>
                <w:vertAlign w:val="superscript"/>
              </w:rPr>
              <w:t>19</w:t>
            </w:r>
            <w:r w:rsidRPr="00462965">
              <w:rPr>
                <w:rFonts w:asciiTheme="minorHAnsi" w:hAnsiTheme="minorHAnsi" w:cstheme="minorHAnsi"/>
                <w:sz w:val="22"/>
                <w:szCs w:val="22"/>
              </w:rPr>
              <w:t xml:space="preserve"> ust. 3 </w:t>
            </w:r>
            <w:r w:rsidR="00FE7E38">
              <w:rPr>
                <w:rFonts w:asciiTheme="minorHAnsi" w:hAnsiTheme="minorHAnsi" w:cstheme="minorHAnsi"/>
                <w:sz w:val="22"/>
                <w:szCs w:val="22"/>
              </w:rPr>
              <w:t>P</w:t>
            </w:r>
            <w:r w:rsidRPr="00462965">
              <w:rPr>
                <w:rFonts w:asciiTheme="minorHAnsi" w:hAnsiTheme="minorHAnsi" w:cstheme="minorHAnsi"/>
                <w:sz w:val="22"/>
                <w:szCs w:val="22"/>
              </w:rPr>
              <w:t>.</w:t>
            </w:r>
            <w:r w:rsidR="00FE7E38">
              <w:rPr>
                <w:rFonts w:asciiTheme="minorHAnsi" w:hAnsiTheme="minorHAnsi" w:cstheme="minorHAnsi"/>
                <w:sz w:val="22"/>
                <w:szCs w:val="22"/>
              </w:rPr>
              <w:t>U</w:t>
            </w:r>
            <w:r w:rsidRPr="00462965">
              <w:rPr>
                <w:rFonts w:asciiTheme="minorHAnsi" w:hAnsiTheme="minorHAnsi" w:cstheme="minorHAnsi"/>
                <w:sz w:val="22"/>
                <w:szCs w:val="22"/>
              </w:rPr>
              <w:t>. zmierzającego do zmiany planu spłaty z uwagi na istotną poprawę sytuacji majątkowej upadłego w okresie wykonywania planu spłaty wierzycieli. W przypadku wejścia w życie proponowanego rozwiązania, iż nie złożenie przez upadłego w terminie, kompletnego i zgodnego co do treści z art. 370c ust. 4 albo art. 491</w:t>
            </w:r>
            <w:r w:rsidR="007A6D8F" w:rsidRPr="00462965">
              <w:rPr>
                <w:rFonts w:asciiTheme="minorHAnsi" w:hAnsiTheme="minorHAnsi" w:cstheme="minorHAnsi"/>
                <w:sz w:val="22"/>
                <w:szCs w:val="22"/>
                <w:vertAlign w:val="superscript"/>
              </w:rPr>
              <w:t>18</w:t>
            </w:r>
            <w:r w:rsidRPr="00462965">
              <w:rPr>
                <w:rFonts w:asciiTheme="minorHAnsi" w:hAnsiTheme="minorHAnsi" w:cstheme="minorHAnsi"/>
                <w:sz w:val="22"/>
                <w:szCs w:val="22"/>
              </w:rPr>
              <w:t xml:space="preserve"> ust. 3 </w:t>
            </w:r>
            <w:r w:rsidR="00655B36">
              <w:rPr>
                <w:rFonts w:asciiTheme="minorHAnsi" w:hAnsiTheme="minorHAnsi" w:cstheme="minorHAnsi"/>
                <w:sz w:val="22"/>
                <w:szCs w:val="22"/>
              </w:rPr>
              <w:t>P</w:t>
            </w:r>
            <w:r w:rsidRPr="00462965">
              <w:rPr>
                <w:rFonts w:asciiTheme="minorHAnsi" w:hAnsiTheme="minorHAnsi" w:cstheme="minorHAnsi"/>
                <w:sz w:val="22"/>
                <w:szCs w:val="22"/>
              </w:rPr>
              <w:t>.</w:t>
            </w:r>
            <w:r w:rsidR="00655B36">
              <w:rPr>
                <w:rFonts w:asciiTheme="minorHAnsi" w:hAnsiTheme="minorHAnsi" w:cstheme="minorHAnsi"/>
                <w:sz w:val="22"/>
                <w:szCs w:val="22"/>
              </w:rPr>
              <w:t>U</w:t>
            </w:r>
            <w:r w:rsidRPr="00462965">
              <w:rPr>
                <w:rFonts w:asciiTheme="minorHAnsi" w:hAnsiTheme="minorHAnsi" w:cstheme="minorHAnsi"/>
                <w:sz w:val="22"/>
                <w:szCs w:val="22"/>
              </w:rPr>
              <w:t xml:space="preserve">., sprawozdania nie będzie stanowiło podstawy do uchylenia planu spłaty, upadły którego sytuacja majątkowa w sposób istotny się poprawi, dla uniknięcia ewentualności zmiany planu spłaty i spłacenia wierzycieli w wyższym stopniu niż pierwotnie ustalony po prostu nie złoży sprawozdania w którym musiałby ujawnić zmianę swojej sytuacji majątkowej. Brak sankcji za niezłożenie sprawozdania może zatem pogorszyć sytuację wierzycieli i stać na przeszkodzie realizacji celu postępowania upadłościowego z art. 2 ust. 1 </w:t>
            </w:r>
            <w:r w:rsidR="00655B36">
              <w:rPr>
                <w:rFonts w:asciiTheme="minorHAnsi" w:hAnsiTheme="minorHAnsi" w:cstheme="minorHAnsi"/>
                <w:sz w:val="22"/>
                <w:szCs w:val="22"/>
              </w:rPr>
              <w:t>P</w:t>
            </w:r>
            <w:r w:rsidRPr="00462965">
              <w:rPr>
                <w:rFonts w:asciiTheme="minorHAnsi" w:hAnsiTheme="minorHAnsi" w:cstheme="minorHAnsi"/>
                <w:sz w:val="22"/>
                <w:szCs w:val="22"/>
              </w:rPr>
              <w:t>.</w:t>
            </w:r>
            <w:r w:rsidR="00655B36">
              <w:rPr>
                <w:rFonts w:asciiTheme="minorHAnsi" w:hAnsiTheme="minorHAnsi" w:cstheme="minorHAnsi"/>
                <w:sz w:val="22"/>
                <w:szCs w:val="22"/>
              </w:rPr>
              <w:t>U</w:t>
            </w:r>
            <w:r w:rsidRPr="00462965">
              <w:rPr>
                <w:rFonts w:asciiTheme="minorHAnsi" w:hAnsiTheme="minorHAnsi" w:cstheme="minorHAnsi"/>
                <w:sz w:val="22"/>
                <w:szCs w:val="22"/>
              </w:rPr>
              <w:t>. tj. zaspokojenia roszczeń wierzycieli w jak najwyższym stopniu.</w:t>
            </w:r>
          </w:p>
        </w:tc>
        <w:tc>
          <w:tcPr>
            <w:tcW w:w="1027" w:type="pct"/>
          </w:tcPr>
          <w:p w14:paraId="254D649F" w14:textId="77777777" w:rsidR="00DE1C92" w:rsidRPr="00CC7F2E" w:rsidRDefault="00DE1C92" w:rsidP="00CC7F2E">
            <w:pPr>
              <w:jc w:val="both"/>
              <w:rPr>
                <w:rFonts w:ascii="Calibri" w:hAnsi="Calibri" w:cs="Calibri"/>
              </w:rPr>
            </w:pPr>
          </w:p>
        </w:tc>
        <w:tc>
          <w:tcPr>
            <w:tcW w:w="1108" w:type="pct"/>
          </w:tcPr>
          <w:p w14:paraId="53FA754F" w14:textId="77777777" w:rsidR="00DE1C92" w:rsidRPr="007368C7" w:rsidRDefault="00FA4A21" w:rsidP="00BC45D4">
            <w:pPr>
              <w:jc w:val="both"/>
              <w:rPr>
                <w:rFonts w:cstheme="minorHAnsi"/>
                <w:b/>
                <w:bCs/>
              </w:rPr>
            </w:pPr>
            <w:r w:rsidRPr="007368C7">
              <w:rPr>
                <w:rFonts w:cstheme="minorHAnsi"/>
                <w:b/>
                <w:bCs/>
              </w:rPr>
              <w:t xml:space="preserve">Uwaga nieuwzględniona </w:t>
            </w:r>
          </w:p>
          <w:p w14:paraId="2519FC95" w14:textId="3588E424" w:rsidR="00E81BC7" w:rsidRPr="007368C7" w:rsidRDefault="00E81BC7" w:rsidP="00BC45D4">
            <w:pPr>
              <w:jc w:val="both"/>
              <w:rPr>
                <w:rFonts w:cstheme="minorHAnsi"/>
              </w:rPr>
            </w:pPr>
            <w:r w:rsidRPr="007368C7">
              <w:rPr>
                <w:rFonts w:cstheme="minorHAnsi"/>
              </w:rPr>
              <w:t xml:space="preserve">Plan spłaty wierzycieli realizuje przede wszystkim prywatny interes majątkowy wierzycieli, tj. zmierza do zaspokojenia przysługujących im roszczeń, wcześniej ustalonych co do zasady i wysokości przez sąd upadłościowy. Pierwiastek publiczny rozumiany jako interes ogólnospołeczny na tym etapie postępowania nie pełni funkcji wiodącej. W związku z tym nadzór państwa nad prawidłowością wykonywania planu spłaty wierzycieli powinien mieć miejsce tylko wtedy, gdy żądają tego interesariusze. To właśnie wierzyciele mają najlepszą wiedzę na temat tego, czy przysługujące im roszczenia są spłacane przez dłużnika czy też zaprzestano realizacji planu spłaty wierzycieli. Rolą sądu nie jest realizacja z urzędu </w:t>
            </w:r>
            <w:r w:rsidRPr="007368C7">
              <w:rPr>
                <w:rFonts w:cstheme="minorHAnsi"/>
              </w:rPr>
              <w:lastRenderedPageBreak/>
              <w:t>ochrony interesów wierzycieli w zakresie prawidłowej realizacji obowiązków płatniczych ciążących na ich dłużnikach.</w:t>
            </w:r>
          </w:p>
        </w:tc>
      </w:tr>
      <w:tr w:rsidR="00F901C7" w:rsidRPr="00486628" w14:paraId="4D0E7E46" w14:textId="77777777" w:rsidTr="00AC5078">
        <w:tc>
          <w:tcPr>
            <w:tcW w:w="158" w:type="pct"/>
          </w:tcPr>
          <w:p w14:paraId="7D6575D9" w14:textId="5A47C40B" w:rsidR="00F901C7" w:rsidRDefault="00F901C7" w:rsidP="005F7A15">
            <w:pPr>
              <w:jc w:val="center"/>
              <w:rPr>
                <w:rFonts w:cstheme="minorHAnsi"/>
              </w:rPr>
            </w:pPr>
            <w:r>
              <w:rPr>
                <w:rFonts w:cstheme="minorHAnsi"/>
              </w:rPr>
              <w:lastRenderedPageBreak/>
              <w:t>3</w:t>
            </w:r>
            <w:r w:rsidR="00AA645B">
              <w:rPr>
                <w:rFonts w:cstheme="minorHAnsi"/>
              </w:rPr>
              <w:t>1</w:t>
            </w:r>
          </w:p>
        </w:tc>
        <w:tc>
          <w:tcPr>
            <w:tcW w:w="698" w:type="pct"/>
          </w:tcPr>
          <w:p w14:paraId="38671373" w14:textId="6A9F58C6" w:rsidR="00F901C7" w:rsidRPr="00FA7936" w:rsidRDefault="00F901C7" w:rsidP="0073232F">
            <w:pPr>
              <w:rPr>
                <w:rFonts w:ascii="Calibri" w:hAnsi="Calibri" w:cs="Calibri"/>
              </w:rPr>
            </w:pPr>
            <w:r w:rsidRPr="00F901C7">
              <w:rPr>
                <w:rFonts w:ascii="Calibri" w:hAnsi="Calibri" w:cs="Calibri"/>
              </w:rPr>
              <w:t>Polski Związek Zarządzania Wierzytelnościami</w:t>
            </w:r>
          </w:p>
        </w:tc>
        <w:tc>
          <w:tcPr>
            <w:tcW w:w="591" w:type="pct"/>
          </w:tcPr>
          <w:p w14:paraId="1FF67409" w14:textId="2B7C9ACF" w:rsidR="00F901C7" w:rsidRPr="00F901C7" w:rsidRDefault="00F901C7" w:rsidP="00F901C7">
            <w:pPr>
              <w:rPr>
                <w:rFonts w:ascii="Calibri" w:hAnsi="Calibri" w:cs="Calibri"/>
              </w:rPr>
            </w:pPr>
            <w:r w:rsidRPr="007A6D8F">
              <w:rPr>
                <w:rFonts w:ascii="Calibri" w:hAnsi="Calibri" w:cs="Calibri"/>
                <w:b/>
                <w:bCs/>
              </w:rPr>
              <w:t>Art. 1 pkt 7</w:t>
            </w:r>
            <w:r w:rsidR="007A6D8F" w:rsidRPr="007A6D8F">
              <w:rPr>
                <w:rFonts w:ascii="Calibri" w:hAnsi="Calibri" w:cs="Calibri"/>
                <w:b/>
                <w:bCs/>
              </w:rPr>
              <w:t>, 18</w:t>
            </w:r>
            <w:r w:rsidRPr="00F901C7">
              <w:rPr>
                <w:rFonts w:ascii="Calibri" w:hAnsi="Calibri" w:cs="Calibri"/>
              </w:rPr>
              <w:t xml:space="preserve"> (art. 370 d ust. 2a</w:t>
            </w:r>
            <w:r w:rsidR="007A6D8F">
              <w:rPr>
                <w:rFonts w:ascii="Calibri" w:hAnsi="Calibri" w:cs="Calibri"/>
              </w:rPr>
              <w:t xml:space="preserve">, </w:t>
            </w:r>
            <w:r w:rsidRPr="00F901C7">
              <w:rPr>
                <w:rFonts w:ascii="Calibri" w:hAnsi="Calibri" w:cs="Calibri"/>
              </w:rPr>
              <w:t>art. 491</w:t>
            </w:r>
            <w:r w:rsidR="007A6D8F">
              <w:rPr>
                <w:rFonts w:ascii="Calibri" w:hAnsi="Calibri" w:cs="Calibri"/>
                <w:vertAlign w:val="superscript"/>
              </w:rPr>
              <w:t>19</w:t>
            </w:r>
            <w:r w:rsidRPr="00F901C7">
              <w:rPr>
                <w:rFonts w:ascii="Calibri" w:hAnsi="Calibri" w:cs="Calibri"/>
              </w:rPr>
              <w:t xml:space="preserve"> ust. 3a </w:t>
            </w:r>
            <w:r w:rsidR="007A6D8F">
              <w:rPr>
                <w:rFonts w:ascii="Calibri" w:hAnsi="Calibri" w:cs="Calibri"/>
              </w:rPr>
              <w:t>P.U.</w:t>
            </w:r>
            <w:r w:rsidRPr="00F901C7">
              <w:rPr>
                <w:rFonts w:ascii="Calibri" w:hAnsi="Calibri" w:cs="Calibri"/>
              </w:rPr>
              <w:t>)</w:t>
            </w:r>
          </w:p>
          <w:p w14:paraId="6561E1F1" w14:textId="77777777" w:rsidR="00F901C7" w:rsidRPr="00DE1C92" w:rsidRDefault="00F901C7" w:rsidP="00DE1C92">
            <w:pPr>
              <w:rPr>
                <w:rFonts w:ascii="Calibri" w:hAnsi="Calibri" w:cs="Calibri"/>
              </w:rPr>
            </w:pPr>
          </w:p>
        </w:tc>
        <w:tc>
          <w:tcPr>
            <w:tcW w:w="1418" w:type="pct"/>
          </w:tcPr>
          <w:p w14:paraId="699C7457" w14:textId="29296027" w:rsidR="00F901C7" w:rsidRPr="00462965" w:rsidRDefault="00F901C7" w:rsidP="00462965">
            <w:pPr>
              <w:pStyle w:val="Default"/>
              <w:jc w:val="both"/>
              <w:rPr>
                <w:rFonts w:asciiTheme="minorHAnsi" w:hAnsiTheme="minorHAnsi" w:cstheme="minorHAnsi"/>
                <w:sz w:val="22"/>
                <w:szCs w:val="22"/>
              </w:rPr>
            </w:pPr>
            <w:r w:rsidRPr="00462965">
              <w:rPr>
                <w:rFonts w:asciiTheme="minorHAnsi" w:hAnsiTheme="minorHAnsi" w:cstheme="minorHAnsi"/>
                <w:sz w:val="22"/>
                <w:szCs w:val="22"/>
              </w:rPr>
              <w:t xml:space="preserve">Proponowana zmiana polegająca na wprowadzeniu możliwości skrócenia okresu wykonania planu spłaty w razie wcześniejszej spłaty wierzycieli może stworzyć praktyczne problemy w stosowaniu przepisów art. 370 d ust. 2 </w:t>
            </w:r>
            <w:r w:rsidR="00655B36">
              <w:rPr>
                <w:rFonts w:asciiTheme="minorHAnsi" w:hAnsiTheme="minorHAnsi" w:cstheme="minorHAnsi"/>
                <w:sz w:val="22"/>
                <w:szCs w:val="22"/>
              </w:rPr>
              <w:t>P</w:t>
            </w:r>
            <w:r w:rsidRPr="00462965">
              <w:rPr>
                <w:rFonts w:asciiTheme="minorHAnsi" w:hAnsiTheme="minorHAnsi" w:cstheme="minorHAnsi"/>
                <w:sz w:val="22"/>
                <w:szCs w:val="22"/>
              </w:rPr>
              <w:t>.</w:t>
            </w:r>
            <w:r w:rsidR="00655B36">
              <w:rPr>
                <w:rFonts w:asciiTheme="minorHAnsi" w:hAnsiTheme="minorHAnsi" w:cstheme="minorHAnsi"/>
                <w:sz w:val="22"/>
                <w:szCs w:val="22"/>
              </w:rPr>
              <w:t>U</w:t>
            </w:r>
            <w:r w:rsidRPr="00462965">
              <w:rPr>
                <w:rFonts w:asciiTheme="minorHAnsi" w:hAnsiTheme="minorHAnsi" w:cstheme="minorHAnsi"/>
                <w:sz w:val="22"/>
                <w:szCs w:val="22"/>
              </w:rPr>
              <w:t>. i art. 491</w:t>
            </w:r>
            <w:r w:rsidR="007A6D8F" w:rsidRPr="00462965">
              <w:rPr>
                <w:rFonts w:asciiTheme="minorHAnsi" w:hAnsiTheme="minorHAnsi" w:cstheme="minorHAnsi"/>
                <w:sz w:val="22"/>
                <w:szCs w:val="22"/>
                <w:vertAlign w:val="superscript"/>
              </w:rPr>
              <w:t>19</w:t>
            </w:r>
            <w:r w:rsidRPr="00462965">
              <w:rPr>
                <w:rFonts w:asciiTheme="minorHAnsi" w:hAnsiTheme="minorHAnsi" w:cstheme="minorHAnsi"/>
                <w:sz w:val="22"/>
                <w:szCs w:val="22"/>
              </w:rPr>
              <w:t xml:space="preserve"> ust. 3 </w:t>
            </w:r>
            <w:r w:rsidR="00655B36">
              <w:rPr>
                <w:rFonts w:asciiTheme="minorHAnsi" w:hAnsiTheme="minorHAnsi" w:cstheme="minorHAnsi"/>
                <w:sz w:val="22"/>
                <w:szCs w:val="22"/>
              </w:rPr>
              <w:t>P</w:t>
            </w:r>
            <w:r w:rsidRPr="00462965">
              <w:rPr>
                <w:rFonts w:asciiTheme="minorHAnsi" w:hAnsiTheme="minorHAnsi" w:cstheme="minorHAnsi"/>
                <w:sz w:val="22"/>
                <w:szCs w:val="22"/>
              </w:rPr>
              <w:t>.</w:t>
            </w:r>
            <w:r w:rsidR="006354CB">
              <w:rPr>
                <w:rFonts w:asciiTheme="minorHAnsi" w:hAnsiTheme="minorHAnsi" w:cstheme="minorHAnsi"/>
                <w:sz w:val="22"/>
                <w:szCs w:val="22"/>
              </w:rPr>
              <w:t>U</w:t>
            </w:r>
            <w:r w:rsidRPr="00462965">
              <w:rPr>
                <w:rFonts w:asciiTheme="minorHAnsi" w:hAnsiTheme="minorHAnsi" w:cstheme="minorHAnsi"/>
                <w:sz w:val="22"/>
                <w:szCs w:val="22"/>
              </w:rPr>
              <w:t xml:space="preserve">., a ponadto </w:t>
            </w:r>
            <w:r w:rsidRPr="00462965">
              <w:rPr>
                <w:rFonts w:asciiTheme="minorHAnsi" w:hAnsiTheme="minorHAnsi" w:cstheme="minorHAnsi"/>
                <w:sz w:val="22"/>
                <w:szCs w:val="22"/>
              </w:rPr>
              <w:lastRenderedPageBreak/>
              <w:t>rozwiązanie takie jest co do zasady możliwe w oparciu o obecnie obowiązujące przepisy.</w:t>
            </w:r>
          </w:p>
          <w:p w14:paraId="45FA2358" w14:textId="3A8662B4" w:rsidR="00F901C7" w:rsidRPr="00462965" w:rsidRDefault="00F901C7" w:rsidP="00462965">
            <w:pPr>
              <w:pStyle w:val="Default"/>
              <w:jc w:val="both"/>
              <w:rPr>
                <w:rFonts w:asciiTheme="minorHAnsi" w:hAnsiTheme="minorHAnsi" w:cstheme="minorHAnsi"/>
                <w:sz w:val="22"/>
                <w:szCs w:val="22"/>
              </w:rPr>
            </w:pPr>
            <w:r w:rsidRPr="00462965">
              <w:rPr>
                <w:rFonts w:asciiTheme="minorHAnsi" w:hAnsiTheme="minorHAnsi" w:cstheme="minorHAnsi"/>
                <w:sz w:val="22"/>
                <w:szCs w:val="22"/>
              </w:rPr>
              <w:t xml:space="preserve">W praktyce upadły będzie miał możliwość dokonania wcześniejszej spłaty wierzycieli tylko jeżeli jego sytuacja majątkowa okaże się być lepsza niż przyjęta jako podstawa do ustalenia planu spłaty wierzycieli. Oznacza to, iż albo wadliwie (na zbyt niskim poziomie) ustalono możliwości zarobowe upadłego lub za wysoko oszacowano koszty jego koniecznego utrzymania i w efekcie ustalono za niską ratę, albo po ustaleniu planu spłaty doszło do istotnej poprawy sytuacji majątkowej upadłego. Jeżeli upadły będzie mógł dokonać wcześniejszej spłaty, bo dojdzie do istotnej poprawy jego sytuacji majątkowej to wówczas przy wprowadzeniu proponowanego rozwiązania będzie mieli konkurencję pomiędzy instytucją zmiany planu spłaty wskutek istotnej poprawy sytuacji majątkowej upadłego opisaną w art. 370d ust. 2 </w:t>
            </w:r>
            <w:r w:rsidR="00655B36">
              <w:rPr>
                <w:rFonts w:asciiTheme="minorHAnsi" w:hAnsiTheme="minorHAnsi" w:cstheme="minorHAnsi"/>
                <w:sz w:val="22"/>
                <w:szCs w:val="22"/>
              </w:rPr>
              <w:t>P</w:t>
            </w:r>
            <w:r w:rsidRPr="00462965">
              <w:rPr>
                <w:rFonts w:asciiTheme="minorHAnsi" w:hAnsiTheme="minorHAnsi" w:cstheme="minorHAnsi"/>
                <w:sz w:val="22"/>
                <w:szCs w:val="22"/>
              </w:rPr>
              <w:t>.</w:t>
            </w:r>
            <w:r w:rsidR="00655B36">
              <w:rPr>
                <w:rFonts w:asciiTheme="minorHAnsi" w:hAnsiTheme="minorHAnsi" w:cstheme="minorHAnsi"/>
                <w:sz w:val="22"/>
                <w:szCs w:val="22"/>
              </w:rPr>
              <w:t>U</w:t>
            </w:r>
            <w:r w:rsidRPr="00462965">
              <w:rPr>
                <w:rFonts w:asciiTheme="minorHAnsi" w:hAnsiTheme="minorHAnsi" w:cstheme="minorHAnsi"/>
                <w:sz w:val="22"/>
                <w:szCs w:val="22"/>
              </w:rPr>
              <w:t>. i art. 491</w:t>
            </w:r>
            <w:r w:rsidR="007A6D8F" w:rsidRPr="00462965">
              <w:rPr>
                <w:rFonts w:asciiTheme="minorHAnsi" w:hAnsiTheme="minorHAnsi" w:cstheme="minorHAnsi"/>
                <w:sz w:val="22"/>
                <w:szCs w:val="22"/>
                <w:vertAlign w:val="superscript"/>
              </w:rPr>
              <w:t>19</w:t>
            </w:r>
            <w:r w:rsidRPr="00462965">
              <w:rPr>
                <w:rFonts w:asciiTheme="minorHAnsi" w:hAnsiTheme="minorHAnsi" w:cstheme="minorHAnsi"/>
                <w:sz w:val="22"/>
                <w:szCs w:val="22"/>
              </w:rPr>
              <w:t xml:space="preserve"> ust. 3 </w:t>
            </w:r>
            <w:r w:rsidR="00655B36">
              <w:rPr>
                <w:rFonts w:asciiTheme="minorHAnsi" w:hAnsiTheme="minorHAnsi" w:cstheme="minorHAnsi"/>
                <w:sz w:val="22"/>
                <w:szCs w:val="22"/>
              </w:rPr>
              <w:t>p</w:t>
            </w:r>
            <w:r w:rsidRPr="00462965">
              <w:rPr>
                <w:rFonts w:asciiTheme="minorHAnsi" w:hAnsiTheme="minorHAnsi" w:cstheme="minorHAnsi"/>
                <w:sz w:val="22"/>
                <w:szCs w:val="22"/>
              </w:rPr>
              <w:t>.</w:t>
            </w:r>
            <w:r w:rsidR="00655B36">
              <w:rPr>
                <w:rFonts w:asciiTheme="minorHAnsi" w:hAnsiTheme="minorHAnsi" w:cstheme="minorHAnsi"/>
                <w:sz w:val="22"/>
                <w:szCs w:val="22"/>
              </w:rPr>
              <w:t>u</w:t>
            </w:r>
            <w:r w:rsidRPr="00462965">
              <w:rPr>
                <w:rFonts w:asciiTheme="minorHAnsi" w:hAnsiTheme="minorHAnsi" w:cstheme="minorHAnsi"/>
                <w:sz w:val="22"/>
                <w:szCs w:val="22"/>
              </w:rPr>
              <w:t>. a tą proponowaną w nowych przepisach. Ponadto przepisy art. 370d ust. 2 p.u. i art. 491</w:t>
            </w:r>
            <w:r w:rsidR="007A6D8F" w:rsidRPr="00462965">
              <w:rPr>
                <w:rFonts w:asciiTheme="minorHAnsi" w:hAnsiTheme="minorHAnsi" w:cstheme="minorHAnsi"/>
                <w:sz w:val="22"/>
                <w:szCs w:val="22"/>
                <w:vertAlign w:val="superscript"/>
              </w:rPr>
              <w:t>19</w:t>
            </w:r>
            <w:r w:rsidRPr="00462965">
              <w:rPr>
                <w:rFonts w:asciiTheme="minorHAnsi" w:hAnsiTheme="minorHAnsi" w:cstheme="minorHAnsi"/>
                <w:sz w:val="22"/>
                <w:szCs w:val="22"/>
              </w:rPr>
              <w:t xml:space="preserve"> ust. 3 </w:t>
            </w:r>
            <w:r w:rsidR="00655B36">
              <w:rPr>
                <w:rFonts w:asciiTheme="minorHAnsi" w:hAnsiTheme="minorHAnsi" w:cstheme="minorHAnsi"/>
                <w:sz w:val="22"/>
                <w:szCs w:val="22"/>
              </w:rPr>
              <w:t>P</w:t>
            </w:r>
            <w:r w:rsidRPr="00462965">
              <w:rPr>
                <w:rFonts w:asciiTheme="minorHAnsi" w:hAnsiTheme="minorHAnsi" w:cstheme="minorHAnsi"/>
                <w:sz w:val="22"/>
                <w:szCs w:val="22"/>
              </w:rPr>
              <w:t>.</w:t>
            </w:r>
            <w:r w:rsidR="00655B36">
              <w:rPr>
                <w:rFonts w:asciiTheme="minorHAnsi" w:hAnsiTheme="minorHAnsi" w:cstheme="minorHAnsi"/>
                <w:sz w:val="22"/>
                <w:szCs w:val="22"/>
              </w:rPr>
              <w:t>U</w:t>
            </w:r>
            <w:r w:rsidRPr="00462965">
              <w:rPr>
                <w:rFonts w:asciiTheme="minorHAnsi" w:hAnsiTheme="minorHAnsi" w:cstheme="minorHAnsi"/>
                <w:sz w:val="22"/>
                <w:szCs w:val="22"/>
              </w:rPr>
              <w:t xml:space="preserve">. w obecnym kształcie nie wykluczają zmiany planu spłaty na wniosek upadłego w kierunku skrócenia jego okresu trwania przy zaspokojeniu wierzycieli na tym samym lub nawet wyższym poziomie. Wniosek o zmianę planu spłaty z uwagi na istotne polepszenie sytuacji majątkowej upadłego mogą złożyć nie tylko wierzyciele, ale i upadły. </w:t>
            </w:r>
          </w:p>
          <w:p w14:paraId="7725B91B" w14:textId="2E7A9B8B" w:rsidR="00F901C7" w:rsidRPr="00462965" w:rsidRDefault="00F901C7" w:rsidP="00462965">
            <w:pPr>
              <w:pStyle w:val="Default"/>
              <w:jc w:val="both"/>
              <w:rPr>
                <w:rFonts w:asciiTheme="minorHAnsi" w:hAnsiTheme="minorHAnsi" w:cstheme="minorHAnsi"/>
                <w:sz w:val="22"/>
                <w:szCs w:val="22"/>
              </w:rPr>
            </w:pPr>
            <w:r w:rsidRPr="00462965">
              <w:rPr>
                <w:rFonts w:asciiTheme="minorHAnsi" w:hAnsiTheme="minorHAnsi" w:cstheme="minorHAnsi"/>
                <w:sz w:val="22"/>
                <w:szCs w:val="22"/>
              </w:rPr>
              <w:lastRenderedPageBreak/>
              <w:t xml:space="preserve">Jeżeli poprawa sytuacji dłużnika będzie wynikała z wyższych dochodów lub niższych kosztów utrzymania niż przyjęte przez sąd upadłościowy przy ustalaniu planu spłaty to dla umożliwienia skrócenia okresu planu spłaty zasadnym byłoby wykreślenie w art. 370d ust. 2 </w:t>
            </w:r>
            <w:r w:rsidR="00655B36">
              <w:rPr>
                <w:rFonts w:asciiTheme="minorHAnsi" w:hAnsiTheme="minorHAnsi" w:cstheme="minorHAnsi"/>
                <w:sz w:val="22"/>
                <w:szCs w:val="22"/>
              </w:rPr>
              <w:t>P</w:t>
            </w:r>
            <w:r w:rsidRPr="00462965">
              <w:rPr>
                <w:rFonts w:asciiTheme="minorHAnsi" w:hAnsiTheme="minorHAnsi" w:cstheme="minorHAnsi"/>
                <w:sz w:val="22"/>
                <w:szCs w:val="22"/>
              </w:rPr>
              <w:t>.</w:t>
            </w:r>
            <w:r w:rsidR="00655B36">
              <w:rPr>
                <w:rFonts w:asciiTheme="minorHAnsi" w:hAnsiTheme="minorHAnsi" w:cstheme="minorHAnsi"/>
                <w:sz w:val="22"/>
                <w:szCs w:val="22"/>
              </w:rPr>
              <w:t>U</w:t>
            </w:r>
            <w:r w:rsidRPr="00462965">
              <w:rPr>
                <w:rFonts w:asciiTheme="minorHAnsi" w:hAnsiTheme="minorHAnsi" w:cstheme="minorHAnsi"/>
                <w:sz w:val="22"/>
                <w:szCs w:val="22"/>
              </w:rPr>
              <w:t>. i art. 491</w:t>
            </w:r>
            <w:r w:rsidR="00655B36">
              <w:rPr>
                <w:rFonts w:asciiTheme="minorHAnsi" w:hAnsiTheme="minorHAnsi" w:cstheme="minorHAnsi"/>
                <w:sz w:val="22"/>
                <w:szCs w:val="22"/>
                <w:vertAlign w:val="superscript"/>
              </w:rPr>
              <w:t>19</w:t>
            </w:r>
            <w:r w:rsidRPr="00462965">
              <w:rPr>
                <w:rFonts w:asciiTheme="minorHAnsi" w:hAnsiTheme="minorHAnsi" w:cstheme="minorHAnsi"/>
                <w:sz w:val="22"/>
                <w:szCs w:val="22"/>
              </w:rPr>
              <w:t xml:space="preserve"> ust. 3 </w:t>
            </w:r>
            <w:r w:rsidR="00256CD7">
              <w:rPr>
                <w:rFonts w:asciiTheme="minorHAnsi" w:hAnsiTheme="minorHAnsi" w:cstheme="minorHAnsi"/>
                <w:sz w:val="22"/>
                <w:szCs w:val="22"/>
              </w:rPr>
              <w:t>P</w:t>
            </w:r>
            <w:r w:rsidRPr="00462965">
              <w:rPr>
                <w:rFonts w:asciiTheme="minorHAnsi" w:hAnsiTheme="minorHAnsi" w:cstheme="minorHAnsi"/>
                <w:sz w:val="22"/>
                <w:szCs w:val="22"/>
              </w:rPr>
              <w:t>.</w:t>
            </w:r>
            <w:r w:rsidR="00256CD7">
              <w:rPr>
                <w:rFonts w:asciiTheme="minorHAnsi" w:hAnsiTheme="minorHAnsi" w:cstheme="minorHAnsi"/>
                <w:sz w:val="22"/>
                <w:szCs w:val="22"/>
              </w:rPr>
              <w:t>U</w:t>
            </w:r>
            <w:r w:rsidRPr="00462965">
              <w:rPr>
                <w:rFonts w:asciiTheme="minorHAnsi" w:hAnsiTheme="minorHAnsi" w:cstheme="minorHAnsi"/>
                <w:sz w:val="22"/>
                <w:szCs w:val="22"/>
              </w:rPr>
              <w:t xml:space="preserve">. fragmentu: „wynikającej z innych przyczyn niż zwiększenie się wynagrodzenia za pracę lub dochodów uzyskiwanych z osobiście wykonywanej przez upadłego działalności zarobkowej”. Zmiana taka pozwalałaby na skrócenie okresu wykonywania planu spłaty w przypadku polepszenia sytuacji upadłego niezależnie od przyczyn poprawy tej sytuacji, a ponadto lepiej niż obecne uregulowania wyrażałaby też zasadę z art. 2 ust. 1 </w:t>
            </w:r>
            <w:r w:rsidR="00571191">
              <w:rPr>
                <w:rFonts w:asciiTheme="minorHAnsi" w:hAnsiTheme="minorHAnsi" w:cstheme="minorHAnsi"/>
                <w:sz w:val="22"/>
                <w:szCs w:val="22"/>
              </w:rPr>
              <w:t>P</w:t>
            </w:r>
            <w:r w:rsidRPr="00462965">
              <w:rPr>
                <w:rFonts w:asciiTheme="minorHAnsi" w:hAnsiTheme="minorHAnsi" w:cstheme="minorHAnsi"/>
                <w:sz w:val="22"/>
                <w:szCs w:val="22"/>
              </w:rPr>
              <w:t>.</w:t>
            </w:r>
            <w:r w:rsidR="00571191">
              <w:rPr>
                <w:rFonts w:asciiTheme="minorHAnsi" w:hAnsiTheme="minorHAnsi" w:cstheme="minorHAnsi"/>
                <w:sz w:val="22"/>
                <w:szCs w:val="22"/>
              </w:rPr>
              <w:t>U</w:t>
            </w:r>
            <w:r w:rsidRPr="00462965">
              <w:rPr>
                <w:rFonts w:asciiTheme="minorHAnsi" w:hAnsiTheme="minorHAnsi" w:cstheme="minorHAnsi"/>
                <w:sz w:val="22"/>
                <w:szCs w:val="22"/>
              </w:rPr>
              <w:t xml:space="preserve">. nakazującą takie prowadzenie postępowania upadłościowego, aby roszczenia wierzycieli zostały zaspokojone w jak najwyższym stopniu, bowiem pozwalałaby na wzrost poziomu zaspokojenia wierzycieli wraz ze wzrostem poziomu dochodów upadłego. Zmiana taka ograniczyłaby też powszechny obecnie proceder zaniżania przez upadłych na etapie ustalania planu spłaty ich możliwości zarobkowych, bowiem istniałaby możliwość skorygowania planu spłaty w razie niedoszacowania dochodów upadłego. </w:t>
            </w:r>
          </w:p>
        </w:tc>
        <w:tc>
          <w:tcPr>
            <w:tcW w:w="1027" w:type="pct"/>
          </w:tcPr>
          <w:p w14:paraId="7D3B49D9" w14:textId="77777777" w:rsidR="00F901C7" w:rsidRPr="00CC7F2E" w:rsidRDefault="00F901C7" w:rsidP="00CC7F2E">
            <w:pPr>
              <w:jc w:val="both"/>
              <w:rPr>
                <w:rFonts w:ascii="Calibri" w:hAnsi="Calibri" w:cs="Calibri"/>
              </w:rPr>
            </w:pPr>
          </w:p>
        </w:tc>
        <w:tc>
          <w:tcPr>
            <w:tcW w:w="1108" w:type="pct"/>
          </w:tcPr>
          <w:p w14:paraId="0A6565CC" w14:textId="77777777" w:rsidR="00F901C7" w:rsidRPr="007368C7" w:rsidRDefault="008129ED" w:rsidP="00BC45D4">
            <w:pPr>
              <w:jc w:val="both"/>
              <w:rPr>
                <w:rFonts w:cstheme="minorHAnsi"/>
                <w:b/>
                <w:bCs/>
              </w:rPr>
            </w:pPr>
            <w:r w:rsidRPr="007368C7">
              <w:rPr>
                <w:rFonts w:cstheme="minorHAnsi"/>
                <w:b/>
                <w:bCs/>
              </w:rPr>
              <w:t>Uwaga nieuwzględniona</w:t>
            </w:r>
          </w:p>
          <w:p w14:paraId="668D1293" w14:textId="7D5A7E03" w:rsidR="008129ED" w:rsidRPr="007368C7" w:rsidRDefault="00763F21" w:rsidP="00BC45D4">
            <w:pPr>
              <w:jc w:val="both"/>
              <w:rPr>
                <w:rFonts w:cstheme="minorHAnsi"/>
              </w:rPr>
            </w:pPr>
            <w:r w:rsidRPr="007368C7">
              <w:rPr>
                <w:rFonts w:cstheme="minorHAnsi"/>
              </w:rPr>
              <w:t xml:space="preserve">Uwaga narusza cel upadłości konsumenckiej jakim jest oddłużenie osoby fizycznej. </w:t>
            </w:r>
          </w:p>
        </w:tc>
      </w:tr>
      <w:tr w:rsidR="00F901C7" w:rsidRPr="00486628" w14:paraId="0C75E8C3" w14:textId="77777777" w:rsidTr="00AC5078">
        <w:tc>
          <w:tcPr>
            <w:tcW w:w="158" w:type="pct"/>
          </w:tcPr>
          <w:p w14:paraId="72D65290" w14:textId="3157BEE8" w:rsidR="00F901C7" w:rsidRDefault="00F901C7" w:rsidP="005F7A15">
            <w:pPr>
              <w:jc w:val="center"/>
              <w:rPr>
                <w:rFonts w:cstheme="minorHAnsi"/>
              </w:rPr>
            </w:pPr>
            <w:r>
              <w:rPr>
                <w:rFonts w:cstheme="minorHAnsi"/>
              </w:rPr>
              <w:lastRenderedPageBreak/>
              <w:t>3</w:t>
            </w:r>
            <w:r w:rsidR="00AA645B">
              <w:rPr>
                <w:rFonts w:cstheme="minorHAnsi"/>
              </w:rPr>
              <w:t>2</w:t>
            </w:r>
          </w:p>
        </w:tc>
        <w:tc>
          <w:tcPr>
            <w:tcW w:w="698" w:type="pct"/>
          </w:tcPr>
          <w:p w14:paraId="232A51DB" w14:textId="26D6DD30" w:rsidR="00F901C7" w:rsidRPr="00F901C7" w:rsidRDefault="00F901C7" w:rsidP="0073232F">
            <w:pPr>
              <w:rPr>
                <w:rFonts w:ascii="Calibri" w:hAnsi="Calibri" w:cs="Calibri"/>
              </w:rPr>
            </w:pPr>
            <w:r w:rsidRPr="00F901C7">
              <w:rPr>
                <w:rFonts w:ascii="Calibri" w:hAnsi="Calibri" w:cs="Calibri"/>
              </w:rPr>
              <w:t>Polski Związek Zarządzania Wierzytelnościami</w:t>
            </w:r>
          </w:p>
        </w:tc>
        <w:tc>
          <w:tcPr>
            <w:tcW w:w="591" w:type="pct"/>
          </w:tcPr>
          <w:p w14:paraId="2992F5A2" w14:textId="1706276A" w:rsidR="00F901C7" w:rsidRPr="00F901C7" w:rsidRDefault="00F901C7" w:rsidP="00F901C7">
            <w:pPr>
              <w:rPr>
                <w:rFonts w:ascii="Calibri" w:hAnsi="Calibri" w:cs="Calibri"/>
              </w:rPr>
            </w:pPr>
            <w:r w:rsidRPr="006A7209">
              <w:rPr>
                <w:rFonts w:ascii="Calibri" w:hAnsi="Calibri" w:cs="Calibri"/>
                <w:b/>
                <w:bCs/>
              </w:rPr>
              <w:t>Art. 1 pkt 20</w:t>
            </w:r>
            <w:r w:rsidRPr="00F901C7">
              <w:rPr>
                <w:rFonts w:ascii="Calibri" w:hAnsi="Calibri" w:cs="Calibri"/>
              </w:rPr>
              <w:t xml:space="preserve"> (art. 491</w:t>
            </w:r>
            <w:r w:rsidR="006A7209">
              <w:rPr>
                <w:rFonts w:ascii="Calibri" w:hAnsi="Calibri" w:cs="Calibri"/>
                <w:vertAlign w:val="superscript"/>
              </w:rPr>
              <w:t>21</w:t>
            </w:r>
            <w:r w:rsidRPr="00F901C7">
              <w:rPr>
                <w:rFonts w:ascii="Calibri" w:hAnsi="Calibri" w:cs="Calibri"/>
              </w:rPr>
              <w:t xml:space="preserve"> ust. 3 </w:t>
            </w:r>
            <w:r w:rsidR="006A7209">
              <w:rPr>
                <w:rFonts w:ascii="Calibri" w:hAnsi="Calibri" w:cs="Calibri"/>
              </w:rPr>
              <w:t>P.U.</w:t>
            </w:r>
            <w:r w:rsidRPr="00F901C7">
              <w:rPr>
                <w:rFonts w:ascii="Calibri" w:hAnsi="Calibri" w:cs="Calibri"/>
              </w:rPr>
              <w:t>)</w:t>
            </w:r>
          </w:p>
        </w:tc>
        <w:tc>
          <w:tcPr>
            <w:tcW w:w="1418" w:type="pct"/>
          </w:tcPr>
          <w:p w14:paraId="05E60EBD" w14:textId="7E0D5355" w:rsidR="00F901C7" w:rsidRPr="00462965" w:rsidRDefault="00F901C7" w:rsidP="00462965">
            <w:pPr>
              <w:pStyle w:val="Default"/>
              <w:jc w:val="both"/>
              <w:rPr>
                <w:rFonts w:asciiTheme="minorHAnsi" w:hAnsiTheme="minorHAnsi" w:cstheme="minorHAnsi"/>
                <w:sz w:val="22"/>
                <w:szCs w:val="22"/>
              </w:rPr>
            </w:pPr>
            <w:r w:rsidRPr="00462965">
              <w:rPr>
                <w:rFonts w:asciiTheme="minorHAnsi" w:hAnsiTheme="minorHAnsi" w:cstheme="minorHAnsi"/>
                <w:sz w:val="22"/>
                <w:szCs w:val="22"/>
              </w:rPr>
              <w:t>Należy zauważyć, iż zarówno projektowany przepis, jak i przepis art. 491</w:t>
            </w:r>
            <w:r w:rsidR="006A7209" w:rsidRPr="00462965">
              <w:rPr>
                <w:rFonts w:asciiTheme="minorHAnsi" w:hAnsiTheme="minorHAnsi" w:cstheme="minorHAnsi"/>
                <w:sz w:val="22"/>
                <w:szCs w:val="22"/>
                <w:vertAlign w:val="superscript"/>
              </w:rPr>
              <w:t>21</w:t>
            </w:r>
            <w:r w:rsidRPr="00462965">
              <w:rPr>
                <w:rFonts w:asciiTheme="minorHAnsi" w:hAnsiTheme="minorHAnsi" w:cstheme="minorHAnsi"/>
                <w:sz w:val="22"/>
                <w:szCs w:val="22"/>
              </w:rPr>
              <w:t xml:space="preserve"> ust. 3 </w:t>
            </w:r>
            <w:r w:rsidR="006354CB">
              <w:rPr>
                <w:rFonts w:asciiTheme="minorHAnsi" w:hAnsiTheme="minorHAnsi" w:cstheme="minorHAnsi"/>
                <w:sz w:val="22"/>
                <w:szCs w:val="22"/>
              </w:rPr>
              <w:t>P.U</w:t>
            </w:r>
            <w:r w:rsidRPr="00462965">
              <w:rPr>
                <w:rFonts w:asciiTheme="minorHAnsi" w:hAnsiTheme="minorHAnsi" w:cstheme="minorHAnsi"/>
                <w:sz w:val="22"/>
                <w:szCs w:val="22"/>
              </w:rPr>
              <w:t xml:space="preserve">. w obecnym jego brzmieniu nie pozwala po </w:t>
            </w:r>
            <w:r w:rsidRPr="00462965">
              <w:rPr>
                <w:rFonts w:asciiTheme="minorHAnsi" w:hAnsiTheme="minorHAnsi" w:cstheme="minorHAnsi"/>
                <w:sz w:val="22"/>
                <w:szCs w:val="22"/>
              </w:rPr>
              <w:lastRenderedPageBreak/>
              <w:t>zakończeniu realizacji planu spłaty na wszczęcie postępowania egzekucyjnego co do wierzytelności powstałych po dniu ogłoszenia upadłości, a przed dniem ustalenia planu spłaty. Wierzytelności takie nie podlegają co do zasady zgłoszeniu do masy upadłości, bo nie powstały przed dniem ogłoszenia upadłości i nie są spłacane w ramach planu spłaty. Nie są też umarzane, bo umorzeniu podlegają tylko wierzytelności powstałe przed dniem ogłoszenia upadłości (art. 491</w:t>
            </w:r>
            <w:r w:rsidR="006A7209" w:rsidRPr="00462965">
              <w:rPr>
                <w:rFonts w:asciiTheme="minorHAnsi" w:hAnsiTheme="minorHAnsi" w:cstheme="minorHAnsi"/>
                <w:sz w:val="22"/>
                <w:szCs w:val="22"/>
                <w:vertAlign w:val="superscript"/>
              </w:rPr>
              <w:t>21</w:t>
            </w:r>
            <w:r w:rsidRPr="00462965">
              <w:rPr>
                <w:rFonts w:asciiTheme="minorHAnsi" w:hAnsiTheme="minorHAnsi" w:cstheme="minorHAnsi"/>
                <w:sz w:val="22"/>
                <w:szCs w:val="22"/>
              </w:rPr>
              <w:t xml:space="preserve"> ust. 1 p.u.), ale w praktyce nie można ich dochodzić z użyciem przymusu państwowego co oznacza, iż o ile dłużnik ich nie zapłaci dobrowolnie to dojdzie do ich przedawnienia.</w:t>
            </w:r>
          </w:p>
        </w:tc>
        <w:tc>
          <w:tcPr>
            <w:tcW w:w="1027" w:type="pct"/>
          </w:tcPr>
          <w:p w14:paraId="65D015B1" w14:textId="77777777" w:rsidR="00F901C7" w:rsidRPr="00CC7F2E" w:rsidRDefault="00F901C7" w:rsidP="00CC7F2E">
            <w:pPr>
              <w:jc w:val="both"/>
              <w:rPr>
                <w:rFonts w:ascii="Calibri" w:hAnsi="Calibri" w:cs="Calibri"/>
              </w:rPr>
            </w:pPr>
          </w:p>
        </w:tc>
        <w:tc>
          <w:tcPr>
            <w:tcW w:w="1108" w:type="pct"/>
          </w:tcPr>
          <w:p w14:paraId="7ADD0781" w14:textId="3BB930B2" w:rsidR="00F901C7" w:rsidRPr="007368C7" w:rsidRDefault="00E21AF1" w:rsidP="00BC45D4">
            <w:pPr>
              <w:jc w:val="both"/>
              <w:rPr>
                <w:rFonts w:cstheme="minorHAnsi"/>
                <w:b/>
                <w:bCs/>
              </w:rPr>
            </w:pPr>
            <w:r w:rsidRPr="007368C7">
              <w:rPr>
                <w:rFonts w:cstheme="minorHAnsi"/>
                <w:b/>
                <w:bCs/>
              </w:rPr>
              <w:t xml:space="preserve">Uwaga </w:t>
            </w:r>
            <w:r w:rsidR="00B80B52" w:rsidRPr="007368C7">
              <w:rPr>
                <w:rFonts w:cstheme="minorHAnsi"/>
                <w:b/>
                <w:bCs/>
              </w:rPr>
              <w:t>poza zakresem projektu</w:t>
            </w:r>
          </w:p>
        </w:tc>
      </w:tr>
      <w:tr w:rsidR="00B002B9" w:rsidRPr="00486628" w14:paraId="0A42B486" w14:textId="77777777" w:rsidTr="00AC5078">
        <w:tc>
          <w:tcPr>
            <w:tcW w:w="158" w:type="pct"/>
          </w:tcPr>
          <w:p w14:paraId="3A5A3DA6" w14:textId="50B1D0D3" w:rsidR="00B002B9" w:rsidRDefault="00B002B9" w:rsidP="005F7A15">
            <w:pPr>
              <w:jc w:val="center"/>
              <w:rPr>
                <w:rFonts w:cstheme="minorHAnsi"/>
              </w:rPr>
            </w:pPr>
            <w:r>
              <w:rPr>
                <w:rFonts w:cstheme="minorHAnsi"/>
              </w:rPr>
              <w:t>3</w:t>
            </w:r>
            <w:r w:rsidR="00AA645B">
              <w:rPr>
                <w:rFonts w:cstheme="minorHAnsi"/>
              </w:rPr>
              <w:t>3</w:t>
            </w:r>
          </w:p>
        </w:tc>
        <w:tc>
          <w:tcPr>
            <w:tcW w:w="698" w:type="pct"/>
          </w:tcPr>
          <w:p w14:paraId="32FBD4C2" w14:textId="177AEF2C" w:rsidR="00B002B9" w:rsidRPr="00F901C7" w:rsidRDefault="00B002B9" w:rsidP="0073232F">
            <w:pPr>
              <w:rPr>
                <w:rFonts w:ascii="Calibri" w:hAnsi="Calibri" w:cs="Calibri"/>
              </w:rPr>
            </w:pPr>
            <w:r>
              <w:rPr>
                <w:rFonts w:ascii="Calibri" w:hAnsi="Calibri" w:cs="Calibri"/>
              </w:rPr>
              <w:t>S</w:t>
            </w:r>
            <w:r w:rsidR="002F3920">
              <w:rPr>
                <w:rFonts w:ascii="Calibri" w:hAnsi="Calibri" w:cs="Calibri"/>
              </w:rPr>
              <w:t>ąd Najwyższy</w:t>
            </w:r>
          </w:p>
        </w:tc>
        <w:tc>
          <w:tcPr>
            <w:tcW w:w="591" w:type="pct"/>
          </w:tcPr>
          <w:p w14:paraId="021DECF3" w14:textId="350859EC" w:rsidR="00B002B9" w:rsidRPr="00B002B9" w:rsidRDefault="002F26FE" w:rsidP="00F901C7">
            <w:pPr>
              <w:rPr>
                <w:rFonts w:ascii="Calibri" w:hAnsi="Calibri" w:cs="Calibri"/>
              </w:rPr>
            </w:pPr>
            <w:r w:rsidRPr="002F26FE">
              <w:rPr>
                <w:rFonts w:ascii="Calibri" w:hAnsi="Calibri" w:cs="Calibri"/>
                <w:b/>
                <w:bCs/>
              </w:rPr>
              <w:t>Art. 1 pkt 9 i 20</w:t>
            </w:r>
            <w:r>
              <w:rPr>
                <w:rFonts w:ascii="Calibri" w:hAnsi="Calibri" w:cs="Calibri"/>
              </w:rPr>
              <w:t xml:space="preserve"> (</w:t>
            </w:r>
            <w:r w:rsidR="00B002B9" w:rsidRPr="00B002B9">
              <w:rPr>
                <w:rFonts w:ascii="Calibri" w:hAnsi="Calibri" w:cs="Calibri"/>
              </w:rPr>
              <w:t>art. 370f</w:t>
            </w:r>
            <w:r w:rsidR="00B002B9">
              <w:rPr>
                <w:rFonts w:ascii="Calibri" w:hAnsi="Calibri" w:cs="Calibri"/>
              </w:rPr>
              <w:t xml:space="preserve"> oraz 491</w:t>
            </w:r>
            <w:r w:rsidR="00B002B9">
              <w:rPr>
                <w:rFonts w:ascii="Calibri" w:hAnsi="Calibri" w:cs="Calibri"/>
                <w:vertAlign w:val="superscript"/>
              </w:rPr>
              <w:t>21</w:t>
            </w:r>
            <w:r w:rsidR="00B002B9">
              <w:rPr>
                <w:rFonts w:ascii="Calibri" w:hAnsi="Calibri" w:cs="Calibri"/>
              </w:rPr>
              <w:t xml:space="preserve"> P.U.</w:t>
            </w:r>
            <w:r>
              <w:rPr>
                <w:rFonts w:ascii="Calibri" w:hAnsi="Calibri" w:cs="Calibri"/>
              </w:rPr>
              <w:t>)</w:t>
            </w:r>
          </w:p>
        </w:tc>
        <w:tc>
          <w:tcPr>
            <w:tcW w:w="1418" w:type="pct"/>
          </w:tcPr>
          <w:p w14:paraId="5117CAEB" w14:textId="06EF1EC0" w:rsidR="00B002B9" w:rsidRPr="00462965" w:rsidRDefault="00B002B9" w:rsidP="00462965">
            <w:pPr>
              <w:pStyle w:val="Default"/>
              <w:jc w:val="both"/>
              <w:rPr>
                <w:rFonts w:asciiTheme="minorHAnsi" w:hAnsiTheme="minorHAnsi" w:cstheme="minorHAnsi"/>
                <w:sz w:val="22"/>
                <w:szCs w:val="22"/>
              </w:rPr>
            </w:pPr>
            <w:r w:rsidRPr="00462965">
              <w:rPr>
                <w:rFonts w:asciiTheme="minorHAnsi" w:hAnsiTheme="minorHAnsi" w:cstheme="minorHAnsi"/>
                <w:sz w:val="22"/>
                <w:szCs w:val="22"/>
              </w:rPr>
              <w:t>Ujawnianie numeru PESEL oraz NIP upadłego w publicznie dostępnym rejestrze może prowadzić do nadmiernej ingerencji w sferę prywatności. Cele identyfikacyjne mogłyby zostać osiągnięte przy zastosowaniu mniej inwazyjnych środków, takich jak data urodzenia lub ograniczony dostęp warstwowy.</w:t>
            </w:r>
          </w:p>
        </w:tc>
        <w:tc>
          <w:tcPr>
            <w:tcW w:w="1027" w:type="pct"/>
          </w:tcPr>
          <w:p w14:paraId="18D06C66" w14:textId="77777777" w:rsidR="00B002B9" w:rsidRPr="00CC7F2E" w:rsidRDefault="00B002B9" w:rsidP="00CC7F2E">
            <w:pPr>
              <w:jc w:val="both"/>
              <w:rPr>
                <w:rFonts w:ascii="Calibri" w:hAnsi="Calibri" w:cs="Calibri"/>
              </w:rPr>
            </w:pPr>
          </w:p>
        </w:tc>
        <w:tc>
          <w:tcPr>
            <w:tcW w:w="1108" w:type="pct"/>
          </w:tcPr>
          <w:p w14:paraId="1C9A8397" w14:textId="77777777" w:rsidR="00B002B9" w:rsidRPr="007368C7" w:rsidRDefault="00205E64" w:rsidP="00BC45D4">
            <w:pPr>
              <w:jc w:val="both"/>
              <w:rPr>
                <w:rFonts w:cstheme="minorHAnsi"/>
                <w:b/>
                <w:bCs/>
              </w:rPr>
            </w:pPr>
            <w:r w:rsidRPr="007368C7">
              <w:rPr>
                <w:rFonts w:cstheme="minorHAnsi"/>
                <w:b/>
                <w:bCs/>
              </w:rPr>
              <w:t>Uwaga nieuwzględniona</w:t>
            </w:r>
          </w:p>
          <w:p w14:paraId="0EDB3310" w14:textId="6906399A" w:rsidR="00205E64" w:rsidRPr="007368C7" w:rsidRDefault="000160AA" w:rsidP="00BC45D4">
            <w:pPr>
              <w:jc w:val="both"/>
              <w:rPr>
                <w:rFonts w:cstheme="minorHAnsi"/>
              </w:rPr>
            </w:pPr>
            <w:r w:rsidRPr="007368C7">
              <w:rPr>
                <w:rFonts w:cstheme="minorHAnsi"/>
              </w:rPr>
              <w:t>P</w:t>
            </w:r>
            <w:r w:rsidR="00205E64" w:rsidRPr="007368C7">
              <w:rPr>
                <w:rFonts w:cstheme="minorHAnsi"/>
              </w:rPr>
              <w:t>rzepis odzwierciedla treść sentencji postanowienia o ogłoszeniu upadłości – por. art. 51 ust. 1 pkt 1 P.U. i art. 5 ust. 1 pkt 5 ustawy z dnia 6 grudnia 2018 r. o Krajowym Rejestrze Zadłużonych.</w:t>
            </w:r>
            <w:r w:rsidRPr="007368C7">
              <w:rPr>
                <w:rFonts w:cstheme="minorHAnsi"/>
              </w:rPr>
              <w:t xml:space="preserve"> Dane, które mają zostać ujawniane w Rejestrze muszą w sposób jednoznaczny identyfikować dłużnika, a jednocześnie pozwalać na stosunkowo łatwe wyszukiwanie. W związku z powyższym niezbędne jest ujawnianie w Rejestrze numerów Powszechnego Elektronicznego Systemu Ewidencji Ludności </w:t>
            </w:r>
            <w:r w:rsidRPr="007368C7">
              <w:rPr>
                <w:rFonts w:cstheme="minorHAnsi"/>
              </w:rPr>
              <w:lastRenderedPageBreak/>
              <w:t>(numery PESEL). Numer PESEL stanowi „krajowy numer identyfikacyjny" w rozumieniu art. 87 rozporządzenia Parlamentu Europejskiego i Rady (UE) nr 2016/679 z dnia 27 kwietnia 2016 r. w sprawie ochrony osób fizycznych w związku z przetwarzaniem danych osobowych i w sprawie swobodnego przepływu takich danych oraz uchylenia dyrektywy 95/46/WE (ogólne rozporządzenie o ochronie danych) (Dz. Urz. UE L 119 z 04.05.2016, str. 1), co do którego to „krajowego numeru identyfikacyjnego" powołany przepis cytowanego rozporządzenia wprowadza dla państw członkowskich wymaganie, by jego przetwarzanie odbywało się z</w:t>
            </w:r>
            <w:r w:rsidR="006354CB" w:rsidRPr="007368C7">
              <w:rPr>
                <w:rFonts w:cstheme="minorHAnsi"/>
              </w:rPr>
              <w:t> </w:t>
            </w:r>
            <w:r w:rsidRPr="007368C7">
              <w:rPr>
                <w:rFonts w:cstheme="minorHAnsi"/>
              </w:rPr>
              <w:t>zachowaniem odpowiednich zabezpieczeń praw i wolności osoby, której dane dotyczą. Ujawnianie numeru PESEL w Krajowym Rejestrze Zadłużonych jest niezbędne dla</w:t>
            </w:r>
            <w:r w:rsidR="006354CB" w:rsidRPr="007368C7">
              <w:rPr>
                <w:rFonts w:cstheme="minorHAnsi"/>
              </w:rPr>
              <w:t xml:space="preserve"> </w:t>
            </w:r>
            <w:r w:rsidRPr="007368C7">
              <w:rPr>
                <w:rFonts w:cstheme="minorHAnsi"/>
              </w:rPr>
              <w:t xml:space="preserve">zagwarantowania rzetelności informacji udostępnianych za pośrednictwem Rejestru gdyż jest to – w odniesieniu do osób fizycznych – jedyny pewny i wiarygodny sposób identyfikacji </w:t>
            </w:r>
            <w:r w:rsidRPr="007368C7">
              <w:rPr>
                <w:rFonts w:cstheme="minorHAnsi"/>
              </w:rPr>
              <w:lastRenderedPageBreak/>
              <w:t>danej osoby.</w:t>
            </w:r>
            <w:r w:rsidR="00205E64" w:rsidRPr="007368C7">
              <w:rPr>
                <w:rFonts w:cstheme="minorHAnsi"/>
              </w:rPr>
              <w:t xml:space="preserve"> Ponadto z</w:t>
            </w:r>
            <w:r w:rsidRPr="007368C7">
              <w:rPr>
                <w:rFonts w:cstheme="minorHAnsi"/>
              </w:rPr>
              <w:t xml:space="preserve"> </w:t>
            </w:r>
            <w:r w:rsidR="00205E64" w:rsidRPr="007368C7">
              <w:rPr>
                <w:rFonts w:cstheme="minorHAnsi"/>
              </w:rPr>
              <w:t>godnie z art. 11 ustawy   z dnia 6 grudnia 2018 r. o Krajowym Rejestrze Zadłużonych, numer PESEL nie jest ujawniany „na zawsze” (por. art. 11 ustawy z dnia</w:t>
            </w:r>
            <w:r w:rsidR="006354CB" w:rsidRPr="007368C7">
              <w:rPr>
                <w:rFonts w:cstheme="minorHAnsi"/>
              </w:rPr>
              <w:t xml:space="preserve"> </w:t>
            </w:r>
            <w:r w:rsidR="00205E64" w:rsidRPr="007368C7">
              <w:rPr>
                <w:rFonts w:cstheme="minorHAnsi"/>
              </w:rPr>
              <w:t>6 grudnia 2018 r. o Krajowym Rejestrze Zadłużonych).</w:t>
            </w:r>
          </w:p>
        </w:tc>
      </w:tr>
      <w:tr w:rsidR="001943CC" w:rsidRPr="00486628" w14:paraId="4491D575" w14:textId="77777777" w:rsidTr="00AC5078">
        <w:tc>
          <w:tcPr>
            <w:tcW w:w="158" w:type="pct"/>
          </w:tcPr>
          <w:p w14:paraId="72477562" w14:textId="1FAE3E01" w:rsidR="001943CC" w:rsidRDefault="001943CC" w:rsidP="005F7A15">
            <w:pPr>
              <w:jc w:val="center"/>
              <w:rPr>
                <w:rFonts w:cstheme="minorHAnsi"/>
              </w:rPr>
            </w:pPr>
            <w:r>
              <w:rPr>
                <w:rFonts w:cstheme="minorHAnsi"/>
              </w:rPr>
              <w:lastRenderedPageBreak/>
              <w:t>3</w:t>
            </w:r>
            <w:r w:rsidR="00CD0B96">
              <w:rPr>
                <w:rFonts w:cstheme="minorHAnsi"/>
              </w:rPr>
              <w:t>4</w:t>
            </w:r>
          </w:p>
        </w:tc>
        <w:tc>
          <w:tcPr>
            <w:tcW w:w="698" w:type="pct"/>
          </w:tcPr>
          <w:p w14:paraId="3A6F16E1" w14:textId="7DC1775B" w:rsidR="001943CC" w:rsidRDefault="001943CC" w:rsidP="0073232F">
            <w:pPr>
              <w:rPr>
                <w:rFonts w:ascii="Calibri" w:hAnsi="Calibri" w:cs="Calibri"/>
              </w:rPr>
            </w:pPr>
            <w:r>
              <w:rPr>
                <w:rFonts w:ascii="Calibri" w:hAnsi="Calibri" w:cs="Calibri"/>
              </w:rPr>
              <w:t>S</w:t>
            </w:r>
            <w:r w:rsidR="002F3920">
              <w:rPr>
                <w:rFonts w:ascii="Calibri" w:hAnsi="Calibri" w:cs="Calibri"/>
              </w:rPr>
              <w:t>ąd Apelacyjny we</w:t>
            </w:r>
            <w:r w:rsidR="00800F21">
              <w:rPr>
                <w:rFonts w:ascii="Calibri" w:hAnsi="Calibri" w:cs="Calibri"/>
              </w:rPr>
              <w:t xml:space="preserve"> Wrocławiu </w:t>
            </w:r>
          </w:p>
        </w:tc>
        <w:tc>
          <w:tcPr>
            <w:tcW w:w="591" w:type="pct"/>
          </w:tcPr>
          <w:p w14:paraId="52CD8D54" w14:textId="059904DC" w:rsidR="001943CC" w:rsidRPr="00B002B9" w:rsidRDefault="002F26FE" w:rsidP="00F901C7">
            <w:pPr>
              <w:rPr>
                <w:rFonts w:ascii="Calibri" w:hAnsi="Calibri" w:cs="Calibri"/>
              </w:rPr>
            </w:pPr>
            <w:r w:rsidRPr="002F26FE">
              <w:rPr>
                <w:rFonts w:ascii="Calibri" w:hAnsi="Calibri" w:cs="Calibri"/>
                <w:b/>
                <w:bCs/>
              </w:rPr>
              <w:t>Ar. 1 pkt. 1</w:t>
            </w:r>
            <w:r>
              <w:rPr>
                <w:rFonts w:ascii="Calibri" w:hAnsi="Calibri" w:cs="Calibri"/>
              </w:rPr>
              <w:t xml:space="preserve"> (a</w:t>
            </w:r>
            <w:r w:rsidR="001943CC">
              <w:rPr>
                <w:rFonts w:ascii="Calibri" w:hAnsi="Calibri" w:cs="Calibri"/>
              </w:rPr>
              <w:t xml:space="preserve">rt. </w:t>
            </w:r>
            <w:r w:rsidR="001943CC" w:rsidRPr="001943CC">
              <w:rPr>
                <w:rFonts w:ascii="Calibri" w:hAnsi="Calibri" w:cs="Calibri"/>
              </w:rPr>
              <w:t>168 ust. 2a P.U.</w:t>
            </w:r>
            <w:r w:rsidR="00BD1DBD">
              <w:rPr>
                <w:rFonts w:ascii="Calibri" w:hAnsi="Calibri" w:cs="Calibri"/>
              </w:rPr>
              <w:t>)</w:t>
            </w:r>
          </w:p>
        </w:tc>
        <w:tc>
          <w:tcPr>
            <w:tcW w:w="1418" w:type="pct"/>
          </w:tcPr>
          <w:p w14:paraId="32B4C461" w14:textId="77777777" w:rsidR="000B26FD" w:rsidRPr="00462965" w:rsidRDefault="000B26FD" w:rsidP="00462965">
            <w:pPr>
              <w:pStyle w:val="Default"/>
              <w:jc w:val="both"/>
              <w:rPr>
                <w:rFonts w:asciiTheme="minorHAnsi" w:hAnsiTheme="minorHAnsi" w:cstheme="minorHAnsi"/>
                <w:sz w:val="22"/>
                <w:szCs w:val="22"/>
              </w:rPr>
            </w:pPr>
            <w:r w:rsidRPr="00462965">
              <w:rPr>
                <w:rFonts w:asciiTheme="minorHAnsi" w:hAnsiTheme="minorHAnsi" w:cstheme="minorHAnsi"/>
                <w:sz w:val="22"/>
                <w:szCs w:val="22"/>
              </w:rPr>
              <w:t>Projektowana zmiana zakłada niejako powrót do modelu rozpoznawania sprawozdań przez</w:t>
            </w:r>
          </w:p>
          <w:p w14:paraId="00F87E40" w14:textId="081D3A21" w:rsidR="000B26FD" w:rsidRPr="00462965" w:rsidRDefault="000B26FD" w:rsidP="00462965">
            <w:pPr>
              <w:pStyle w:val="Default"/>
              <w:jc w:val="both"/>
              <w:rPr>
                <w:rFonts w:asciiTheme="minorHAnsi" w:hAnsiTheme="minorHAnsi" w:cstheme="minorHAnsi"/>
                <w:sz w:val="22"/>
                <w:szCs w:val="22"/>
              </w:rPr>
            </w:pPr>
            <w:r w:rsidRPr="00462965">
              <w:rPr>
                <w:rFonts w:asciiTheme="minorHAnsi" w:hAnsiTheme="minorHAnsi" w:cstheme="minorHAnsi"/>
                <w:sz w:val="22"/>
                <w:szCs w:val="22"/>
              </w:rPr>
              <w:t>sędziego-komisarza sprzed grudnia 2021 r., jednocześnie pozostawiając wierzycielom</w:t>
            </w:r>
            <w:r w:rsidR="002F26FE" w:rsidRPr="00462965">
              <w:rPr>
                <w:rFonts w:asciiTheme="minorHAnsi" w:hAnsiTheme="minorHAnsi" w:cstheme="minorHAnsi"/>
                <w:sz w:val="22"/>
                <w:szCs w:val="22"/>
              </w:rPr>
              <w:t xml:space="preserve"> </w:t>
            </w:r>
            <w:r w:rsidRPr="00462965">
              <w:rPr>
                <w:rFonts w:asciiTheme="minorHAnsi" w:hAnsiTheme="minorHAnsi" w:cstheme="minorHAnsi"/>
                <w:sz w:val="22"/>
                <w:szCs w:val="22"/>
              </w:rPr>
              <w:t>możliwość wnoszenia zarzutów uczestnikom postępowania. W konsekwencji projektowany</w:t>
            </w:r>
          </w:p>
          <w:p w14:paraId="32B3B652" w14:textId="22A22266" w:rsidR="001943CC" w:rsidRPr="00462965" w:rsidRDefault="000B26FD" w:rsidP="00462965">
            <w:pPr>
              <w:pStyle w:val="Default"/>
              <w:jc w:val="both"/>
              <w:rPr>
                <w:rFonts w:asciiTheme="minorHAnsi" w:hAnsiTheme="minorHAnsi" w:cstheme="minorHAnsi"/>
                <w:sz w:val="22"/>
                <w:szCs w:val="22"/>
              </w:rPr>
            </w:pPr>
            <w:r w:rsidRPr="00462965">
              <w:rPr>
                <w:rFonts w:asciiTheme="minorHAnsi" w:hAnsiTheme="minorHAnsi" w:cstheme="minorHAnsi"/>
                <w:sz w:val="22"/>
                <w:szCs w:val="22"/>
              </w:rPr>
              <w:t>przepis doprowadzi do znacznego obciążenia sądów upadłościowych, konieczności</w:t>
            </w:r>
            <w:r w:rsidR="002F26FE" w:rsidRPr="00462965">
              <w:rPr>
                <w:rFonts w:asciiTheme="minorHAnsi" w:hAnsiTheme="minorHAnsi" w:cstheme="minorHAnsi"/>
                <w:sz w:val="22"/>
                <w:szCs w:val="22"/>
              </w:rPr>
              <w:t xml:space="preserve"> </w:t>
            </w:r>
            <w:r w:rsidRPr="00462965">
              <w:rPr>
                <w:rFonts w:asciiTheme="minorHAnsi" w:hAnsiTheme="minorHAnsi" w:cstheme="minorHAnsi"/>
                <w:sz w:val="22"/>
                <w:szCs w:val="22"/>
              </w:rPr>
              <w:t>rozpoznawania co trzymiesięcznych</w:t>
            </w:r>
            <w:r w:rsidR="002F26FE" w:rsidRPr="00462965">
              <w:rPr>
                <w:rFonts w:asciiTheme="minorHAnsi" w:hAnsiTheme="minorHAnsi" w:cstheme="minorHAnsi"/>
                <w:sz w:val="22"/>
                <w:szCs w:val="22"/>
              </w:rPr>
              <w:t xml:space="preserve"> s</w:t>
            </w:r>
            <w:r w:rsidRPr="00462965">
              <w:rPr>
                <w:rFonts w:asciiTheme="minorHAnsi" w:hAnsiTheme="minorHAnsi" w:cstheme="minorHAnsi"/>
                <w:sz w:val="22"/>
                <w:szCs w:val="22"/>
              </w:rPr>
              <w:t>prawozdań w postępowaniach</w:t>
            </w:r>
            <w:r w:rsidR="002F26FE" w:rsidRPr="00462965">
              <w:rPr>
                <w:rFonts w:asciiTheme="minorHAnsi" w:hAnsiTheme="minorHAnsi" w:cstheme="minorHAnsi"/>
                <w:sz w:val="22"/>
                <w:szCs w:val="22"/>
              </w:rPr>
              <w:t xml:space="preserve"> </w:t>
            </w:r>
            <w:r w:rsidRPr="00462965">
              <w:rPr>
                <w:rFonts w:asciiTheme="minorHAnsi" w:hAnsiTheme="minorHAnsi" w:cstheme="minorHAnsi"/>
                <w:sz w:val="22"/>
                <w:szCs w:val="22"/>
              </w:rPr>
              <w:t>upadłościowych</w:t>
            </w:r>
            <w:r w:rsidR="002F26FE" w:rsidRPr="00462965">
              <w:rPr>
                <w:rFonts w:asciiTheme="minorHAnsi" w:hAnsiTheme="minorHAnsi" w:cstheme="minorHAnsi"/>
                <w:sz w:val="22"/>
                <w:szCs w:val="22"/>
              </w:rPr>
              <w:t xml:space="preserve"> </w:t>
            </w:r>
            <w:r w:rsidRPr="00462965">
              <w:rPr>
                <w:rFonts w:asciiTheme="minorHAnsi" w:hAnsiTheme="minorHAnsi" w:cstheme="minorHAnsi"/>
                <w:sz w:val="22"/>
                <w:szCs w:val="22"/>
              </w:rPr>
              <w:t>prowadzonych wobec przedsiębiorców oraz tzw. postępowaniach upadłościowych</w:t>
            </w:r>
            <w:r w:rsidR="002F26FE" w:rsidRPr="00462965">
              <w:rPr>
                <w:rFonts w:asciiTheme="minorHAnsi" w:hAnsiTheme="minorHAnsi" w:cstheme="minorHAnsi"/>
                <w:sz w:val="22"/>
                <w:szCs w:val="22"/>
              </w:rPr>
              <w:t xml:space="preserve"> </w:t>
            </w:r>
            <w:r w:rsidRPr="00462965">
              <w:rPr>
                <w:rFonts w:asciiTheme="minorHAnsi" w:hAnsiTheme="minorHAnsi" w:cstheme="minorHAnsi"/>
                <w:sz w:val="22"/>
                <w:szCs w:val="22"/>
              </w:rPr>
              <w:t>konsumenckich komisarskich, prowadzonych na podstawie art. 491</w:t>
            </w:r>
            <w:r w:rsidRPr="00462965">
              <w:rPr>
                <w:rFonts w:asciiTheme="minorHAnsi" w:hAnsiTheme="minorHAnsi" w:cstheme="minorHAnsi"/>
                <w:sz w:val="22"/>
                <w:szCs w:val="22"/>
                <w:vertAlign w:val="superscript"/>
              </w:rPr>
              <w:t>1</w:t>
            </w:r>
            <w:r w:rsidRPr="00462965">
              <w:rPr>
                <w:rFonts w:asciiTheme="minorHAnsi" w:hAnsiTheme="minorHAnsi" w:cstheme="minorHAnsi"/>
                <w:sz w:val="22"/>
                <w:szCs w:val="22"/>
              </w:rPr>
              <w:t xml:space="preserve"> ust. 2 P.U.</w:t>
            </w:r>
          </w:p>
        </w:tc>
        <w:tc>
          <w:tcPr>
            <w:tcW w:w="1027" w:type="pct"/>
          </w:tcPr>
          <w:p w14:paraId="3366235C" w14:textId="77777777" w:rsidR="001943CC" w:rsidRPr="00CC7F2E" w:rsidRDefault="001943CC" w:rsidP="00CC7F2E">
            <w:pPr>
              <w:jc w:val="both"/>
              <w:rPr>
                <w:rFonts w:ascii="Calibri" w:hAnsi="Calibri" w:cs="Calibri"/>
              </w:rPr>
            </w:pPr>
          </w:p>
        </w:tc>
        <w:tc>
          <w:tcPr>
            <w:tcW w:w="1108" w:type="pct"/>
          </w:tcPr>
          <w:p w14:paraId="43DBA353" w14:textId="77777777" w:rsidR="001943CC" w:rsidRPr="007368C7" w:rsidRDefault="00B5636C" w:rsidP="00BC45D4">
            <w:pPr>
              <w:jc w:val="both"/>
              <w:rPr>
                <w:rFonts w:cstheme="minorHAnsi"/>
                <w:b/>
                <w:bCs/>
              </w:rPr>
            </w:pPr>
            <w:r w:rsidRPr="007368C7">
              <w:rPr>
                <w:rFonts w:cstheme="minorHAnsi"/>
                <w:b/>
                <w:bCs/>
              </w:rPr>
              <w:t>Uwaga nieuwzględniona</w:t>
            </w:r>
          </w:p>
          <w:p w14:paraId="70674368" w14:textId="1AF58E45" w:rsidR="00FF6700" w:rsidRPr="007368C7" w:rsidRDefault="00FF6700" w:rsidP="00BC45D4">
            <w:pPr>
              <w:jc w:val="both"/>
              <w:rPr>
                <w:rFonts w:cstheme="minorHAnsi"/>
              </w:rPr>
            </w:pPr>
            <w:r w:rsidRPr="007368C7">
              <w:rPr>
                <w:rFonts w:cstheme="minorHAnsi"/>
              </w:rPr>
              <w:t>Mając na uwadze konieczność ochrony interesów drobnych wierzycieli w całym procesie upadłościowym ze szczególnym uwzględnieniem sytuacji umorzenia zobowiązań upadłego, jak i ustalenia lub zmiany planu spłaty poszczególnych wierzycieli, istnieje konieczność wzmocnienia nadzoru sędziego-komisarza nad toczącymi się</w:t>
            </w:r>
            <w:r w:rsidR="00D30EB3" w:rsidRPr="007368C7">
              <w:rPr>
                <w:rFonts w:cstheme="minorHAnsi"/>
              </w:rPr>
              <w:t xml:space="preserve"> </w:t>
            </w:r>
            <w:r w:rsidRPr="007368C7">
              <w:rPr>
                <w:rFonts w:cstheme="minorHAnsi"/>
              </w:rPr>
              <w:t>postępowaniami</w:t>
            </w:r>
            <w:r w:rsidR="00D30EB3" w:rsidRPr="007368C7">
              <w:rPr>
                <w:rFonts w:cstheme="minorHAnsi"/>
              </w:rPr>
              <w:t xml:space="preserve"> </w:t>
            </w:r>
            <w:r w:rsidRPr="007368C7">
              <w:rPr>
                <w:rFonts w:cstheme="minorHAnsi"/>
              </w:rPr>
              <w:t>upadłościowymi.</w:t>
            </w:r>
          </w:p>
        </w:tc>
      </w:tr>
      <w:tr w:rsidR="00800F21" w:rsidRPr="00486628" w14:paraId="674EAE10" w14:textId="77777777" w:rsidTr="00AC5078">
        <w:tc>
          <w:tcPr>
            <w:tcW w:w="158" w:type="pct"/>
          </w:tcPr>
          <w:p w14:paraId="4C52338E" w14:textId="21CCD14A" w:rsidR="00800F21" w:rsidRDefault="00800F21" w:rsidP="005F7A15">
            <w:pPr>
              <w:jc w:val="center"/>
              <w:rPr>
                <w:rFonts w:cstheme="minorHAnsi"/>
              </w:rPr>
            </w:pPr>
            <w:r>
              <w:rPr>
                <w:rFonts w:cstheme="minorHAnsi"/>
              </w:rPr>
              <w:t>3</w:t>
            </w:r>
            <w:r w:rsidR="00CD0B96">
              <w:rPr>
                <w:rFonts w:cstheme="minorHAnsi"/>
              </w:rPr>
              <w:t>5</w:t>
            </w:r>
          </w:p>
        </w:tc>
        <w:tc>
          <w:tcPr>
            <w:tcW w:w="698" w:type="pct"/>
          </w:tcPr>
          <w:p w14:paraId="0890A2A9" w14:textId="29C3EA30" w:rsidR="00800F21" w:rsidRDefault="00800F21" w:rsidP="0073232F">
            <w:pPr>
              <w:rPr>
                <w:rFonts w:ascii="Calibri" w:hAnsi="Calibri" w:cs="Calibri"/>
              </w:rPr>
            </w:pPr>
            <w:r>
              <w:rPr>
                <w:rFonts w:ascii="Calibri" w:hAnsi="Calibri" w:cs="Calibri"/>
              </w:rPr>
              <w:t>S</w:t>
            </w:r>
            <w:r w:rsidR="002F3920">
              <w:rPr>
                <w:rFonts w:ascii="Calibri" w:hAnsi="Calibri" w:cs="Calibri"/>
              </w:rPr>
              <w:t xml:space="preserve">ąd Apelacyjny </w:t>
            </w:r>
            <w:r>
              <w:rPr>
                <w:rFonts w:ascii="Calibri" w:hAnsi="Calibri" w:cs="Calibri"/>
              </w:rPr>
              <w:t xml:space="preserve">we Wrocławiu </w:t>
            </w:r>
          </w:p>
        </w:tc>
        <w:tc>
          <w:tcPr>
            <w:tcW w:w="591" w:type="pct"/>
          </w:tcPr>
          <w:p w14:paraId="1704577C" w14:textId="77777777" w:rsidR="002F3920" w:rsidRPr="00F901C7" w:rsidRDefault="002F3920" w:rsidP="002F3920">
            <w:pPr>
              <w:rPr>
                <w:rFonts w:ascii="Calibri" w:hAnsi="Calibri" w:cs="Calibri"/>
              </w:rPr>
            </w:pPr>
            <w:r w:rsidRPr="007A6D8F">
              <w:rPr>
                <w:rFonts w:ascii="Calibri" w:hAnsi="Calibri" w:cs="Calibri"/>
                <w:b/>
                <w:bCs/>
              </w:rPr>
              <w:t>Art. 1 pkt 7, 18</w:t>
            </w:r>
            <w:r w:rsidRPr="00F901C7">
              <w:rPr>
                <w:rFonts w:ascii="Calibri" w:hAnsi="Calibri" w:cs="Calibri"/>
              </w:rPr>
              <w:t xml:space="preserve"> (art. 370 d ust. 2a</w:t>
            </w:r>
            <w:r>
              <w:rPr>
                <w:rFonts w:ascii="Calibri" w:hAnsi="Calibri" w:cs="Calibri"/>
              </w:rPr>
              <w:t xml:space="preserve">, </w:t>
            </w:r>
            <w:r w:rsidRPr="00F901C7">
              <w:rPr>
                <w:rFonts w:ascii="Calibri" w:hAnsi="Calibri" w:cs="Calibri"/>
              </w:rPr>
              <w:t>art. 491</w:t>
            </w:r>
            <w:r>
              <w:rPr>
                <w:rFonts w:ascii="Calibri" w:hAnsi="Calibri" w:cs="Calibri"/>
                <w:vertAlign w:val="superscript"/>
              </w:rPr>
              <w:t>19</w:t>
            </w:r>
            <w:r w:rsidRPr="00F901C7">
              <w:rPr>
                <w:rFonts w:ascii="Calibri" w:hAnsi="Calibri" w:cs="Calibri"/>
              </w:rPr>
              <w:t xml:space="preserve"> ust. 3a </w:t>
            </w:r>
            <w:r>
              <w:rPr>
                <w:rFonts w:ascii="Calibri" w:hAnsi="Calibri" w:cs="Calibri"/>
              </w:rPr>
              <w:t>P.U.</w:t>
            </w:r>
            <w:r w:rsidRPr="00F901C7">
              <w:rPr>
                <w:rFonts w:ascii="Calibri" w:hAnsi="Calibri" w:cs="Calibri"/>
              </w:rPr>
              <w:t>)</w:t>
            </w:r>
          </w:p>
          <w:p w14:paraId="2FBCD93B" w14:textId="1D15807D" w:rsidR="00800F21" w:rsidRDefault="00800F21" w:rsidP="00F901C7">
            <w:pPr>
              <w:rPr>
                <w:rFonts w:ascii="Calibri" w:hAnsi="Calibri" w:cs="Calibri"/>
              </w:rPr>
            </w:pPr>
          </w:p>
        </w:tc>
        <w:tc>
          <w:tcPr>
            <w:tcW w:w="1418" w:type="pct"/>
          </w:tcPr>
          <w:p w14:paraId="3E102986" w14:textId="23EB0D71" w:rsidR="00800F21" w:rsidRPr="00462965" w:rsidRDefault="00800F21" w:rsidP="00462965">
            <w:pPr>
              <w:pStyle w:val="Default"/>
              <w:jc w:val="both"/>
              <w:rPr>
                <w:rFonts w:asciiTheme="minorHAnsi" w:hAnsiTheme="minorHAnsi" w:cstheme="minorHAnsi"/>
                <w:sz w:val="22"/>
                <w:szCs w:val="22"/>
              </w:rPr>
            </w:pPr>
            <w:r w:rsidRPr="00462965">
              <w:rPr>
                <w:rFonts w:asciiTheme="minorHAnsi" w:hAnsiTheme="minorHAnsi" w:cstheme="minorHAnsi"/>
                <w:sz w:val="22"/>
                <w:szCs w:val="22"/>
              </w:rPr>
              <w:t>Zgodnie z obowiązującą dotychczas zasadą, upadły mógł dokonać wcześniejszej spłaty planu</w:t>
            </w:r>
            <w:r w:rsidR="002F3920" w:rsidRPr="00462965">
              <w:rPr>
                <w:rFonts w:asciiTheme="minorHAnsi" w:hAnsiTheme="minorHAnsi" w:cstheme="minorHAnsi"/>
                <w:sz w:val="22"/>
                <w:szCs w:val="22"/>
              </w:rPr>
              <w:t xml:space="preserve"> </w:t>
            </w:r>
            <w:r w:rsidRPr="00462965">
              <w:rPr>
                <w:rFonts w:asciiTheme="minorHAnsi" w:hAnsiTheme="minorHAnsi" w:cstheme="minorHAnsi"/>
                <w:sz w:val="22"/>
                <w:szCs w:val="22"/>
              </w:rPr>
              <w:t>spłat. Regulacja ta umożliwiała upadłemu szybsze zakończenie realizacji planu spłat, ale</w:t>
            </w:r>
            <w:r w:rsidR="002F3920" w:rsidRPr="00462965">
              <w:rPr>
                <w:rFonts w:asciiTheme="minorHAnsi" w:hAnsiTheme="minorHAnsi" w:cstheme="minorHAnsi"/>
                <w:sz w:val="22"/>
                <w:szCs w:val="22"/>
              </w:rPr>
              <w:t xml:space="preserve"> </w:t>
            </w:r>
            <w:r w:rsidRPr="00462965">
              <w:rPr>
                <w:rFonts w:asciiTheme="minorHAnsi" w:hAnsiTheme="minorHAnsi" w:cstheme="minorHAnsi"/>
                <w:sz w:val="22"/>
                <w:szCs w:val="22"/>
              </w:rPr>
              <w:t>również szybsze zaspokojenie przez wierzyciela.</w:t>
            </w:r>
          </w:p>
          <w:p w14:paraId="1410A756" w14:textId="208ACAC0" w:rsidR="00800F21" w:rsidRPr="00462965" w:rsidRDefault="00800F21" w:rsidP="00462965">
            <w:pPr>
              <w:pStyle w:val="Default"/>
              <w:jc w:val="both"/>
              <w:rPr>
                <w:rFonts w:asciiTheme="minorHAnsi" w:hAnsiTheme="minorHAnsi" w:cstheme="minorHAnsi"/>
                <w:sz w:val="22"/>
                <w:szCs w:val="22"/>
              </w:rPr>
            </w:pPr>
            <w:r w:rsidRPr="00462965">
              <w:rPr>
                <w:rFonts w:asciiTheme="minorHAnsi" w:hAnsiTheme="minorHAnsi" w:cstheme="minorHAnsi"/>
                <w:sz w:val="22"/>
                <w:szCs w:val="22"/>
              </w:rPr>
              <w:t>Projektowana regulacja stoi w sprzeczności zarówno z interesami upadłego, jak i wierzycieli.</w:t>
            </w:r>
            <w:r w:rsidR="002F3920" w:rsidRPr="00462965">
              <w:rPr>
                <w:rFonts w:asciiTheme="minorHAnsi" w:hAnsiTheme="minorHAnsi" w:cstheme="minorHAnsi"/>
                <w:sz w:val="22"/>
                <w:szCs w:val="22"/>
              </w:rPr>
              <w:t xml:space="preserve"> </w:t>
            </w:r>
            <w:r w:rsidRPr="00462965">
              <w:rPr>
                <w:rFonts w:asciiTheme="minorHAnsi" w:hAnsiTheme="minorHAnsi" w:cstheme="minorHAnsi"/>
                <w:sz w:val="22"/>
                <w:szCs w:val="22"/>
              </w:rPr>
              <w:t xml:space="preserve">W szczególności regulacja nie uwzględnia szeregu okoliczności, które mogą </w:t>
            </w:r>
            <w:r w:rsidRPr="00462965">
              <w:rPr>
                <w:rFonts w:asciiTheme="minorHAnsi" w:hAnsiTheme="minorHAnsi" w:cstheme="minorHAnsi"/>
                <w:sz w:val="22"/>
                <w:szCs w:val="22"/>
              </w:rPr>
              <w:lastRenderedPageBreak/>
              <w:t>wpłynąć na</w:t>
            </w:r>
            <w:r w:rsidR="002F3920" w:rsidRPr="00462965">
              <w:rPr>
                <w:rFonts w:asciiTheme="minorHAnsi" w:hAnsiTheme="minorHAnsi" w:cstheme="minorHAnsi"/>
                <w:sz w:val="22"/>
                <w:szCs w:val="22"/>
              </w:rPr>
              <w:t xml:space="preserve"> </w:t>
            </w:r>
            <w:r w:rsidRPr="00462965">
              <w:rPr>
                <w:rFonts w:asciiTheme="minorHAnsi" w:hAnsiTheme="minorHAnsi" w:cstheme="minorHAnsi"/>
                <w:sz w:val="22"/>
                <w:szCs w:val="22"/>
              </w:rPr>
              <w:t>potencjalną konieczność szybszej spłaty planu przez upadłego. Pozostawanie w trakcie</w:t>
            </w:r>
            <w:r w:rsidR="002F3920" w:rsidRPr="00462965">
              <w:rPr>
                <w:rFonts w:asciiTheme="minorHAnsi" w:hAnsiTheme="minorHAnsi" w:cstheme="minorHAnsi"/>
                <w:sz w:val="22"/>
                <w:szCs w:val="22"/>
              </w:rPr>
              <w:t xml:space="preserve"> </w:t>
            </w:r>
            <w:r w:rsidRPr="00462965">
              <w:rPr>
                <w:rFonts w:asciiTheme="minorHAnsi" w:hAnsiTheme="minorHAnsi" w:cstheme="minorHAnsi"/>
                <w:sz w:val="22"/>
                <w:szCs w:val="22"/>
              </w:rPr>
              <w:t>wykonywania planu spłat nierzadko stanowi negatywną przesłankę ponownego ubiegania się</w:t>
            </w:r>
            <w:r w:rsidR="002F3920" w:rsidRPr="00462965">
              <w:rPr>
                <w:rFonts w:asciiTheme="minorHAnsi" w:hAnsiTheme="minorHAnsi" w:cstheme="minorHAnsi"/>
                <w:sz w:val="22"/>
                <w:szCs w:val="22"/>
              </w:rPr>
              <w:t xml:space="preserve"> </w:t>
            </w:r>
            <w:r w:rsidRPr="00462965">
              <w:rPr>
                <w:rFonts w:asciiTheme="minorHAnsi" w:hAnsiTheme="minorHAnsi" w:cstheme="minorHAnsi"/>
                <w:sz w:val="22"/>
                <w:szCs w:val="22"/>
              </w:rPr>
              <w:t>o wstąpienie w stosunek najmu komunalnego z gminą, czy starania się o dofinansowanie</w:t>
            </w:r>
            <w:r w:rsidR="002F3920" w:rsidRPr="00462965">
              <w:rPr>
                <w:rFonts w:asciiTheme="minorHAnsi" w:hAnsiTheme="minorHAnsi" w:cstheme="minorHAnsi"/>
                <w:sz w:val="22"/>
                <w:szCs w:val="22"/>
              </w:rPr>
              <w:t xml:space="preserve"> </w:t>
            </w:r>
            <w:r w:rsidRPr="00462965">
              <w:rPr>
                <w:rFonts w:asciiTheme="minorHAnsi" w:hAnsiTheme="minorHAnsi" w:cstheme="minorHAnsi"/>
                <w:sz w:val="22"/>
                <w:szCs w:val="22"/>
              </w:rPr>
              <w:t>w gminie na wymianę pieca.</w:t>
            </w:r>
          </w:p>
          <w:p w14:paraId="664C738C" w14:textId="10FBDD7E" w:rsidR="00800F21" w:rsidRPr="00462965" w:rsidRDefault="00800F21" w:rsidP="00462965">
            <w:pPr>
              <w:pStyle w:val="Default"/>
              <w:jc w:val="both"/>
              <w:rPr>
                <w:rFonts w:asciiTheme="minorHAnsi" w:hAnsiTheme="minorHAnsi" w:cstheme="minorHAnsi"/>
                <w:sz w:val="22"/>
                <w:szCs w:val="22"/>
              </w:rPr>
            </w:pPr>
            <w:r w:rsidRPr="00462965">
              <w:rPr>
                <w:rFonts w:asciiTheme="minorHAnsi" w:hAnsiTheme="minorHAnsi" w:cstheme="minorHAnsi"/>
                <w:sz w:val="22"/>
                <w:szCs w:val="22"/>
              </w:rPr>
              <w:t>Tym samym odgórne uniemożliwienie skrócenia okresu wykonywania planu spłat</w:t>
            </w:r>
            <w:r w:rsidR="000775D8" w:rsidRPr="00462965">
              <w:rPr>
                <w:rFonts w:asciiTheme="minorHAnsi" w:hAnsiTheme="minorHAnsi" w:cstheme="minorHAnsi"/>
                <w:sz w:val="22"/>
                <w:szCs w:val="22"/>
              </w:rPr>
              <w:t xml:space="preserve"> </w:t>
            </w:r>
            <w:r w:rsidRPr="00462965">
              <w:rPr>
                <w:rFonts w:asciiTheme="minorHAnsi" w:hAnsiTheme="minorHAnsi" w:cstheme="minorHAnsi"/>
                <w:sz w:val="22"/>
                <w:szCs w:val="22"/>
              </w:rPr>
              <w:t>i wcześniejszego stwierdzenia jego wykonania może prowadzić do pokrzywdzenia upadłego.</w:t>
            </w:r>
          </w:p>
          <w:p w14:paraId="7AE669DF" w14:textId="1DF9AA89" w:rsidR="00800F21" w:rsidRPr="00462965" w:rsidRDefault="00800F21" w:rsidP="00462965">
            <w:pPr>
              <w:pStyle w:val="Default"/>
              <w:jc w:val="both"/>
              <w:rPr>
                <w:rFonts w:asciiTheme="minorHAnsi" w:hAnsiTheme="minorHAnsi" w:cstheme="minorHAnsi"/>
                <w:sz w:val="22"/>
                <w:szCs w:val="22"/>
              </w:rPr>
            </w:pPr>
            <w:r w:rsidRPr="00462965">
              <w:rPr>
                <w:rFonts w:asciiTheme="minorHAnsi" w:hAnsiTheme="minorHAnsi" w:cstheme="minorHAnsi"/>
                <w:sz w:val="22"/>
                <w:szCs w:val="22"/>
              </w:rPr>
              <w:t>Jednocześnie w interesie wierzyciela leży jak najszybsza spłata w ramach planu spłat</w:t>
            </w:r>
          </w:p>
        </w:tc>
        <w:tc>
          <w:tcPr>
            <w:tcW w:w="1027" w:type="pct"/>
          </w:tcPr>
          <w:p w14:paraId="74788E1D" w14:textId="77777777" w:rsidR="00800F21" w:rsidRPr="00CC7F2E" w:rsidRDefault="00800F21" w:rsidP="00CC7F2E">
            <w:pPr>
              <w:jc w:val="both"/>
              <w:rPr>
                <w:rFonts w:ascii="Calibri" w:hAnsi="Calibri" w:cs="Calibri"/>
              </w:rPr>
            </w:pPr>
          </w:p>
        </w:tc>
        <w:tc>
          <w:tcPr>
            <w:tcW w:w="1108" w:type="pct"/>
          </w:tcPr>
          <w:p w14:paraId="215E473F" w14:textId="77777777" w:rsidR="008E5AA4" w:rsidRPr="007368C7" w:rsidRDefault="00B5636C" w:rsidP="00BC45D4">
            <w:pPr>
              <w:jc w:val="both"/>
              <w:rPr>
                <w:rFonts w:cstheme="minorHAnsi"/>
                <w:b/>
                <w:bCs/>
              </w:rPr>
            </w:pPr>
            <w:r w:rsidRPr="007368C7">
              <w:rPr>
                <w:rFonts w:cstheme="minorHAnsi"/>
                <w:b/>
                <w:bCs/>
              </w:rPr>
              <w:t>Uwaga uwzględniona</w:t>
            </w:r>
          </w:p>
          <w:p w14:paraId="55F5100B" w14:textId="68D75B6E" w:rsidR="00B5636C" w:rsidRPr="007368C7" w:rsidRDefault="008E5AA4" w:rsidP="00BC45D4">
            <w:pPr>
              <w:jc w:val="both"/>
              <w:rPr>
                <w:rFonts w:cstheme="minorHAnsi"/>
              </w:rPr>
            </w:pPr>
            <w:r w:rsidRPr="007368C7">
              <w:rPr>
                <w:rFonts w:cstheme="minorHAnsi"/>
              </w:rPr>
              <w:t>Zmien</w:t>
            </w:r>
            <w:r w:rsidR="007B2BD1" w:rsidRPr="007368C7">
              <w:rPr>
                <w:rFonts w:cstheme="minorHAnsi"/>
              </w:rPr>
              <w:t>iono</w:t>
            </w:r>
            <w:r w:rsidRPr="007368C7">
              <w:rPr>
                <w:rFonts w:cstheme="minorHAnsi"/>
              </w:rPr>
              <w:t xml:space="preserve"> brzmienie przepisów objętych uwagą w taki sposób, że: </w:t>
            </w:r>
          </w:p>
          <w:p w14:paraId="59842F0F" w14:textId="1DD6BD70" w:rsidR="008E5AA4" w:rsidRPr="007368C7" w:rsidRDefault="008E5AA4" w:rsidP="00BC45D4">
            <w:pPr>
              <w:jc w:val="both"/>
              <w:rPr>
                <w:rFonts w:cstheme="minorHAnsi"/>
              </w:rPr>
            </w:pPr>
            <w:r w:rsidRPr="007368C7">
              <w:rPr>
                <w:rFonts w:cstheme="minorHAnsi"/>
              </w:rPr>
              <w:t>491</w:t>
            </w:r>
            <w:r w:rsidRPr="007368C7">
              <w:rPr>
                <w:rFonts w:cstheme="minorHAnsi"/>
                <w:vertAlign w:val="superscript"/>
              </w:rPr>
              <w:t xml:space="preserve">19 </w:t>
            </w:r>
            <w:r w:rsidRPr="007368C7">
              <w:rPr>
                <w:rFonts w:cstheme="minorHAnsi"/>
              </w:rPr>
              <w:t xml:space="preserve">ust. 3a P.U.  W razie wcześniejszej spłaty wierzycieli w zakresie objętym planem spłaty wierzycieli, upadły może wystąpić z wnioskiem o zmianę planu spłaty poprzez skrócenie okresu wykonania planu, przy czym sąd </w:t>
            </w:r>
            <w:r w:rsidRPr="007368C7">
              <w:rPr>
                <w:rFonts w:cstheme="minorHAnsi"/>
              </w:rPr>
              <w:lastRenderedPageBreak/>
              <w:t>może skrócić okres wykonania planu spłaty nie więcej niż o połowę, o ile nie prowadzi to do pokrzywdzenia wierzycieli oraz jest uzasadnione względami słuszności lub względami humanitarnymi. Sąd może wysłuchać upadłego i wierzycieli objętych planem spłaty. Na postanowienie sądu w przedmiocie wniosku przysługuje zażalenie.</w:t>
            </w:r>
          </w:p>
          <w:p w14:paraId="4FF0E359" w14:textId="681DC506" w:rsidR="008E5AA4" w:rsidRPr="007368C7" w:rsidRDefault="008E5AA4" w:rsidP="00BC45D4">
            <w:pPr>
              <w:jc w:val="both"/>
              <w:rPr>
                <w:rFonts w:cstheme="minorHAnsi"/>
              </w:rPr>
            </w:pPr>
            <w:r w:rsidRPr="007368C7">
              <w:rPr>
                <w:rFonts w:cstheme="minorHAnsi"/>
              </w:rPr>
              <w:t xml:space="preserve">Analogiczną zmianę </w:t>
            </w:r>
            <w:r w:rsidR="00257016" w:rsidRPr="007368C7">
              <w:rPr>
                <w:rFonts w:cstheme="minorHAnsi"/>
              </w:rPr>
              <w:t xml:space="preserve">wprowadzono </w:t>
            </w:r>
            <w:r w:rsidRPr="007368C7">
              <w:rPr>
                <w:rFonts w:cstheme="minorHAnsi"/>
              </w:rPr>
              <w:t>w proj. art. 370d P.U.</w:t>
            </w:r>
          </w:p>
        </w:tc>
      </w:tr>
      <w:tr w:rsidR="00627622" w:rsidRPr="00486628" w14:paraId="094BB4D0" w14:textId="77777777" w:rsidTr="00AC5078">
        <w:tc>
          <w:tcPr>
            <w:tcW w:w="158" w:type="pct"/>
          </w:tcPr>
          <w:p w14:paraId="10FBC553" w14:textId="79F3C239" w:rsidR="00627622" w:rsidRDefault="00627622" w:rsidP="005F7A15">
            <w:pPr>
              <w:jc w:val="center"/>
              <w:rPr>
                <w:rFonts w:cstheme="minorHAnsi"/>
              </w:rPr>
            </w:pPr>
            <w:r>
              <w:rPr>
                <w:rFonts w:cstheme="minorHAnsi"/>
              </w:rPr>
              <w:lastRenderedPageBreak/>
              <w:t>36</w:t>
            </w:r>
          </w:p>
        </w:tc>
        <w:tc>
          <w:tcPr>
            <w:tcW w:w="698" w:type="pct"/>
          </w:tcPr>
          <w:p w14:paraId="25CDCDA8" w14:textId="164F1532" w:rsidR="00627622" w:rsidRDefault="00627622" w:rsidP="0073232F">
            <w:pPr>
              <w:rPr>
                <w:rFonts w:ascii="Calibri" w:hAnsi="Calibri" w:cs="Calibri"/>
              </w:rPr>
            </w:pPr>
            <w:r>
              <w:rPr>
                <w:rFonts w:ascii="Calibri" w:hAnsi="Calibri" w:cs="Calibri"/>
              </w:rPr>
              <w:t>S</w:t>
            </w:r>
            <w:r w:rsidR="00060413">
              <w:rPr>
                <w:rFonts w:ascii="Calibri" w:hAnsi="Calibri" w:cs="Calibri"/>
              </w:rPr>
              <w:t xml:space="preserve">ąd Apelacyjny </w:t>
            </w:r>
            <w:r>
              <w:rPr>
                <w:rFonts w:ascii="Calibri" w:hAnsi="Calibri" w:cs="Calibri"/>
              </w:rPr>
              <w:t xml:space="preserve">we Wrocławiu </w:t>
            </w:r>
          </w:p>
        </w:tc>
        <w:tc>
          <w:tcPr>
            <w:tcW w:w="591" w:type="pct"/>
          </w:tcPr>
          <w:p w14:paraId="63576AF7" w14:textId="0761BE5C" w:rsidR="00627622" w:rsidRPr="00800F21" w:rsidRDefault="00231517" w:rsidP="00F901C7">
            <w:pPr>
              <w:rPr>
                <w:rFonts w:ascii="Calibri" w:hAnsi="Calibri" w:cs="Calibri"/>
              </w:rPr>
            </w:pPr>
            <w:r w:rsidRPr="00231517">
              <w:rPr>
                <w:rFonts w:ascii="Calibri" w:hAnsi="Calibri" w:cs="Calibri"/>
                <w:b/>
                <w:bCs/>
              </w:rPr>
              <w:t>Art. 1 pkt 10</w:t>
            </w:r>
            <w:r>
              <w:rPr>
                <w:rFonts w:ascii="Calibri" w:hAnsi="Calibri" w:cs="Calibri"/>
              </w:rPr>
              <w:t xml:space="preserve"> (</w:t>
            </w:r>
            <w:r w:rsidR="00627622" w:rsidRPr="00627622">
              <w:rPr>
                <w:rFonts w:ascii="Calibri" w:hAnsi="Calibri" w:cs="Calibri"/>
              </w:rPr>
              <w:t>art. 491</w:t>
            </w:r>
            <w:r w:rsidR="0061291D">
              <w:rPr>
                <w:rFonts w:ascii="Calibri" w:hAnsi="Calibri" w:cs="Calibri"/>
                <w:vertAlign w:val="superscript"/>
              </w:rPr>
              <w:t>2</w:t>
            </w:r>
            <w:r w:rsidR="00627622" w:rsidRPr="00627622">
              <w:rPr>
                <w:rFonts w:ascii="Calibri" w:hAnsi="Calibri" w:cs="Calibri"/>
              </w:rPr>
              <w:t xml:space="preserve"> ust. 3 P.U.</w:t>
            </w:r>
            <w:r>
              <w:rPr>
                <w:rFonts w:ascii="Calibri" w:hAnsi="Calibri" w:cs="Calibri"/>
              </w:rPr>
              <w:t>)</w:t>
            </w:r>
          </w:p>
        </w:tc>
        <w:tc>
          <w:tcPr>
            <w:tcW w:w="1418" w:type="pct"/>
          </w:tcPr>
          <w:p w14:paraId="7FCC8D0E" w14:textId="58A3DC03" w:rsidR="00627622" w:rsidRPr="00462965" w:rsidRDefault="00231517" w:rsidP="00462965">
            <w:pPr>
              <w:pStyle w:val="Default"/>
              <w:jc w:val="both"/>
              <w:rPr>
                <w:rFonts w:asciiTheme="minorHAnsi" w:hAnsiTheme="minorHAnsi" w:cstheme="minorHAnsi"/>
                <w:sz w:val="22"/>
                <w:szCs w:val="22"/>
              </w:rPr>
            </w:pPr>
            <w:r w:rsidRPr="00462965">
              <w:rPr>
                <w:rFonts w:asciiTheme="minorHAnsi" w:hAnsiTheme="minorHAnsi" w:cstheme="minorHAnsi"/>
                <w:sz w:val="22"/>
                <w:szCs w:val="22"/>
              </w:rPr>
              <w:t xml:space="preserve">W </w:t>
            </w:r>
            <w:r w:rsidR="00627622" w:rsidRPr="00462965">
              <w:rPr>
                <w:rFonts w:asciiTheme="minorHAnsi" w:hAnsiTheme="minorHAnsi" w:cstheme="minorHAnsi"/>
                <w:sz w:val="22"/>
                <w:szCs w:val="22"/>
              </w:rPr>
              <w:t>ramach uzasadniania projektu wskazano, że rezygnacja z obowiązku składania sprawozdań</w:t>
            </w:r>
          </w:p>
          <w:p w14:paraId="654C51B0" w14:textId="77777777" w:rsidR="00627622" w:rsidRPr="00462965" w:rsidRDefault="00627622" w:rsidP="00462965">
            <w:pPr>
              <w:pStyle w:val="Default"/>
              <w:jc w:val="both"/>
              <w:rPr>
                <w:rFonts w:asciiTheme="minorHAnsi" w:hAnsiTheme="minorHAnsi" w:cstheme="minorHAnsi"/>
                <w:sz w:val="22"/>
                <w:szCs w:val="22"/>
              </w:rPr>
            </w:pPr>
            <w:r w:rsidRPr="00462965">
              <w:rPr>
                <w:rFonts w:asciiTheme="minorHAnsi" w:hAnsiTheme="minorHAnsi" w:cstheme="minorHAnsi"/>
                <w:sz w:val="22"/>
                <w:szCs w:val="22"/>
              </w:rPr>
              <w:t>z wykonania planu spłat przez upadłych jest m.in. „konsekwencją tego, że dłużnicy, będąc</w:t>
            </w:r>
          </w:p>
          <w:p w14:paraId="3B557325" w14:textId="403B87DE" w:rsidR="00627622" w:rsidRPr="00462965" w:rsidRDefault="00627622" w:rsidP="00462965">
            <w:pPr>
              <w:pStyle w:val="Default"/>
              <w:jc w:val="both"/>
              <w:rPr>
                <w:rFonts w:asciiTheme="minorHAnsi" w:hAnsiTheme="minorHAnsi" w:cstheme="minorHAnsi"/>
                <w:sz w:val="22"/>
                <w:szCs w:val="22"/>
              </w:rPr>
            </w:pPr>
            <w:r w:rsidRPr="00462965">
              <w:rPr>
                <w:rFonts w:asciiTheme="minorHAnsi" w:hAnsiTheme="minorHAnsi" w:cstheme="minorHAnsi"/>
                <w:sz w:val="22"/>
                <w:szCs w:val="22"/>
              </w:rPr>
              <w:t>osobami faktycznie wykluczonymi cyfrowo, nie potrafią złożyć sprawozdania przez system</w:t>
            </w:r>
            <w:r w:rsidR="001F3087" w:rsidRPr="00462965">
              <w:rPr>
                <w:rFonts w:asciiTheme="minorHAnsi" w:hAnsiTheme="minorHAnsi" w:cstheme="minorHAnsi"/>
                <w:sz w:val="22"/>
                <w:szCs w:val="22"/>
              </w:rPr>
              <w:t xml:space="preserve"> </w:t>
            </w:r>
            <w:r w:rsidRPr="00462965">
              <w:rPr>
                <w:rFonts w:asciiTheme="minorHAnsi" w:hAnsiTheme="minorHAnsi" w:cstheme="minorHAnsi"/>
                <w:sz w:val="22"/>
                <w:szCs w:val="22"/>
              </w:rPr>
              <w:t>teleinformatyczny do obsługi postępowania sądowego”.</w:t>
            </w:r>
            <w:r w:rsidR="00DD75DC" w:rsidRPr="00462965">
              <w:rPr>
                <w:rFonts w:asciiTheme="minorHAnsi" w:hAnsiTheme="minorHAnsi" w:cstheme="minorHAnsi"/>
                <w:sz w:val="22"/>
                <w:szCs w:val="22"/>
              </w:rPr>
              <w:t xml:space="preserve"> </w:t>
            </w:r>
            <w:r w:rsidRPr="00462965">
              <w:rPr>
                <w:rFonts w:asciiTheme="minorHAnsi" w:hAnsiTheme="minorHAnsi" w:cstheme="minorHAnsi"/>
                <w:sz w:val="22"/>
                <w:szCs w:val="22"/>
              </w:rPr>
              <w:t>Powyższe okoliczności powinny być nie tylko uwzględnione w ramach projektowanych</w:t>
            </w:r>
            <w:r w:rsidR="001F3087" w:rsidRPr="00462965">
              <w:rPr>
                <w:rFonts w:asciiTheme="minorHAnsi" w:hAnsiTheme="minorHAnsi" w:cstheme="minorHAnsi"/>
                <w:sz w:val="22"/>
                <w:szCs w:val="22"/>
              </w:rPr>
              <w:t xml:space="preserve"> </w:t>
            </w:r>
            <w:r w:rsidRPr="00462965">
              <w:rPr>
                <w:rFonts w:asciiTheme="minorHAnsi" w:hAnsiTheme="minorHAnsi" w:cstheme="minorHAnsi"/>
                <w:sz w:val="22"/>
                <w:szCs w:val="22"/>
              </w:rPr>
              <w:t>przepisów dotyczących rezygnacji składania sprawozdań, a w normach dotyczących</w:t>
            </w:r>
            <w:r w:rsidR="001F3087" w:rsidRPr="00462965">
              <w:rPr>
                <w:rFonts w:asciiTheme="minorHAnsi" w:hAnsiTheme="minorHAnsi" w:cstheme="minorHAnsi"/>
                <w:sz w:val="22"/>
                <w:szCs w:val="22"/>
              </w:rPr>
              <w:t xml:space="preserve"> </w:t>
            </w:r>
            <w:r w:rsidRPr="00462965">
              <w:rPr>
                <w:rFonts w:asciiTheme="minorHAnsi" w:hAnsiTheme="minorHAnsi" w:cstheme="minorHAnsi"/>
                <w:sz w:val="22"/>
                <w:szCs w:val="22"/>
              </w:rPr>
              <w:t>obligatoryjnego korzystania z systemu teleinformatycznego do obsługi postępowania</w:t>
            </w:r>
            <w:r w:rsidR="00DD75DC" w:rsidRPr="00462965">
              <w:rPr>
                <w:rFonts w:asciiTheme="minorHAnsi" w:hAnsiTheme="minorHAnsi" w:cstheme="minorHAnsi"/>
                <w:sz w:val="22"/>
                <w:szCs w:val="22"/>
              </w:rPr>
              <w:t xml:space="preserve"> </w:t>
            </w:r>
            <w:r w:rsidRPr="00462965">
              <w:rPr>
                <w:rFonts w:asciiTheme="minorHAnsi" w:hAnsiTheme="minorHAnsi" w:cstheme="minorHAnsi"/>
                <w:sz w:val="22"/>
                <w:szCs w:val="22"/>
              </w:rPr>
              <w:t>sądowego.</w:t>
            </w:r>
          </w:p>
          <w:p w14:paraId="1A783A3A" w14:textId="375923A8" w:rsidR="00627622" w:rsidRPr="00462965" w:rsidRDefault="00627622" w:rsidP="00462965">
            <w:pPr>
              <w:pStyle w:val="Default"/>
              <w:jc w:val="both"/>
              <w:rPr>
                <w:rFonts w:asciiTheme="minorHAnsi" w:hAnsiTheme="minorHAnsi" w:cstheme="minorHAnsi"/>
                <w:sz w:val="22"/>
                <w:szCs w:val="22"/>
              </w:rPr>
            </w:pPr>
            <w:r w:rsidRPr="00462965">
              <w:rPr>
                <w:rFonts w:asciiTheme="minorHAnsi" w:hAnsiTheme="minorHAnsi" w:cstheme="minorHAnsi"/>
                <w:sz w:val="22"/>
                <w:szCs w:val="22"/>
              </w:rPr>
              <w:t>W literaturze od momentu wejścia przepisów rekomendowane jest wyraźne objęcie osób</w:t>
            </w:r>
            <w:r w:rsidR="00F501ED">
              <w:rPr>
                <w:rFonts w:asciiTheme="minorHAnsi" w:hAnsiTheme="minorHAnsi" w:cstheme="minorHAnsi"/>
                <w:sz w:val="22"/>
                <w:szCs w:val="22"/>
              </w:rPr>
              <w:t xml:space="preserve"> </w:t>
            </w:r>
            <w:r w:rsidRPr="00462965">
              <w:rPr>
                <w:rFonts w:asciiTheme="minorHAnsi" w:hAnsiTheme="minorHAnsi" w:cstheme="minorHAnsi"/>
                <w:sz w:val="22"/>
                <w:szCs w:val="22"/>
              </w:rPr>
              <w:t>fizycznych nieprowadzących działalności gospodarczej wyłączeniem, o którym mowa</w:t>
            </w:r>
            <w:r w:rsidR="00F501ED">
              <w:rPr>
                <w:rFonts w:asciiTheme="minorHAnsi" w:hAnsiTheme="minorHAnsi" w:cstheme="minorHAnsi"/>
                <w:sz w:val="22"/>
                <w:szCs w:val="22"/>
              </w:rPr>
              <w:t xml:space="preserve"> </w:t>
            </w:r>
            <w:r w:rsidRPr="00462965">
              <w:rPr>
                <w:rFonts w:asciiTheme="minorHAnsi" w:hAnsiTheme="minorHAnsi" w:cstheme="minorHAnsi"/>
                <w:sz w:val="22"/>
                <w:szCs w:val="22"/>
              </w:rPr>
              <w:t xml:space="preserve">w art. 216aa P.U. nie tylko w zakresie </w:t>
            </w:r>
            <w:r w:rsidRPr="00462965">
              <w:rPr>
                <w:rFonts w:asciiTheme="minorHAnsi" w:hAnsiTheme="minorHAnsi" w:cstheme="minorHAnsi"/>
                <w:sz w:val="22"/>
                <w:szCs w:val="22"/>
              </w:rPr>
              <w:lastRenderedPageBreak/>
              <w:t>postępowania o ogłoszenie upadłości, ale również</w:t>
            </w:r>
            <w:r w:rsidR="001F3087" w:rsidRPr="00462965">
              <w:rPr>
                <w:rFonts w:asciiTheme="minorHAnsi" w:hAnsiTheme="minorHAnsi" w:cstheme="minorHAnsi"/>
                <w:sz w:val="22"/>
                <w:szCs w:val="22"/>
              </w:rPr>
              <w:t xml:space="preserve"> </w:t>
            </w:r>
            <w:r w:rsidRPr="00462965">
              <w:rPr>
                <w:rFonts w:asciiTheme="minorHAnsi" w:hAnsiTheme="minorHAnsi" w:cstheme="minorHAnsi"/>
                <w:sz w:val="22"/>
                <w:szCs w:val="22"/>
              </w:rPr>
              <w:t>w zakresie właściwego postępowania upadłościowego. Obecne brzmienie art. 49</w:t>
            </w:r>
            <w:r w:rsidR="00E939DA">
              <w:rPr>
                <w:rFonts w:asciiTheme="minorHAnsi" w:hAnsiTheme="minorHAnsi" w:cstheme="minorHAnsi"/>
                <w:sz w:val="22"/>
                <w:szCs w:val="22"/>
              </w:rPr>
              <w:t>1</w:t>
            </w:r>
            <w:r w:rsidR="001F3087" w:rsidRPr="00462965">
              <w:rPr>
                <w:rFonts w:asciiTheme="minorHAnsi" w:hAnsiTheme="minorHAnsi" w:cstheme="minorHAnsi"/>
                <w:sz w:val="22"/>
                <w:szCs w:val="22"/>
                <w:vertAlign w:val="superscript"/>
              </w:rPr>
              <w:t>2</w:t>
            </w:r>
            <w:r w:rsidRPr="00462965">
              <w:rPr>
                <w:rFonts w:asciiTheme="minorHAnsi" w:hAnsiTheme="minorHAnsi" w:cstheme="minorHAnsi"/>
                <w:sz w:val="22"/>
                <w:szCs w:val="22"/>
              </w:rPr>
              <w:t xml:space="preserve"> ust. 3 P.U.</w:t>
            </w:r>
            <w:r w:rsidR="001F3087" w:rsidRPr="00462965">
              <w:rPr>
                <w:rFonts w:asciiTheme="minorHAnsi" w:hAnsiTheme="minorHAnsi" w:cstheme="minorHAnsi"/>
                <w:sz w:val="22"/>
                <w:szCs w:val="22"/>
              </w:rPr>
              <w:t xml:space="preserve"> </w:t>
            </w:r>
            <w:r w:rsidRPr="00462965">
              <w:rPr>
                <w:rFonts w:asciiTheme="minorHAnsi" w:hAnsiTheme="minorHAnsi" w:cstheme="minorHAnsi"/>
                <w:sz w:val="22"/>
                <w:szCs w:val="22"/>
              </w:rPr>
              <w:t>budzi liczne wątpliwości interpretacyjne w zakresie objęcia nią tylko osób fizycznych na etapie</w:t>
            </w:r>
            <w:r w:rsidR="001F3087" w:rsidRPr="00462965">
              <w:rPr>
                <w:rFonts w:asciiTheme="minorHAnsi" w:hAnsiTheme="minorHAnsi" w:cstheme="minorHAnsi"/>
                <w:sz w:val="22"/>
                <w:szCs w:val="22"/>
              </w:rPr>
              <w:t xml:space="preserve"> </w:t>
            </w:r>
            <w:r w:rsidRPr="00462965">
              <w:rPr>
                <w:rFonts w:asciiTheme="minorHAnsi" w:hAnsiTheme="minorHAnsi" w:cstheme="minorHAnsi"/>
                <w:sz w:val="22"/>
                <w:szCs w:val="22"/>
              </w:rPr>
              <w:t>postępowania o ogłoszenie upadłości</w:t>
            </w:r>
            <w:r w:rsidR="00A0602B">
              <w:rPr>
                <w:rFonts w:asciiTheme="minorHAnsi" w:hAnsiTheme="minorHAnsi" w:cstheme="minorHAnsi"/>
                <w:sz w:val="22"/>
                <w:szCs w:val="22"/>
              </w:rPr>
              <w:t>.</w:t>
            </w:r>
          </w:p>
          <w:p w14:paraId="2BAF63C4" w14:textId="79CA4D34" w:rsidR="00627622" w:rsidRPr="00462965" w:rsidRDefault="00627622" w:rsidP="00462965">
            <w:pPr>
              <w:pStyle w:val="Default"/>
              <w:jc w:val="both"/>
              <w:rPr>
                <w:rFonts w:asciiTheme="minorHAnsi" w:hAnsiTheme="minorHAnsi" w:cstheme="minorHAnsi"/>
                <w:sz w:val="22"/>
                <w:szCs w:val="22"/>
              </w:rPr>
            </w:pPr>
            <w:r w:rsidRPr="00462965">
              <w:rPr>
                <w:rFonts w:asciiTheme="minorHAnsi" w:hAnsiTheme="minorHAnsi" w:cstheme="minorHAnsi"/>
                <w:sz w:val="22"/>
                <w:szCs w:val="22"/>
              </w:rPr>
              <w:t>W tym celu rekomendowane jest sprecyzowanie odesłania zawartego w art. 491</w:t>
            </w:r>
            <w:r w:rsidR="001F3087" w:rsidRPr="00462965">
              <w:rPr>
                <w:rFonts w:asciiTheme="minorHAnsi" w:hAnsiTheme="minorHAnsi" w:cstheme="minorHAnsi"/>
                <w:sz w:val="22"/>
                <w:szCs w:val="22"/>
                <w:vertAlign w:val="superscript"/>
              </w:rPr>
              <w:t>2</w:t>
            </w:r>
            <w:r w:rsidRPr="00462965">
              <w:rPr>
                <w:rFonts w:asciiTheme="minorHAnsi" w:hAnsiTheme="minorHAnsi" w:cstheme="minorHAnsi"/>
                <w:sz w:val="22"/>
                <w:szCs w:val="22"/>
              </w:rPr>
              <w:t xml:space="preserve"> ust. 3 P.U.</w:t>
            </w:r>
            <w:r w:rsidR="001F3087" w:rsidRPr="00462965">
              <w:rPr>
                <w:rFonts w:asciiTheme="minorHAnsi" w:hAnsiTheme="minorHAnsi" w:cstheme="minorHAnsi"/>
                <w:sz w:val="22"/>
                <w:szCs w:val="22"/>
              </w:rPr>
              <w:t xml:space="preserve"> </w:t>
            </w:r>
            <w:r w:rsidRPr="00462965">
              <w:rPr>
                <w:rFonts w:asciiTheme="minorHAnsi" w:hAnsiTheme="minorHAnsi" w:cstheme="minorHAnsi"/>
                <w:sz w:val="22"/>
                <w:szCs w:val="22"/>
              </w:rPr>
              <w:t>i wyraźne wskazanie na odpowiednie korzystanie z art. 216aa P.U. w art. 491</w:t>
            </w:r>
            <w:r w:rsidR="001F3087" w:rsidRPr="00462965">
              <w:rPr>
                <w:rFonts w:asciiTheme="minorHAnsi" w:hAnsiTheme="minorHAnsi" w:cstheme="minorHAnsi"/>
                <w:sz w:val="22"/>
                <w:szCs w:val="22"/>
                <w:vertAlign w:val="superscript"/>
              </w:rPr>
              <w:t>2</w:t>
            </w:r>
            <w:r w:rsidRPr="00462965">
              <w:rPr>
                <w:rFonts w:asciiTheme="minorHAnsi" w:hAnsiTheme="minorHAnsi" w:cstheme="minorHAnsi"/>
                <w:sz w:val="22"/>
                <w:szCs w:val="22"/>
              </w:rPr>
              <w:t xml:space="preserve"> ust. 1 P.U.</w:t>
            </w:r>
          </w:p>
        </w:tc>
        <w:tc>
          <w:tcPr>
            <w:tcW w:w="1027" w:type="pct"/>
          </w:tcPr>
          <w:p w14:paraId="02932E79" w14:textId="77777777" w:rsidR="00627622" w:rsidRPr="00CC7F2E" w:rsidRDefault="00627622" w:rsidP="00CC7F2E">
            <w:pPr>
              <w:jc w:val="both"/>
              <w:rPr>
                <w:rFonts w:ascii="Calibri" w:hAnsi="Calibri" w:cs="Calibri"/>
              </w:rPr>
            </w:pPr>
          </w:p>
        </w:tc>
        <w:tc>
          <w:tcPr>
            <w:tcW w:w="1108" w:type="pct"/>
          </w:tcPr>
          <w:p w14:paraId="0EEE6FED" w14:textId="15C76C7C" w:rsidR="002626F8" w:rsidRPr="007368C7" w:rsidRDefault="00F726A4" w:rsidP="00BC45D4">
            <w:pPr>
              <w:jc w:val="both"/>
              <w:rPr>
                <w:rFonts w:cstheme="minorHAnsi"/>
                <w:b/>
                <w:bCs/>
              </w:rPr>
            </w:pPr>
            <w:r w:rsidRPr="007368C7">
              <w:rPr>
                <w:rFonts w:cstheme="minorHAnsi"/>
                <w:b/>
                <w:bCs/>
              </w:rPr>
              <w:t xml:space="preserve">Uwaga </w:t>
            </w:r>
            <w:r w:rsidR="00153357" w:rsidRPr="007368C7">
              <w:rPr>
                <w:rFonts w:cstheme="minorHAnsi"/>
                <w:b/>
                <w:bCs/>
              </w:rPr>
              <w:t>nie</w:t>
            </w:r>
            <w:r w:rsidR="002626F8" w:rsidRPr="007368C7">
              <w:rPr>
                <w:rFonts w:cstheme="minorHAnsi"/>
                <w:b/>
                <w:bCs/>
              </w:rPr>
              <w:t>uwzględniona:</w:t>
            </w:r>
            <w:r w:rsidR="00756B21" w:rsidRPr="007368C7">
              <w:rPr>
                <w:rFonts w:cstheme="minorHAnsi"/>
                <w:b/>
                <w:bCs/>
              </w:rPr>
              <w:t xml:space="preserve"> </w:t>
            </w:r>
          </w:p>
          <w:p w14:paraId="026F7B01" w14:textId="77777777" w:rsidR="00153357" w:rsidRPr="007368C7" w:rsidRDefault="00153357" w:rsidP="00BC45D4">
            <w:pPr>
              <w:jc w:val="both"/>
              <w:rPr>
                <w:rFonts w:cstheme="minorHAnsi"/>
                <w:b/>
                <w:bCs/>
              </w:rPr>
            </w:pPr>
          </w:p>
          <w:p w14:paraId="012D5206" w14:textId="47FE7B7D" w:rsidR="00153357" w:rsidRPr="007368C7" w:rsidRDefault="00153357" w:rsidP="00153357">
            <w:pPr>
              <w:jc w:val="both"/>
              <w:rPr>
                <w:rFonts w:cstheme="minorHAnsi"/>
              </w:rPr>
            </w:pPr>
            <w:r w:rsidRPr="007368C7">
              <w:rPr>
                <w:rFonts w:cstheme="minorHAnsi"/>
              </w:rPr>
              <w:t>W ocenie projektodawcy możliwość składania pism poza systemem powinna być przewidziana jedynie w wyjątkowych wypadkach.</w:t>
            </w:r>
          </w:p>
          <w:p w14:paraId="42B06F0B" w14:textId="77777777" w:rsidR="00153357" w:rsidRPr="007368C7" w:rsidRDefault="00153357" w:rsidP="00153357">
            <w:pPr>
              <w:jc w:val="both"/>
              <w:rPr>
                <w:rFonts w:cstheme="minorHAnsi"/>
              </w:rPr>
            </w:pPr>
            <w:r w:rsidRPr="007368C7">
              <w:rPr>
                <w:rFonts w:cstheme="minorHAnsi"/>
              </w:rPr>
              <w:t>Wprowadzenie takiej zmiany spowoduje poza tym poważne skutki w zakresie biurowości sądowej w wydziałach upadłościowych.</w:t>
            </w:r>
          </w:p>
          <w:p w14:paraId="080CBEA1" w14:textId="7549107A" w:rsidR="00153357" w:rsidRPr="007368C7" w:rsidRDefault="00153357" w:rsidP="00153357">
            <w:pPr>
              <w:jc w:val="both"/>
              <w:rPr>
                <w:rFonts w:cstheme="minorHAnsi"/>
              </w:rPr>
            </w:pPr>
            <w:r w:rsidRPr="007368C7">
              <w:rPr>
                <w:rFonts w:cstheme="minorHAnsi"/>
              </w:rPr>
              <w:t>Należy wskazać, że jest to sprzeczne z ogólnymi celami przyjętymi przez MS -cyfryzacji wymiaru sprawiedliwości.</w:t>
            </w:r>
          </w:p>
          <w:p w14:paraId="636A8A62" w14:textId="7B7C45E9" w:rsidR="00756B21" w:rsidRPr="007368C7" w:rsidRDefault="00153357" w:rsidP="00BC45D4">
            <w:pPr>
              <w:jc w:val="both"/>
              <w:rPr>
                <w:rFonts w:cstheme="minorHAnsi"/>
              </w:rPr>
            </w:pPr>
            <w:r w:rsidRPr="007368C7">
              <w:rPr>
                <w:rFonts w:cstheme="minorHAnsi"/>
              </w:rPr>
              <w:t xml:space="preserve">Niemożność odejścia od papieru i brak cyfryzacji postępowań sądowych wskazywana jest jako </w:t>
            </w:r>
            <w:r w:rsidRPr="007368C7">
              <w:rPr>
                <w:rFonts w:cstheme="minorHAnsi"/>
              </w:rPr>
              <w:lastRenderedPageBreak/>
              <w:t>jeden z czynników wydłużających tempo rozpatrywania spraw.</w:t>
            </w:r>
          </w:p>
        </w:tc>
      </w:tr>
      <w:tr w:rsidR="0061291D" w:rsidRPr="00486628" w14:paraId="38E2F793" w14:textId="77777777" w:rsidTr="00AC5078">
        <w:tc>
          <w:tcPr>
            <w:tcW w:w="158" w:type="pct"/>
          </w:tcPr>
          <w:p w14:paraId="163A68D6" w14:textId="2718AF4F" w:rsidR="0061291D" w:rsidRDefault="0061291D" w:rsidP="005F7A15">
            <w:pPr>
              <w:jc w:val="center"/>
              <w:rPr>
                <w:rFonts w:cstheme="minorHAnsi"/>
              </w:rPr>
            </w:pPr>
            <w:r>
              <w:rPr>
                <w:rFonts w:cstheme="minorHAnsi"/>
              </w:rPr>
              <w:lastRenderedPageBreak/>
              <w:t>37</w:t>
            </w:r>
          </w:p>
        </w:tc>
        <w:tc>
          <w:tcPr>
            <w:tcW w:w="698" w:type="pct"/>
          </w:tcPr>
          <w:p w14:paraId="59D48FD7" w14:textId="4483AE07" w:rsidR="0061291D" w:rsidRDefault="0061291D" w:rsidP="0073232F">
            <w:pPr>
              <w:rPr>
                <w:rFonts w:ascii="Calibri" w:hAnsi="Calibri" w:cs="Calibri"/>
              </w:rPr>
            </w:pPr>
            <w:r>
              <w:rPr>
                <w:rFonts w:ascii="Calibri" w:hAnsi="Calibri" w:cs="Calibri"/>
              </w:rPr>
              <w:t>S</w:t>
            </w:r>
            <w:r w:rsidR="006569E7">
              <w:rPr>
                <w:rFonts w:ascii="Calibri" w:hAnsi="Calibri" w:cs="Calibri"/>
              </w:rPr>
              <w:t>ąd Apelacyjny</w:t>
            </w:r>
            <w:r>
              <w:rPr>
                <w:rFonts w:ascii="Calibri" w:hAnsi="Calibri" w:cs="Calibri"/>
              </w:rPr>
              <w:t xml:space="preserve"> we Wrocławiu </w:t>
            </w:r>
          </w:p>
        </w:tc>
        <w:tc>
          <w:tcPr>
            <w:tcW w:w="591" w:type="pct"/>
          </w:tcPr>
          <w:p w14:paraId="4A9F0A7D" w14:textId="5E9E5733" w:rsidR="0061291D" w:rsidRPr="002B3340" w:rsidRDefault="00382C2F" w:rsidP="00F901C7">
            <w:pPr>
              <w:rPr>
                <w:rFonts w:ascii="Calibri" w:hAnsi="Calibri" w:cs="Calibri"/>
                <w:lang w:val="en-GB"/>
              </w:rPr>
            </w:pPr>
            <w:r w:rsidRPr="002B3340">
              <w:rPr>
                <w:rFonts w:ascii="Calibri" w:hAnsi="Calibri" w:cs="Calibri"/>
                <w:b/>
                <w:bCs/>
                <w:lang w:val="en-GB"/>
              </w:rPr>
              <w:t>Art. 1 pkt 12</w:t>
            </w:r>
            <w:r w:rsidRPr="002B3340">
              <w:rPr>
                <w:rFonts w:ascii="Calibri" w:hAnsi="Calibri" w:cs="Calibri"/>
                <w:lang w:val="en-GB"/>
              </w:rPr>
              <w:t xml:space="preserve"> (</w:t>
            </w:r>
            <w:r w:rsidR="0061291D" w:rsidRPr="002B3340">
              <w:rPr>
                <w:rFonts w:ascii="Calibri" w:hAnsi="Calibri" w:cs="Calibri"/>
                <w:lang w:val="en-GB"/>
              </w:rPr>
              <w:t>art. 491</w:t>
            </w:r>
            <w:r w:rsidR="0061291D" w:rsidRPr="002B3340">
              <w:rPr>
                <w:rFonts w:ascii="Calibri" w:hAnsi="Calibri" w:cs="Calibri"/>
                <w:vertAlign w:val="superscript"/>
                <w:lang w:val="en-GB"/>
              </w:rPr>
              <w:t>7</w:t>
            </w:r>
            <w:r w:rsidR="0061291D" w:rsidRPr="002B3340">
              <w:rPr>
                <w:rFonts w:ascii="Calibri" w:hAnsi="Calibri" w:cs="Calibri"/>
                <w:lang w:val="en-GB"/>
              </w:rPr>
              <w:t xml:space="preserve"> p.u.</w:t>
            </w:r>
            <w:r w:rsidRPr="002B3340">
              <w:rPr>
                <w:rFonts w:ascii="Calibri" w:hAnsi="Calibri" w:cs="Calibri"/>
                <w:lang w:val="en-GB"/>
              </w:rPr>
              <w:t>)</w:t>
            </w:r>
          </w:p>
        </w:tc>
        <w:tc>
          <w:tcPr>
            <w:tcW w:w="1418" w:type="pct"/>
          </w:tcPr>
          <w:p w14:paraId="5E705944" w14:textId="688700B4" w:rsidR="0061291D" w:rsidRPr="00462965" w:rsidRDefault="0061291D" w:rsidP="00462965">
            <w:pPr>
              <w:pStyle w:val="Default"/>
              <w:jc w:val="both"/>
              <w:rPr>
                <w:rFonts w:asciiTheme="minorHAnsi" w:hAnsiTheme="minorHAnsi" w:cstheme="minorHAnsi"/>
                <w:sz w:val="22"/>
                <w:szCs w:val="22"/>
              </w:rPr>
            </w:pPr>
            <w:r w:rsidRPr="00462965">
              <w:rPr>
                <w:rFonts w:asciiTheme="minorHAnsi" w:hAnsiTheme="minorHAnsi" w:cstheme="minorHAnsi"/>
                <w:sz w:val="22"/>
                <w:szCs w:val="22"/>
              </w:rPr>
              <w:t>Ustawodawca powinien mieć świadomość, że przypadki w których ustalenie planu spłaty</w:t>
            </w:r>
            <w:r w:rsidR="00555743" w:rsidRPr="00462965">
              <w:rPr>
                <w:rFonts w:asciiTheme="minorHAnsi" w:hAnsiTheme="minorHAnsi" w:cstheme="minorHAnsi"/>
                <w:sz w:val="22"/>
                <w:szCs w:val="22"/>
              </w:rPr>
              <w:t xml:space="preserve"> </w:t>
            </w:r>
            <w:r w:rsidRPr="00462965">
              <w:rPr>
                <w:rFonts w:asciiTheme="minorHAnsi" w:hAnsiTheme="minorHAnsi" w:cstheme="minorHAnsi"/>
                <w:sz w:val="22"/>
                <w:szCs w:val="22"/>
              </w:rPr>
              <w:t>nastąpi w ciągu miesiąca od dnia złożenia projektu planu spłaty będą należały do absolutnej</w:t>
            </w:r>
            <w:r w:rsidR="00555743" w:rsidRPr="00462965">
              <w:rPr>
                <w:rFonts w:asciiTheme="minorHAnsi" w:hAnsiTheme="minorHAnsi" w:cstheme="minorHAnsi"/>
                <w:sz w:val="22"/>
                <w:szCs w:val="22"/>
              </w:rPr>
              <w:t xml:space="preserve"> </w:t>
            </w:r>
            <w:r w:rsidRPr="00462965">
              <w:rPr>
                <w:rFonts w:asciiTheme="minorHAnsi" w:hAnsiTheme="minorHAnsi" w:cstheme="minorHAnsi"/>
                <w:sz w:val="22"/>
                <w:szCs w:val="22"/>
              </w:rPr>
              <w:t>rzadkości – nawet przy rozstrzyganiu tej kwestii na posiedzeniu niejawnym, co w znikomej</w:t>
            </w:r>
            <w:r w:rsidR="00555743" w:rsidRPr="00462965">
              <w:rPr>
                <w:rFonts w:asciiTheme="minorHAnsi" w:hAnsiTheme="minorHAnsi" w:cstheme="minorHAnsi"/>
                <w:sz w:val="22"/>
                <w:szCs w:val="22"/>
              </w:rPr>
              <w:t xml:space="preserve"> i</w:t>
            </w:r>
            <w:r w:rsidRPr="00462965">
              <w:rPr>
                <w:rFonts w:asciiTheme="minorHAnsi" w:hAnsiTheme="minorHAnsi" w:cstheme="minorHAnsi"/>
                <w:sz w:val="22"/>
                <w:szCs w:val="22"/>
              </w:rPr>
              <w:t>lości przypadków pozwala na pełne rozważenie możliwości zarobkowych upadłego oraz</w:t>
            </w:r>
            <w:r w:rsidR="00555743" w:rsidRPr="00462965">
              <w:rPr>
                <w:rFonts w:asciiTheme="minorHAnsi" w:hAnsiTheme="minorHAnsi" w:cstheme="minorHAnsi"/>
                <w:sz w:val="22"/>
                <w:szCs w:val="22"/>
              </w:rPr>
              <w:t xml:space="preserve"> </w:t>
            </w:r>
            <w:r w:rsidRPr="00462965">
              <w:rPr>
                <w:rFonts w:asciiTheme="minorHAnsi" w:hAnsiTheme="minorHAnsi" w:cstheme="minorHAnsi"/>
                <w:sz w:val="22"/>
                <w:szCs w:val="22"/>
              </w:rPr>
              <w:t>przyczyn powstania stanu niewypłacalności – kluczowych dla ostatecznej treści planu spłaty;</w:t>
            </w:r>
          </w:p>
          <w:p w14:paraId="29F1691C" w14:textId="07CE7CD3" w:rsidR="0061291D" w:rsidRPr="00462965" w:rsidRDefault="0061291D" w:rsidP="00462965">
            <w:pPr>
              <w:pStyle w:val="Default"/>
              <w:jc w:val="both"/>
              <w:rPr>
                <w:rFonts w:asciiTheme="minorHAnsi" w:hAnsiTheme="minorHAnsi" w:cstheme="minorHAnsi"/>
                <w:sz w:val="22"/>
                <w:szCs w:val="22"/>
              </w:rPr>
            </w:pPr>
            <w:r w:rsidRPr="00462965">
              <w:rPr>
                <w:rFonts w:asciiTheme="minorHAnsi" w:hAnsiTheme="minorHAnsi" w:cstheme="minorHAnsi"/>
                <w:sz w:val="22"/>
                <w:szCs w:val="22"/>
              </w:rPr>
              <w:t>Praktyką większości sądów upadłościowych jest rozstrzyganie tych spraw po przeprowadzeniu</w:t>
            </w:r>
            <w:r w:rsidR="00555743" w:rsidRPr="00462965">
              <w:rPr>
                <w:rFonts w:asciiTheme="minorHAnsi" w:hAnsiTheme="minorHAnsi" w:cstheme="minorHAnsi"/>
                <w:sz w:val="22"/>
                <w:szCs w:val="22"/>
              </w:rPr>
              <w:t xml:space="preserve"> </w:t>
            </w:r>
            <w:r w:rsidRPr="00462965">
              <w:rPr>
                <w:rFonts w:asciiTheme="minorHAnsi" w:hAnsiTheme="minorHAnsi" w:cstheme="minorHAnsi"/>
                <w:sz w:val="22"/>
                <w:szCs w:val="22"/>
              </w:rPr>
              <w:t>rozprawy. W konsekwencji w każdym niemal przypadku syndyk będzie mógł wnioskować</w:t>
            </w:r>
            <w:r w:rsidR="00555743" w:rsidRPr="00462965">
              <w:rPr>
                <w:rFonts w:asciiTheme="minorHAnsi" w:hAnsiTheme="minorHAnsi" w:cstheme="minorHAnsi"/>
                <w:sz w:val="22"/>
                <w:szCs w:val="22"/>
              </w:rPr>
              <w:t xml:space="preserve"> </w:t>
            </w:r>
            <w:r w:rsidRPr="00462965">
              <w:rPr>
                <w:rFonts w:asciiTheme="minorHAnsi" w:hAnsiTheme="minorHAnsi" w:cstheme="minorHAnsi"/>
                <w:sz w:val="22"/>
                <w:szCs w:val="22"/>
              </w:rPr>
              <w:t>o przyznanie wyższej zaliczki. Pomija też ustawodawca zasadniczą kwestię, że w przypadku</w:t>
            </w:r>
            <w:r w:rsidR="00555743" w:rsidRPr="00462965">
              <w:rPr>
                <w:rFonts w:asciiTheme="minorHAnsi" w:hAnsiTheme="minorHAnsi" w:cstheme="minorHAnsi"/>
                <w:sz w:val="22"/>
                <w:szCs w:val="22"/>
              </w:rPr>
              <w:t xml:space="preserve"> </w:t>
            </w:r>
            <w:r w:rsidRPr="00462965">
              <w:rPr>
                <w:rFonts w:asciiTheme="minorHAnsi" w:hAnsiTheme="minorHAnsi" w:cstheme="minorHAnsi"/>
                <w:sz w:val="22"/>
                <w:szCs w:val="22"/>
              </w:rPr>
              <w:t>ustalenia planu spłaty później niż w ciągu 1 miesiąca od złożenia projektu planu spłaty,</w:t>
            </w:r>
            <w:r w:rsidR="00555743" w:rsidRPr="00462965">
              <w:rPr>
                <w:rFonts w:asciiTheme="minorHAnsi" w:hAnsiTheme="minorHAnsi" w:cstheme="minorHAnsi"/>
                <w:sz w:val="22"/>
                <w:szCs w:val="22"/>
              </w:rPr>
              <w:t xml:space="preserve"> </w:t>
            </w:r>
            <w:r w:rsidRPr="00462965">
              <w:rPr>
                <w:rFonts w:asciiTheme="minorHAnsi" w:hAnsiTheme="minorHAnsi" w:cstheme="minorHAnsi"/>
                <w:sz w:val="22"/>
                <w:szCs w:val="22"/>
              </w:rPr>
              <w:t xml:space="preserve">postanowienie w tym </w:t>
            </w:r>
            <w:r w:rsidRPr="00462965">
              <w:rPr>
                <w:rFonts w:asciiTheme="minorHAnsi" w:hAnsiTheme="minorHAnsi" w:cstheme="minorHAnsi"/>
                <w:sz w:val="22"/>
                <w:szCs w:val="22"/>
              </w:rPr>
              <w:lastRenderedPageBreak/>
              <w:t>przedmiocie w zakresie wierzytelności Skarbu Państwa z tytułu kosztów</w:t>
            </w:r>
            <w:r w:rsidR="00555743" w:rsidRPr="00462965">
              <w:rPr>
                <w:rFonts w:asciiTheme="minorHAnsi" w:hAnsiTheme="minorHAnsi" w:cstheme="minorHAnsi"/>
                <w:sz w:val="22"/>
                <w:szCs w:val="22"/>
              </w:rPr>
              <w:t xml:space="preserve"> </w:t>
            </w:r>
            <w:r w:rsidRPr="00462965">
              <w:rPr>
                <w:rFonts w:asciiTheme="minorHAnsi" w:hAnsiTheme="minorHAnsi" w:cstheme="minorHAnsi"/>
                <w:sz w:val="22"/>
                <w:szCs w:val="22"/>
              </w:rPr>
              <w:t>postępowania upadłościowego może nie odpowiadać ostatecznej wysokości tych kosztów</w:t>
            </w:r>
            <w:r w:rsidR="00555743" w:rsidRPr="00462965">
              <w:rPr>
                <w:rFonts w:asciiTheme="minorHAnsi" w:hAnsiTheme="minorHAnsi" w:cstheme="minorHAnsi"/>
                <w:sz w:val="22"/>
                <w:szCs w:val="22"/>
              </w:rPr>
              <w:t xml:space="preserve"> </w:t>
            </w:r>
            <w:r w:rsidRPr="00462965">
              <w:rPr>
                <w:rFonts w:asciiTheme="minorHAnsi" w:hAnsiTheme="minorHAnsi" w:cstheme="minorHAnsi"/>
                <w:sz w:val="22"/>
                <w:szCs w:val="22"/>
              </w:rPr>
              <w:t>wynikającej z udzielonych zaliczek.</w:t>
            </w:r>
          </w:p>
          <w:p w14:paraId="52624004" w14:textId="51E4473B" w:rsidR="0061291D" w:rsidRPr="00462965" w:rsidRDefault="0061291D" w:rsidP="00462965">
            <w:pPr>
              <w:pStyle w:val="Default"/>
              <w:jc w:val="both"/>
              <w:rPr>
                <w:rFonts w:asciiTheme="minorHAnsi" w:hAnsiTheme="minorHAnsi" w:cstheme="minorHAnsi"/>
                <w:sz w:val="22"/>
                <w:szCs w:val="22"/>
              </w:rPr>
            </w:pPr>
            <w:r w:rsidRPr="00462965">
              <w:rPr>
                <w:rFonts w:asciiTheme="minorHAnsi" w:hAnsiTheme="minorHAnsi" w:cstheme="minorHAnsi"/>
                <w:sz w:val="22"/>
                <w:szCs w:val="22"/>
              </w:rPr>
              <w:t>Jednocześnie dotychczasowa praktyka pokazuje, że w projektach planu spłaty wysokość</w:t>
            </w:r>
            <w:r w:rsidR="00555743" w:rsidRPr="00462965">
              <w:rPr>
                <w:rFonts w:asciiTheme="minorHAnsi" w:hAnsiTheme="minorHAnsi" w:cstheme="minorHAnsi"/>
                <w:sz w:val="22"/>
                <w:szCs w:val="22"/>
              </w:rPr>
              <w:t xml:space="preserve"> </w:t>
            </w:r>
            <w:r w:rsidRPr="00462965">
              <w:rPr>
                <w:rFonts w:asciiTheme="minorHAnsi" w:hAnsiTheme="minorHAnsi" w:cstheme="minorHAnsi"/>
                <w:sz w:val="22"/>
                <w:szCs w:val="22"/>
              </w:rPr>
              <w:t>kosztów postępowania podlejących uwzględnieniu w postanowieniu o ustaleniu planu spłaty</w:t>
            </w:r>
            <w:r w:rsidR="00555743" w:rsidRPr="00462965">
              <w:rPr>
                <w:rFonts w:asciiTheme="minorHAnsi" w:hAnsiTheme="minorHAnsi" w:cstheme="minorHAnsi"/>
                <w:sz w:val="22"/>
                <w:szCs w:val="22"/>
              </w:rPr>
              <w:t xml:space="preserve"> </w:t>
            </w:r>
            <w:r w:rsidRPr="00462965">
              <w:rPr>
                <w:rFonts w:asciiTheme="minorHAnsi" w:hAnsiTheme="minorHAnsi" w:cstheme="minorHAnsi"/>
                <w:sz w:val="22"/>
                <w:szCs w:val="22"/>
              </w:rPr>
              <w:t>jest znana, a na dzień orzekania może być co najwyżej niższa (z uwagi na bieżące wpływy do</w:t>
            </w:r>
            <w:r w:rsidR="00555743" w:rsidRPr="00462965">
              <w:rPr>
                <w:rFonts w:asciiTheme="minorHAnsi" w:hAnsiTheme="minorHAnsi" w:cstheme="minorHAnsi"/>
                <w:sz w:val="22"/>
                <w:szCs w:val="22"/>
              </w:rPr>
              <w:t xml:space="preserve"> </w:t>
            </w:r>
            <w:r w:rsidRPr="00462965">
              <w:rPr>
                <w:rFonts w:asciiTheme="minorHAnsi" w:hAnsiTheme="minorHAnsi" w:cstheme="minorHAnsi"/>
                <w:sz w:val="22"/>
                <w:szCs w:val="22"/>
              </w:rPr>
              <w:t>masy upadłości). Proponowane rozwiązanie utrudni zatem syndykowi przygotowanie projektu</w:t>
            </w:r>
            <w:r w:rsidR="00555743" w:rsidRPr="00462965">
              <w:rPr>
                <w:rFonts w:asciiTheme="minorHAnsi" w:hAnsiTheme="minorHAnsi" w:cstheme="minorHAnsi"/>
                <w:sz w:val="22"/>
                <w:szCs w:val="22"/>
              </w:rPr>
              <w:t xml:space="preserve"> </w:t>
            </w:r>
            <w:r w:rsidRPr="00462965">
              <w:rPr>
                <w:rFonts w:asciiTheme="minorHAnsi" w:hAnsiTheme="minorHAnsi" w:cstheme="minorHAnsi"/>
                <w:sz w:val="22"/>
                <w:szCs w:val="22"/>
              </w:rPr>
              <w:t>planu spłaty, skoro będzie on mógł ulec modyfikacji zależnie od momentu jego ustalenia</w:t>
            </w:r>
            <w:r w:rsidR="00C82190">
              <w:rPr>
                <w:rFonts w:asciiTheme="minorHAnsi" w:hAnsiTheme="minorHAnsi" w:cstheme="minorHAnsi"/>
                <w:sz w:val="22"/>
                <w:szCs w:val="22"/>
              </w:rPr>
              <w:t xml:space="preserve"> </w:t>
            </w:r>
            <w:r w:rsidRPr="00462965">
              <w:rPr>
                <w:rFonts w:asciiTheme="minorHAnsi" w:hAnsiTheme="minorHAnsi" w:cstheme="minorHAnsi"/>
                <w:sz w:val="22"/>
                <w:szCs w:val="22"/>
              </w:rPr>
              <w:t>postanowieniem Sądu (pewne informacje niezbędne dla przygotowania projektu planu spłaty</w:t>
            </w:r>
            <w:r w:rsidR="00555743" w:rsidRPr="00462965">
              <w:rPr>
                <w:rFonts w:asciiTheme="minorHAnsi" w:hAnsiTheme="minorHAnsi" w:cstheme="minorHAnsi"/>
                <w:sz w:val="22"/>
                <w:szCs w:val="22"/>
              </w:rPr>
              <w:t xml:space="preserve"> </w:t>
            </w:r>
            <w:r w:rsidRPr="00462965">
              <w:rPr>
                <w:rFonts w:asciiTheme="minorHAnsi" w:hAnsiTheme="minorHAnsi" w:cstheme="minorHAnsi"/>
                <w:sz w:val="22"/>
                <w:szCs w:val="22"/>
              </w:rPr>
              <w:t>syndyk uzyska dopiero po jego ustaleniu – co jest wewnętrznie sprzeczne).</w:t>
            </w:r>
          </w:p>
        </w:tc>
        <w:tc>
          <w:tcPr>
            <w:tcW w:w="1027" w:type="pct"/>
          </w:tcPr>
          <w:p w14:paraId="1E3EB4CB" w14:textId="77777777" w:rsidR="0061291D" w:rsidRPr="00AE1826" w:rsidRDefault="0061291D" w:rsidP="00CC7F2E">
            <w:pPr>
              <w:jc w:val="both"/>
              <w:rPr>
                <w:rFonts w:ascii="Calibri" w:hAnsi="Calibri" w:cs="Calibri"/>
                <w:color w:val="FF0000"/>
              </w:rPr>
            </w:pPr>
          </w:p>
        </w:tc>
        <w:tc>
          <w:tcPr>
            <w:tcW w:w="1108" w:type="pct"/>
          </w:tcPr>
          <w:p w14:paraId="66AA9354" w14:textId="253475AE" w:rsidR="0061291D" w:rsidRPr="007368C7" w:rsidRDefault="00D1586B" w:rsidP="00BC45D4">
            <w:pPr>
              <w:jc w:val="both"/>
              <w:rPr>
                <w:rFonts w:cstheme="minorHAnsi"/>
                <w:color w:val="FF0000"/>
              </w:rPr>
            </w:pPr>
            <w:r w:rsidRPr="007368C7">
              <w:rPr>
                <w:rFonts w:cstheme="minorHAnsi"/>
                <w:b/>
                <w:bCs/>
              </w:rPr>
              <w:t xml:space="preserve">Uwaga </w:t>
            </w:r>
            <w:r w:rsidR="00982D46" w:rsidRPr="007368C7">
              <w:rPr>
                <w:rFonts w:cstheme="minorHAnsi"/>
                <w:b/>
                <w:bCs/>
              </w:rPr>
              <w:t>uwzględniona</w:t>
            </w:r>
            <w:r w:rsidR="00982D46" w:rsidRPr="007368C7">
              <w:rPr>
                <w:rFonts w:cstheme="minorHAnsi"/>
              </w:rPr>
              <w:t xml:space="preserve"> poprzez </w:t>
            </w:r>
            <w:r w:rsidR="00162007" w:rsidRPr="007368C7">
              <w:rPr>
                <w:rFonts w:cstheme="minorHAnsi"/>
              </w:rPr>
              <w:t xml:space="preserve">usunięcie </w:t>
            </w:r>
            <w:r w:rsidR="00982D46" w:rsidRPr="007368C7">
              <w:rPr>
                <w:rFonts w:cstheme="minorHAnsi"/>
              </w:rPr>
              <w:t>z ust. 3 pkt. 2</w:t>
            </w:r>
            <w:r w:rsidR="00CE41DF" w:rsidRPr="007368C7">
              <w:rPr>
                <w:rFonts w:cstheme="minorHAnsi"/>
              </w:rPr>
              <w:t>.</w:t>
            </w:r>
            <w:r w:rsidR="00162007" w:rsidRPr="007368C7">
              <w:rPr>
                <w:rFonts w:cstheme="minorHAnsi"/>
              </w:rPr>
              <w:t xml:space="preserve"> I tym samym rezygnację z wyliczenia w ust. 3. </w:t>
            </w:r>
          </w:p>
        </w:tc>
      </w:tr>
      <w:tr w:rsidR="005101D8" w:rsidRPr="00486628" w14:paraId="3E3A04C5" w14:textId="77777777" w:rsidTr="00AC5078">
        <w:tc>
          <w:tcPr>
            <w:tcW w:w="158" w:type="pct"/>
          </w:tcPr>
          <w:p w14:paraId="34C4948E" w14:textId="2F67D27F" w:rsidR="005101D8" w:rsidRDefault="005101D8" w:rsidP="005F7A15">
            <w:pPr>
              <w:jc w:val="center"/>
              <w:rPr>
                <w:rFonts w:cstheme="minorHAnsi"/>
              </w:rPr>
            </w:pPr>
            <w:r>
              <w:rPr>
                <w:rFonts w:cstheme="minorHAnsi"/>
              </w:rPr>
              <w:t>3</w:t>
            </w:r>
            <w:r w:rsidR="0061291D">
              <w:rPr>
                <w:rFonts w:cstheme="minorHAnsi"/>
              </w:rPr>
              <w:t>8</w:t>
            </w:r>
          </w:p>
        </w:tc>
        <w:tc>
          <w:tcPr>
            <w:tcW w:w="698" w:type="pct"/>
          </w:tcPr>
          <w:p w14:paraId="7483D29D" w14:textId="655ACEFA" w:rsidR="005101D8" w:rsidRDefault="005101D8" w:rsidP="0073232F">
            <w:pPr>
              <w:rPr>
                <w:rFonts w:ascii="Calibri" w:hAnsi="Calibri" w:cs="Calibri"/>
              </w:rPr>
            </w:pPr>
            <w:r>
              <w:rPr>
                <w:rFonts w:ascii="Calibri" w:hAnsi="Calibri" w:cs="Calibri"/>
              </w:rPr>
              <w:t>S</w:t>
            </w:r>
            <w:r w:rsidR="006F2585">
              <w:rPr>
                <w:rFonts w:ascii="Calibri" w:hAnsi="Calibri" w:cs="Calibri"/>
              </w:rPr>
              <w:t>ąd Apelacyjny</w:t>
            </w:r>
            <w:r>
              <w:rPr>
                <w:rFonts w:ascii="Calibri" w:hAnsi="Calibri" w:cs="Calibri"/>
              </w:rPr>
              <w:t xml:space="preserve"> we Wrocławiu</w:t>
            </w:r>
          </w:p>
        </w:tc>
        <w:tc>
          <w:tcPr>
            <w:tcW w:w="591" w:type="pct"/>
          </w:tcPr>
          <w:p w14:paraId="0033D8BC" w14:textId="4095DD7D" w:rsidR="005101D8" w:rsidRPr="002B3340" w:rsidRDefault="006F2585" w:rsidP="00F901C7">
            <w:pPr>
              <w:rPr>
                <w:rFonts w:ascii="Calibri" w:hAnsi="Calibri" w:cs="Calibri"/>
                <w:lang w:val="en-GB"/>
              </w:rPr>
            </w:pPr>
            <w:r w:rsidRPr="002B3340">
              <w:rPr>
                <w:rFonts w:ascii="Calibri" w:hAnsi="Calibri" w:cs="Calibri"/>
                <w:b/>
                <w:bCs/>
                <w:lang w:val="en-GB"/>
              </w:rPr>
              <w:t>Art. 1 pkt 13</w:t>
            </w:r>
            <w:r w:rsidRPr="002B3340">
              <w:rPr>
                <w:rFonts w:ascii="Calibri" w:hAnsi="Calibri" w:cs="Calibri"/>
                <w:lang w:val="en-GB"/>
              </w:rPr>
              <w:t xml:space="preserve"> (</w:t>
            </w:r>
            <w:r w:rsidR="005101D8" w:rsidRPr="002B3340">
              <w:rPr>
                <w:rFonts w:ascii="Calibri" w:hAnsi="Calibri" w:cs="Calibri"/>
                <w:lang w:val="en-GB"/>
              </w:rPr>
              <w:t>art. 491</w:t>
            </w:r>
            <w:r w:rsidR="005101D8" w:rsidRPr="002B3340">
              <w:rPr>
                <w:rFonts w:ascii="Calibri" w:hAnsi="Calibri" w:cs="Calibri"/>
                <w:vertAlign w:val="superscript"/>
                <w:lang w:val="en-GB"/>
              </w:rPr>
              <w:t>9</w:t>
            </w:r>
            <w:r w:rsidR="005101D8" w:rsidRPr="002B3340">
              <w:rPr>
                <w:rFonts w:ascii="Calibri" w:hAnsi="Calibri" w:cs="Calibri"/>
                <w:lang w:val="en-GB"/>
              </w:rPr>
              <w:t xml:space="preserve"> P.U.</w:t>
            </w:r>
            <w:r w:rsidRPr="002B3340">
              <w:rPr>
                <w:rFonts w:ascii="Calibri" w:hAnsi="Calibri" w:cs="Calibri"/>
                <w:lang w:val="en-GB"/>
              </w:rPr>
              <w:t xml:space="preserve">) </w:t>
            </w:r>
          </w:p>
        </w:tc>
        <w:tc>
          <w:tcPr>
            <w:tcW w:w="1418" w:type="pct"/>
          </w:tcPr>
          <w:p w14:paraId="086DACCF" w14:textId="0B915150" w:rsidR="005E0B95" w:rsidRPr="00462965" w:rsidRDefault="005E0B95" w:rsidP="00462965">
            <w:pPr>
              <w:pStyle w:val="Default"/>
              <w:jc w:val="both"/>
              <w:rPr>
                <w:rFonts w:asciiTheme="minorHAnsi" w:hAnsiTheme="minorHAnsi" w:cstheme="minorHAnsi"/>
                <w:sz w:val="22"/>
                <w:szCs w:val="22"/>
              </w:rPr>
            </w:pPr>
            <w:r w:rsidRPr="00462965">
              <w:rPr>
                <w:rFonts w:asciiTheme="minorHAnsi" w:hAnsiTheme="minorHAnsi" w:cstheme="minorHAnsi"/>
                <w:sz w:val="22"/>
                <w:szCs w:val="22"/>
              </w:rPr>
              <w:t>W pierwszej kolejności wskazać należy na braki regulacji dotyczące samodzielnego pobrania</w:t>
            </w:r>
            <w:r w:rsidR="006F2585" w:rsidRPr="00462965">
              <w:rPr>
                <w:rFonts w:asciiTheme="minorHAnsi" w:hAnsiTheme="minorHAnsi" w:cstheme="minorHAnsi"/>
                <w:sz w:val="22"/>
                <w:szCs w:val="22"/>
              </w:rPr>
              <w:t xml:space="preserve"> </w:t>
            </w:r>
            <w:r w:rsidRPr="00462965">
              <w:rPr>
                <w:rFonts w:asciiTheme="minorHAnsi" w:hAnsiTheme="minorHAnsi" w:cstheme="minorHAnsi"/>
                <w:sz w:val="22"/>
                <w:szCs w:val="22"/>
              </w:rPr>
              <w:t>przez syndyka wynagrodzenia po wydaniu postanowienia sądu o ustaleniu planu spłaty</w:t>
            </w:r>
            <w:r w:rsidR="006F2585" w:rsidRPr="00462965">
              <w:rPr>
                <w:rFonts w:asciiTheme="minorHAnsi" w:hAnsiTheme="minorHAnsi" w:cstheme="minorHAnsi"/>
                <w:sz w:val="22"/>
                <w:szCs w:val="22"/>
              </w:rPr>
              <w:t xml:space="preserve"> </w:t>
            </w:r>
            <w:r w:rsidRPr="00462965">
              <w:rPr>
                <w:rFonts w:asciiTheme="minorHAnsi" w:hAnsiTheme="minorHAnsi" w:cstheme="minorHAnsi"/>
                <w:sz w:val="22"/>
                <w:szCs w:val="22"/>
              </w:rPr>
              <w:t>wierzycieli, o umorzeniu zobowiązań upadłego bez ustalenia planu spłaty wierzycieli,</w:t>
            </w:r>
            <w:r w:rsidR="006F2585" w:rsidRPr="00462965">
              <w:rPr>
                <w:rFonts w:asciiTheme="minorHAnsi" w:hAnsiTheme="minorHAnsi" w:cstheme="minorHAnsi"/>
                <w:sz w:val="22"/>
                <w:szCs w:val="22"/>
              </w:rPr>
              <w:t xml:space="preserve"> </w:t>
            </w:r>
            <w:r w:rsidRPr="00462965">
              <w:rPr>
                <w:rFonts w:asciiTheme="minorHAnsi" w:hAnsiTheme="minorHAnsi" w:cstheme="minorHAnsi"/>
                <w:sz w:val="22"/>
                <w:szCs w:val="22"/>
              </w:rPr>
              <w:t>o warunkowym umorzeniu zobowiązań upadłego bez ustalenia planu spłaty wierzycieli,</w:t>
            </w:r>
            <w:r w:rsidR="006F2585" w:rsidRPr="00462965">
              <w:rPr>
                <w:rFonts w:asciiTheme="minorHAnsi" w:hAnsiTheme="minorHAnsi" w:cstheme="minorHAnsi"/>
                <w:sz w:val="22"/>
                <w:szCs w:val="22"/>
              </w:rPr>
              <w:t xml:space="preserve"> </w:t>
            </w:r>
            <w:r w:rsidRPr="00462965">
              <w:rPr>
                <w:rFonts w:asciiTheme="minorHAnsi" w:hAnsiTheme="minorHAnsi" w:cstheme="minorHAnsi"/>
                <w:sz w:val="22"/>
                <w:szCs w:val="22"/>
              </w:rPr>
              <w:t>postanowienia, o którym mowa w art. 491</w:t>
            </w:r>
            <w:r w:rsidR="00D144BE" w:rsidRPr="00462965">
              <w:rPr>
                <w:rFonts w:asciiTheme="minorHAnsi" w:hAnsiTheme="minorHAnsi" w:cstheme="minorHAnsi"/>
                <w:sz w:val="22"/>
                <w:szCs w:val="22"/>
                <w:vertAlign w:val="superscript"/>
              </w:rPr>
              <w:t>14a</w:t>
            </w:r>
            <w:r w:rsidRPr="00462965">
              <w:rPr>
                <w:rFonts w:asciiTheme="minorHAnsi" w:hAnsiTheme="minorHAnsi" w:cstheme="minorHAnsi"/>
                <w:sz w:val="22"/>
                <w:szCs w:val="22"/>
              </w:rPr>
              <w:t>, albo postanowienia o umorzeniu postępowania</w:t>
            </w:r>
            <w:r w:rsidR="00595055" w:rsidRPr="00462965">
              <w:rPr>
                <w:rFonts w:asciiTheme="minorHAnsi" w:hAnsiTheme="minorHAnsi" w:cstheme="minorHAnsi"/>
                <w:sz w:val="22"/>
                <w:szCs w:val="22"/>
              </w:rPr>
              <w:t xml:space="preserve"> </w:t>
            </w:r>
            <w:r w:rsidRPr="00462965">
              <w:rPr>
                <w:rFonts w:asciiTheme="minorHAnsi" w:hAnsiTheme="minorHAnsi" w:cstheme="minorHAnsi"/>
                <w:sz w:val="22"/>
                <w:szCs w:val="22"/>
              </w:rPr>
              <w:t>(art. 49</w:t>
            </w:r>
            <w:r w:rsidR="00595055" w:rsidRPr="00462965">
              <w:rPr>
                <w:rFonts w:asciiTheme="minorHAnsi" w:hAnsiTheme="minorHAnsi" w:cstheme="minorHAnsi"/>
                <w:sz w:val="22"/>
                <w:szCs w:val="22"/>
              </w:rPr>
              <w:t>1</w:t>
            </w:r>
            <w:r w:rsidR="00595055" w:rsidRPr="00462965">
              <w:rPr>
                <w:rFonts w:asciiTheme="minorHAnsi" w:hAnsiTheme="minorHAnsi" w:cstheme="minorHAnsi"/>
                <w:sz w:val="22"/>
                <w:szCs w:val="22"/>
                <w:vertAlign w:val="superscript"/>
              </w:rPr>
              <w:t>9</w:t>
            </w:r>
            <w:r w:rsidRPr="00462965">
              <w:rPr>
                <w:rFonts w:asciiTheme="minorHAnsi" w:hAnsiTheme="minorHAnsi" w:cstheme="minorHAnsi"/>
                <w:sz w:val="22"/>
                <w:szCs w:val="22"/>
              </w:rPr>
              <w:t xml:space="preserve"> ust. 3c P.U.).</w:t>
            </w:r>
          </w:p>
          <w:p w14:paraId="1163CD36" w14:textId="4E3018EA" w:rsidR="005E0B95" w:rsidRPr="00462965" w:rsidRDefault="005E0B95" w:rsidP="00462965">
            <w:pPr>
              <w:pStyle w:val="Default"/>
              <w:jc w:val="both"/>
              <w:rPr>
                <w:rFonts w:asciiTheme="minorHAnsi" w:hAnsiTheme="minorHAnsi" w:cstheme="minorHAnsi"/>
                <w:sz w:val="22"/>
                <w:szCs w:val="22"/>
              </w:rPr>
            </w:pPr>
            <w:r w:rsidRPr="00462965">
              <w:rPr>
                <w:rFonts w:asciiTheme="minorHAnsi" w:hAnsiTheme="minorHAnsi" w:cstheme="minorHAnsi"/>
                <w:sz w:val="22"/>
                <w:szCs w:val="22"/>
              </w:rPr>
              <w:lastRenderedPageBreak/>
              <w:t>W praktyce, z uwagi na powszechną ubogość</w:t>
            </w:r>
            <w:r w:rsidR="00595055" w:rsidRPr="00462965">
              <w:rPr>
                <w:rFonts w:asciiTheme="minorHAnsi" w:hAnsiTheme="minorHAnsi" w:cstheme="minorHAnsi"/>
                <w:sz w:val="22"/>
                <w:szCs w:val="22"/>
              </w:rPr>
              <w:t xml:space="preserve"> </w:t>
            </w:r>
            <w:r w:rsidRPr="00462965">
              <w:rPr>
                <w:rFonts w:asciiTheme="minorHAnsi" w:hAnsiTheme="minorHAnsi" w:cstheme="minorHAnsi"/>
                <w:sz w:val="22"/>
                <w:szCs w:val="22"/>
              </w:rPr>
              <w:t>mas upadłości w postępowaniach</w:t>
            </w:r>
            <w:r w:rsidR="00595055" w:rsidRPr="00462965">
              <w:rPr>
                <w:rFonts w:asciiTheme="minorHAnsi" w:hAnsiTheme="minorHAnsi" w:cstheme="minorHAnsi"/>
                <w:sz w:val="22"/>
                <w:szCs w:val="22"/>
              </w:rPr>
              <w:t xml:space="preserve"> </w:t>
            </w:r>
            <w:r w:rsidRPr="00462965">
              <w:rPr>
                <w:rFonts w:asciiTheme="minorHAnsi" w:hAnsiTheme="minorHAnsi" w:cstheme="minorHAnsi"/>
                <w:sz w:val="22"/>
                <w:szCs w:val="22"/>
              </w:rPr>
              <w:t>upadłościowych konsumenckich</w:t>
            </w:r>
            <w:r w:rsidR="00595055" w:rsidRPr="00462965">
              <w:rPr>
                <w:rFonts w:asciiTheme="minorHAnsi" w:hAnsiTheme="minorHAnsi" w:cstheme="minorHAnsi"/>
                <w:sz w:val="22"/>
                <w:szCs w:val="22"/>
              </w:rPr>
              <w:t xml:space="preserve"> </w:t>
            </w:r>
            <w:r w:rsidRPr="00462965">
              <w:rPr>
                <w:rFonts w:asciiTheme="minorHAnsi" w:hAnsiTheme="minorHAnsi" w:cstheme="minorHAnsi"/>
                <w:sz w:val="22"/>
                <w:szCs w:val="22"/>
              </w:rPr>
              <w:t>uproszczonych, jedynie część wynagrodzenia jest</w:t>
            </w:r>
            <w:r w:rsidR="00595055" w:rsidRPr="00462965">
              <w:rPr>
                <w:rFonts w:asciiTheme="minorHAnsi" w:hAnsiTheme="minorHAnsi" w:cstheme="minorHAnsi"/>
                <w:sz w:val="22"/>
                <w:szCs w:val="22"/>
              </w:rPr>
              <w:t xml:space="preserve"> </w:t>
            </w:r>
            <w:r w:rsidRPr="00462965">
              <w:rPr>
                <w:rFonts w:asciiTheme="minorHAnsi" w:hAnsiTheme="minorHAnsi" w:cstheme="minorHAnsi"/>
                <w:sz w:val="22"/>
                <w:szCs w:val="22"/>
              </w:rPr>
              <w:t>zaspokajana z masy upadłości. Sposób wypłaty, w tym część podlegającą wypłacie z masy</w:t>
            </w:r>
            <w:r w:rsidR="00595055" w:rsidRPr="00462965">
              <w:rPr>
                <w:rFonts w:asciiTheme="minorHAnsi" w:hAnsiTheme="minorHAnsi" w:cstheme="minorHAnsi"/>
                <w:sz w:val="22"/>
                <w:szCs w:val="22"/>
              </w:rPr>
              <w:t xml:space="preserve"> </w:t>
            </w:r>
            <w:r w:rsidRPr="00462965">
              <w:rPr>
                <w:rFonts w:asciiTheme="minorHAnsi" w:hAnsiTheme="minorHAnsi" w:cstheme="minorHAnsi"/>
                <w:sz w:val="22"/>
                <w:szCs w:val="22"/>
              </w:rPr>
              <w:t>upadłości oraz z sądu, określa szczegółowo postanowienie kończące. W tym wypadku wypłata</w:t>
            </w:r>
            <w:r w:rsidR="00595055" w:rsidRPr="00462965">
              <w:rPr>
                <w:rFonts w:asciiTheme="minorHAnsi" w:hAnsiTheme="minorHAnsi" w:cstheme="minorHAnsi"/>
                <w:sz w:val="22"/>
                <w:szCs w:val="22"/>
              </w:rPr>
              <w:t xml:space="preserve"> </w:t>
            </w:r>
            <w:r w:rsidRPr="00462965">
              <w:rPr>
                <w:rFonts w:asciiTheme="minorHAnsi" w:hAnsiTheme="minorHAnsi" w:cstheme="minorHAnsi"/>
                <w:sz w:val="22"/>
                <w:szCs w:val="22"/>
              </w:rPr>
              <w:t>następuje równolegle na podstawie dwóch rachunków. Brak określenia sposobu wypłaty</w:t>
            </w:r>
            <w:r w:rsidR="00595055" w:rsidRPr="00462965">
              <w:rPr>
                <w:rFonts w:asciiTheme="minorHAnsi" w:hAnsiTheme="minorHAnsi" w:cstheme="minorHAnsi"/>
                <w:sz w:val="22"/>
                <w:szCs w:val="22"/>
              </w:rPr>
              <w:t xml:space="preserve"> </w:t>
            </w:r>
            <w:r w:rsidRPr="00462965">
              <w:rPr>
                <w:rFonts w:asciiTheme="minorHAnsi" w:hAnsiTheme="minorHAnsi" w:cstheme="minorHAnsi"/>
                <w:sz w:val="22"/>
                <w:szCs w:val="22"/>
              </w:rPr>
              <w:t>w postanowieniu sądu spowoduje brak możliwości kontroli po stronie sądu sposobu wypłaty</w:t>
            </w:r>
            <w:r w:rsidR="00595055" w:rsidRPr="00462965">
              <w:rPr>
                <w:rFonts w:asciiTheme="minorHAnsi" w:hAnsiTheme="minorHAnsi" w:cstheme="minorHAnsi"/>
                <w:sz w:val="22"/>
                <w:szCs w:val="22"/>
              </w:rPr>
              <w:t xml:space="preserve"> </w:t>
            </w:r>
            <w:r w:rsidRPr="00462965">
              <w:rPr>
                <w:rFonts w:asciiTheme="minorHAnsi" w:hAnsiTheme="minorHAnsi" w:cstheme="minorHAnsi"/>
                <w:sz w:val="22"/>
                <w:szCs w:val="22"/>
              </w:rPr>
              <w:t>wynagrodzenia, w szczególności jego zdublowania lub częściowego zdublowania, ewentualnie</w:t>
            </w:r>
            <w:r w:rsidR="00595055" w:rsidRPr="00462965">
              <w:rPr>
                <w:rFonts w:asciiTheme="minorHAnsi" w:hAnsiTheme="minorHAnsi" w:cstheme="minorHAnsi"/>
                <w:sz w:val="22"/>
                <w:szCs w:val="22"/>
              </w:rPr>
              <w:t xml:space="preserve"> </w:t>
            </w:r>
            <w:r w:rsidRPr="00462965">
              <w:rPr>
                <w:rFonts w:asciiTheme="minorHAnsi" w:hAnsiTheme="minorHAnsi" w:cstheme="minorHAnsi"/>
                <w:sz w:val="22"/>
                <w:szCs w:val="22"/>
              </w:rPr>
              <w:t>przerzucenie tej kontroli na działy księgowości w sądach upadłościowych.</w:t>
            </w:r>
            <w:r w:rsidR="00595055" w:rsidRPr="00462965">
              <w:rPr>
                <w:rFonts w:asciiTheme="minorHAnsi" w:hAnsiTheme="minorHAnsi" w:cstheme="minorHAnsi"/>
                <w:sz w:val="22"/>
                <w:szCs w:val="22"/>
              </w:rPr>
              <w:t xml:space="preserve"> </w:t>
            </w:r>
            <w:r w:rsidRPr="00462965">
              <w:rPr>
                <w:rFonts w:asciiTheme="minorHAnsi" w:hAnsiTheme="minorHAnsi" w:cstheme="minorHAnsi"/>
                <w:sz w:val="22"/>
                <w:szCs w:val="22"/>
              </w:rPr>
              <w:t>Projektowane przepisy wprowadzają również pojęcie zryczałtowanych kosztów postępowania</w:t>
            </w:r>
            <w:r w:rsidR="00595055" w:rsidRPr="00462965">
              <w:rPr>
                <w:rFonts w:asciiTheme="minorHAnsi" w:hAnsiTheme="minorHAnsi" w:cstheme="minorHAnsi"/>
                <w:sz w:val="22"/>
                <w:szCs w:val="22"/>
              </w:rPr>
              <w:t xml:space="preserve"> </w:t>
            </w:r>
            <w:r w:rsidRPr="00462965">
              <w:rPr>
                <w:rFonts w:asciiTheme="minorHAnsi" w:hAnsiTheme="minorHAnsi" w:cstheme="minorHAnsi"/>
                <w:sz w:val="22"/>
                <w:szCs w:val="22"/>
              </w:rPr>
              <w:t>jednocześnie nie wskazując, co oznacza to pojęcie oraz jaka jest relacja zryczałtowanych</w:t>
            </w:r>
          </w:p>
          <w:p w14:paraId="13ED146F" w14:textId="659E3292" w:rsidR="00312E57" w:rsidRPr="00462965" w:rsidRDefault="005E0B95" w:rsidP="00462965">
            <w:pPr>
              <w:pStyle w:val="Default"/>
              <w:jc w:val="both"/>
              <w:rPr>
                <w:rFonts w:asciiTheme="minorHAnsi" w:hAnsiTheme="minorHAnsi" w:cstheme="minorHAnsi"/>
                <w:sz w:val="22"/>
                <w:szCs w:val="22"/>
              </w:rPr>
            </w:pPr>
            <w:r w:rsidRPr="00462965">
              <w:rPr>
                <w:rFonts w:asciiTheme="minorHAnsi" w:hAnsiTheme="minorHAnsi" w:cstheme="minorHAnsi"/>
                <w:sz w:val="22"/>
                <w:szCs w:val="22"/>
              </w:rPr>
              <w:t>kosztów postępowania, wskazanych w art. 491</w:t>
            </w:r>
            <w:r w:rsidRPr="00462965">
              <w:rPr>
                <w:rFonts w:asciiTheme="minorHAnsi" w:hAnsiTheme="minorHAnsi" w:cstheme="minorHAnsi"/>
                <w:sz w:val="22"/>
                <w:szCs w:val="22"/>
                <w:vertAlign w:val="superscript"/>
              </w:rPr>
              <w:t>9</w:t>
            </w:r>
            <w:r w:rsidRPr="00462965">
              <w:rPr>
                <w:rFonts w:asciiTheme="minorHAnsi" w:hAnsiTheme="minorHAnsi" w:cstheme="minorHAnsi"/>
                <w:sz w:val="22"/>
                <w:szCs w:val="22"/>
              </w:rPr>
              <w:t xml:space="preserve"> ust. 3a P.U. do pojęcia zryczałtowanych</w:t>
            </w:r>
            <w:r w:rsidR="00595055" w:rsidRPr="00462965">
              <w:rPr>
                <w:rFonts w:asciiTheme="minorHAnsi" w:hAnsiTheme="minorHAnsi" w:cstheme="minorHAnsi"/>
                <w:sz w:val="22"/>
                <w:szCs w:val="22"/>
              </w:rPr>
              <w:t xml:space="preserve"> </w:t>
            </w:r>
            <w:r w:rsidRPr="00462965">
              <w:rPr>
                <w:rFonts w:asciiTheme="minorHAnsi" w:hAnsiTheme="minorHAnsi" w:cstheme="minorHAnsi"/>
                <w:sz w:val="22"/>
                <w:szCs w:val="22"/>
              </w:rPr>
              <w:t>kosztów postępowania z art. 235 P.U.</w:t>
            </w:r>
          </w:p>
          <w:p w14:paraId="13F616A8" w14:textId="7FDBD7C4" w:rsidR="00312E57" w:rsidRPr="00462965" w:rsidRDefault="00312E57" w:rsidP="00462965">
            <w:pPr>
              <w:pStyle w:val="Default"/>
              <w:jc w:val="both"/>
              <w:rPr>
                <w:rFonts w:asciiTheme="minorHAnsi" w:hAnsiTheme="minorHAnsi" w:cstheme="minorHAnsi"/>
                <w:sz w:val="22"/>
                <w:szCs w:val="22"/>
              </w:rPr>
            </w:pPr>
            <w:r w:rsidRPr="00462965">
              <w:rPr>
                <w:rFonts w:asciiTheme="minorHAnsi" w:hAnsiTheme="minorHAnsi" w:cstheme="minorHAnsi"/>
                <w:sz w:val="22"/>
                <w:szCs w:val="22"/>
              </w:rPr>
              <w:t>Projektowany przepis art. 491</w:t>
            </w:r>
            <w:r w:rsidR="00595055" w:rsidRPr="00462965">
              <w:rPr>
                <w:rFonts w:asciiTheme="minorHAnsi" w:hAnsiTheme="minorHAnsi" w:cstheme="minorHAnsi"/>
                <w:sz w:val="22"/>
                <w:szCs w:val="22"/>
                <w:vertAlign w:val="superscript"/>
              </w:rPr>
              <w:t>9</w:t>
            </w:r>
            <w:r w:rsidRPr="00462965">
              <w:rPr>
                <w:rFonts w:asciiTheme="minorHAnsi" w:hAnsiTheme="minorHAnsi" w:cstheme="minorHAnsi"/>
                <w:sz w:val="22"/>
                <w:szCs w:val="22"/>
              </w:rPr>
              <w:t xml:space="preserve"> ust. 3c p.u. odsyła w zakresie zasad wypłaty</w:t>
            </w:r>
            <w:r w:rsidR="00595055" w:rsidRPr="00462965">
              <w:rPr>
                <w:rFonts w:asciiTheme="minorHAnsi" w:hAnsiTheme="minorHAnsi" w:cstheme="minorHAnsi"/>
                <w:sz w:val="22"/>
                <w:szCs w:val="22"/>
              </w:rPr>
              <w:t xml:space="preserve"> </w:t>
            </w:r>
            <w:r w:rsidRPr="00462965">
              <w:rPr>
                <w:rFonts w:asciiTheme="minorHAnsi" w:hAnsiTheme="minorHAnsi" w:cstheme="minorHAnsi"/>
                <w:sz w:val="22"/>
                <w:szCs w:val="22"/>
              </w:rPr>
              <w:t>wynagrodzenia do zmienianego ust. 1, pomijając projektowany ust. 3 i 3a. Należy podkreślić,</w:t>
            </w:r>
            <w:r w:rsidR="00595055" w:rsidRPr="00462965">
              <w:rPr>
                <w:rFonts w:asciiTheme="minorHAnsi" w:hAnsiTheme="minorHAnsi" w:cstheme="minorHAnsi"/>
                <w:sz w:val="22"/>
                <w:szCs w:val="22"/>
              </w:rPr>
              <w:t xml:space="preserve"> </w:t>
            </w:r>
            <w:r w:rsidRPr="00462965">
              <w:rPr>
                <w:rFonts w:asciiTheme="minorHAnsi" w:hAnsiTheme="minorHAnsi" w:cstheme="minorHAnsi"/>
                <w:sz w:val="22"/>
                <w:szCs w:val="22"/>
              </w:rPr>
              <w:t xml:space="preserve">że projektowany ust. 1 (podobnie jak ust. 3 i 3a) określa wysokość wynagrodzenia syndyka –odmiennie od </w:t>
            </w:r>
            <w:r w:rsidRPr="00462965">
              <w:rPr>
                <w:rFonts w:asciiTheme="minorHAnsi" w:hAnsiTheme="minorHAnsi" w:cstheme="minorHAnsi"/>
                <w:sz w:val="22"/>
                <w:szCs w:val="22"/>
              </w:rPr>
              <w:lastRenderedPageBreak/>
              <w:t>dotychczasowego brzmienia ust.</w:t>
            </w:r>
            <w:r w:rsidR="00595055" w:rsidRPr="00462965">
              <w:rPr>
                <w:rFonts w:asciiTheme="minorHAnsi" w:hAnsiTheme="minorHAnsi" w:cstheme="minorHAnsi"/>
                <w:sz w:val="22"/>
                <w:szCs w:val="22"/>
              </w:rPr>
              <w:t xml:space="preserve"> </w:t>
            </w:r>
            <w:r w:rsidRPr="00462965">
              <w:rPr>
                <w:rFonts w:asciiTheme="minorHAnsi" w:hAnsiTheme="minorHAnsi" w:cstheme="minorHAnsi"/>
                <w:sz w:val="22"/>
                <w:szCs w:val="22"/>
              </w:rPr>
              <w:t>1, który wskazywał na zasady jego ustalania.</w:t>
            </w:r>
          </w:p>
          <w:p w14:paraId="5B39172A" w14:textId="5E7BB352" w:rsidR="00312E57" w:rsidRPr="00462965" w:rsidRDefault="00312E57" w:rsidP="00462965">
            <w:pPr>
              <w:pStyle w:val="Default"/>
              <w:jc w:val="both"/>
              <w:rPr>
                <w:rFonts w:asciiTheme="minorHAnsi" w:hAnsiTheme="minorHAnsi" w:cstheme="minorHAnsi"/>
                <w:sz w:val="22"/>
                <w:szCs w:val="22"/>
              </w:rPr>
            </w:pPr>
            <w:r w:rsidRPr="00462965">
              <w:rPr>
                <w:rFonts w:asciiTheme="minorHAnsi" w:hAnsiTheme="minorHAnsi" w:cstheme="minorHAnsi"/>
                <w:sz w:val="22"/>
                <w:szCs w:val="22"/>
              </w:rPr>
              <w:t>Pozostaje zatem luka prawna dotycząca prawa syndyka do pobrania wynagrodzenia ustalonego</w:t>
            </w:r>
            <w:r w:rsidR="00595055" w:rsidRPr="00462965">
              <w:rPr>
                <w:rFonts w:asciiTheme="minorHAnsi" w:hAnsiTheme="minorHAnsi" w:cstheme="minorHAnsi"/>
                <w:sz w:val="22"/>
                <w:szCs w:val="22"/>
              </w:rPr>
              <w:t xml:space="preserve"> </w:t>
            </w:r>
            <w:r w:rsidRPr="00462965">
              <w:rPr>
                <w:rFonts w:asciiTheme="minorHAnsi" w:hAnsiTheme="minorHAnsi" w:cstheme="minorHAnsi"/>
                <w:sz w:val="22"/>
                <w:szCs w:val="22"/>
              </w:rPr>
              <w:t>na podstawie ust. 3 lub 3a.</w:t>
            </w:r>
          </w:p>
          <w:p w14:paraId="383A948E" w14:textId="3DD35341" w:rsidR="00312E57" w:rsidRPr="00462965" w:rsidRDefault="00312E57" w:rsidP="00462965">
            <w:pPr>
              <w:pStyle w:val="Default"/>
              <w:jc w:val="both"/>
              <w:rPr>
                <w:rFonts w:asciiTheme="minorHAnsi" w:hAnsiTheme="minorHAnsi" w:cstheme="minorHAnsi"/>
                <w:sz w:val="22"/>
                <w:szCs w:val="22"/>
              </w:rPr>
            </w:pPr>
            <w:r w:rsidRPr="00462965">
              <w:rPr>
                <w:rFonts w:asciiTheme="minorHAnsi" w:hAnsiTheme="minorHAnsi" w:cstheme="minorHAnsi"/>
                <w:sz w:val="22"/>
                <w:szCs w:val="22"/>
              </w:rPr>
              <w:t>Projektowany art. 491</w:t>
            </w:r>
            <w:r w:rsidR="00595055" w:rsidRPr="00462965">
              <w:rPr>
                <w:rFonts w:asciiTheme="minorHAnsi" w:hAnsiTheme="minorHAnsi" w:cstheme="minorHAnsi"/>
                <w:sz w:val="22"/>
                <w:szCs w:val="22"/>
                <w:vertAlign w:val="superscript"/>
              </w:rPr>
              <w:t>9</w:t>
            </w:r>
            <w:r w:rsidRPr="00462965">
              <w:rPr>
                <w:rFonts w:asciiTheme="minorHAnsi" w:hAnsiTheme="minorHAnsi" w:cstheme="minorHAnsi"/>
                <w:sz w:val="22"/>
                <w:szCs w:val="22"/>
              </w:rPr>
              <w:t xml:space="preserve"> ust. 3d p.u. przewiduje możliwość pokrywania części wynagrodzenia</w:t>
            </w:r>
          </w:p>
          <w:p w14:paraId="6861CB71" w14:textId="050C6648" w:rsidR="00312E57" w:rsidRPr="00462965" w:rsidRDefault="00312E57" w:rsidP="00462965">
            <w:pPr>
              <w:pStyle w:val="Default"/>
              <w:jc w:val="both"/>
              <w:rPr>
                <w:rFonts w:asciiTheme="minorHAnsi" w:hAnsiTheme="minorHAnsi" w:cstheme="minorHAnsi"/>
                <w:sz w:val="22"/>
                <w:szCs w:val="22"/>
              </w:rPr>
            </w:pPr>
            <w:r w:rsidRPr="00462965">
              <w:rPr>
                <w:rFonts w:asciiTheme="minorHAnsi" w:hAnsiTheme="minorHAnsi" w:cstheme="minorHAnsi"/>
                <w:sz w:val="22"/>
                <w:szCs w:val="22"/>
              </w:rPr>
              <w:t>nieznajdującej pokrycia w funduszach masy</w:t>
            </w:r>
            <w:r w:rsidR="00595055" w:rsidRPr="00462965">
              <w:rPr>
                <w:rFonts w:asciiTheme="minorHAnsi" w:hAnsiTheme="minorHAnsi" w:cstheme="minorHAnsi"/>
                <w:sz w:val="22"/>
                <w:szCs w:val="22"/>
              </w:rPr>
              <w:t xml:space="preserve"> </w:t>
            </w:r>
            <w:r w:rsidRPr="00462965">
              <w:rPr>
                <w:rFonts w:asciiTheme="minorHAnsi" w:hAnsiTheme="minorHAnsi" w:cstheme="minorHAnsi"/>
                <w:sz w:val="22"/>
                <w:szCs w:val="22"/>
              </w:rPr>
              <w:t>upadłości ze środków Skarbu Państwa – bez</w:t>
            </w:r>
            <w:r w:rsidR="00595055" w:rsidRPr="00462965">
              <w:rPr>
                <w:rFonts w:asciiTheme="minorHAnsi" w:hAnsiTheme="minorHAnsi" w:cstheme="minorHAnsi"/>
                <w:sz w:val="22"/>
                <w:szCs w:val="22"/>
              </w:rPr>
              <w:t xml:space="preserve"> </w:t>
            </w:r>
            <w:r w:rsidRPr="00462965">
              <w:rPr>
                <w:rFonts w:asciiTheme="minorHAnsi" w:hAnsiTheme="minorHAnsi" w:cstheme="minorHAnsi"/>
                <w:sz w:val="22"/>
                <w:szCs w:val="22"/>
              </w:rPr>
              <w:t>podstawy prawnej. Wynika to z najwyraźniej błędnego użycia wyrażenia „bez przyznania</w:t>
            </w:r>
            <w:r w:rsidR="00595055" w:rsidRPr="00462965">
              <w:rPr>
                <w:rFonts w:asciiTheme="minorHAnsi" w:hAnsiTheme="minorHAnsi" w:cstheme="minorHAnsi"/>
                <w:sz w:val="22"/>
                <w:szCs w:val="22"/>
              </w:rPr>
              <w:t xml:space="preserve"> </w:t>
            </w:r>
            <w:r w:rsidRPr="00462965">
              <w:rPr>
                <w:rFonts w:asciiTheme="minorHAnsi" w:hAnsiTheme="minorHAnsi" w:cstheme="minorHAnsi"/>
                <w:sz w:val="22"/>
                <w:szCs w:val="22"/>
              </w:rPr>
              <w:t>wynagrodzenia postanowieniem sądu” w miejsce poprawnego: „bez przyznania zaliczki</w:t>
            </w:r>
          </w:p>
          <w:p w14:paraId="0AC69DD9" w14:textId="77777777" w:rsidR="00312E57" w:rsidRPr="00462965" w:rsidRDefault="00312E57" w:rsidP="00462965">
            <w:pPr>
              <w:pStyle w:val="Default"/>
              <w:jc w:val="both"/>
              <w:rPr>
                <w:rFonts w:asciiTheme="minorHAnsi" w:hAnsiTheme="minorHAnsi" w:cstheme="minorHAnsi"/>
                <w:sz w:val="22"/>
                <w:szCs w:val="22"/>
              </w:rPr>
            </w:pPr>
            <w:r w:rsidRPr="00462965">
              <w:rPr>
                <w:rFonts w:asciiTheme="minorHAnsi" w:hAnsiTheme="minorHAnsi" w:cstheme="minorHAnsi"/>
                <w:sz w:val="22"/>
                <w:szCs w:val="22"/>
              </w:rPr>
              <w:t>postanowieniem sądu”.</w:t>
            </w:r>
          </w:p>
          <w:p w14:paraId="747597D1" w14:textId="2E654973" w:rsidR="00312E57" w:rsidRPr="00462965" w:rsidRDefault="00312E57" w:rsidP="00462965">
            <w:pPr>
              <w:pStyle w:val="Default"/>
              <w:jc w:val="both"/>
              <w:rPr>
                <w:rFonts w:asciiTheme="minorHAnsi" w:hAnsiTheme="minorHAnsi" w:cstheme="minorHAnsi"/>
                <w:sz w:val="22"/>
                <w:szCs w:val="22"/>
              </w:rPr>
            </w:pPr>
            <w:r w:rsidRPr="00462965">
              <w:rPr>
                <w:rFonts w:asciiTheme="minorHAnsi" w:hAnsiTheme="minorHAnsi" w:cstheme="minorHAnsi"/>
                <w:sz w:val="22"/>
                <w:szCs w:val="22"/>
              </w:rPr>
              <w:t>Projektowany art. 491</w:t>
            </w:r>
            <w:r w:rsidR="00595055" w:rsidRPr="00462965">
              <w:rPr>
                <w:rFonts w:asciiTheme="minorHAnsi" w:hAnsiTheme="minorHAnsi" w:cstheme="minorHAnsi"/>
                <w:sz w:val="22"/>
                <w:szCs w:val="22"/>
                <w:vertAlign w:val="superscript"/>
              </w:rPr>
              <w:t>9</w:t>
            </w:r>
            <w:r w:rsidRPr="00462965">
              <w:rPr>
                <w:rFonts w:asciiTheme="minorHAnsi" w:hAnsiTheme="minorHAnsi" w:cstheme="minorHAnsi"/>
                <w:sz w:val="22"/>
                <w:szCs w:val="22"/>
              </w:rPr>
              <w:t xml:space="preserve"> ust. 3f </w:t>
            </w:r>
            <w:r w:rsidR="00F4778C">
              <w:rPr>
                <w:rFonts w:asciiTheme="minorHAnsi" w:hAnsiTheme="minorHAnsi" w:cstheme="minorHAnsi"/>
                <w:sz w:val="22"/>
                <w:szCs w:val="22"/>
              </w:rPr>
              <w:t>P</w:t>
            </w:r>
            <w:r w:rsidRPr="00462965">
              <w:rPr>
                <w:rFonts w:asciiTheme="minorHAnsi" w:hAnsiTheme="minorHAnsi" w:cstheme="minorHAnsi"/>
                <w:sz w:val="22"/>
                <w:szCs w:val="22"/>
              </w:rPr>
              <w:t>.</w:t>
            </w:r>
            <w:r w:rsidR="00F4778C">
              <w:rPr>
                <w:rFonts w:asciiTheme="minorHAnsi" w:hAnsiTheme="minorHAnsi" w:cstheme="minorHAnsi"/>
                <w:sz w:val="22"/>
                <w:szCs w:val="22"/>
              </w:rPr>
              <w:t>U</w:t>
            </w:r>
            <w:r w:rsidRPr="00462965">
              <w:rPr>
                <w:rFonts w:asciiTheme="minorHAnsi" w:hAnsiTheme="minorHAnsi" w:cstheme="minorHAnsi"/>
                <w:sz w:val="22"/>
                <w:szCs w:val="22"/>
              </w:rPr>
              <w:t>. wprowadza niezrozumiałą (brak wyjaśnienia</w:t>
            </w:r>
            <w:r w:rsidR="00595055" w:rsidRPr="00462965">
              <w:rPr>
                <w:rFonts w:asciiTheme="minorHAnsi" w:hAnsiTheme="minorHAnsi" w:cstheme="minorHAnsi"/>
                <w:sz w:val="22"/>
                <w:szCs w:val="22"/>
              </w:rPr>
              <w:t xml:space="preserve"> </w:t>
            </w:r>
            <w:r w:rsidRPr="00462965">
              <w:rPr>
                <w:rFonts w:asciiTheme="minorHAnsi" w:hAnsiTheme="minorHAnsi" w:cstheme="minorHAnsi"/>
                <w:sz w:val="22"/>
                <w:szCs w:val="22"/>
              </w:rPr>
              <w:t>w uzasadnieniu projektu) przyczyn, dla których zasady ustalania oraz pobierania</w:t>
            </w:r>
            <w:r w:rsidR="00595055" w:rsidRPr="00462965">
              <w:rPr>
                <w:rFonts w:asciiTheme="minorHAnsi" w:hAnsiTheme="minorHAnsi" w:cstheme="minorHAnsi"/>
                <w:sz w:val="22"/>
                <w:szCs w:val="22"/>
              </w:rPr>
              <w:t xml:space="preserve"> </w:t>
            </w:r>
            <w:r w:rsidRPr="00462965">
              <w:rPr>
                <w:rFonts w:asciiTheme="minorHAnsi" w:hAnsiTheme="minorHAnsi" w:cstheme="minorHAnsi"/>
                <w:sz w:val="22"/>
                <w:szCs w:val="22"/>
              </w:rPr>
              <w:t>i finansowania wynagrodzenia w postępowaniu w którym funkcję pełniło kilku syndyków</w:t>
            </w:r>
            <w:r w:rsidR="00595055" w:rsidRPr="00462965">
              <w:rPr>
                <w:rFonts w:asciiTheme="minorHAnsi" w:hAnsiTheme="minorHAnsi" w:cstheme="minorHAnsi"/>
                <w:sz w:val="22"/>
                <w:szCs w:val="22"/>
              </w:rPr>
              <w:t xml:space="preserve"> </w:t>
            </w:r>
            <w:r w:rsidRPr="00462965">
              <w:rPr>
                <w:rFonts w:asciiTheme="minorHAnsi" w:hAnsiTheme="minorHAnsi" w:cstheme="minorHAnsi"/>
                <w:sz w:val="22"/>
                <w:szCs w:val="22"/>
              </w:rPr>
              <w:t>miały być odmienne niż w przypadku jednego syndyka, skoro jedyną odrębnością jest tu</w:t>
            </w:r>
            <w:r w:rsidR="00595055" w:rsidRPr="00462965">
              <w:rPr>
                <w:rFonts w:asciiTheme="minorHAnsi" w:hAnsiTheme="minorHAnsi" w:cstheme="minorHAnsi"/>
                <w:sz w:val="22"/>
                <w:szCs w:val="22"/>
              </w:rPr>
              <w:t xml:space="preserve"> </w:t>
            </w:r>
            <w:r w:rsidRPr="00462965">
              <w:rPr>
                <w:rFonts w:asciiTheme="minorHAnsi" w:hAnsiTheme="minorHAnsi" w:cstheme="minorHAnsi"/>
                <w:sz w:val="22"/>
                <w:szCs w:val="22"/>
              </w:rPr>
              <w:t>konieczność rozstrzygnięcia w jakiej części przyznane wynagrodzenie przysługuje któremu</w:t>
            </w:r>
            <w:r w:rsidR="00595055" w:rsidRPr="00462965">
              <w:rPr>
                <w:rFonts w:asciiTheme="minorHAnsi" w:hAnsiTheme="minorHAnsi" w:cstheme="minorHAnsi"/>
                <w:sz w:val="22"/>
                <w:szCs w:val="22"/>
              </w:rPr>
              <w:t xml:space="preserve"> </w:t>
            </w:r>
            <w:r w:rsidRPr="00462965">
              <w:rPr>
                <w:rFonts w:asciiTheme="minorHAnsi" w:hAnsiTheme="minorHAnsi" w:cstheme="minorHAnsi"/>
                <w:sz w:val="22"/>
                <w:szCs w:val="22"/>
              </w:rPr>
              <w:t>z syndyków.</w:t>
            </w:r>
          </w:p>
          <w:p w14:paraId="5E4E2901" w14:textId="6DB41B01" w:rsidR="00312E57" w:rsidRPr="00462965" w:rsidRDefault="00312E57" w:rsidP="00462965">
            <w:pPr>
              <w:pStyle w:val="Default"/>
              <w:jc w:val="both"/>
              <w:rPr>
                <w:rFonts w:asciiTheme="minorHAnsi" w:hAnsiTheme="minorHAnsi" w:cstheme="minorHAnsi"/>
                <w:sz w:val="22"/>
                <w:szCs w:val="22"/>
              </w:rPr>
            </w:pPr>
            <w:r w:rsidRPr="00462965">
              <w:rPr>
                <w:rFonts w:asciiTheme="minorHAnsi" w:hAnsiTheme="minorHAnsi" w:cstheme="minorHAnsi"/>
                <w:sz w:val="22"/>
                <w:szCs w:val="22"/>
              </w:rPr>
              <w:t>Projektowany art. 491</w:t>
            </w:r>
            <w:r w:rsidR="00595055" w:rsidRPr="00462965">
              <w:rPr>
                <w:rFonts w:asciiTheme="minorHAnsi" w:hAnsiTheme="minorHAnsi" w:cstheme="minorHAnsi"/>
                <w:sz w:val="22"/>
                <w:szCs w:val="22"/>
                <w:vertAlign w:val="superscript"/>
              </w:rPr>
              <w:t>9</w:t>
            </w:r>
            <w:r w:rsidRPr="00462965">
              <w:rPr>
                <w:rFonts w:asciiTheme="minorHAnsi" w:hAnsiTheme="minorHAnsi" w:cstheme="minorHAnsi"/>
                <w:sz w:val="22"/>
                <w:szCs w:val="22"/>
              </w:rPr>
              <w:t xml:space="preserve"> ust. 4 </w:t>
            </w:r>
            <w:r w:rsidR="00F4778C">
              <w:rPr>
                <w:rFonts w:asciiTheme="minorHAnsi" w:hAnsiTheme="minorHAnsi" w:cstheme="minorHAnsi"/>
                <w:sz w:val="22"/>
                <w:szCs w:val="22"/>
              </w:rPr>
              <w:t>P</w:t>
            </w:r>
            <w:r w:rsidRPr="00462965">
              <w:rPr>
                <w:rFonts w:asciiTheme="minorHAnsi" w:hAnsiTheme="minorHAnsi" w:cstheme="minorHAnsi"/>
                <w:sz w:val="22"/>
                <w:szCs w:val="22"/>
              </w:rPr>
              <w:t>.</w:t>
            </w:r>
            <w:r w:rsidR="00F4778C">
              <w:rPr>
                <w:rFonts w:asciiTheme="minorHAnsi" w:hAnsiTheme="minorHAnsi" w:cstheme="minorHAnsi"/>
                <w:sz w:val="22"/>
                <w:szCs w:val="22"/>
              </w:rPr>
              <w:t>U</w:t>
            </w:r>
            <w:r w:rsidRPr="00462965">
              <w:rPr>
                <w:rFonts w:asciiTheme="minorHAnsi" w:hAnsiTheme="minorHAnsi" w:cstheme="minorHAnsi"/>
                <w:sz w:val="22"/>
                <w:szCs w:val="22"/>
              </w:rPr>
              <w:t>. z niezrozumiałych przyczyn wprowadza zasadę</w:t>
            </w:r>
          </w:p>
          <w:p w14:paraId="3F17C194" w14:textId="6ACCA994" w:rsidR="005B1919" w:rsidRPr="00462965" w:rsidRDefault="00312E57" w:rsidP="00462965">
            <w:pPr>
              <w:pStyle w:val="Default"/>
              <w:jc w:val="both"/>
              <w:rPr>
                <w:rFonts w:asciiTheme="minorHAnsi" w:hAnsiTheme="minorHAnsi" w:cstheme="minorHAnsi"/>
                <w:sz w:val="22"/>
                <w:szCs w:val="22"/>
              </w:rPr>
            </w:pPr>
            <w:r w:rsidRPr="00462965">
              <w:rPr>
                <w:rFonts w:asciiTheme="minorHAnsi" w:hAnsiTheme="minorHAnsi" w:cstheme="minorHAnsi"/>
                <w:sz w:val="22"/>
                <w:szCs w:val="22"/>
              </w:rPr>
              <w:t>jednoosobowego orzekania o wynagrodzeniu syndyka wynikającym z projektowanego art. 491</w:t>
            </w:r>
            <w:r w:rsidR="00595055" w:rsidRPr="00462965">
              <w:rPr>
                <w:rFonts w:asciiTheme="minorHAnsi" w:hAnsiTheme="minorHAnsi" w:cstheme="minorHAnsi"/>
                <w:sz w:val="22"/>
                <w:szCs w:val="22"/>
                <w:vertAlign w:val="superscript"/>
              </w:rPr>
              <w:t xml:space="preserve">9 </w:t>
            </w:r>
            <w:r w:rsidRPr="00462965">
              <w:rPr>
                <w:rFonts w:asciiTheme="minorHAnsi" w:hAnsiTheme="minorHAnsi" w:cstheme="minorHAnsi"/>
                <w:sz w:val="22"/>
                <w:szCs w:val="22"/>
              </w:rPr>
              <w:t xml:space="preserve">ust. 3 </w:t>
            </w:r>
            <w:r w:rsidR="00F4778C">
              <w:rPr>
                <w:rFonts w:asciiTheme="minorHAnsi" w:hAnsiTheme="minorHAnsi" w:cstheme="minorHAnsi"/>
                <w:sz w:val="22"/>
                <w:szCs w:val="22"/>
              </w:rPr>
              <w:t>P</w:t>
            </w:r>
            <w:r w:rsidRPr="00462965">
              <w:rPr>
                <w:rFonts w:asciiTheme="minorHAnsi" w:hAnsiTheme="minorHAnsi" w:cstheme="minorHAnsi"/>
                <w:sz w:val="22"/>
                <w:szCs w:val="22"/>
              </w:rPr>
              <w:t>.</w:t>
            </w:r>
            <w:r w:rsidR="00F4778C">
              <w:rPr>
                <w:rFonts w:asciiTheme="minorHAnsi" w:hAnsiTheme="minorHAnsi" w:cstheme="minorHAnsi"/>
                <w:sz w:val="22"/>
                <w:szCs w:val="22"/>
              </w:rPr>
              <w:t>U</w:t>
            </w:r>
            <w:r w:rsidRPr="00462965">
              <w:rPr>
                <w:rFonts w:asciiTheme="minorHAnsi" w:hAnsiTheme="minorHAnsi" w:cstheme="minorHAnsi"/>
                <w:sz w:val="22"/>
                <w:szCs w:val="22"/>
              </w:rPr>
              <w:t>. – milcząc w zakresie wynagrodzenia wynikającego z</w:t>
            </w:r>
            <w:r w:rsidR="00595055" w:rsidRPr="00462965">
              <w:rPr>
                <w:rFonts w:asciiTheme="minorHAnsi" w:hAnsiTheme="minorHAnsi" w:cstheme="minorHAnsi"/>
                <w:sz w:val="22"/>
                <w:szCs w:val="22"/>
              </w:rPr>
              <w:t xml:space="preserve"> </w:t>
            </w:r>
            <w:r w:rsidRPr="00462965">
              <w:rPr>
                <w:rFonts w:asciiTheme="minorHAnsi" w:hAnsiTheme="minorHAnsi" w:cstheme="minorHAnsi"/>
                <w:sz w:val="22"/>
                <w:szCs w:val="22"/>
              </w:rPr>
              <w:t>projektowanego art. 491</w:t>
            </w:r>
            <w:r w:rsidR="00595055" w:rsidRPr="00462965">
              <w:rPr>
                <w:rFonts w:asciiTheme="minorHAnsi" w:hAnsiTheme="minorHAnsi" w:cstheme="minorHAnsi"/>
                <w:sz w:val="22"/>
                <w:szCs w:val="22"/>
                <w:vertAlign w:val="superscript"/>
              </w:rPr>
              <w:t>9</w:t>
            </w:r>
            <w:r w:rsidRPr="00462965">
              <w:rPr>
                <w:rFonts w:asciiTheme="minorHAnsi" w:hAnsiTheme="minorHAnsi" w:cstheme="minorHAnsi"/>
                <w:sz w:val="22"/>
                <w:szCs w:val="22"/>
              </w:rPr>
              <w:t xml:space="preserve"> ust.</w:t>
            </w:r>
            <w:r w:rsidR="00595055" w:rsidRPr="00462965">
              <w:rPr>
                <w:rFonts w:asciiTheme="minorHAnsi" w:hAnsiTheme="minorHAnsi" w:cstheme="minorHAnsi"/>
                <w:sz w:val="22"/>
                <w:szCs w:val="22"/>
              </w:rPr>
              <w:t xml:space="preserve"> </w:t>
            </w:r>
            <w:r w:rsidRPr="00462965">
              <w:rPr>
                <w:rFonts w:asciiTheme="minorHAnsi" w:hAnsiTheme="minorHAnsi" w:cstheme="minorHAnsi"/>
                <w:sz w:val="22"/>
                <w:szCs w:val="22"/>
              </w:rPr>
              <w:t xml:space="preserve">1 i 3b </w:t>
            </w:r>
            <w:r w:rsidR="00F4778C">
              <w:rPr>
                <w:rFonts w:asciiTheme="minorHAnsi" w:hAnsiTheme="minorHAnsi" w:cstheme="minorHAnsi"/>
                <w:sz w:val="22"/>
                <w:szCs w:val="22"/>
              </w:rPr>
              <w:t>P</w:t>
            </w:r>
            <w:r w:rsidRPr="00462965">
              <w:rPr>
                <w:rFonts w:asciiTheme="minorHAnsi" w:hAnsiTheme="minorHAnsi" w:cstheme="minorHAnsi"/>
                <w:sz w:val="22"/>
                <w:szCs w:val="22"/>
              </w:rPr>
              <w:t>.</w:t>
            </w:r>
            <w:r w:rsidR="00F4778C">
              <w:rPr>
                <w:rFonts w:asciiTheme="minorHAnsi" w:hAnsiTheme="minorHAnsi" w:cstheme="minorHAnsi"/>
                <w:sz w:val="22"/>
                <w:szCs w:val="22"/>
              </w:rPr>
              <w:t>U</w:t>
            </w:r>
            <w:r w:rsidRPr="00462965">
              <w:rPr>
                <w:rFonts w:asciiTheme="minorHAnsi" w:hAnsiTheme="minorHAnsi" w:cstheme="minorHAnsi"/>
                <w:sz w:val="22"/>
                <w:szCs w:val="22"/>
              </w:rPr>
              <w:t xml:space="preserve">. </w:t>
            </w:r>
            <w:r w:rsidRPr="00462965">
              <w:rPr>
                <w:rFonts w:asciiTheme="minorHAnsi" w:hAnsiTheme="minorHAnsi" w:cstheme="minorHAnsi"/>
                <w:sz w:val="22"/>
                <w:szCs w:val="22"/>
              </w:rPr>
              <w:lastRenderedPageBreak/>
              <w:t>Rozwiązanie z art. 491</w:t>
            </w:r>
            <w:r w:rsidR="00595055" w:rsidRPr="00462965">
              <w:rPr>
                <w:rFonts w:asciiTheme="minorHAnsi" w:hAnsiTheme="minorHAnsi" w:cstheme="minorHAnsi"/>
                <w:sz w:val="22"/>
                <w:szCs w:val="22"/>
                <w:vertAlign w:val="superscript"/>
              </w:rPr>
              <w:t>9</w:t>
            </w:r>
            <w:r w:rsidRPr="00462965">
              <w:rPr>
                <w:rFonts w:asciiTheme="minorHAnsi" w:hAnsiTheme="minorHAnsi" w:cstheme="minorHAnsi"/>
                <w:sz w:val="22"/>
                <w:szCs w:val="22"/>
              </w:rPr>
              <w:t xml:space="preserve"> ust. 4 </w:t>
            </w:r>
            <w:r w:rsidR="00F4778C">
              <w:rPr>
                <w:rFonts w:asciiTheme="minorHAnsi" w:hAnsiTheme="minorHAnsi" w:cstheme="minorHAnsi"/>
                <w:sz w:val="22"/>
                <w:szCs w:val="22"/>
              </w:rPr>
              <w:t>P</w:t>
            </w:r>
            <w:r w:rsidRPr="00462965">
              <w:rPr>
                <w:rFonts w:asciiTheme="minorHAnsi" w:hAnsiTheme="minorHAnsi" w:cstheme="minorHAnsi"/>
                <w:sz w:val="22"/>
                <w:szCs w:val="22"/>
              </w:rPr>
              <w:t>.</w:t>
            </w:r>
            <w:r w:rsidR="00F4778C">
              <w:rPr>
                <w:rFonts w:asciiTheme="minorHAnsi" w:hAnsiTheme="minorHAnsi" w:cstheme="minorHAnsi"/>
                <w:sz w:val="22"/>
                <w:szCs w:val="22"/>
              </w:rPr>
              <w:t>U</w:t>
            </w:r>
            <w:r w:rsidRPr="00462965">
              <w:rPr>
                <w:rFonts w:asciiTheme="minorHAnsi" w:hAnsiTheme="minorHAnsi" w:cstheme="minorHAnsi"/>
                <w:sz w:val="22"/>
                <w:szCs w:val="22"/>
              </w:rPr>
              <w:t>. powinno obejmować wszystkie w/w przypadki</w:t>
            </w:r>
            <w:r w:rsidR="00EA25EA" w:rsidRPr="00462965">
              <w:rPr>
                <w:rFonts w:asciiTheme="minorHAnsi" w:hAnsiTheme="minorHAnsi" w:cstheme="minorHAnsi"/>
                <w:sz w:val="22"/>
                <w:szCs w:val="22"/>
              </w:rPr>
              <w:t xml:space="preserve"> </w:t>
            </w:r>
            <w:r w:rsidRPr="00462965">
              <w:rPr>
                <w:rFonts w:asciiTheme="minorHAnsi" w:hAnsiTheme="minorHAnsi" w:cstheme="minorHAnsi"/>
                <w:sz w:val="22"/>
                <w:szCs w:val="22"/>
              </w:rPr>
              <w:t>lub pozostaje zbędny wobec art. 150 ust. 1 w zw. z art. 491</w:t>
            </w:r>
            <w:r w:rsidR="00EA25EA" w:rsidRPr="00462965">
              <w:rPr>
                <w:rFonts w:asciiTheme="minorHAnsi" w:hAnsiTheme="minorHAnsi" w:cstheme="minorHAnsi"/>
                <w:sz w:val="22"/>
                <w:szCs w:val="22"/>
                <w:vertAlign w:val="superscript"/>
              </w:rPr>
              <w:t>2</w:t>
            </w:r>
            <w:r w:rsidRPr="00462965">
              <w:rPr>
                <w:rFonts w:asciiTheme="minorHAnsi" w:hAnsiTheme="minorHAnsi" w:cstheme="minorHAnsi"/>
                <w:sz w:val="22"/>
                <w:szCs w:val="22"/>
              </w:rPr>
              <w:t xml:space="preserve"> ust. 1 </w:t>
            </w:r>
            <w:r w:rsidR="00F4778C">
              <w:rPr>
                <w:rFonts w:asciiTheme="minorHAnsi" w:hAnsiTheme="minorHAnsi" w:cstheme="minorHAnsi"/>
                <w:sz w:val="22"/>
                <w:szCs w:val="22"/>
              </w:rPr>
              <w:t>P</w:t>
            </w:r>
            <w:r w:rsidRPr="00462965">
              <w:rPr>
                <w:rFonts w:asciiTheme="minorHAnsi" w:hAnsiTheme="minorHAnsi" w:cstheme="minorHAnsi"/>
                <w:sz w:val="22"/>
                <w:szCs w:val="22"/>
              </w:rPr>
              <w:t>.</w:t>
            </w:r>
            <w:r w:rsidR="00F4778C">
              <w:rPr>
                <w:rFonts w:asciiTheme="minorHAnsi" w:hAnsiTheme="minorHAnsi" w:cstheme="minorHAnsi"/>
                <w:sz w:val="22"/>
                <w:szCs w:val="22"/>
              </w:rPr>
              <w:t>U</w:t>
            </w:r>
            <w:r w:rsidRPr="00462965">
              <w:rPr>
                <w:rFonts w:asciiTheme="minorHAnsi" w:hAnsiTheme="minorHAnsi" w:cstheme="minorHAnsi"/>
                <w:sz w:val="22"/>
                <w:szCs w:val="22"/>
              </w:rPr>
              <w:t>.</w:t>
            </w:r>
          </w:p>
          <w:p w14:paraId="06A53581" w14:textId="4B0C365D" w:rsidR="005B1919" w:rsidRPr="00462965" w:rsidRDefault="005B1919" w:rsidP="00462965">
            <w:pPr>
              <w:pStyle w:val="Default"/>
              <w:jc w:val="both"/>
              <w:rPr>
                <w:rFonts w:asciiTheme="minorHAnsi" w:hAnsiTheme="minorHAnsi" w:cstheme="minorHAnsi"/>
                <w:sz w:val="22"/>
                <w:szCs w:val="22"/>
              </w:rPr>
            </w:pPr>
            <w:r w:rsidRPr="00462965">
              <w:rPr>
                <w:rFonts w:asciiTheme="minorHAnsi" w:hAnsiTheme="minorHAnsi" w:cstheme="minorHAnsi"/>
                <w:sz w:val="22"/>
                <w:szCs w:val="22"/>
              </w:rPr>
              <w:t>Należy bezwzględnie wyeliminować wątpliwości, czy Skarb Państwa</w:t>
            </w:r>
            <w:r w:rsidR="00EA25EA" w:rsidRPr="00462965">
              <w:rPr>
                <w:rFonts w:asciiTheme="minorHAnsi" w:hAnsiTheme="minorHAnsi" w:cstheme="minorHAnsi"/>
                <w:sz w:val="22"/>
                <w:szCs w:val="22"/>
              </w:rPr>
              <w:t xml:space="preserve"> </w:t>
            </w:r>
            <w:r w:rsidRPr="00462965">
              <w:rPr>
                <w:rFonts w:asciiTheme="minorHAnsi" w:hAnsiTheme="minorHAnsi" w:cstheme="minorHAnsi"/>
                <w:sz w:val="22"/>
                <w:szCs w:val="22"/>
              </w:rPr>
              <w:t>reprezentowany przez Prezesa Sądu Rejonowego jest legitymowany do wystąpienia</w:t>
            </w:r>
          </w:p>
          <w:p w14:paraId="600E55F9" w14:textId="5EADE191" w:rsidR="005B1919" w:rsidRPr="00462965" w:rsidRDefault="005B1919" w:rsidP="00462965">
            <w:pPr>
              <w:pStyle w:val="Default"/>
              <w:jc w:val="both"/>
              <w:rPr>
                <w:rFonts w:asciiTheme="minorHAnsi" w:hAnsiTheme="minorHAnsi" w:cstheme="minorHAnsi"/>
                <w:sz w:val="22"/>
                <w:szCs w:val="22"/>
              </w:rPr>
            </w:pPr>
            <w:r w:rsidRPr="00462965">
              <w:rPr>
                <w:rFonts w:asciiTheme="minorHAnsi" w:hAnsiTheme="minorHAnsi" w:cstheme="minorHAnsi"/>
                <w:sz w:val="22"/>
                <w:szCs w:val="22"/>
              </w:rPr>
              <w:t>z wnioskiem i uchylenie planu spłaty, gdy upadły nie realizuje planu spłaty z tytułu</w:t>
            </w:r>
            <w:r w:rsidR="00EA25EA" w:rsidRPr="00462965">
              <w:rPr>
                <w:rFonts w:asciiTheme="minorHAnsi" w:hAnsiTheme="minorHAnsi" w:cstheme="minorHAnsi"/>
                <w:sz w:val="22"/>
                <w:szCs w:val="22"/>
              </w:rPr>
              <w:t xml:space="preserve"> </w:t>
            </w:r>
            <w:r w:rsidRPr="00462965">
              <w:rPr>
                <w:rFonts w:asciiTheme="minorHAnsi" w:hAnsiTheme="minorHAnsi" w:cstheme="minorHAnsi"/>
                <w:sz w:val="22"/>
                <w:szCs w:val="22"/>
              </w:rPr>
              <w:t xml:space="preserve">kosztów postępowania pokrytych uprzednio zaliczkowo przez Skarb Państwa </w:t>
            </w:r>
            <w:r w:rsidR="00EA25EA" w:rsidRPr="00462965">
              <w:rPr>
                <w:rFonts w:asciiTheme="minorHAnsi" w:hAnsiTheme="minorHAnsi" w:cstheme="minorHAnsi"/>
                <w:sz w:val="22"/>
                <w:szCs w:val="22"/>
              </w:rPr>
              <w:t>–</w:t>
            </w:r>
            <w:r w:rsidRPr="00462965">
              <w:rPr>
                <w:rFonts w:asciiTheme="minorHAnsi" w:hAnsiTheme="minorHAnsi" w:cstheme="minorHAnsi"/>
                <w:sz w:val="22"/>
                <w:szCs w:val="22"/>
              </w:rPr>
              <w:t xml:space="preserve"> Sąd</w:t>
            </w:r>
            <w:r w:rsidR="00EA25EA" w:rsidRPr="00462965">
              <w:rPr>
                <w:rFonts w:asciiTheme="minorHAnsi" w:hAnsiTheme="minorHAnsi" w:cstheme="minorHAnsi"/>
                <w:sz w:val="22"/>
                <w:szCs w:val="22"/>
              </w:rPr>
              <w:t xml:space="preserve"> </w:t>
            </w:r>
            <w:r w:rsidRPr="00462965">
              <w:rPr>
                <w:rFonts w:asciiTheme="minorHAnsi" w:hAnsiTheme="minorHAnsi" w:cstheme="minorHAnsi"/>
                <w:sz w:val="22"/>
                <w:szCs w:val="22"/>
              </w:rPr>
              <w:t>Rejonowy</w:t>
            </w:r>
            <w:r w:rsidR="00EA25EA" w:rsidRPr="00462965">
              <w:rPr>
                <w:rFonts w:asciiTheme="minorHAnsi" w:hAnsiTheme="minorHAnsi" w:cstheme="minorHAnsi"/>
                <w:sz w:val="22"/>
                <w:szCs w:val="22"/>
              </w:rPr>
              <w:t>.</w:t>
            </w:r>
          </w:p>
        </w:tc>
        <w:tc>
          <w:tcPr>
            <w:tcW w:w="1027" w:type="pct"/>
          </w:tcPr>
          <w:p w14:paraId="21051BB6" w14:textId="77777777" w:rsidR="005101D8" w:rsidRPr="00CC7F2E" w:rsidRDefault="005101D8" w:rsidP="00CC7F2E">
            <w:pPr>
              <w:jc w:val="both"/>
              <w:rPr>
                <w:rFonts w:ascii="Calibri" w:hAnsi="Calibri" w:cs="Calibri"/>
              </w:rPr>
            </w:pPr>
          </w:p>
        </w:tc>
        <w:tc>
          <w:tcPr>
            <w:tcW w:w="1108" w:type="pct"/>
          </w:tcPr>
          <w:p w14:paraId="6AEBB11B" w14:textId="77777777" w:rsidR="00FF7BE5" w:rsidRPr="007368C7" w:rsidRDefault="00FF7BE5" w:rsidP="00BC45D4">
            <w:pPr>
              <w:jc w:val="both"/>
              <w:rPr>
                <w:rFonts w:cstheme="minorHAnsi"/>
                <w:b/>
                <w:bCs/>
              </w:rPr>
            </w:pPr>
            <w:r w:rsidRPr="007368C7">
              <w:rPr>
                <w:rFonts w:cstheme="minorHAnsi"/>
                <w:b/>
                <w:bCs/>
              </w:rPr>
              <w:t xml:space="preserve">Uwaga uwzględniona </w:t>
            </w:r>
          </w:p>
          <w:p w14:paraId="52EEBC8F" w14:textId="77777777" w:rsidR="00B53D6D" w:rsidRPr="007368C7" w:rsidRDefault="00B53D6D" w:rsidP="00B53D6D">
            <w:pPr>
              <w:jc w:val="both"/>
              <w:rPr>
                <w:rFonts w:cstheme="minorHAnsi"/>
              </w:rPr>
            </w:pPr>
            <w:r w:rsidRPr="007368C7">
              <w:rPr>
                <w:rFonts w:cstheme="minorHAnsi"/>
              </w:rPr>
              <w:t>Do projektu wprowadzono wentyl bezpieczeństwa w zakresie obniżenia wynagrodzenia (w wyjątkowych sytuacjach) poprzez nadanie ust. 3 nowego brzmienia:</w:t>
            </w:r>
          </w:p>
          <w:p w14:paraId="2BC4967D" w14:textId="04A1B1C9" w:rsidR="00B53D6D" w:rsidRPr="007368C7" w:rsidRDefault="00341D01" w:rsidP="00B53D6D">
            <w:pPr>
              <w:jc w:val="both"/>
              <w:rPr>
                <w:rFonts w:cstheme="minorHAnsi"/>
              </w:rPr>
            </w:pPr>
            <w:r>
              <w:rPr>
                <w:rFonts w:cstheme="minorHAnsi"/>
                <w:i/>
                <w:iCs/>
              </w:rPr>
              <w:t>„</w:t>
            </w:r>
            <w:r w:rsidR="00B53D6D" w:rsidRPr="00341D01">
              <w:rPr>
                <w:rFonts w:cstheme="minorHAnsi"/>
                <w:i/>
                <w:iCs/>
              </w:rPr>
              <w:t>Ust. 3.  Jeżeli wysokość wynagrodzenia syndyka, o której mowa w ust. 2 byłaby rażąco wygórowana w stosunku do nakładu jego pracy wynikającego z przebiegu prowadzonego</w:t>
            </w:r>
            <w:r w:rsidR="00B53D6D" w:rsidRPr="007368C7">
              <w:rPr>
                <w:rFonts w:cstheme="minorHAnsi"/>
              </w:rPr>
              <w:t xml:space="preserve"> </w:t>
            </w:r>
            <w:r w:rsidR="00B53D6D" w:rsidRPr="00341D01">
              <w:rPr>
                <w:rFonts w:cstheme="minorHAnsi"/>
                <w:i/>
                <w:iCs/>
              </w:rPr>
              <w:lastRenderedPageBreak/>
              <w:t>postępowania, w szczególności w razie umorzenia postępowania na wczesnym etapie, sąd może z urzędu obniżyć wynagrodzenie syndyka do wysokości nie niższej niż jedna czwarta przeciętnego wynagrodzenia, o którym mowa w ust. 2.”,</w:t>
            </w:r>
          </w:p>
          <w:p w14:paraId="2FCDF966" w14:textId="77777777" w:rsidR="00B53D6D" w:rsidRPr="007368C7" w:rsidRDefault="00B53D6D" w:rsidP="00B53D6D">
            <w:pPr>
              <w:jc w:val="both"/>
              <w:rPr>
                <w:rFonts w:cstheme="minorHAnsi"/>
              </w:rPr>
            </w:pPr>
          </w:p>
          <w:p w14:paraId="0BE59C8B" w14:textId="77777777" w:rsidR="00B53D6D" w:rsidRPr="007368C7" w:rsidRDefault="00B53D6D" w:rsidP="00B53D6D">
            <w:pPr>
              <w:jc w:val="both"/>
              <w:rPr>
                <w:rFonts w:cstheme="minorHAnsi"/>
              </w:rPr>
            </w:pPr>
            <w:r w:rsidRPr="007368C7">
              <w:rPr>
                <w:rFonts w:cstheme="minorHAnsi"/>
              </w:rPr>
              <w:t>Dodatkowo, dodano ust. 3d w brzmieniu:</w:t>
            </w:r>
          </w:p>
          <w:p w14:paraId="5C04C658" w14:textId="00007DF7" w:rsidR="005101D8" w:rsidRPr="00341D01" w:rsidRDefault="00341D01" w:rsidP="00B53D6D">
            <w:pPr>
              <w:jc w:val="both"/>
              <w:rPr>
                <w:rFonts w:cstheme="minorHAnsi"/>
                <w:i/>
                <w:iCs/>
              </w:rPr>
            </w:pPr>
            <w:r>
              <w:rPr>
                <w:rFonts w:cstheme="minorHAnsi"/>
                <w:i/>
                <w:iCs/>
              </w:rPr>
              <w:t>„</w:t>
            </w:r>
            <w:r w:rsidR="00B53D6D" w:rsidRPr="00341D01">
              <w:rPr>
                <w:rFonts w:cstheme="minorHAnsi"/>
                <w:i/>
                <w:iCs/>
              </w:rPr>
              <w:t>Syndyk jest uprawniony do pobrania wynagrodzenia po uprawomocnieniu się postanowienia, o którym mowa w ust. 3c. W przypadku, gdy środki masy upadłości nie pozwalają na pokrycie wynagrodzenia syndyka, w postanowieniu, o którym mowa w ust. 3c, sąd określa wysokość wynagrodzenia, która zostanie wypłacona ze środków Skarbu Państwa</w:t>
            </w:r>
            <w:r>
              <w:rPr>
                <w:rFonts w:cstheme="minorHAnsi"/>
                <w:i/>
                <w:iCs/>
              </w:rPr>
              <w:t>”</w:t>
            </w:r>
            <w:r w:rsidR="00B53D6D" w:rsidRPr="00341D01">
              <w:rPr>
                <w:rFonts w:cstheme="minorHAnsi"/>
                <w:i/>
                <w:iCs/>
              </w:rPr>
              <w:t>.</w:t>
            </w:r>
          </w:p>
        </w:tc>
      </w:tr>
      <w:tr w:rsidR="005B1919" w:rsidRPr="00486628" w14:paraId="3EB79577" w14:textId="77777777" w:rsidTr="00AC5078">
        <w:tc>
          <w:tcPr>
            <w:tcW w:w="158" w:type="pct"/>
          </w:tcPr>
          <w:p w14:paraId="73276AD4" w14:textId="2E1DBAB8" w:rsidR="005B1919" w:rsidRDefault="005B1919" w:rsidP="005F7A15">
            <w:pPr>
              <w:jc w:val="center"/>
              <w:rPr>
                <w:rFonts w:cstheme="minorHAnsi"/>
              </w:rPr>
            </w:pPr>
            <w:r>
              <w:rPr>
                <w:rFonts w:cstheme="minorHAnsi"/>
              </w:rPr>
              <w:lastRenderedPageBreak/>
              <w:t xml:space="preserve">39 </w:t>
            </w:r>
          </w:p>
        </w:tc>
        <w:tc>
          <w:tcPr>
            <w:tcW w:w="698" w:type="pct"/>
          </w:tcPr>
          <w:p w14:paraId="4A3A456B" w14:textId="24D1ACBD" w:rsidR="005B1919" w:rsidRDefault="005B1919" w:rsidP="0073232F">
            <w:pPr>
              <w:rPr>
                <w:rFonts w:ascii="Calibri" w:hAnsi="Calibri" w:cs="Calibri"/>
              </w:rPr>
            </w:pPr>
            <w:r>
              <w:rPr>
                <w:rFonts w:ascii="Calibri" w:hAnsi="Calibri" w:cs="Calibri"/>
              </w:rPr>
              <w:t>SA we Wrocław</w:t>
            </w:r>
            <w:r w:rsidR="009A349F">
              <w:rPr>
                <w:rFonts w:ascii="Calibri" w:hAnsi="Calibri" w:cs="Calibri"/>
              </w:rPr>
              <w:t xml:space="preserve">iu </w:t>
            </w:r>
          </w:p>
        </w:tc>
        <w:tc>
          <w:tcPr>
            <w:tcW w:w="591" w:type="pct"/>
          </w:tcPr>
          <w:p w14:paraId="38860432" w14:textId="40EC67EE" w:rsidR="005B1919" w:rsidRPr="002B3340" w:rsidRDefault="00B4683E" w:rsidP="00F901C7">
            <w:pPr>
              <w:rPr>
                <w:rFonts w:ascii="Calibri" w:hAnsi="Calibri" w:cs="Calibri"/>
                <w:lang w:val="en-GB"/>
              </w:rPr>
            </w:pPr>
            <w:r w:rsidRPr="002B3340">
              <w:rPr>
                <w:rFonts w:ascii="Calibri" w:hAnsi="Calibri" w:cs="Calibri"/>
                <w:b/>
                <w:bCs/>
                <w:lang w:val="en-GB"/>
              </w:rPr>
              <w:t>Art. 1 pkt. 15</w:t>
            </w:r>
            <w:r w:rsidRPr="002B3340">
              <w:rPr>
                <w:rFonts w:ascii="Calibri" w:hAnsi="Calibri" w:cs="Calibri"/>
                <w:lang w:val="en-GB"/>
              </w:rPr>
              <w:t xml:space="preserve"> (a</w:t>
            </w:r>
            <w:r w:rsidR="009A349F" w:rsidRPr="002B3340">
              <w:rPr>
                <w:rFonts w:ascii="Calibri" w:hAnsi="Calibri" w:cs="Calibri"/>
                <w:lang w:val="en-GB"/>
              </w:rPr>
              <w:t>rt. 491</w:t>
            </w:r>
            <w:r w:rsidR="009A349F" w:rsidRPr="002B3340">
              <w:rPr>
                <w:rFonts w:ascii="Calibri" w:hAnsi="Calibri" w:cs="Calibri"/>
                <w:vertAlign w:val="superscript"/>
                <w:lang w:val="en-GB"/>
              </w:rPr>
              <w:t>15-16</w:t>
            </w:r>
            <w:r w:rsidR="009A349F" w:rsidRPr="002B3340">
              <w:rPr>
                <w:rFonts w:ascii="Calibri" w:hAnsi="Calibri" w:cs="Calibri"/>
                <w:lang w:val="en-GB"/>
              </w:rPr>
              <w:t xml:space="preserve"> </w:t>
            </w:r>
            <w:r w:rsidRPr="002B3340">
              <w:rPr>
                <w:rFonts w:ascii="Calibri" w:hAnsi="Calibri" w:cs="Calibri"/>
                <w:lang w:val="en-GB"/>
              </w:rPr>
              <w:t>P.U.)</w:t>
            </w:r>
          </w:p>
        </w:tc>
        <w:tc>
          <w:tcPr>
            <w:tcW w:w="1418" w:type="pct"/>
          </w:tcPr>
          <w:p w14:paraId="085BC257" w14:textId="194397C6" w:rsidR="005B1919" w:rsidRPr="00462965" w:rsidRDefault="00B4683E" w:rsidP="00462965">
            <w:pPr>
              <w:pStyle w:val="Default"/>
              <w:jc w:val="both"/>
              <w:rPr>
                <w:rFonts w:asciiTheme="minorHAnsi" w:hAnsiTheme="minorHAnsi" w:cstheme="minorHAnsi"/>
                <w:sz w:val="22"/>
                <w:szCs w:val="22"/>
              </w:rPr>
            </w:pPr>
            <w:r w:rsidRPr="00462965">
              <w:rPr>
                <w:rFonts w:asciiTheme="minorHAnsi" w:hAnsiTheme="minorHAnsi" w:cstheme="minorHAnsi"/>
                <w:sz w:val="22"/>
                <w:szCs w:val="22"/>
              </w:rPr>
              <w:t>N</w:t>
            </w:r>
            <w:r w:rsidR="009A349F" w:rsidRPr="00462965">
              <w:rPr>
                <w:rFonts w:asciiTheme="minorHAnsi" w:hAnsiTheme="minorHAnsi" w:cstheme="minorHAnsi"/>
                <w:sz w:val="22"/>
                <w:szCs w:val="22"/>
              </w:rPr>
              <w:t>ależałoby rozważyć odciążenie Sądów dość</w:t>
            </w:r>
            <w:r w:rsidRPr="00462965">
              <w:rPr>
                <w:rFonts w:asciiTheme="minorHAnsi" w:hAnsiTheme="minorHAnsi" w:cstheme="minorHAnsi"/>
                <w:sz w:val="22"/>
                <w:szCs w:val="22"/>
              </w:rPr>
              <w:t xml:space="preserve"> </w:t>
            </w:r>
            <w:r w:rsidR="009A349F" w:rsidRPr="00462965">
              <w:rPr>
                <w:rFonts w:asciiTheme="minorHAnsi" w:hAnsiTheme="minorHAnsi" w:cstheme="minorHAnsi"/>
                <w:sz w:val="22"/>
                <w:szCs w:val="22"/>
              </w:rPr>
              <w:t>rozbudowanymi</w:t>
            </w:r>
            <w:r w:rsidRPr="00462965">
              <w:rPr>
                <w:rFonts w:asciiTheme="minorHAnsi" w:hAnsiTheme="minorHAnsi" w:cstheme="minorHAnsi"/>
                <w:sz w:val="22"/>
                <w:szCs w:val="22"/>
              </w:rPr>
              <w:t xml:space="preserve"> </w:t>
            </w:r>
            <w:r w:rsidR="009A349F" w:rsidRPr="00462965">
              <w:rPr>
                <w:rFonts w:asciiTheme="minorHAnsi" w:hAnsiTheme="minorHAnsi" w:cstheme="minorHAnsi"/>
                <w:sz w:val="22"/>
                <w:szCs w:val="22"/>
              </w:rPr>
              <w:t>uzasadnieniami wydawanych orzeczeń i dać uprawnienie do złożenia wniosku</w:t>
            </w:r>
            <w:r w:rsidRPr="00462965">
              <w:rPr>
                <w:rFonts w:asciiTheme="minorHAnsi" w:hAnsiTheme="minorHAnsi" w:cstheme="minorHAnsi"/>
                <w:sz w:val="22"/>
                <w:szCs w:val="22"/>
              </w:rPr>
              <w:t xml:space="preserve"> </w:t>
            </w:r>
            <w:r w:rsidR="009A349F" w:rsidRPr="00462965">
              <w:rPr>
                <w:rFonts w:asciiTheme="minorHAnsi" w:hAnsiTheme="minorHAnsi" w:cstheme="minorHAnsi"/>
                <w:sz w:val="22"/>
                <w:szCs w:val="22"/>
              </w:rPr>
              <w:t>o sporządzenie uzasadnienia orzeczenia przez samego upadłego (bez obowiązku jego opłacenia)</w:t>
            </w:r>
            <w:r w:rsidR="000B4C1D" w:rsidRPr="00462965">
              <w:rPr>
                <w:rFonts w:asciiTheme="minorHAnsi" w:hAnsiTheme="minorHAnsi" w:cstheme="minorHAnsi"/>
                <w:sz w:val="22"/>
                <w:szCs w:val="22"/>
              </w:rPr>
              <w:t xml:space="preserve"> </w:t>
            </w:r>
            <w:r w:rsidR="009A349F" w:rsidRPr="00462965">
              <w:rPr>
                <w:rFonts w:asciiTheme="minorHAnsi" w:hAnsiTheme="minorHAnsi" w:cstheme="minorHAnsi"/>
                <w:sz w:val="22"/>
                <w:szCs w:val="22"/>
              </w:rPr>
              <w:t>a wierzycielom (za pobraniem opłaty).</w:t>
            </w:r>
          </w:p>
        </w:tc>
        <w:tc>
          <w:tcPr>
            <w:tcW w:w="1027" w:type="pct"/>
          </w:tcPr>
          <w:p w14:paraId="433B44B8" w14:textId="77777777" w:rsidR="005B1919" w:rsidRPr="00CC7F2E" w:rsidRDefault="005B1919" w:rsidP="00CC7F2E">
            <w:pPr>
              <w:jc w:val="both"/>
              <w:rPr>
                <w:rFonts w:ascii="Calibri" w:hAnsi="Calibri" w:cs="Calibri"/>
              </w:rPr>
            </w:pPr>
          </w:p>
        </w:tc>
        <w:tc>
          <w:tcPr>
            <w:tcW w:w="1108" w:type="pct"/>
          </w:tcPr>
          <w:p w14:paraId="72E4C348" w14:textId="3E54DCF4" w:rsidR="005B1919" w:rsidRPr="007368C7" w:rsidRDefault="009102AD" w:rsidP="00BC45D4">
            <w:pPr>
              <w:jc w:val="both"/>
              <w:rPr>
                <w:rFonts w:cstheme="minorHAnsi"/>
                <w:b/>
                <w:bCs/>
              </w:rPr>
            </w:pPr>
            <w:r w:rsidRPr="007368C7">
              <w:rPr>
                <w:rFonts w:cstheme="minorHAnsi"/>
                <w:b/>
                <w:bCs/>
              </w:rPr>
              <w:t>Uwaga</w:t>
            </w:r>
            <w:r w:rsidR="00233545" w:rsidRPr="007368C7">
              <w:rPr>
                <w:rFonts w:cstheme="minorHAnsi"/>
                <w:b/>
                <w:bCs/>
              </w:rPr>
              <w:t xml:space="preserve"> </w:t>
            </w:r>
            <w:r w:rsidR="00BC0265" w:rsidRPr="007368C7">
              <w:rPr>
                <w:rFonts w:cstheme="minorHAnsi"/>
                <w:b/>
                <w:bCs/>
              </w:rPr>
              <w:t>nie</w:t>
            </w:r>
            <w:r w:rsidRPr="007368C7">
              <w:rPr>
                <w:rFonts w:cstheme="minorHAnsi"/>
                <w:b/>
                <w:bCs/>
              </w:rPr>
              <w:t>uwzględniona</w:t>
            </w:r>
          </w:p>
          <w:p w14:paraId="2261FB4A" w14:textId="6DD8ECD5" w:rsidR="00BC45D4" w:rsidRPr="007368C7" w:rsidRDefault="00BC0265" w:rsidP="00BC45D4">
            <w:pPr>
              <w:jc w:val="both"/>
              <w:rPr>
                <w:rFonts w:cstheme="minorHAnsi"/>
              </w:rPr>
            </w:pPr>
            <w:r w:rsidRPr="007368C7">
              <w:rPr>
                <w:rFonts w:cstheme="minorHAnsi"/>
              </w:rPr>
              <w:t>Wątpliwości może budzić, przyjęcie zasady, że</w:t>
            </w:r>
            <w:r w:rsidR="00BC45D4" w:rsidRPr="007368C7">
              <w:rPr>
                <w:rFonts w:cstheme="minorHAnsi"/>
              </w:rPr>
              <w:t xml:space="preserve"> sąd nie będzie uzasadniał z urzędu ani postanowienia o ogłoszeniu (bądź nie) upadłości, ani o ustaleniu (bądź nie) planu spłaty. Uzasadnienie z urzędu, szczególnie w przypadku postanowień o ogłoszeniu upadłości czy jej odmowie, ułatwia zrozumienie przesłanek niewypłacalności.</w:t>
            </w:r>
          </w:p>
          <w:p w14:paraId="23F21276" w14:textId="77777777" w:rsidR="00BC45D4" w:rsidRPr="007368C7" w:rsidRDefault="00BC45D4" w:rsidP="00BC45D4">
            <w:pPr>
              <w:jc w:val="both"/>
              <w:rPr>
                <w:rFonts w:cstheme="minorHAnsi"/>
              </w:rPr>
            </w:pPr>
            <w:r w:rsidRPr="007368C7">
              <w:rPr>
                <w:rFonts w:cstheme="minorHAnsi"/>
              </w:rPr>
              <w:t xml:space="preserve">Obowiązek ten ma na celu wyeliminowanie sytuacji, w których strony nie znają motywów rozstrzygnięcia. </w:t>
            </w:r>
          </w:p>
          <w:p w14:paraId="18BB04C6" w14:textId="19DB8F0D" w:rsidR="00BC45D4" w:rsidRPr="007368C7" w:rsidRDefault="00BC45D4" w:rsidP="00BC45D4">
            <w:pPr>
              <w:jc w:val="both"/>
              <w:rPr>
                <w:rFonts w:cstheme="minorHAnsi"/>
              </w:rPr>
            </w:pPr>
            <w:r w:rsidRPr="007368C7">
              <w:rPr>
                <w:rFonts w:cstheme="minorHAnsi"/>
              </w:rPr>
              <w:t xml:space="preserve">Należy wziąć pod uwagę, że choć sporządzenie uzasadnienia z urzędu może wydawać się dodatkowym obciążeniem, w dłuższej </w:t>
            </w:r>
            <w:r w:rsidRPr="007368C7">
              <w:rPr>
                <w:rFonts w:cstheme="minorHAnsi"/>
              </w:rPr>
              <w:lastRenderedPageBreak/>
              <w:t>perspektywie przyspiesza postępowanie, eliminując wnioski o uzasadnienie, co jest niezwykle ważne w postępowaniach upadłościowych i restrukturyzacyjnych.</w:t>
            </w:r>
          </w:p>
          <w:p w14:paraId="53C81AC3" w14:textId="170B9B26" w:rsidR="009102AD" w:rsidRPr="007368C7" w:rsidRDefault="00BC45D4" w:rsidP="00BC45D4">
            <w:pPr>
              <w:jc w:val="both"/>
              <w:rPr>
                <w:rFonts w:cstheme="minorHAnsi"/>
              </w:rPr>
            </w:pPr>
            <w:r w:rsidRPr="007368C7">
              <w:rPr>
                <w:rFonts w:cstheme="minorHAnsi"/>
              </w:rPr>
              <w:t>Poza tym trzeba zwrócić uwagę, że postępowania upadłościowe i restrukturyzacyjne mają specyficzny charakter, często z dużą liczbą uczestników i skomplikowaną sytuacją faktyczną. W sprawach, gdzie dochodzi do głębokiej ingerencji w majątek dłużnika, uzasadnienie z urzędu zwiększa transparentność działań sądu.</w:t>
            </w:r>
          </w:p>
        </w:tc>
      </w:tr>
      <w:tr w:rsidR="009A349F" w:rsidRPr="00486628" w14:paraId="16E16085" w14:textId="77777777" w:rsidTr="00AC5078">
        <w:tc>
          <w:tcPr>
            <w:tcW w:w="158" w:type="pct"/>
          </w:tcPr>
          <w:p w14:paraId="2CCC468E" w14:textId="498391A0" w:rsidR="009A349F" w:rsidRDefault="009A349F" w:rsidP="005F7A15">
            <w:pPr>
              <w:jc w:val="center"/>
              <w:rPr>
                <w:rFonts w:cstheme="minorHAnsi"/>
              </w:rPr>
            </w:pPr>
            <w:r>
              <w:rPr>
                <w:rFonts w:cstheme="minorHAnsi"/>
              </w:rPr>
              <w:lastRenderedPageBreak/>
              <w:t>40</w:t>
            </w:r>
          </w:p>
        </w:tc>
        <w:tc>
          <w:tcPr>
            <w:tcW w:w="698" w:type="pct"/>
          </w:tcPr>
          <w:p w14:paraId="33BB8623" w14:textId="5DD0ACCA" w:rsidR="009A349F" w:rsidRDefault="009A349F" w:rsidP="0073232F">
            <w:pPr>
              <w:rPr>
                <w:rFonts w:ascii="Calibri" w:hAnsi="Calibri" w:cs="Calibri"/>
              </w:rPr>
            </w:pPr>
            <w:r>
              <w:rPr>
                <w:rFonts w:ascii="Calibri" w:hAnsi="Calibri" w:cs="Calibri"/>
              </w:rPr>
              <w:t>S</w:t>
            </w:r>
            <w:r w:rsidR="00BC4FFC">
              <w:rPr>
                <w:rFonts w:ascii="Calibri" w:hAnsi="Calibri" w:cs="Calibri"/>
              </w:rPr>
              <w:t xml:space="preserve">ąd Apelacyjny </w:t>
            </w:r>
            <w:r>
              <w:rPr>
                <w:rFonts w:ascii="Calibri" w:hAnsi="Calibri" w:cs="Calibri"/>
              </w:rPr>
              <w:t xml:space="preserve">we Wrocławiu </w:t>
            </w:r>
          </w:p>
        </w:tc>
        <w:tc>
          <w:tcPr>
            <w:tcW w:w="591" w:type="pct"/>
          </w:tcPr>
          <w:p w14:paraId="3C15AA4E" w14:textId="423EF78D" w:rsidR="009A349F" w:rsidRPr="009A349F" w:rsidRDefault="009A349F" w:rsidP="00F901C7">
            <w:pPr>
              <w:rPr>
                <w:rFonts w:ascii="Calibri" w:hAnsi="Calibri" w:cs="Calibri"/>
              </w:rPr>
            </w:pPr>
            <w:r w:rsidRPr="00BC4FFC">
              <w:rPr>
                <w:rFonts w:ascii="Calibri" w:hAnsi="Calibri" w:cs="Calibri"/>
                <w:b/>
                <w:bCs/>
              </w:rPr>
              <w:t>art. 6 ust. 1 i art. 7 – 8 w zw. z art. 4 ust. 1</w:t>
            </w:r>
            <w:r w:rsidRPr="009A349F">
              <w:rPr>
                <w:rFonts w:ascii="Calibri" w:hAnsi="Calibri" w:cs="Calibri"/>
              </w:rPr>
              <w:t xml:space="preserve"> (przepisy intertemporalne):</w:t>
            </w:r>
          </w:p>
        </w:tc>
        <w:tc>
          <w:tcPr>
            <w:tcW w:w="1418" w:type="pct"/>
          </w:tcPr>
          <w:p w14:paraId="1884AC19" w14:textId="4D4C7906" w:rsidR="009A349F" w:rsidRPr="00462965" w:rsidRDefault="009A349F" w:rsidP="00462965">
            <w:pPr>
              <w:pStyle w:val="Default"/>
              <w:jc w:val="both"/>
              <w:rPr>
                <w:rFonts w:asciiTheme="minorHAnsi" w:hAnsiTheme="minorHAnsi" w:cstheme="minorHAnsi"/>
                <w:sz w:val="22"/>
                <w:szCs w:val="22"/>
              </w:rPr>
            </w:pPr>
            <w:r w:rsidRPr="00462965">
              <w:rPr>
                <w:rFonts w:asciiTheme="minorHAnsi" w:hAnsiTheme="minorHAnsi" w:cstheme="minorHAnsi"/>
                <w:sz w:val="22"/>
                <w:szCs w:val="22"/>
              </w:rPr>
              <w:t>Wynikającą z art. 6 ust. 1 i 7 – 8 w zw. z art. 4 ust. 1 projektu koncepcję stosowania</w:t>
            </w:r>
            <w:r w:rsidR="00BC4FFC" w:rsidRPr="00462965">
              <w:rPr>
                <w:rFonts w:asciiTheme="minorHAnsi" w:hAnsiTheme="minorHAnsi" w:cstheme="minorHAnsi"/>
                <w:sz w:val="22"/>
                <w:szCs w:val="22"/>
              </w:rPr>
              <w:t xml:space="preserve"> </w:t>
            </w:r>
            <w:r w:rsidRPr="00462965">
              <w:rPr>
                <w:rFonts w:asciiTheme="minorHAnsi" w:hAnsiTheme="minorHAnsi" w:cstheme="minorHAnsi"/>
                <w:sz w:val="22"/>
                <w:szCs w:val="22"/>
              </w:rPr>
              <w:t>nowych rozwiązań do spraw zakończonych należy ocenić negatywnie.</w:t>
            </w:r>
          </w:p>
          <w:p w14:paraId="16AD81B0" w14:textId="72F021A4" w:rsidR="009A349F" w:rsidRPr="00462965" w:rsidRDefault="009A349F" w:rsidP="00462965">
            <w:pPr>
              <w:pStyle w:val="Default"/>
              <w:jc w:val="both"/>
              <w:rPr>
                <w:rFonts w:asciiTheme="minorHAnsi" w:hAnsiTheme="minorHAnsi" w:cstheme="minorHAnsi"/>
                <w:sz w:val="22"/>
                <w:szCs w:val="22"/>
              </w:rPr>
            </w:pPr>
            <w:r w:rsidRPr="00462965">
              <w:rPr>
                <w:rFonts w:asciiTheme="minorHAnsi" w:hAnsiTheme="minorHAnsi" w:cstheme="minorHAnsi"/>
                <w:sz w:val="22"/>
                <w:szCs w:val="22"/>
              </w:rPr>
              <w:t>W/w przepisy nie dostarczają rozwiązania dla sytuacji, w której upadły złożył wniosek</w:t>
            </w:r>
            <w:r w:rsidR="00BC4FFC" w:rsidRPr="00462965">
              <w:rPr>
                <w:rFonts w:asciiTheme="minorHAnsi" w:hAnsiTheme="minorHAnsi" w:cstheme="minorHAnsi"/>
                <w:sz w:val="22"/>
                <w:szCs w:val="22"/>
              </w:rPr>
              <w:t xml:space="preserve"> o</w:t>
            </w:r>
            <w:r w:rsidRPr="00462965">
              <w:rPr>
                <w:rFonts w:asciiTheme="minorHAnsi" w:hAnsiTheme="minorHAnsi" w:cstheme="minorHAnsi"/>
                <w:sz w:val="22"/>
                <w:szCs w:val="22"/>
              </w:rPr>
              <w:t xml:space="preserve"> zmianę lub uchylenie planu spłaty albo wierzyciel złożył wniosek o uchylenie planu spłaty,</w:t>
            </w:r>
            <w:r w:rsidR="00BC4FFC" w:rsidRPr="00462965">
              <w:rPr>
                <w:rFonts w:asciiTheme="minorHAnsi" w:hAnsiTheme="minorHAnsi" w:cstheme="minorHAnsi"/>
                <w:sz w:val="22"/>
                <w:szCs w:val="22"/>
              </w:rPr>
              <w:t xml:space="preserve"> </w:t>
            </w:r>
            <w:r w:rsidRPr="00462965">
              <w:rPr>
                <w:rFonts w:asciiTheme="minorHAnsi" w:hAnsiTheme="minorHAnsi" w:cstheme="minorHAnsi"/>
                <w:sz w:val="22"/>
                <w:szCs w:val="22"/>
              </w:rPr>
              <w:t>ale zostały one oddalone. Art. 7 ust. 1 i art. 8 ust. 1 projektu, jako warunek dla stwierdzenia</w:t>
            </w:r>
            <w:r w:rsidR="00BC4FFC" w:rsidRPr="00462965">
              <w:rPr>
                <w:rFonts w:asciiTheme="minorHAnsi" w:hAnsiTheme="minorHAnsi" w:cstheme="minorHAnsi"/>
                <w:sz w:val="22"/>
                <w:szCs w:val="22"/>
              </w:rPr>
              <w:t xml:space="preserve"> </w:t>
            </w:r>
            <w:r w:rsidRPr="00462965">
              <w:rPr>
                <w:rFonts w:asciiTheme="minorHAnsi" w:hAnsiTheme="minorHAnsi" w:cstheme="minorHAnsi"/>
                <w:sz w:val="22"/>
                <w:szCs w:val="22"/>
              </w:rPr>
              <w:t>wykonania planu spłaty przewidują jedynie złożenie (a nie</w:t>
            </w:r>
            <w:r w:rsidR="00BC4FFC" w:rsidRPr="00462965">
              <w:rPr>
                <w:rFonts w:asciiTheme="minorHAnsi" w:hAnsiTheme="minorHAnsi" w:cstheme="minorHAnsi"/>
                <w:sz w:val="22"/>
                <w:szCs w:val="22"/>
              </w:rPr>
              <w:t xml:space="preserve"> </w:t>
            </w:r>
            <w:r w:rsidRPr="00462965">
              <w:rPr>
                <w:rFonts w:asciiTheme="minorHAnsi" w:hAnsiTheme="minorHAnsi" w:cstheme="minorHAnsi"/>
                <w:sz w:val="22"/>
                <w:szCs w:val="22"/>
              </w:rPr>
              <w:t>uwzględnienie) takiego wniosku.</w:t>
            </w:r>
          </w:p>
          <w:p w14:paraId="5A1684AB" w14:textId="65917DD1" w:rsidR="009A349F" w:rsidRPr="00462965" w:rsidRDefault="009A349F" w:rsidP="00462965">
            <w:pPr>
              <w:pStyle w:val="Default"/>
              <w:jc w:val="both"/>
              <w:rPr>
                <w:rFonts w:asciiTheme="minorHAnsi" w:hAnsiTheme="minorHAnsi" w:cstheme="minorHAnsi"/>
                <w:sz w:val="22"/>
                <w:szCs w:val="22"/>
              </w:rPr>
            </w:pPr>
            <w:r w:rsidRPr="00462965">
              <w:rPr>
                <w:rFonts w:asciiTheme="minorHAnsi" w:hAnsiTheme="minorHAnsi" w:cstheme="minorHAnsi"/>
                <w:sz w:val="22"/>
                <w:szCs w:val="22"/>
              </w:rPr>
              <w:t>Co jednak istotniejsze, poza naruszeniem zasady niezmienności prawa po jego zastosowaniu</w:t>
            </w:r>
            <w:r w:rsidR="00BC4FFC" w:rsidRPr="00462965">
              <w:rPr>
                <w:rFonts w:asciiTheme="minorHAnsi" w:hAnsiTheme="minorHAnsi" w:cstheme="minorHAnsi"/>
                <w:sz w:val="22"/>
                <w:szCs w:val="22"/>
              </w:rPr>
              <w:t xml:space="preserve"> </w:t>
            </w:r>
            <w:r w:rsidRPr="00462965">
              <w:rPr>
                <w:rFonts w:asciiTheme="minorHAnsi" w:hAnsiTheme="minorHAnsi" w:cstheme="minorHAnsi"/>
                <w:sz w:val="22"/>
                <w:szCs w:val="22"/>
              </w:rPr>
              <w:t xml:space="preserve">(proponowane rozwiązanie </w:t>
            </w:r>
            <w:r w:rsidRPr="00462965">
              <w:rPr>
                <w:rFonts w:asciiTheme="minorHAnsi" w:hAnsiTheme="minorHAnsi" w:cstheme="minorHAnsi"/>
                <w:sz w:val="22"/>
                <w:szCs w:val="22"/>
              </w:rPr>
              <w:lastRenderedPageBreak/>
              <w:t>pozostaje skrajnie nielojalne wobec uczestników postępowania)</w:t>
            </w:r>
            <w:r w:rsidR="00BC4FFC" w:rsidRPr="00462965">
              <w:rPr>
                <w:rFonts w:asciiTheme="minorHAnsi" w:hAnsiTheme="minorHAnsi" w:cstheme="minorHAnsi"/>
                <w:sz w:val="22"/>
                <w:szCs w:val="22"/>
              </w:rPr>
              <w:t xml:space="preserve"> </w:t>
            </w:r>
            <w:r w:rsidRPr="00462965">
              <w:rPr>
                <w:rFonts w:asciiTheme="minorHAnsi" w:hAnsiTheme="minorHAnsi" w:cstheme="minorHAnsi"/>
                <w:sz w:val="22"/>
                <w:szCs w:val="22"/>
              </w:rPr>
              <w:t>należy zwrócić uwagę na logistyczne konsekwencje projektowanych rozwiązań. Tylko</w:t>
            </w:r>
            <w:r w:rsidR="00BC4FFC" w:rsidRPr="00462965">
              <w:rPr>
                <w:rFonts w:asciiTheme="minorHAnsi" w:hAnsiTheme="minorHAnsi" w:cstheme="minorHAnsi"/>
                <w:sz w:val="22"/>
                <w:szCs w:val="22"/>
              </w:rPr>
              <w:t xml:space="preserve"> </w:t>
            </w:r>
            <w:r w:rsidRPr="00462965">
              <w:rPr>
                <w:rFonts w:asciiTheme="minorHAnsi" w:hAnsiTheme="minorHAnsi" w:cstheme="minorHAnsi"/>
                <w:sz w:val="22"/>
                <w:szCs w:val="22"/>
              </w:rPr>
              <w:t>w okresie funkcjonowania systemu teleinformatycznego Krajowy Rejestr Zadłużonych (4 lata)</w:t>
            </w:r>
            <w:r w:rsidR="00BC4FFC" w:rsidRPr="00462965">
              <w:rPr>
                <w:rFonts w:asciiTheme="minorHAnsi" w:hAnsiTheme="minorHAnsi" w:cstheme="minorHAnsi"/>
                <w:sz w:val="22"/>
                <w:szCs w:val="22"/>
              </w:rPr>
              <w:t xml:space="preserve"> </w:t>
            </w:r>
            <w:r w:rsidRPr="00462965">
              <w:rPr>
                <w:rFonts w:asciiTheme="minorHAnsi" w:hAnsiTheme="minorHAnsi" w:cstheme="minorHAnsi"/>
                <w:sz w:val="22"/>
                <w:szCs w:val="22"/>
              </w:rPr>
              <w:t>wydano olbrzymią ilość postanowień o ustaleniu planu spłaty w związku z czym nie zostały</w:t>
            </w:r>
            <w:r w:rsidR="00BC4FFC" w:rsidRPr="00462965">
              <w:rPr>
                <w:rFonts w:asciiTheme="minorHAnsi" w:hAnsiTheme="minorHAnsi" w:cstheme="minorHAnsi"/>
                <w:sz w:val="22"/>
                <w:szCs w:val="22"/>
              </w:rPr>
              <w:t xml:space="preserve"> </w:t>
            </w:r>
            <w:r w:rsidRPr="00462965">
              <w:rPr>
                <w:rFonts w:asciiTheme="minorHAnsi" w:hAnsiTheme="minorHAnsi" w:cstheme="minorHAnsi"/>
                <w:sz w:val="22"/>
                <w:szCs w:val="22"/>
              </w:rPr>
              <w:t>utworzone akta w wykazie GUu w celu sprawowania nadzoru nad wykonywaniem tych planów</w:t>
            </w:r>
            <w:r w:rsidR="00BC4FFC" w:rsidRPr="00462965">
              <w:rPr>
                <w:rFonts w:asciiTheme="minorHAnsi" w:hAnsiTheme="minorHAnsi" w:cstheme="minorHAnsi"/>
                <w:sz w:val="22"/>
                <w:szCs w:val="22"/>
              </w:rPr>
              <w:t xml:space="preserve"> </w:t>
            </w:r>
            <w:r w:rsidRPr="00462965">
              <w:rPr>
                <w:rFonts w:asciiTheme="minorHAnsi" w:hAnsiTheme="minorHAnsi" w:cstheme="minorHAnsi"/>
                <w:sz w:val="22"/>
                <w:szCs w:val="22"/>
              </w:rPr>
              <w:t>spłaty (z uwagi na brak podstawy prawnej dla takiego działania). W tej sytuacji, samo ustalenie,</w:t>
            </w:r>
            <w:r w:rsidR="00BC4FFC" w:rsidRPr="00462965">
              <w:rPr>
                <w:rFonts w:asciiTheme="minorHAnsi" w:hAnsiTheme="minorHAnsi" w:cstheme="minorHAnsi"/>
                <w:sz w:val="22"/>
                <w:szCs w:val="22"/>
              </w:rPr>
              <w:t xml:space="preserve"> </w:t>
            </w:r>
            <w:r w:rsidRPr="00462965">
              <w:rPr>
                <w:rFonts w:asciiTheme="minorHAnsi" w:hAnsiTheme="minorHAnsi" w:cstheme="minorHAnsi"/>
                <w:sz w:val="22"/>
                <w:szCs w:val="22"/>
              </w:rPr>
              <w:t>spraw wymagających zastosowania rozwiązania z art. 7 ust. 1 lub 8 ust. 1 projektu, a zatem</w:t>
            </w:r>
            <w:r w:rsidR="00BC4FFC" w:rsidRPr="00462965">
              <w:rPr>
                <w:rFonts w:asciiTheme="minorHAnsi" w:hAnsiTheme="minorHAnsi" w:cstheme="minorHAnsi"/>
                <w:sz w:val="22"/>
                <w:szCs w:val="22"/>
              </w:rPr>
              <w:t xml:space="preserve"> </w:t>
            </w:r>
            <w:r w:rsidRPr="00462965">
              <w:rPr>
                <w:rFonts w:asciiTheme="minorHAnsi" w:hAnsiTheme="minorHAnsi" w:cstheme="minorHAnsi"/>
                <w:sz w:val="22"/>
                <w:szCs w:val="22"/>
              </w:rPr>
              <w:t>inwentaryzacja wszystkich spraw, w których wydano postanowienie o ustaleniu planu spłaty</w:t>
            </w:r>
            <w:r w:rsidR="00BC4FFC" w:rsidRPr="00462965">
              <w:rPr>
                <w:rFonts w:asciiTheme="minorHAnsi" w:hAnsiTheme="minorHAnsi" w:cstheme="minorHAnsi"/>
                <w:sz w:val="22"/>
                <w:szCs w:val="22"/>
              </w:rPr>
              <w:t xml:space="preserve"> (</w:t>
            </w:r>
            <w:r w:rsidRPr="00462965">
              <w:rPr>
                <w:rFonts w:asciiTheme="minorHAnsi" w:hAnsiTheme="minorHAnsi" w:cstheme="minorHAnsi"/>
                <w:sz w:val="22"/>
                <w:szCs w:val="22"/>
              </w:rPr>
              <w:t>sprawy te rejestrowane są w Rep. GUp-K-upr – podobnie jak sprawy w których umorzono</w:t>
            </w:r>
            <w:r w:rsidR="00BC4FFC" w:rsidRPr="00462965">
              <w:rPr>
                <w:rFonts w:asciiTheme="minorHAnsi" w:hAnsiTheme="minorHAnsi" w:cstheme="minorHAnsi"/>
                <w:sz w:val="22"/>
                <w:szCs w:val="22"/>
              </w:rPr>
              <w:t xml:space="preserve"> </w:t>
            </w:r>
            <w:r w:rsidRPr="00462965">
              <w:rPr>
                <w:rFonts w:asciiTheme="minorHAnsi" w:hAnsiTheme="minorHAnsi" w:cstheme="minorHAnsi"/>
                <w:sz w:val="22"/>
                <w:szCs w:val="22"/>
              </w:rPr>
              <w:t>zobowiązania upadłego bez ustalania planu spłaty albo umorzenie postępowania – w Sądzie</w:t>
            </w:r>
            <w:r w:rsidR="00BC4FFC" w:rsidRPr="00462965">
              <w:rPr>
                <w:rFonts w:asciiTheme="minorHAnsi" w:hAnsiTheme="minorHAnsi" w:cstheme="minorHAnsi"/>
                <w:sz w:val="22"/>
                <w:szCs w:val="22"/>
              </w:rPr>
              <w:t xml:space="preserve"> </w:t>
            </w:r>
            <w:r w:rsidRPr="00462965">
              <w:rPr>
                <w:rFonts w:asciiTheme="minorHAnsi" w:hAnsiTheme="minorHAnsi" w:cstheme="minorHAnsi"/>
                <w:sz w:val="22"/>
                <w:szCs w:val="22"/>
              </w:rPr>
              <w:t>Rejonowym w Wałbrzychu tylko w zakresie spraw</w:t>
            </w:r>
            <w:r w:rsidR="00BC4FFC" w:rsidRPr="00462965">
              <w:rPr>
                <w:rFonts w:asciiTheme="minorHAnsi" w:hAnsiTheme="minorHAnsi" w:cstheme="minorHAnsi"/>
                <w:sz w:val="22"/>
                <w:szCs w:val="22"/>
              </w:rPr>
              <w:t xml:space="preserve"> </w:t>
            </w:r>
            <w:r w:rsidRPr="00462965">
              <w:rPr>
                <w:rFonts w:asciiTheme="minorHAnsi" w:hAnsiTheme="minorHAnsi" w:cstheme="minorHAnsi"/>
                <w:sz w:val="22"/>
                <w:szCs w:val="22"/>
              </w:rPr>
              <w:t>rozpoznawanych w systemie</w:t>
            </w:r>
            <w:r w:rsidR="00BC4FFC" w:rsidRPr="00462965">
              <w:rPr>
                <w:rFonts w:asciiTheme="minorHAnsi" w:hAnsiTheme="minorHAnsi" w:cstheme="minorHAnsi"/>
                <w:sz w:val="22"/>
                <w:szCs w:val="22"/>
              </w:rPr>
              <w:t xml:space="preserve"> </w:t>
            </w:r>
            <w:r w:rsidRPr="00462965">
              <w:rPr>
                <w:rFonts w:asciiTheme="minorHAnsi" w:hAnsiTheme="minorHAnsi" w:cstheme="minorHAnsi"/>
                <w:sz w:val="22"/>
                <w:szCs w:val="22"/>
              </w:rPr>
              <w:t>teleinformatycznym Krajowy Rejestr Zadłużonych w Rep. GUp-K-upr</w:t>
            </w:r>
            <w:r w:rsidR="00BC4FFC" w:rsidRPr="00462965">
              <w:rPr>
                <w:rFonts w:asciiTheme="minorHAnsi" w:hAnsiTheme="minorHAnsi" w:cstheme="minorHAnsi"/>
                <w:sz w:val="22"/>
                <w:szCs w:val="22"/>
              </w:rPr>
              <w:t xml:space="preserve"> </w:t>
            </w:r>
            <w:r w:rsidRPr="00462965">
              <w:rPr>
                <w:rFonts w:asciiTheme="minorHAnsi" w:hAnsiTheme="minorHAnsi" w:cstheme="minorHAnsi"/>
                <w:sz w:val="22"/>
                <w:szCs w:val="22"/>
              </w:rPr>
              <w:t>zarejestrowanoi zakończono 1058 spraw) a następnie ustalenie czy plan spłat został zmieniony lub uchylony</w:t>
            </w:r>
            <w:r w:rsidR="00BC4FFC" w:rsidRPr="00462965">
              <w:rPr>
                <w:rFonts w:asciiTheme="minorHAnsi" w:hAnsiTheme="minorHAnsi" w:cstheme="minorHAnsi"/>
                <w:sz w:val="22"/>
                <w:szCs w:val="22"/>
              </w:rPr>
              <w:t xml:space="preserve"> a</w:t>
            </w:r>
            <w:r w:rsidRPr="00462965">
              <w:rPr>
                <w:rFonts w:asciiTheme="minorHAnsi" w:hAnsiTheme="minorHAnsi" w:cstheme="minorHAnsi"/>
                <w:sz w:val="22"/>
                <w:szCs w:val="22"/>
              </w:rPr>
              <w:t>lbo stwierdzono już jego wykonanie, nastręczać będzie gigantycznych trudności. System KRZ</w:t>
            </w:r>
            <w:r w:rsidR="00BC4FFC" w:rsidRPr="00462965">
              <w:rPr>
                <w:rFonts w:asciiTheme="minorHAnsi" w:hAnsiTheme="minorHAnsi" w:cstheme="minorHAnsi"/>
                <w:sz w:val="22"/>
                <w:szCs w:val="22"/>
              </w:rPr>
              <w:t xml:space="preserve"> </w:t>
            </w:r>
            <w:r w:rsidRPr="00462965">
              <w:rPr>
                <w:rFonts w:asciiTheme="minorHAnsi" w:hAnsiTheme="minorHAnsi" w:cstheme="minorHAnsi"/>
                <w:sz w:val="22"/>
                <w:szCs w:val="22"/>
              </w:rPr>
              <w:t>nie dostarcza bowiem automatycznie takich informacji, co w praktyce oznacza konieczność</w:t>
            </w:r>
          </w:p>
          <w:p w14:paraId="2CEC7A2D" w14:textId="77777777" w:rsidR="009A349F" w:rsidRPr="00462965" w:rsidRDefault="009A349F" w:rsidP="00462965">
            <w:pPr>
              <w:pStyle w:val="Default"/>
              <w:jc w:val="both"/>
              <w:rPr>
                <w:rFonts w:asciiTheme="minorHAnsi" w:hAnsiTheme="minorHAnsi" w:cstheme="minorHAnsi"/>
                <w:sz w:val="22"/>
                <w:szCs w:val="22"/>
              </w:rPr>
            </w:pPr>
            <w:r w:rsidRPr="00462965">
              <w:rPr>
                <w:rFonts w:asciiTheme="minorHAnsi" w:hAnsiTheme="minorHAnsi" w:cstheme="minorHAnsi"/>
                <w:sz w:val="22"/>
                <w:szCs w:val="22"/>
              </w:rPr>
              <w:lastRenderedPageBreak/>
              <w:t>sprawdzenia stanu każdej sprawy rozpoznanej w Repertorium GUp-K-upr oraz każdej sprawy</w:t>
            </w:r>
          </w:p>
          <w:p w14:paraId="0717D2F6" w14:textId="77777777" w:rsidR="009A349F" w:rsidRPr="00462965" w:rsidRDefault="009A349F" w:rsidP="00462965">
            <w:pPr>
              <w:pStyle w:val="Default"/>
              <w:jc w:val="both"/>
              <w:rPr>
                <w:rFonts w:asciiTheme="minorHAnsi" w:hAnsiTheme="minorHAnsi" w:cstheme="minorHAnsi"/>
                <w:sz w:val="22"/>
                <w:szCs w:val="22"/>
              </w:rPr>
            </w:pPr>
            <w:r w:rsidRPr="00462965">
              <w:rPr>
                <w:rFonts w:asciiTheme="minorHAnsi" w:hAnsiTheme="minorHAnsi" w:cstheme="minorHAnsi"/>
                <w:sz w:val="22"/>
                <w:szCs w:val="22"/>
              </w:rPr>
              <w:t>tego samego upadłego rozpoznanej w wykazie GUu. Ponadto aktualny stan systemu KRZ nie</w:t>
            </w:r>
          </w:p>
          <w:p w14:paraId="300CA275" w14:textId="777D2DF2" w:rsidR="009A349F" w:rsidRPr="00462965" w:rsidRDefault="009A349F" w:rsidP="00462965">
            <w:pPr>
              <w:pStyle w:val="Default"/>
              <w:jc w:val="both"/>
              <w:rPr>
                <w:rFonts w:asciiTheme="minorHAnsi" w:hAnsiTheme="minorHAnsi" w:cstheme="minorHAnsi"/>
                <w:sz w:val="22"/>
                <w:szCs w:val="22"/>
              </w:rPr>
            </w:pPr>
            <w:r w:rsidRPr="00462965">
              <w:rPr>
                <w:rFonts w:asciiTheme="minorHAnsi" w:hAnsiTheme="minorHAnsi" w:cstheme="minorHAnsi"/>
                <w:sz w:val="22"/>
                <w:szCs w:val="22"/>
              </w:rPr>
              <w:t>daje możliwości utworzenia z urzędu akt w wykazie GUu w celu wydania postanowienia</w:t>
            </w:r>
            <w:r w:rsidR="00BC4FFC" w:rsidRPr="00462965">
              <w:rPr>
                <w:rFonts w:asciiTheme="minorHAnsi" w:hAnsiTheme="minorHAnsi" w:cstheme="minorHAnsi"/>
                <w:sz w:val="22"/>
                <w:szCs w:val="22"/>
              </w:rPr>
              <w:t xml:space="preserve"> </w:t>
            </w:r>
            <w:r w:rsidRPr="00462965">
              <w:rPr>
                <w:rFonts w:asciiTheme="minorHAnsi" w:hAnsiTheme="minorHAnsi" w:cstheme="minorHAnsi"/>
                <w:sz w:val="22"/>
                <w:szCs w:val="22"/>
              </w:rPr>
              <w:t>o stwierdzeniu wykonania planu spłaty.</w:t>
            </w:r>
          </w:p>
          <w:p w14:paraId="614F037F" w14:textId="1893909D" w:rsidR="009A349F" w:rsidRPr="00462965" w:rsidRDefault="009A349F" w:rsidP="00462965">
            <w:pPr>
              <w:pStyle w:val="Default"/>
              <w:jc w:val="both"/>
              <w:rPr>
                <w:rFonts w:asciiTheme="minorHAnsi" w:hAnsiTheme="minorHAnsi" w:cstheme="minorHAnsi"/>
                <w:sz w:val="22"/>
                <w:szCs w:val="22"/>
              </w:rPr>
            </w:pPr>
            <w:r w:rsidRPr="00462965">
              <w:rPr>
                <w:rFonts w:asciiTheme="minorHAnsi" w:hAnsiTheme="minorHAnsi" w:cstheme="minorHAnsi"/>
                <w:sz w:val="22"/>
                <w:szCs w:val="22"/>
              </w:rPr>
              <w:t>Wdrożenie proponowanych rozwiązań skutkować będzie zatem istotnym, negatywnym</w:t>
            </w:r>
            <w:r w:rsidR="00BC4FFC" w:rsidRPr="00462965">
              <w:rPr>
                <w:rFonts w:asciiTheme="minorHAnsi" w:hAnsiTheme="minorHAnsi" w:cstheme="minorHAnsi"/>
                <w:sz w:val="22"/>
                <w:szCs w:val="22"/>
              </w:rPr>
              <w:t xml:space="preserve"> </w:t>
            </w:r>
            <w:r w:rsidRPr="00462965">
              <w:rPr>
                <w:rFonts w:asciiTheme="minorHAnsi" w:hAnsiTheme="minorHAnsi" w:cstheme="minorHAnsi"/>
                <w:sz w:val="22"/>
                <w:szCs w:val="22"/>
              </w:rPr>
              <w:t>wpływem na sprawność postępowania Wydziałów upadłościowych.</w:t>
            </w:r>
          </w:p>
          <w:p w14:paraId="26335804" w14:textId="1403013E" w:rsidR="009A349F" w:rsidRPr="00462965" w:rsidRDefault="009A349F" w:rsidP="00462965">
            <w:pPr>
              <w:pStyle w:val="Default"/>
              <w:jc w:val="both"/>
              <w:rPr>
                <w:rFonts w:asciiTheme="minorHAnsi" w:hAnsiTheme="minorHAnsi" w:cstheme="minorHAnsi"/>
                <w:sz w:val="22"/>
                <w:szCs w:val="22"/>
              </w:rPr>
            </w:pPr>
            <w:r w:rsidRPr="00462965">
              <w:rPr>
                <w:rFonts w:asciiTheme="minorHAnsi" w:hAnsiTheme="minorHAnsi" w:cstheme="minorHAnsi"/>
                <w:sz w:val="22"/>
                <w:szCs w:val="22"/>
              </w:rPr>
              <w:t>W tym stanie rzeczy wyłącznie prawidłowym rozwiązaniem jest stosowanie przepisów Prawo</w:t>
            </w:r>
            <w:r w:rsidR="00BC4FFC" w:rsidRPr="00462965">
              <w:rPr>
                <w:rFonts w:asciiTheme="minorHAnsi" w:hAnsiTheme="minorHAnsi" w:cstheme="minorHAnsi"/>
                <w:sz w:val="22"/>
                <w:szCs w:val="22"/>
              </w:rPr>
              <w:t xml:space="preserve"> </w:t>
            </w:r>
            <w:r w:rsidRPr="00462965">
              <w:rPr>
                <w:rFonts w:asciiTheme="minorHAnsi" w:hAnsiTheme="minorHAnsi" w:cstheme="minorHAnsi"/>
                <w:sz w:val="22"/>
                <w:szCs w:val="22"/>
              </w:rPr>
              <w:t>upadłościowe w brzmieniu nadanym w projekcie do spraw, w których wniosek o ogłoszenie</w:t>
            </w:r>
            <w:r w:rsidR="00BC4FFC" w:rsidRPr="00462965">
              <w:rPr>
                <w:rFonts w:asciiTheme="minorHAnsi" w:hAnsiTheme="minorHAnsi" w:cstheme="minorHAnsi"/>
                <w:sz w:val="22"/>
                <w:szCs w:val="22"/>
              </w:rPr>
              <w:t xml:space="preserve"> </w:t>
            </w:r>
            <w:r w:rsidRPr="00462965">
              <w:rPr>
                <w:rFonts w:asciiTheme="minorHAnsi" w:hAnsiTheme="minorHAnsi" w:cstheme="minorHAnsi"/>
                <w:sz w:val="22"/>
                <w:szCs w:val="22"/>
              </w:rPr>
              <w:t>upadłości wpłynął po wejściu w życie ustawy nowelizującej – a ostatecznie spraw w których</w:t>
            </w:r>
            <w:r w:rsidR="00BC4FFC" w:rsidRPr="00462965">
              <w:rPr>
                <w:rFonts w:asciiTheme="minorHAnsi" w:hAnsiTheme="minorHAnsi" w:cstheme="minorHAnsi"/>
                <w:sz w:val="22"/>
                <w:szCs w:val="22"/>
              </w:rPr>
              <w:t xml:space="preserve"> </w:t>
            </w:r>
            <w:r w:rsidRPr="00462965">
              <w:rPr>
                <w:rFonts w:asciiTheme="minorHAnsi" w:hAnsiTheme="minorHAnsi" w:cstheme="minorHAnsi"/>
                <w:sz w:val="22"/>
                <w:szCs w:val="22"/>
              </w:rPr>
              <w:t>nie wydano postanowienia o ustaleniu planu spłaty albo umorzeniu zobowiązań bez ustalania</w:t>
            </w:r>
            <w:r w:rsidR="00263028" w:rsidRPr="00462965">
              <w:rPr>
                <w:rFonts w:asciiTheme="minorHAnsi" w:hAnsiTheme="minorHAnsi" w:cstheme="minorHAnsi"/>
                <w:sz w:val="22"/>
                <w:szCs w:val="22"/>
              </w:rPr>
              <w:t xml:space="preserve"> </w:t>
            </w:r>
            <w:r w:rsidRPr="00462965">
              <w:rPr>
                <w:rFonts w:asciiTheme="minorHAnsi" w:hAnsiTheme="minorHAnsi" w:cstheme="minorHAnsi"/>
                <w:sz w:val="22"/>
                <w:szCs w:val="22"/>
              </w:rPr>
              <w:t>planu spłaty (zmiana art. 4 projektu i rezygnacja z rozwiązań przyjętych w art. 6 ust. 1, art. 7</w:t>
            </w:r>
            <w:r w:rsidR="00263028" w:rsidRPr="00462965">
              <w:rPr>
                <w:rFonts w:asciiTheme="minorHAnsi" w:hAnsiTheme="minorHAnsi" w:cstheme="minorHAnsi"/>
                <w:sz w:val="22"/>
                <w:szCs w:val="22"/>
              </w:rPr>
              <w:t xml:space="preserve"> </w:t>
            </w:r>
            <w:r w:rsidRPr="00462965">
              <w:rPr>
                <w:rFonts w:asciiTheme="minorHAnsi" w:hAnsiTheme="minorHAnsi" w:cstheme="minorHAnsi"/>
                <w:sz w:val="22"/>
                <w:szCs w:val="22"/>
              </w:rPr>
              <w:t>i 8 projektu).”</w:t>
            </w:r>
          </w:p>
        </w:tc>
        <w:tc>
          <w:tcPr>
            <w:tcW w:w="1027" w:type="pct"/>
          </w:tcPr>
          <w:p w14:paraId="1AC45797" w14:textId="77777777" w:rsidR="009A349F" w:rsidRPr="00CC7F2E" w:rsidRDefault="009A349F" w:rsidP="00CC7F2E">
            <w:pPr>
              <w:jc w:val="both"/>
              <w:rPr>
                <w:rFonts w:ascii="Calibri" w:hAnsi="Calibri" w:cs="Calibri"/>
              </w:rPr>
            </w:pPr>
          </w:p>
        </w:tc>
        <w:tc>
          <w:tcPr>
            <w:tcW w:w="1108" w:type="pct"/>
          </w:tcPr>
          <w:p w14:paraId="2B8CFCE0" w14:textId="203366E1" w:rsidR="002206C0" w:rsidRPr="007368C7" w:rsidRDefault="0093514E" w:rsidP="005F7A15">
            <w:pPr>
              <w:jc w:val="both"/>
              <w:rPr>
                <w:rFonts w:cstheme="minorHAnsi"/>
                <w:b/>
                <w:bCs/>
              </w:rPr>
            </w:pPr>
            <w:r w:rsidRPr="007368C7">
              <w:rPr>
                <w:rFonts w:cstheme="minorHAnsi"/>
                <w:b/>
                <w:bCs/>
              </w:rPr>
              <w:t xml:space="preserve">Uwaga </w:t>
            </w:r>
            <w:r w:rsidR="00B53D6D" w:rsidRPr="007368C7">
              <w:rPr>
                <w:rFonts w:cstheme="minorHAnsi"/>
                <w:b/>
                <w:bCs/>
              </w:rPr>
              <w:t xml:space="preserve">częściowo </w:t>
            </w:r>
            <w:r w:rsidRPr="007368C7">
              <w:rPr>
                <w:rFonts w:cstheme="minorHAnsi"/>
                <w:b/>
                <w:bCs/>
              </w:rPr>
              <w:t xml:space="preserve">uwzględniona </w:t>
            </w:r>
          </w:p>
          <w:p w14:paraId="7960EFED" w14:textId="1EE28D43" w:rsidR="0093514E" w:rsidRPr="009F09FD" w:rsidRDefault="00B53D6D" w:rsidP="005F7A15">
            <w:pPr>
              <w:jc w:val="both"/>
              <w:rPr>
                <w:rFonts w:cstheme="minorHAnsi"/>
                <w:i/>
                <w:iCs/>
              </w:rPr>
            </w:pPr>
            <w:r w:rsidRPr="007368C7">
              <w:rPr>
                <w:rFonts w:cstheme="minorHAnsi"/>
              </w:rPr>
              <w:t>Dokonano przeredagowania przepisów przejściowych.</w:t>
            </w:r>
            <w:r w:rsidRPr="009F09FD">
              <w:rPr>
                <w:rFonts w:cstheme="minorHAnsi"/>
                <w:i/>
                <w:iCs/>
              </w:rPr>
              <w:t xml:space="preserve"> </w:t>
            </w:r>
          </w:p>
        </w:tc>
      </w:tr>
      <w:tr w:rsidR="00563D35" w:rsidRPr="00486628" w14:paraId="79601FA8" w14:textId="77777777" w:rsidTr="00AC5078">
        <w:tc>
          <w:tcPr>
            <w:tcW w:w="158" w:type="pct"/>
          </w:tcPr>
          <w:p w14:paraId="234ACEFC" w14:textId="2D2AEFD1" w:rsidR="00563D35" w:rsidRDefault="00563D35" w:rsidP="005F7A15">
            <w:pPr>
              <w:jc w:val="center"/>
              <w:rPr>
                <w:rFonts w:cstheme="minorHAnsi"/>
              </w:rPr>
            </w:pPr>
            <w:r>
              <w:rPr>
                <w:rFonts w:cstheme="minorHAnsi"/>
              </w:rPr>
              <w:lastRenderedPageBreak/>
              <w:t>4</w:t>
            </w:r>
            <w:r w:rsidR="00CD0B96">
              <w:rPr>
                <w:rFonts w:cstheme="minorHAnsi"/>
              </w:rPr>
              <w:t>1</w:t>
            </w:r>
          </w:p>
        </w:tc>
        <w:tc>
          <w:tcPr>
            <w:tcW w:w="698" w:type="pct"/>
          </w:tcPr>
          <w:p w14:paraId="07F3569E" w14:textId="48C26CC2" w:rsidR="00563D35" w:rsidRDefault="00563D35" w:rsidP="0073232F">
            <w:pPr>
              <w:rPr>
                <w:rFonts w:ascii="Calibri" w:hAnsi="Calibri" w:cs="Calibri"/>
              </w:rPr>
            </w:pPr>
            <w:r>
              <w:rPr>
                <w:rFonts w:ascii="Calibri" w:hAnsi="Calibri" w:cs="Calibri"/>
              </w:rPr>
              <w:t xml:space="preserve">Krajowa Izba Doradców Restrukturyzacyjnych </w:t>
            </w:r>
          </w:p>
        </w:tc>
        <w:tc>
          <w:tcPr>
            <w:tcW w:w="591" w:type="pct"/>
          </w:tcPr>
          <w:p w14:paraId="1D4EA04D" w14:textId="5841EC63" w:rsidR="00563D35" w:rsidRPr="00563D35" w:rsidRDefault="00970683" w:rsidP="00F901C7">
            <w:pPr>
              <w:rPr>
                <w:rFonts w:ascii="Calibri" w:hAnsi="Calibri" w:cs="Calibri"/>
              </w:rPr>
            </w:pPr>
            <w:r w:rsidRPr="00970683">
              <w:rPr>
                <w:rFonts w:ascii="Calibri" w:hAnsi="Calibri" w:cs="Calibri"/>
                <w:b/>
                <w:bCs/>
              </w:rPr>
              <w:t>Art. 1 pkt 11</w:t>
            </w:r>
            <w:r>
              <w:rPr>
                <w:rFonts w:ascii="Calibri" w:hAnsi="Calibri" w:cs="Calibri"/>
              </w:rPr>
              <w:t xml:space="preserve"> (a</w:t>
            </w:r>
            <w:r w:rsidR="00563D35">
              <w:rPr>
                <w:rFonts w:ascii="Calibri" w:hAnsi="Calibri" w:cs="Calibri"/>
              </w:rPr>
              <w:t>rt. 491</w:t>
            </w:r>
            <w:r w:rsidR="00563D35">
              <w:rPr>
                <w:rFonts w:ascii="Calibri" w:hAnsi="Calibri" w:cs="Calibri"/>
                <w:vertAlign w:val="superscript"/>
              </w:rPr>
              <w:t>2</w:t>
            </w:r>
            <w:r w:rsidR="00563D35">
              <w:rPr>
                <w:rFonts w:ascii="Calibri" w:hAnsi="Calibri" w:cs="Calibri"/>
              </w:rPr>
              <w:t xml:space="preserve"> ust. 3</w:t>
            </w:r>
            <w:r w:rsidR="00A65555">
              <w:rPr>
                <w:rFonts w:ascii="Calibri" w:hAnsi="Calibri" w:cs="Calibri"/>
              </w:rPr>
              <w:t xml:space="preserve"> P.U.</w:t>
            </w:r>
            <w:r>
              <w:rPr>
                <w:rFonts w:ascii="Calibri" w:hAnsi="Calibri" w:cs="Calibri"/>
              </w:rPr>
              <w:t>)</w:t>
            </w:r>
          </w:p>
        </w:tc>
        <w:tc>
          <w:tcPr>
            <w:tcW w:w="1418" w:type="pct"/>
          </w:tcPr>
          <w:p w14:paraId="5F0CDDCF" w14:textId="61ABD6C5" w:rsidR="00563D35" w:rsidRPr="00462965" w:rsidRDefault="00563D35" w:rsidP="00462965">
            <w:pPr>
              <w:pStyle w:val="Default"/>
              <w:jc w:val="both"/>
              <w:rPr>
                <w:rFonts w:asciiTheme="minorHAnsi" w:hAnsiTheme="minorHAnsi" w:cstheme="minorHAnsi"/>
                <w:sz w:val="22"/>
                <w:szCs w:val="22"/>
              </w:rPr>
            </w:pPr>
            <w:r w:rsidRPr="00462965">
              <w:rPr>
                <w:rFonts w:asciiTheme="minorHAnsi" w:hAnsiTheme="minorHAnsi" w:cstheme="minorHAnsi"/>
                <w:sz w:val="22"/>
                <w:szCs w:val="22"/>
              </w:rPr>
              <w:t>Izba postuluje by wniosek o ogłoszenie</w:t>
            </w:r>
            <w:r w:rsidR="00970683" w:rsidRPr="00462965">
              <w:rPr>
                <w:rFonts w:asciiTheme="minorHAnsi" w:hAnsiTheme="minorHAnsi" w:cstheme="minorHAnsi"/>
                <w:sz w:val="22"/>
                <w:szCs w:val="22"/>
              </w:rPr>
              <w:t xml:space="preserve"> </w:t>
            </w:r>
            <w:r w:rsidRPr="00462965">
              <w:rPr>
                <w:rFonts w:asciiTheme="minorHAnsi" w:hAnsiTheme="minorHAnsi" w:cstheme="minorHAnsi"/>
                <w:sz w:val="22"/>
                <w:szCs w:val="22"/>
              </w:rPr>
              <w:t>upadłości osoby fizycznej zawierał również obligatoryjne dane takie jak:</w:t>
            </w:r>
          </w:p>
          <w:p w14:paraId="0BA6408B" w14:textId="32D38D17" w:rsidR="00563D35" w:rsidRPr="00462965" w:rsidRDefault="00563D35" w:rsidP="00462965">
            <w:pPr>
              <w:pStyle w:val="Default"/>
              <w:jc w:val="both"/>
              <w:rPr>
                <w:rFonts w:asciiTheme="minorHAnsi" w:hAnsiTheme="minorHAnsi" w:cstheme="minorHAnsi"/>
                <w:sz w:val="22"/>
                <w:szCs w:val="22"/>
              </w:rPr>
            </w:pPr>
            <w:r w:rsidRPr="00462965">
              <w:rPr>
                <w:rFonts w:asciiTheme="minorHAnsi" w:hAnsiTheme="minorHAnsi" w:cstheme="minorHAnsi"/>
                <w:sz w:val="22"/>
                <w:szCs w:val="22"/>
              </w:rPr>
              <w:t>a/ imiona rodziców dłużnika</w:t>
            </w:r>
            <w:r w:rsidR="00970683" w:rsidRPr="00462965">
              <w:rPr>
                <w:rFonts w:asciiTheme="minorHAnsi" w:hAnsiTheme="minorHAnsi" w:cstheme="minorHAnsi"/>
                <w:sz w:val="22"/>
                <w:szCs w:val="22"/>
              </w:rPr>
              <w:t>,</w:t>
            </w:r>
          </w:p>
          <w:p w14:paraId="0406CF05" w14:textId="78D87934" w:rsidR="00563D35" w:rsidRPr="00462965" w:rsidRDefault="00563D35" w:rsidP="00462965">
            <w:pPr>
              <w:pStyle w:val="Default"/>
              <w:jc w:val="both"/>
              <w:rPr>
                <w:rFonts w:asciiTheme="minorHAnsi" w:hAnsiTheme="minorHAnsi" w:cstheme="minorHAnsi"/>
                <w:sz w:val="22"/>
                <w:szCs w:val="22"/>
              </w:rPr>
            </w:pPr>
            <w:r w:rsidRPr="00462965">
              <w:rPr>
                <w:rFonts w:asciiTheme="minorHAnsi" w:hAnsiTheme="minorHAnsi" w:cstheme="minorHAnsi"/>
                <w:sz w:val="22"/>
                <w:szCs w:val="22"/>
              </w:rPr>
              <w:t>b/ stan cywilny dłużnika, a w przypadku stanu małżeńskiego wskazywał imię i nazwisko współmałżonka oraz jego adres zamieszkania oraz oświadczenie o stosunkach majątkowych w małżeństwie</w:t>
            </w:r>
            <w:r w:rsidR="00970683" w:rsidRPr="00462965">
              <w:rPr>
                <w:rFonts w:asciiTheme="minorHAnsi" w:hAnsiTheme="minorHAnsi" w:cstheme="minorHAnsi"/>
                <w:sz w:val="22"/>
                <w:szCs w:val="22"/>
              </w:rPr>
              <w:t>,</w:t>
            </w:r>
          </w:p>
          <w:p w14:paraId="1440A0FA" w14:textId="23AEB588" w:rsidR="00563D35" w:rsidRPr="00462965" w:rsidRDefault="00563D35" w:rsidP="00462965">
            <w:pPr>
              <w:pStyle w:val="Default"/>
              <w:jc w:val="both"/>
              <w:rPr>
                <w:rFonts w:asciiTheme="minorHAnsi" w:hAnsiTheme="minorHAnsi" w:cstheme="minorHAnsi"/>
                <w:sz w:val="22"/>
                <w:szCs w:val="22"/>
              </w:rPr>
            </w:pPr>
            <w:r w:rsidRPr="00462965">
              <w:rPr>
                <w:rFonts w:asciiTheme="minorHAnsi" w:hAnsiTheme="minorHAnsi" w:cstheme="minorHAnsi"/>
                <w:sz w:val="22"/>
                <w:szCs w:val="22"/>
              </w:rPr>
              <w:lastRenderedPageBreak/>
              <w:t>c/ numer rachunku bankowego dłużnika, na który wpływają środki niezbędne do zaspokojenia jego potrzeb bytowych</w:t>
            </w:r>
            <w:r w:rsidR="00970683" w:rsidRPr="00462965">
              <w:rPr>
                <w:rFonts w:asciiTheme="minorHAnsi" w:hAnsiTheme="minorHAnsi" w:cstheme="minorHAnsi"/>
                <w:sz w:val="22"/>
                <w:szCs w:val="22"/>
              </w:rPr>
              <w:t>,</w:t>
            </w:r>
          </w:p>
          <w:p w14:paraId="0E6C461A" w14:textId="0076DCC8" w:rsidR="00563D35" w:rsidRPr="00462965" w:rsidRDefault="00563D35" w:rsidP="00462965">
            <w:pPr>
              <w:pStyle w:val="Default"/>
              <w:jc w:val="both"/>
              <w:rPr>
                <w:rFonts w:asciiTheme="minorHAnsi" w:hAnsiTheme="minorHAnsi" w:cstheme="minorHAnsi"/>
                <w:sz w:val="22"/>
                <w:szCs w:val="22"/>
              </w:rPr>
            </w:pPr>
            <w:r w:rsidRPr="00462965">
              <w:rPr>
                <w:rFonts w:asciiTheme="minorHAnsi" w:hAnsiTheme="minorHAnsi" w:cstheme="minorHAnsi"/>
                <w:sz w:val="22"/>
                <w:szCs w:val="22"/>
              </w:rPr>
              <w:t>d/ numer telefonu kontaktowego lub wzmiankę o braku telefonu</w:t>
            </w:r>
            <w:r w:rsidR="00970683" w:rsidRPr="00462965">
              <w:rPr>
                <w:rFonts w:asciiTheme="minorHAnsi" w:hAnsiTheme="minorHAnsi" w:cstheme="minorHAnsi"/>
                <w:sz w:val="22"/>
                <w:szCs w:val="22"/>
              </w:rPr>
              <w:t>.</w:t>
            </w:r>
          </w:p>
          <w:p w14:paraId="6CF0AC48" w14:textId="0DF66344" w:rsidR="00563D35" w:rsidRPr="00462965" w:rsidRDefault="00563D35" w:rsidP="00462965">
            <w:pPr>
              <w:pStyle w:val="Default"/>
              <w:jc w:val="both"/>
              <w:rPr>
                <w:rFonts w:asciiTheme="minorHAnsi" w:hAnsiTheme="minorHAnsi" w:cstheme="minorHAnsi"/>
                <w:sz w:val="22"/>
                <w:szCs w:val="22"/>
              </w:rPr>
            </w:pPr>
            <w:r w:rsidRPr="00462965">
              <w:rPr>
                <w:rFonts w:asciiTheme="minorHAnsi" w:hAnsiTheme="minorHAnsi" w:cstheme="minorHAnsi"/>
                <w:sz w:val="22"/>
                <w:szCs w:val="22"/>
              </w:rPr>
              <w:t>Uzasadnieniem wskazania imion rodziców, jest możliwość przyspieszenia operacji poszukiwania majątku przez komornika, co może być zlecone tuż po ogłoszeniu upadłości. Jest oczywiście możliwe poszukiwanie majątku bez imion rodziców, jednak w takim wypadku zdarza się często, że przy braku numerów PESEL w rejestrach ksiąg wieczystych, w wyniku poodszukiwania jedynie po imieniu i nazwisku upadłego, otrzymamy informację o kilkadziesiąt lub więcej nieruchomości zidentyfikowanych pod nazwiskiem i imieniem upadłego. Wówczas musimy odebrać wyjaśnienia od upadłego wszystkich wyszukanych nieruchomościach, co znacznie spowalnia postępowanie i wprowadza niepotrzebną irytację upadłego</w:t>
            </w:r>
            <w:r w:rsidR="00970683" w:rsidRPr="00462965">
              <w:rPr>
                <w:rFonts w:asciiTheme="minorHAnsi" w:hAnsiTheme="minorHAnsi" w:cstheme="minorHAnsi"/>
                <w:sz w:val="22"/>
                <w:szCs w:val="22"/>
              </w:rPr>
              <w:t xml:space="preserve"> </w:t>
            </w:r>
            <w:r w:rsidRPr="00462965">
              <w:rPr>
                <w:rFonts w:asciiTheme="minorHAnsi" w:hAnsiTheme="minorHAnsi" w:cstheme="minorHAnsi"/>
                <w:sz w:val="22"/>
                <w:szCs w:val="22"/>
              </w:rPr>
              <w:t xml:space="preserve">Izba stoi na stanowisku, że wskazanie rachunku bankowego, na który wpływają środki niezbędne do zaspokojenia potrzeb bytowych upadłych osób fizycznych, byłoby rozwiązaniem zabezpieczającym podstawowe interesy takiej osoby. Powszechną praktyką jest bowiem blokowanie przez banki rachunków upadłej osoby, nawet jeśli środki na rachunkach nie podlegają zajęciom. Dzieje się tak do czasu uzyskania dyspozycji syndyka, </w:t>
            </w:r>
            <w:r w:rsidRPr="00462965">
              <w:rPr>
                <w:rFonts w:asciiTheme="minorHAnsi" w:hAnsiTheme="minorHAnsi" w:cstheme="minorHAnsi"/>
                <w:sz w:val="22"/>
                <w:szCs w:val="22"/>
              </w:rPr>
              <w:lastRenderedPageBreak/>
              <w:t>która to może być złożona najwcześniej po uzyskaniu przez syndyka informacji o posiadaniu rachunku. Jeśli zatem dłużnik nie ma zabezpieczonej gotówki, to po ogłoszeniu upadłości, czasem przez wiele dni jest pozbawiony dostępu do pieniędzy, które de facto są wolne od zajęć i często nie może zaspokajać swoich podstawowych potrzeb bytowych. Wiedza syndyka o posiadaniu takiego rachunku powzięta wprost z wniosku upadłościowego, pozwoliłaby skrócić okres pozbawienia upadłego dysponowaniem środkami wolnymi od zajęć.</w:t>
            </w:r>
          </w:p>
          <w:p w14:paraId="6C686696" w14:textId="680E2A55" w:rsidR="00563D35" w:rsidRPr="00462965" w:rsidRDefault="00563D35" w:rsidP="00462965">
            <w:pPr>
              <w:pStyle w:val="Default"/>
              <w:jc w:val="both"/>
              <w:rPr>
                <w:rFonts w:asciiTheme="minorHAnsi" w:hAnsiTheme="minorHAnsi" w:cstheme="minorHAnsi"/>
                <w:sz w:val="22"/>
                <w:szCs w:val="22"/>
              </w:rPr>
            </w:pPr>
            <w:r w:rsidRPr="00462965">
              <w:rPr>
                <w:rFonts w:asciiTheme="minorHAnsi" w:hAnsiTheme="minorHAnsi" w:cstheme="minorHAnsi"/>
                <w:sz w:val="22"/>
                <w:szCs w:val="22"/>
              </w:rPr>
              <w:t>Obligatoryjne wskazanie numeru telefonu lub informacja o jego braku, umożliwiłyby jeszcze szybsze podejmowanie kontaktu z upadłym, na wypadek jego pasywności co do podjęcia kontaktu z syndykiem.</w:t>
            </w:r>
          </w:p>
        </w:tc>
        <w:tc>
          <w:tcPr>
            <w:tcW w:w="1027" w:type="pct"/>
          </w:tcPr>
          <w:p w14:paraId="7C3486AB" w14:textId="77777777" w:rsidR="00563D35" w:rsidRPr="00CC7F2E" w:rsidRDefault="00563D35" w:rsidP="00CC7F2E">
            <w:pPr>
              <w:jc w:val="both"/>
              <w:rPr>
                <w:rFonts w:ascii="Calibri" w:hAnsi="Calibri" w:cs="Calibri"/>
              </w:rPr>
            </w:pPr>
          </w:p>
        </w:tc>
        <w:tc>
          <w:tcPr>
            <w:tcW w:w="1108" w:type="pct"/>
          </w:tcPr>
          <w:p w14:paraId="061F49D5" w14:textId="0233637E" w:rsidR="00563D35" w:rsidRPr="007368C7" w:rsidRDefault="00AF1CA2" w:rsidP="005F7A15">
            <w:pPr>
              <w:jc w:val="both"/>
              <w:rPr>
                <w:rFonts w:cstheme="minorHAnsi"/>
              </w:rPr>
            </w:pPr>
            <w:r w:rsidRPr="007368C7">
              <w:rPr>
                <w:rFonts w:cstheme="minorHAnsi"/>
                <w:b/>
                <w:bCs/>
              </w:rPr>
              <w:t>Uwaga poza zakresem projektu</w:t>
            </w:r>
          </w:p>
        </w:tc>
      </w:tr>
      <w:tr w:rsidR="00546679" w:rsidRPr="00486628" w14:paraId="1BA685A2" w14:textId="77777777" w:rsidTr="00AC5078">
        <w:tc>
          <w:tcPr>
            <w:tcW w:w="158" w:type="pct"/>
          </w:tcPr>
          <w:p w14:paraId="29AF4A64" w14:textId="7E1A6C6A" w:rsidR="00546679" w:rsidRDefault="00546679" w:rsidP="005F7A15">
            <w:pPr>
              <w:jc w:val="center"/>
              <w:rPr>
                <w:rFonts w:cstheme="minorHAnsi"/>
              </w:rPr>
            </w:pPr>
            <w:r>
              <w:rPr>
                <w:rFonts w:cstheme="minorHAnsi"/>
              </w:rPr>
              <w:lastRenderedPageBreak/>
              <w:t>4</w:t>
            </w:r>
            <w:r w:rsidR="00CD0B96">
              <w:rPr>
                <w:rFonts w:cstheme="minorHAnsi"/>
              </w:rPr>
              <w:t>2</w:t>
            </w:r>
          </w:p>
        </w:tc>
        <w:tc>
          <w:tcPr>
            <w:tcW w:w="698" w:type="pct"/>
          </w:tcPr>
          <w:p w14:paraId="44C59450" w14:textId="0B542037" w:rsidR="00546679" w:rsidRDefault="00546679" w:rsidP="0073232F">
            <w:pPr>
              <w:rPr>
                <w:rFonts w:ascii="Calibri" w:hAnsi="Calibri" w:cs="Calibri"/>
              </w:rPr>
            </w:pPr>
            <w:r w:rsidRPr="00546679">
              <w:rPr>
                <w:rFonts w:ascii="Calibri" w:hAnsi="Calibri" w:cs="Calibri"/>
              </w:rPr>
              <w:t>Krajowa Izba Doradców Restrukturyzacyjnych</w:t>
            </w:r>
          </w:p>
        </w:tc>
        <w:tc>
          <w:tcPr>
            <w:tcW w:w="591" w:type="pct"/>
          </w:tcPr>
          <w:p w14:paraId="6AD7A92C" w14:textId="6891AEAD" w:rsidR="00546679" w:rsidRDefault="00A65555" w:rsidP="00F901C7">
            <w:pPr>
              <w:rPr>
                <w:rFonts w:ascii="Calibri" w:hAnsi="Calibri" w:cs="Calibri"/>
              </w:rPr>
            </w:pPr>
            <w:r w:rsidRPr="00A65555">
              <w:rPr>
                <w:rFonts w:ascii="Calibri" w:hAnsi="Calibri" w:cs="Calibri"/>
                <w:b/>
                <w:bCs/>
              </w:rPr>
              <w:t>Art. 1 pkt. 11</w:t>
            </w:r>
            <w:r>
              <w:rPr>
                <w:rFonts w:ascii="Calibri" w:hAnsi="Calibri" w:cs="Calibri"/>
              </w:rPr>
              <w:t xml:space="preserve"> (</w:t>
            </w:r>
            <w:r w:rsidR="00546679" w:rsidRPr="00546679">
              <w:rPr>
                <w:rFonts w:ascii="Calibri" w:hAnsi="Calibri" w:cs="Calibri"/>
              </w:rPr>
              <w:t>art. 491</w:t>
            </w:r>
            <w:r>
              <w:rPr>
                <w:rFonts w:ascii="Calibri" w:hAnsi="Calibri" w:cs="Calibri"/>
                <w:vertAlign w:val="superscript"/>
              </w:rPr>
              <w:t>2</w:t>
            </w:r>
            <w:r w:rsidR="00546679" w:rsidRPr="00546679">
              <w:rPr>
                <w:rFonts w:ascii="Calibri" w:hAnsi="Calibri" w:cs="Calibri"/>
              </w:rPr>
              <w:t xml:space="preserve"> ust. 1</w:t>
            </w:r>
            <w:r>
              <w:rPr>
                <w:rFonts w:ascii="Calibri" w:hAnsi="Calibri" w:cs="Calibri"/>
              </w:rPr>
              <w:t xml:space="preserve"> P.U.)</w:t>
            </w:r>
          </w:p>
        </w:tc>
        <w:tc>
          <w:tcPr>
            <w:tcW w:w="1418" w:type="pct"/>
          </w:tcPr>
          <w:p w14:paraId="6E81F8EA" w14:textId="3C843361" w:rsidR="00546679" w:rsidRPr="00462965" w:rsidRDefault="00546679" w:rsidP="00462965">
            <w:pPr>
              <w:pStyle w:val="Default"/>
              <w:jc w:val="both"/>
              <w:rPr>
                <w:rFonts w:asciiTheme="minorHAnsi" w:hAnsiTheme="minorHAnsi" w:cstheme="minorHAnsi"/>
                <w:sz w:val="22"/>
                <w:szCs w:val="22"/>
              </w:rPr>
            </w:pPr>
            <w:r w:rsidRPr="00462965">
              <w:rPr>
                <w:rFonts w:asciiTheme="minorHAnsi" w:hAnsiTheme="minorHAnsi" w:cstheme="minorHAnsi"/>
                <w:sz w:val="22"/>
                <w:szCs w:val="22"/>
              </w:rPr>
              <w:t>Wyłączając stosowanie art. 176 ust. 2, dla</w:t>
            </w:r>
            <w:r w:rsidR="00A65555" w:rsidRPr="00462965">
              <w:rPr>
                <w:rFonts w:asciiTheme="minorHAnsi" w:hAnsiTheme="minorHAnsi" w:cstheme="minorHAnsi"/>
                <w:sz w:val="22"/>
                <w:szCs w:val="22"/>
              </w:rPr>
              <w:t xml:space="preserve"> </w:t>
            </w:r>
            <w:r w:rsidRPr="00462965">
              <w:rPr>
                <w:rFonts w:asciiTheme="minorHAnsi" w:hAnsiTheme="minorHAnsi" w:cstheme="minorHAnsi"/>
                <w:sz w:val="22"/>
                <w:szCs w:val="22"/>
              </w:rPr>
              <w:t>postepowań toczących się w trybie art. 491</w:t>
            </w:r>
            <w:r w:rsidR="00A65555" w:rsidRPr="00462965">
              <w:rPr>
                <w:rFonts w:asciiTheme="minorHAnsi" w:hAnsiTheme="minorHAnsi" w:cstheme="minorHAnsi"/>
                <w:sz w:val="22"/>
                <w:szCs w:val="22"/>
                <w:vertAlign w:val="superscript"/>
              </w:rPr>
              <w:t>1</w:t>
            </w:r>
            <w:r w:rsidRPr="00462965">
              <w:rPr>
                <w:rFonts w:asciiTheme="minorHAnsi" w:hAnsiTheme="minorHAnsi" w:cstheme="minorHAnsi"/>
                <w:sz w:val="22"/>
                <w:szCs w:val="22"/>
              </w:rPr>
              <w:t xml:space="preserve"> ust.</w:t>
            </w:r>
            <w:r w:rsidR="00155445">
              <w:rPr>
                <w:rFonts w:asciiTheme="minorHAnsi" w:hAnsiTheme="minorHAnsi" w:cstheme="minorHAnsi"/>
                <w:sz w:val="22"/>
                <w:szCs w:val="22"/>
              </w:rPr>
              <w:t xml:space="preserve"> </w:t>
            </w:r>
            <w:r w:rsidRPr="00462965">
              <w:rPr>
                <w:rFonts w:asciiTheme="minorHAnsi" w:hAnsiTheme="minorHAnsi" w:cstheme="minorHAnsi"/>
                <w:sz w:val="22"/>
                <w:szCs w:val="22"/>
              </w:rPr>
              <w:t xml:space="preserve">1 </w:t>
            </w:r>
            <w:r w:rsidR="00155445">
              <w:rPr>
                <w:rFonts w:asciiTheme="minorHAnsi" w:hAnsiTheme="minorHAnsi" w:cstheme="minorHAnsi"/>
                <w:sz w:val="22"/>
                <w:szCs w:val="22"/>
              </w:rPr>
              <w:t>P</w:t>
            </w:r>
            <w:r w:rsidRPr="00462965">
              <w:rPr>
                <w:rFonts w:asciiTheme="minorHAnsi" w:hAnsiTheme="minorHAnsi" w:cstheme="minorHAnsi"/>
                <w:sz w:val="22"/>
                <w:szCs w:val="22"/>
              </w:rPr>
              <w:t>.</w:t>
            </w:r>
            <w:r w:rsidR="00155445">
              <w:rPr>
                <w:rFonts w:asciiTheme="minorHAnsi" w:hAnsiTheme="minorHAnsi" w:cstheme="minorHAnsi"/>
                <w:sz w:val="22"/>
                <w:szCs w:val="22"/>
              </w:rPr>
              <w:t>u</w:t>
            </w:r>
            <w:r w:rsidRPr="00462965">
              <w:rPr>
                <w:rFonts w:asciiTheme="minorHAnsi" w:hAnsiTheme="minorHAnsi" w:cstheme="minorHAnsi"/>
                <w:sz w:val="22"/>
                <w:szCs w:val="22"/>
              </w:rPr>
              <w:t>., sugerujemy również wyłączyć stosowanie art. 176 ust. 2a dla tego typu postępowań, co byłoby spójne.</w:t>
            </w:r>
          </w:p>
        </w:tc>
        <w:tc>
          <w:tcPr>
            <w:tcW w:w="1027" w:type="pct"/>
          </w:tcPr>
          <w:p w14:paraId="0B3713A2" w14:textId="77777777" w:rsidR="00546679" w:rsidRPr="00CC7F2E" w:rsidRDefault="00546679" w:rsidP="00CC7F2E">
            <w:pPr>
              <w:jc w:val="both"/>
              <w:rPr>
                <w:rFonts w:ascii="Calibri" w:hAnsi="Calibri" w:cs="Calibri"/>
              </w:rPr>
            </w:pPr>
          </w:p>
        </w:tc>
        <w:tc>
          <w:tcPr>
            <w:tcW w:w="1108" w:type="pct"/>
          </w:tcPr>
          <w:p w14:paraId="5AF8F39C" w14:textId="087C880F" w:rsidR="00546679" w:rsidRPr="007368C7" w:rsidRDefault="00C61F56" w:rsidP="005F7A15">
            <w:pPr>
              <w:jc w:val="both"/>
              <w:rPr>
                <w:rFonts w:cstheme="minorHAnsi"/>
                <w:b/>
                <w:bCs/>
              </w:rPr>
            </w:pPr>
            <w:r w:rsidRPr="007368C7">
              <w:rPr>
                <w:rFonts w:cstheme="minorHAnsi"/>
                <w:b/>
                <w:bCs/>
              </w:rPr>
              <w:t>Uwaga poza zakresem projektu</w:t>
            </w:r>
          </w:p>
        </w:tc>
      </w:tr>
      <w:tr w:rsidR="00546679" w:rsidRPr="00486628" w14:paraId="0CDEE18C" w14:textId="77777777" w:rsidTr="00AC5078">
        <w:tc>
          <w:tcPr>
            <w:tcW w:w="158" w:type="pct"/>
          </w:tcPr>
          <w:p w14:paraId="2EFCB2D2" w14:textId="5393A18F" w:rsidR="00546679" w:rsidRDefault="00546679" w:rsidP="005F7A15">
            <w:pPr>
              <w:jc w:val="center"/>
              <w:rPr>
                <w:rFonts w:cstheme="minorHAnsi"/>
              </w:rPr>
            </w:pPr>
            <w:r>
              <w:rPr>
                <w:rFonts w:cstheme="minorHAnsi"/>
              </w:rPr>
              <w:t>4</w:t>
            </w:r>
            <w:r w:rsidR="00CD0B96">
              <w:rPr>
                <w:rFonts w:cstheme="minorHAnsi"/>
              </w:rPr>
              <w:t>3</w:t>
            </w:r>
          </w:p>
        </w:tc>
        <w:tc>
          <w:tcPr>
            <w:tcW w:w="698" w:type="pct"/>
          </w:tcPr>
          <w:p w14:paraId="2F64F756" w14:textId="0219299C" w:rsidR="00546679" w:rsidRPr="00546679" w:rsidRDefault="00546679" w:rsidP="0073232F">
            <w:pPr>
              <w:rPr>
                <w:rFonts w:ascii="Calibri" w:hAnsi="Calibri" w:cs="Calibri"/>
              </w:rPr>
            </w:pPr>
            <w:r w:rsidRPr="00546679">
              <w:rPr>
                <w:rFonts w:ascii="Calibri" w:hAnsi="Calibri" w:cs="Calibri"/>
              </w:rPr>
              <w:t>Krajowa Izba Doradców Restrukturyzacyjnych</w:t>
            </w:r>
          </w:p>
        </w:tc>
        <w:tc>
          <w:tcPr>
            <w:tcW w:w="591" w:type="pct"/>
          </w:tcPr>
          <w:p w14:paraId="4F7157F0" w14:textId="02900215" w:rsidR="00546679" w:rsidRPr="00546679" w:rsidRDefault="00A65555" w:rsidP="00F901C7">
            <w:pPr>
              <w:rPr>
                <w:rFonts w:ascii="Calibri" w:hAnsi="Calibri" w:cs="Calibri"/>
              </w:rPr>
            </w:pPr>
            <w:r w:rsidRPr="00A65555">
              <w:rPr>
                <w:rFonts w:ascii="Calibri" w:hAnsi="Calibri" w:cs="Calibri"/>
                <w:b/>
                <w:bCs/>
              </w:rPr>
              <w:t>Art. 1 pkt 15 lit b</w:t>
            </w:r>
            <w:r>
              <w:rPr>
                <w:rFonts w:ascii="Calibri" w:hAnsi="Calibri" w:cs="Calibri"/>
              </w:rPr>
              <w:t xml:space="preserve"> (</w:t>
            </w:r>
            <w:r w:rsidR="00546679" w:rsidRPr="00546679">
              <w:rPr>
                <w:rFonts w:ascii="Calibri" w:hAnsi="Calibri" w:cs="Calibri"/>
              </w:rPr>
              <w:t>art. 491</w:t>
            </w:r>
            <w:r>
              <w:rPr>
                <w:rFonts w:ascii="Calibri" w:hAnsi="Calibri" w:cs="Calibri"/>
                <w:vertAlign w:val="superscript"/>
              </w:rPr>
              <w:t>15</w:t>
            </w:r>
            <w:r>
              <w:rPr>
                <w:rFonts w:ascii="Calibri" w:hAnsi="Calibri" w:cs="Calibri"/>
              </w:rPr>
              <w:t xml:space="preserve"> </w:t>
            </w:r>
            <w:r w:rsidR="00546679" w:rsidRPr="00546679">
              <w:rPr>
                <w:rFonts w:ascii="Calibri" w:hAnsi="Calibri" w:cs="Calibri"/>
              </w:rPr>
              <w:t>w ust. 1</w:t>
            </w:r>
            <w:r w:rsidR="00D71F0A">
              <w:rPr>
                <w:rFonts w:ascii="Calibri" w:hAnsi="Calibri" w:cs="Calibri"/>
              </w:rPr>
              <w:t xml:space="preserve"> pkt. 5</w:t>
            </w:r>
            <w:r>
              <w:rPr>
                <w:rFonts w:ascii="Calibri" w:hAnsi="Calibri" w:cs="Calibri"/>
              </w:rPr>
              <w:t xml:space="preserve"> P.U.). </w:t>
            </w:r>
          </w:p>
        </w:tc>
        <w:tc>
          <w:tcPr>
            <w:tcW w:w="1418" w:type="pct"/>
          </w:tcPr>
          <w:p w14:paraId="4A4766C8" w14:textId="2C6D923D" w:rsidR="00546679" w:rsidRPr="00462965" w:rsidRDefault="00D71F0A" w:rsidP="00462965">
            <w:pPr>
              <w:pStyle w:val="Default"/>
              <w:jc w:val="both"/>
              <w:rPr>
                <w:rFonts w:asciiTheme="minorHAnsi" w:hAnsiTheme="minorHAnsi" w:cstheme="minorHAnsi"/>
                <w:sz w:val="22"/>
                <w:szCs w:val="22"/>
              </w:rPr>
            </w:pPr>
            <w:r w:rsidRPr="00462965">
              <w:rPr>
                <w:rFonts w:asciiTheme="minorHAnsi" w:hAnsiTheme="minorHAnsi" w:cstheme="minorHAnsi"/>
                <w:sz w:val="22"/>
                <w:szCs w:val="22"/>
              </w:rPr>
              <w:t>Wobec braku stosowania art.</w:t>
            </w:r>
            <w:r w:rsidR="0045634F">
              <w:rPr>
                <w:rFonts w:asciiTheme="minorHAnsi" w:hAnsiTheme="minorHAnsi" w:cstheme="minorHAnsi"/>
                <w:sz w:val="22"/>
                <w:szCs w:val="22"/>
              </w:rPr>
              <w:t xml:space="preserve"> </w:t>
            </w:r>
            <w:r w:rsidRPr="00462965">
              <w:rPr>
                <w:rFonts w:asciiTheme="minorHAnsi" w:hAnsiTheme="minorHAnsi" w:cstheme="minorHAnsi"/>
                <w:sz w:val="22"/>
                <w:szCs w:val="22"/>
              </w:rPr>
              <w:t>145 p.u. dla</w:t>
            </w:r>
            <w:r w:rsidR="009403FF" w:rsidRPr="00462965">
              <w:rPr>
                <w:rFonts w:asciiTheme="minorHAnsi" w:hAnsiTheme="minorHAnsi" w:cstheme="minorHAnsi"/>
                <w:sz w:val="22"/>
                <w:szCs w:val="22"/>
              </w:rPr>
              <w:t xml:space="preserve"> </w:t>
            </w:r>
            <w:r w:rsidRPr="00462965">
              <w:rPr>
                <w:rFonts w:asciiTheme="minorHAnsi" w:hAnsiTheme="minorHAnsi" w:cstheme="minorHAnsi"/>
                <w:sz w:val="22"/>
                <w:szCs w:val="22"/>
              </w:rPr>
              <w:t>postępowań prowadzonych w trybie art. 491</w:t>
            </w:r>
            <w:r w:rsidR="009403FF" w:rsidRPr="00462965">
              <w:rPr>
                <w:rFonts w:asciiTheme="minorHAnsi" w:hAnsiTheme="minorHAnsi" w:cstheme="minorHAnsi"/>
                <w:sz w:val="22"/>
                <w:szCs w:val="22"/>
                <w:vertAlign w:val="superscript"/>
              </w:rPr>
              <w:t>1</w:t>
            </w:r>
            <w:r w:rsidRPr="00462965">
              <w:rPr>
                <w:rFonts w:asciiTheme="minorHAnsi" w:hAnsiTheme="minorHAnsi" w:cstheme="minorHAnsi"/>
                <w:sz w:val="22"/>
                <w:szCs w:val="22"/>
              </w:rPr>
              <w:t xml:space="preserve"> ust.</w:t>
            </w:r>
            <w:r w:rsidR="009403FF" w:rsidRPr="00462965">
              <w:rPr>
                <w:rFonts w:asciiTheme="minorHAnsi" w:hAnsiTheme="minorHAnsi" w:cstheme="minorHAnsi"/>
                <w:sz w:val="22"/>
                <w:szCs w:val="22"/>
              </w:rPr>
              <w:t xml:space="preserve"> </w:t>
            </w:r>
            <w:r w:rsidRPr="00462965">
              <w:rPr>
                <w:rFonts w:asciiTheme="minorHAnsi" w:hAnsiTheme="minorHAnsi" w:cstheme="minorHAnsi"/>
                <w:sz w:val="22"/>
                <w:szCs w:val="22"/>
              </w:rPr>
              <w:t xml:space="preserve">1 p.u. warto rozważyć, czy sentencja przepisu dotyczącego umorzenia zobowiązań, nie powinna nawiązywać również do umorzenia zasądzonych po ogłoszeniu upadłości kosztów dochodzenia roszczeń, wynikających ze zobowiązań powstałych przed ogłoszeniem upadłości. Brak takiego </w:t>
            </w:r>
            <w:r w:rsidRPr="00462965">
              <w:rPr>
                <w:rFonts w:asciiTheme="minorHAnsi" w:hAnsiTheme="minorHAnsi" w:cstheme="minorHAnsi"/>
                <w:sz w:val="22"/>
                <w:szCs w:val="22"/>
              </w:rPr>
              <w:lastRenderedPageBreak/>
              <w:t>sfomułowania i niejednokrotnie stosowana wykładnia, że zobowiązanie do pokrycia zasądzonych kosztów postępowania powstaje w dniu uprawomocnienia się orzeczenia, stwarza ryzyko egzekucji takich kosztów od wykonującego plan spłaty dłużnika, jeśli koszty zostałyby zasądzone po ustaleniu planu spłaty, co może zakłócić lub wręcz uniemożliwić wykonanie planu spłaty.</w:t>
            </w:r>
          </w:p>
        </w:tc>
        <w:tc>
          <w:tcPr>
            <w:tcW w:w="1027" w:type="pct"/>
          </w:tcPr>
          <w:p w14:paraId="303EE345" w14:textId="77777777" w:rsidR="00546679" w:rsidRPr="00CC7F2E" w:rsidRDefault="00546679" w:rsidP="00CC7F2E">
            <w:pPr>
              <w:jc w:val="both"/>
              <w:rPr>
                <w:rFonts w:ascii="Calibri" w:hAnsi="Calibri" w:cs="Calibri"/>
              </w:rPr>
            </w:pPr>
          </w:p>
        </w:tc>
        <w:tc>
          <w:tcPr>
            <w:tcW w:w="1108" w:type="pct"/>
          </w:tcPr>
          <w:p w14:paraId="77A19505" w14:textId="2C7C4C2B" w:rsidR="00546679" w:rsidRPr="007368C7" w:rsidRDefault="00C74CE9" w:rsidP="005F7A15">
            <w:pPr>
              <w:jc w:val="both"/>
              <w:rPr>
                <w:rFonts w:cstheme="minorHAnsi"/>
                <w:b/>
                <w:bCs/>
              </w:rPr>
            </w:pPr>
            <w:r w:rsidRPr="007368C7">
              <w:rPr>
                <w:rFonts w:cstheme="minorHAnsi"/>
                <w:b/>
                <w:bCs/>
              </w:rPr>
              <w:t>Uwaga poza zakresem projektu</w:t>
            </w:r>
          </w:p>
        </w:tc>
      </w:tr>
      <w:tr w:rsidR="007F2C57" w:rsidRPr="00486628" w14:paraId="394B9F3B" w14:textId="77777777" w:rsidTr="00AC5078">
        <w:tc>
          <w:tcPr>
            <w:tcW w:w="158" w:type="pct"/>
          </w:tcPr>
          <w:p w14:paraId="3B8FBF88" w14:textId="5800C0B0" w:rsidR="007F2C57" w:rsidRDefault="00CD0B96" w:rsidP="005F7A15">
            <w:pPr>
              <w:jc w:val="center"/>
              <w:rPr>
                <w:rFonts w:cstheme="minorHAnsi"/>
              </w:rPr>
            </w:pPr>
            <w:r>
              <w:rPr>
                <w:rFonts w:cstheme="minorHAnsi"/>
              </w:rPr>
              <w:t>44</w:t>
            </w:r>
          </w:p>
        </w:tc>
        <w:tc>
          <w:tcPr>
            <w:tcW w:w="698" w:type="pct"/>
          </w:tcPr>
          <w:p w14:paraId="14B39BED" w14:textId="1CD9CCF8" w:rsidR="007F2C57" w:rsidRDefault="007F2C57" w:rsidP="0073232F">
            <w:pPr>
              <w:rPr>
                <w:rFonts w:ascii="Calibri" w:hAnsi="Calibri" w:cs="Calibri"/>
              </w:rPr>
            </w:pPr>
            <w:r w:rsidRPr="007F2C57">
              <w:rPr>
                <w:rFonts w:ascii="Calibri" w:hAnsi="Calibri" w:cs="Calibri"/>
              </w:rPr>
              <w:t>Stowarzyszeni</w:t>
            </w:r>
            <w:r>
              <w:rPr>
                <w:rFonts w:ascii="Calibri" w:hAnsi="Calibri" w:cs="Calibri"/>
              </w:rPr>
              <w:t>e</w:t>
            </w:r>
            <w:r w:rsidRPr="007F2C57">
              <w:rPr>
                <w:rFonts w:ascii="Calibri" w:hAnsi="Calibri" w:cs="Calibri"/>
              </w:rPr>
              <w:t xml:space="preserve"> Sędziów Insolwencyjnych</w:t>
            </w:r>
          </w:p>
        </w:tc>
        <w:tc>
          <w:tcPr>
            <w:tcW w:w="591" w:type="pct"/>
          </w:tcPr>
          <w:p w14:paraId="49718C91" w14:textId="378007BE" w:rsidR="007F2C57" w:rsidRDefault="006F5EDA" w:rsidP="001C26E8">
            <w:pPr>
              <w:rPr>
                <w:rFonts w:ascii="Calibri" w:hAnsi="Calibri" w:cs="Calibri"/>
              </w:rPr>
            </w:pPr>
            <w:r w:rsidRPr="004F4EE9">
              <w:rPr>
                <w:rFonts w:ascii="Calibri" w:hAnsi="Calibri" w:cs="Calibri"/>
                <w:b/>
                <w:bCs/>
              </w:rPr>
              <w:t>Art. 1 pkt.</w:t>
            </w:r>
            <w:r w:rsidR="004F4EE9" w:rsidRPr="004F4EE9">
              <w:rPr>
                <w:rFonts w:ascii="Calibri" w:hAnsi="Calibri" w:cs="Calibri"/>
                <w:b/>
                <w:bCs/>
              </w:rPr>
              <w:t xml:space="preserve"> 6,</w:t>
            </w:r>
            <w:r w:rsidRPr="004F4EE9">
              <w:rPr>
                <w:rFonts w:ascii="Calibri" w:hAnsi="Calibri" w:cs="Calibri"/>
                <w:b/>
                <w:bCs/>
              </w:rPr>
              <w:t xml:space="preserve"> 17</w:t>
            </w:r>
            <w:r>
              <w:rPr>
                <w:rFonts w:ascii="Calibri" w:hAnsi="Calibri" w:cs="Calibri"/>
              </w:rPr>
              <w:t xml:space="preserve"> </w:t>
            </w:r>
            <w:r w:rsidR="004F4EE9">
              <w:rPr>
                <w:rFonts w:ascii="Calibri" w:hAnsi="Calibri" w:cs="Calibri"/>
              </w:rPr>
              <w:t>(a</w:t>
            </w:r>
            <w:r w:rsidR="007F2C57">
              <w:rPr>
                <w:rFonts w:ascii="Calibri" w:hAnsi="Calibri" w:cs="Calibri"/>
              </w:rPr>
              <w:t>rt.</w:t>
            </w:r>
            <w:r w:rsidR="004F4EE9">
              <w:rPr>
                <w:rFonts w:ascii="Calibri" w:hAnsi="Calibri" w:cs="Calibri"/>
              </w:rPr>
              <w:t xml:space="preserve"> 370c ust. 4 oraz</w:t>
            </w:r>
            <w:r w:rsidR="007F2C57">
              <w:rPr>
                <w:rFonts w:ascii="Calibri" w:hAnsi="Calibri" w:cs="Calibri"/>
              </w:rPr>
              <w:t xml:space="preserve"> </w:t>
            </w:r>
            <w:r w:rsidR="007F2C57" w:rsidRPr="007F2C57">
              <w:rPr>
                <w:rFonts w:ascii="Calibri" w:hAnsi="Calibri" w:cs="Calibri"/>
              </w:rPr>
              <w:t>491</w:t>
            </w:r>
            <w:r w:rsidR="007F2C57">
              <w:rPr>
                <w:rFonts w:ascii="Calibri" w:hAnsi="Calibri" w:cs="Calibri"/>
                <w:vertAlign w:val="superscript"/>
              </w:rPr>
              <w:t>18</w:t>
            </w:r>
            <w:r w:rsidR="007F2C57" w:rsidRPr="007F2C57">
              <w:rPr>
                <w:rFonts w:ascii="Calibri" w:hAnsi="Calibri" w:cs="Calibri"/>
              </w:rPr>
              <w:t xml:space="preserve"> ust. 3</w:t>
            </w:r>
            <w:r w:rsidR="004F4EE9">
              <w:rPr>
                <w:rFonts w:ascii="Calibri" w:hAnsi="Calibri" w:cs="Calibri"/>
              </w:rPr>
              <w:t xml:space="preserve"> P.U.)</w:t>
            </w:r>
          </w:p>
        </w:tc>
        <w:tc>
          <w:tcPr>
            <w:tcW w:w="1418" w:type="pct"/>
          </w:tcPr>
          <w:p w14:paraId="6529265C" w14:textId="37F61CEF" w:rsidR="007F2C57" w:rsidRPr="00462965" w:rsidRDefault="007F2C57" w:rsidP="00462965">
            <w:pPr>
              <w:pStyle w:val="Default"/>
              <w:jc w:val="both"/>
              <w:rPr>
                <w:rFonts w:asciiTheme="minorHAnsi" w:hAnsiTheme="minorHAnsi" w:cstheme="minorHAnsi"/>
                <w:sz w:val="22"/>
                <w:szCs w:val="22"/>
              </w:rPr>
            </w:pPr>
            <w:r w:rsidRPr="00462965">
              <w:rPr>
                <w:rFonts w:asciiTheme="minorHAnsi" w:hAnsiTheme="minorHAnsi" w:cstheme="minorHAnsi"/>
                <w:sz w:val="22"/>
                <w:szCs w:val="22"/>
              </w:rPr>
              <w:t>W ocenie Wydziału Gospodarczego Sądu Rejonowego w Częstochowie ostatnie zdanie tego przepisu, że Sąd nie bada treści i formy dokumentów, o których mowa w zdaniu pierwszym i drugim.” rodzi wątpliwości, czy sąd powinien kontrolować sam fakt składania sprawozdań przez dłużnika i wzywać dłużnika do ich złożenia gdy ten nie wykonuje tego obowiązku. Czy też sąd w ogóle nie kontroluje czy sprawozdania wpływają do akt, tak jak nie bada ich formy i treści dokumentów.</w:t>
            </w:r>
          </w:p>
          <w:p w14:paraId="242A7CBB" w14:textId="396B86CA" w:rsidR="007F2C57" w:rsidRPr="00462965" w:rsidRDefault="007F2C57" w:rsidP="00462965">
            <w:pPr>
              <w:pStyle w:val="Default"/>
              <w:jc w:val="both"/>
              <w:rPr>
                <w:rFonts w:asciiTheme="minorHAnsi" w:hAnsiTheme="minorHAnsi" w:cstheme="minorHAnsi"/>
                <w:sz w:val="22"/>
                <w:szCs w:val="22"/>
              </w:rPr>
            </w:pPr>
            <w:r w:rsidRPr="00462965">
              <w:rPr>
                <w:rFonts w:asciiTheme="minorHAnsi" w:hAnsiTheme="minorHAnsi" w:cstheme="minorHAnsi"/>
                <w:sz w:val="22"/>
                <w:szCs w:val="22"/>
              </w:rPr>
              <w:t xml:space="preserve">W ocenie Wydziału Gospodarczego tutejszego Sądu, sąd nie powinien w ogóle kontrolować, czy sprawozdania wpływają do akt czy też nie. Tymczasem z zapisu, że „Sąd nie bada treści i formy dokumentów, o których mowa w zdaniu pierwszym i drugim” można wywodzić, że sam fakt składania sprawozdań przez dłużnika nadal pozostaje pod kontrolą sądu. A jeśli tak, to nadal będzie ciążył na sądzie obowiązek badania co roku setek spraw celem ustalenia, czy sprawozdania są składane przez dłużników, a jeśli nie są, do wzywania do ich złożenia tyle, </w:t>
            </w:r>
            <w:r w:rsidRPr="00462965">
              <w:rPr>
                <w:rFonts w:asciiTheme="minorHAnsi" w:hAnsiTheme="minorHAnsi" w:cstheme="minorHAnsi"/>
                <w:sz w:val="22"/>
                <w:szCs w:val="22"/>
              </w:rPr>
              <w:lastRenderedPageBreak/>
              <w:t>że bez konieczności następczego badania ich pod względem treści i formy.</w:t>
            </w:r>
          </w:p>
        </w:tc>
        <w:tc>
          <w:tcPr>
            <w:tcW w:w="1027" w:type="pct"/>
          </w:tcPr>
          <w:p w14:paraId="0CFFD48C" w14:textId="77777777" w:rsidR="007F2C57" w:rsidRPr="00CC7F2E" w:rsidRDefault="007F2C57" w:rsidP="00CC7F2E">
            <w:pPr>
              <w:jc w:val="both"/>
              <w:rPr>
                <w:rFonts w:ascii="Calibri" w:hAnsi="Calibri" w:cs="Calibri"/>
              </w:rPr>
            </w:pPr>
          </w:p>
        </w:tc>
        <w:tc>
          <w:tcPr>
            <w:tcW w:w="1108" w:type="pct"/>
          </w:tcPr>
          <w:p w14:paraId="244D2CA8" w14:textId="05BABB84" w:rsidR="00FE584C" w:rsidRPr="007368C7" w:rsidRDefault="00FE584C" w:rsidP="005F7A15">
            <w:pPr>
              <w:jc w:val="both"/>
              <w:rPr>
                <w:rFonts w:cstheme="minorHAnsi"/>
                <w:b/>
                <w:bCs/>
              </w:rPr>
            </w:pPr>
            <w:r w:rsidRPr="007368C7">
              <w:rPr>
                <w:rFonts w:cstheme="minorHAnsi"/>
                <w:b/>
                <w:bCs/>
              </w:rPr>
              <w:t>Uwaga nieuwzględniona</w:t>
            </w:r>
          </w:p>
          <w:p w14:paraId="4D89C4B1" w14:textId="6FE3FBB6" w:rsidR="007F2C57" w:rsidRPr="007368C7" w:rsidRDefault="00FE584C" w:rsidP="005F7A15">
            <w:pPr>
              <w:jc w:val="both"/>
              <w:rPr>
                <w:rFonts w:cstheme="minorHAnsi"/>
              </w:rPr>
            </w:pPr>
            <w:r w:rsidRPr="007368C7">
              <w:rPr>
                <w:rFonts w:cstheme="minorHAnsi"/>
              </w:rPr>
              <w:t xml:space="preserve">Wskazanie w projektowym przepisie wprost, że składanie sprawozdań i dokumentów, o których mowa powyżej, nie podlega nadzorowi sądu oznacza, że złożenie tych dokumentów nie podlega także kontroli formalnej na gruncie przepisów postępowania cywilnego. Powyższe jest konsekwencją przyjętej koncepcji projektu. Plan spłaty wierzycieli realizuje bowiem przede wszystkim prywatny interes majątkowy wierzycieli, tj. zmierza do zaspokojenia przysługujących im roszczeń, wcześniej ustalonych co do zasady i wysokości przez sąd upadłościowy. Pierwiastek publiczny rozumiany jako interes ogólnospołeczny na tym etapie postępowania nie pełni funkcji wiodącej. W związku z tym nadzór </w:t>
            </w:r>
            <w:r w:rsidRPr="007368C7">
              <w:rPr>
                <w:rFonts w:cstheme="minorHAnsi"/>
              </w:rPr>
              <w:lastRenderedPageBreak/>
              <w:t>państwa nad prawidłowością wykonywania planu spłaty wierzycieli powinien mieć miejsce tylko wtedy, gdy żądają tego interesariusze. To właśnie wierzyciele mają najlepszą wiedzę na temat tego, czy przysługujące im roszczenia są spłacane przez dłużnika czy też zaprzestano realizacji planu spłaty wierzycieli. Rolą sądu nie jest realizacja z urzędu ochrony interesów wierzycieli w zakresie prawidłowej realizacji obowiązków płatniczych ciążących na ich dłużnikach.</w:t>
            </w:r>
          </w:p>
        </w:tc>
      </w:tr>
      <w:tr w:rsidR="0075301E" w:rsidRPr="00486628" w14:paraId="6233BDD4" w14:textId="77777777" w:rsidTr="00AC5078">
        <w:tc>
          <w:tcPr>
            <w:tcW w:w="158" w:type="pct"/>
          </w:tcPr>
          <w:p w14:paraId="505D9772" w14:textId="3AE5D621" w:rsidR="0075301E" w:rsidRDefault="00CD0B96" w:rsidP="005F7A15">
            <w:pPr>
              <w:jc w:val="center"/>
              <w:rPr>
                <w:rFonts w:cstheme="minorHAnsi"/>
              </w:rPr>
            </w:pPr>
            <w:r>
              <w:rPr>
                <w:rFonts w:cstheme="minorHAnsi"/>
              </w:rPr>
              <w:lastRenderedPageBreak/>
              <w:t>45</w:t>
            </w:r>
          </w:p>
        </w:tc>
        <w:tc>
          <w:tcPr>
            <w:tcW w:w="698" w:type="pct"/>
          </w:tcPr>
          <w:p w14:paraId="3187C755" w14:textId="5CF926F8" w:rsidR="0075301E" w:rsidRPr="007F2C57" w:rsidRDefault="0075301E" w:rsidP="0073232F">
            <w:pPr>
              <w:rPr>
                <w:rFonts w:ascii="Calibri" w:hAnsi="Calibri" w:cs="Calibri"/>
              </w:rPr>
            </w:pPr>
            <w:r w:rsidRPr="0075301E">
              <w:rPr>
                <w:rFonts w:ascii="Calibri" w:hAnsi="Calibri" w:cs="Calibri"/>
              </w:rPr>
              <w:t>Stowarzyszenie Sędziów Insolwencyjnych</w:t>
            </w:r>
          </w:p>
        </w:tc>
        <w:tc>
          <w:tcPr>
            <w:tcW w:w="591" w:type="pct"/>
          </w:tcPr>
          <w:p w14:paraId="40F6D654" w14:textId="4FFC2EA6" w:rsidR="0075301E" w:rsidRDefault="004F4EE9" w:rsidP="001C26E8">
            <w:pPr>
              <w:rPr>
                <w:rFonts w:ascii="Calibri" w:hAnsi="Calibri" w:cs="Calibri"/>
              </w:rPr>
            </w:pPr>
            <w:r w:rsidRPr="004F4EE9">
              <w:rPr>
                <w:rFonts w:ascii="Calibri" w:hAnsi="Calibri" w:cs="Calibri"/>
                <w:b/>
                <w:bCs/>
              </w:rPr>
              <w:t>Art. 1 pkt. 13</w:t>
            </w:r>
            <w:r>
              <w:rPr>
                <w:rFonts w:ascii="Calibri" w:hAnsi="Calibri" w:cs="Calibri"/>
              </w:rPr>
              <w:t xml:space="preserve"> (</w:t>
            </w:r>
            <w:r w:rsidR="0075301E" w:rsidRPr="0075301E">
              <w:rPr>
                <w:rFonts w:ascii="Calibri" w:hAnsi="Calibri" w:cs="Calibri"/>
              </w:rPr>
              <w:t>art.</w:t>
            </w:r>
            <w:r w:rsidR="0075301E">
              <w:rPr>
                <w:rFonts w:ascii="Calibri" w:hAnsi="Calibri" w:cs="Calibri"/>
              </w:rPr>
              <w:t xml:space="preserve"> </w:t>
            </w:r>
            <w:r w:rsidR="0075301E" w:rsidRPr="0075301E">
              <w:rPr>
                <w:rFonts w:ascii="Calibri" w:hAnsi="Calibri" w:cs="Calibri"/>
              </w:rPr>
              <w:t>491</w:t>
            </w:r>
            <w:r w:rsidR="0075301E" w:rsidRPr="0075301E">
              <w:rPr>
                <w:rFonts w:ascii="Calibri" w:hAnsi="Calibri" w:cs="Calibri"/>
                <w:vertAlign w:val="superscript"/>
              </w:rPr>
              <w:t>9</w:t>
            </w:r>
            <w:r w:rsidR="0075301E" w:rsidRPr="0075301E">
              <w:rPr>
                <w:rFonts w:ascii="Calibri" w:hAnsi="Calibri" w:cs="Calibri"/>
              </w:rPr>
              <w:t xml:space="preserve"> ust.</w:t>
            </w:r>
            <w:r>
              <w:rPr>
                <w:rFonts w:ascii="Calibri" w:hAnsi="Calibri" w:cs="Calibri"/>
              </w:rPr>
              <w:t xml:space="preserve"> </w:t>
            </w:r>
            <w:r w:rsidR="0075301E" w:rsidRPr="0075301E">
              <w:rPr>
                <w:rFonts w:ascii="Calibri" w:hAnsi="Calibri" w:cs="Calibri"/>
              </w:rPr>
              <w:t>1</w:t>
            </w:r>
            <w:r>
              <w:rPr>
                <w:rFonts w:ascii="Calibri" w:hAnsi="Calibri" w:cs="Calibri"/>
              </w:rPr>
              <w:t xml:space="preserve"> (P.U).</w:t>
            </w:r>
          </w:p>
        </w:tc>
        <w:tc>
          <w:tcPr>
            <w:tcW w:w="1418" w:type="pct"/>
          </w:tcPr>
          <w:p w14:paraId="732052EC" w14:textId="3107DD57" w:rsidR="0075301E" w:rsidRPr="00462965" w:rsidRDefault="0075301E" w:rsidP="00462965">
            <w:pPr>
              <w:pStyle w:val="Default"/>
              <w:jc w:val="both"/>
              <w:rPr>
                <w:rFonts w:asciiTheme="minorHAnsi" w:hAnsiTheme="minorHAnsi" w:cstheme="minorHAnsi"/>
                <w:sz w:val="22"/>
                <w:szCs w:val="22"/>
              </w:rPr>
            </w:pPr>
            <w:r w:rsidRPr="00462965">
              <w:rPr>
                <w:rFonts w:asciiTheme="minorHAnsi" w:hAnsiTheme="minorHAnsi" w:cstheme="minorHAnsi"/>
                <w:sz w:val="22"/>
                <w:szCs w:val="22"/>
              </w:rPr>
              <w:t>Co prawda na aprobatę zasługuje zmiana polegająca na zastosowaniu jednego wskaźnika statystycznego do wszystkich rodzajów postępowań w ustawie Prawo upadłościowe, gdy dotychczas w art.</w:t>
            </w:r>
            <w:r w:rsidR="00803EE9" w:rsidRPr="00462965">
              <w:rPr>
                <w:rFonts w:asciiTheme="minorHAnsi" w:hAnsiTheme="minorHAnsi" w:cstheme="minorHAnsi"/>
                <w:sz w:val="22"/>
                <w:szCs w:val="22"/>
              </w:rPr>
              <w:t xml:space="preserve"> </w:t>
            </w:r>
            <w:r w:rsidRPr="00462965">
              <w:rPr>
                <w:rFonts w:asciiTheme="minorHAnsi" w:hAnsiTheme="minorHAnsi" w:cstheme="minorHAnsi"/>
                <w:sz w:val="22"/>
                <w:szCs w:val="22"/>
              </w:rPr>
              <w:t>22a, art.</w:t>
            </w:r>
            <w:r w:rsidR="00803EE9" w:rsidRPr="00462965">
              <w:rPr>
                <w:rFonts w:asciiTheme="minorHAnsi" w:hAnsiTheme="minorHAnsi" w:cstheme="minorHAnsi"/>
                <w:sz w:val="22"/>
                <w:szCs w:val="22"/>
              </w:rPr>
              <w:t xml:space="preserve"> </w:t>
            </w:r>
            <w:r w:rsidRPr="00462965">
              <w:rPr>
                <w:rFonts w:asciiTheme="minorHAnsi" w:hAnsiTheme="minorHAnsi" w:cstheme="minorHAnsi"/>
                <w:sz w:val="22"/>
                <w:szCs w:val="22"/>
              </w:rPr>
              <w:t>162 ust.</w:t>
            </w:r>
            <w:r w:rsidR="00803EE9" w:rsidRPr="00462965">
              <w:rPr>
                <w:rFonts w:asciiTheme="minorHAnsi" w:hAnsiTheme="minorHAnsi" w:cstheme="minorHAnsi"/>
                <w:sz w:val="22"/>
                <w:szCs w:val="22"/>
              </w:rPr>
              <w:t xml:space="preserve"> </w:t>
            </w:r>
            <w:r w:rsidRPr="00462965">
              <w:rPr>
                <w:rFonts w:asciiTheme="minorHAnsi" w:hAnsiTheme="minorHAnsi" w:cstheme="minorHAnsi"/>
                <w:sz w:val="22"/>
                <w:szCs w:val="22"/>
              </w:rPr>
              <w:t>3 i art.</w:t>
            </w:r>
            <w:r w:rsidR="00803EE9" w:rsidRPr="00462965">
              <w:rPr>
                <w:rFonts w:asciiTheme="minorHAnsi" w:hAnsiTheme="minorHAnsi" w:cstheme="minorHAnsi"/>
                <w:sz w:val="22"/>
                <w:szCs w:val="22"/>
              </w:rPr>
              <w:t xml:space="preserve"> </w:t>
            </w:r>
            <w:r w:rsidRPr="00462965">
              <w:rPr>
                <w:rFonts w:asciiTheme="minorHAnsi" w:hAnsiTheme="minorHAnsi" w:cstheme="minorHAnsi"/>
                <w:sz w:val="22"/>
                <w:szCs w:val="22"/>
              </w:rPr>
              <w:t>235 ust.</w:t>
            </w:r>
            <w:r w:rsidR="00155445">
              <w:rPr>
                <w:rFonts w:asciiTheme="minorHAnsi" w:hAnsiTheme="minorHAnsi" w:cstheme="minorHAnsi"/>
                <w:sz w:val="22"/>
                <w:szCs w:val="22"/>
              </w:rPr>
              <w:t xml:space="preserve"> </w:t>
            </w:r>
            <w:r w:rsidRPr="00462965">
              <w:rPr>
                <w:rFonts w:asciiTheme="minorHAnsi" w:hAnsiTheme="minorHAnsi" w:cstheme="minorHAnsi"/>
                <w:sz w:val="22"/>
                <w:szCs w:val="22"/>
              </w:rPr>
              <w:t>1 pr. upadł. ustawodawca posługiwał się wskaźnikiem z III kwartału, ale już w dotychczasowym art.491</w:t>
            </w:r>
            <w:r w:rsidR="00803EE9" w:rsidRPr="00462965">
              <w:rPr>
                <w:rFonts w:asciiTheme="minorHAnsi" w:hAnsiTheme="minorHAnsi" w:cstheme="minorHAnsi"/>
                <w:sz w:val="22"/>
                <w:szCs w:val="22"/>
                <w:vertAlign w:val="superscript"/>
              </w:rPr>
              <w:t>9</w:t>
            </w:r>
            <w:r w:rsidRPr="00462965">
              <w:rPr>
                <w:rFonts w:asciiTheme="minorHAnsi" w:hAnsiTheme="minorHAnsi" w:cstheme="minorHAnsi"/>
                <w:sz w:val="22"/>
                <w:szCs w:val="22"/>
              </w:rPr>
              <w:t xml:space="preserve"> ust.</w:t>
            </w:r>
            <w:r w:rsidR="00155445">
              <w:rPr>
                <w:rFonts w:asciiTheme="minorHAnsi" w:hAnsiTheme="minorHAnsi" w:cstheme="minorHAnsi"/>
                <w:sz w:val="22"/>
                <w:szCs w:val="22"/>
              </w:rPr>
              <w:t xml:space="preserve"> </w:t>
            </w:r>
            <w:r w:rsidRPr="00462965">
              <w:rPr>
                <w:rFonts w:asciiTheme="minorHAnsi" w:hAnsiTheme="minorHAnsi" w:cstheme="minorHAnsi"/>
                <w:sz w:val="22"/>
                <w:szCs w:val="22"/>
              </w:rPr>
              <w:t>2 pr. upadł. wskaźnikiem z IV kwartału.</w:t>
            </w:r>
          </w:p>
          <w:p w14:paraId="3A1A2B29" w14:textId="463627BB" w:rsidR="0075301E" w:rsidRPr="00462965" w:rsidRDefault="0075301E" w:rsidP="00462965">
            <w:pPr>
              <w:pStyle w:val="Default"/>
              <w:jc w:val="both"/>
              <w:rPr>
                <w:rFonts w:asciiTheme="minorHAnsi" w:hAnsiTheme="minorHAnsi" w:cstheme="minorHAnsi"/>
                <w:sz w:val="22"/>
                <w:szCs w:val="22"/>
              </w:rPr>
            </w:pPr>
            <w:r w:rsidRPr="00462965">
              <w:rPr>
                <w:rFonts w:asciiTheme="minorHAnsi" w:hAnsiTheme="minorHAnsi" w:cstheme="minorHAnsi"/>
                <w:sz w:val="22"/>
                <w:szCs w:val="22"/>
              </w:rPr>
              <w:t xml:space="preserve">Wskaźnik z III kwartału 2025 r. to 8.851,42 zł </w:t>
            </w:r>
          </w:p>
          <w:p w14:paraId="18F68E73" w14:textId="77777777" w:rsidR="0075301E" w:rsidRPr="00462965" w:rsidRDefault="0075301E" w:rsidP="00462965">
            <w:pPr>
              <w:pStyle w:val="Default"/>
              <w:jc w:val="both"/>
              <w:rPr>
                <w:rFonts w:asciiTheme="minorHAnsi" w:hAnsiTheme="minorHAnsi" w:cstheme="minorHAnsi"/>
                <w:sz w:val="22"/>
                <w:szCs w:val="22"/>
              </w:rPr>
            </w:pPr>
            <w:r w:rsidRPr="00462965">
              <w:rPr>
                <w:rFonts w:asciiTheme="minorHAnsi" w:hAnsiTheme="minorHAnsi" w:cstheme="minorHAnsi"/>
                <w:sz w:val="22"/>
                <w:szCs w:val="22"/>
              </w:rPr>
              <w:t>Wymaga doprecyzowania, czy w upadłości konsumenckiej wynagrodzenie syndyka podlega powiększeniu o stawkę podatku VAT (art.167a pr. upadł.).</w:t>
            </w:r>
          </w:p>
          <w:p w14:paraId="45C3A15A" w14:textId="77777777" w:rsidR="0075301E" w:rsidRPr="00462965" w:rsidRDefault="0075301E" w:rsidP="00462965">
            <w:pPr>
              <w:pStyle w:val="Default"/>
              <w:jc w:val="both"/>
              <w:rPr>
                <w:rFonts w:asciiTheme="minorHAnsi" w:hAnsiTheme="minorHAnsi" w:cstheme="minorHAnsi"/>
                <w:sz w:val="22"/>
                <w:szCs w:val="22"/>
              </w:rPr>
            </w:pPr>
            <w:r w:rsidRPr="00462965">
              <w:rPr>
                <w:rFonts w:asciiTheme="minorHAnsi" w:hAnsiTheme="minorHAnsi" w:cstheme="minorHAnsi"/>
                <w:sz w:val="22"/>
                <w:szCs w:val="22"/>
              </w:rPr>
              <w:t xml:space="preserve">Z uwagi a to, iż większość doradców restrukturyzacyjnych podlega obowiązkowi rozliczenia podatku VAT, sztywne </w:t>
            </w:r>
            <w:r w:rsidRPr="00462965">
              <w:rPr>
                <w:rFonts w:asciiTheme="minorHAnsi" w:hAnsiTheme="minorHAnsi" w:cstheme="minorHAnsi"/>
                <w:sz w:val="22"/>
                <w:szCs w:val="22"/>
              </w:rPr>
              <w:lastRenderedPageBreak/>
              <w:t>wynagrodzenie (8.851,42 zł +23 %) wynosiłoby 10.887,24 zł.</w:t>
            </w:r>
          </w:p>
          <w:p w14:paraId="7D11CFC9" w14:textId="77777777" w:rsidR="0075301E" w:rsidRPr="00462965" w:rsidRDefault="0075301E" w:rsidP="00462965">
            <w:pPr>
              <w:pStyle w:val="Default"/>
              <w:jc w:val="both"/>
              <w:rPr>
                <w:rFonts w:asciiTheme="minorHAnsi" w:hAnsiTheme="minorHAnsi" w:cstheme="minorHAnsi"/>
                <w:sz w:val="22"/>
                <w:szCs w:val="22"/>
              </w:rPr>
            </w:pPr>
            <w:r w:rsidRPr="00462965">
              <w:rPr>
                <w:rFonts w:asciiTheme="minorHAnsi" w:hAnsiTheme="minorHAnsi" w:cstheme="minorHAnsi"/>
                <w:sz w:val="22"/>
                <w:szCs w:val="22"/>
              </w:rPr>
              <w:t>W sytuacji, gdy większość postępowań upadłościowych konsumenckich to postępowania bezmasowe lub o niewielkich wpływach, samo wynagrodzenie syndyka w kwocie przewyższającej 10.000 zł brutto stanowiłoby ogromny czynnik kosztowotwórczy, wykładane przez Skarb Państwa.</w:t>
            </w:r>
          </w:p>
          <w:p w14:paraId="2F5D46E9" w14:textId="15C32E52" w:rsidR="0075301E" w:rsidRPr="00462965" w:rsidRDefault="0075301E" w:rsidP="00462965">
            <w:pPr>
              <w:pStyle w:val="Default"/>
              <w:jc w:val="both"/>
              <w:rPr>
                <w:rFonts w:asciiTheme="minorHAnsi" w:hAnsiTheme="minorHAnsi" w:cstheme="minorHAnsi"/>
                <w:sz w:val="22"/>
                <w:szCs w:val="22"/>
              </w:rPr>
            </w:pPr>
            <w:r w:rsidRPr="00462965">
              <w:rPr>
                <w:rFonts w:asciiTheme="minorHAnsi" w:hAnsiTheme="minorHAnsi" w:cstheme="minorHAnsi"/>
                <w:sz w:val="22"/>
                <w:szCs w:val="22"/>
              </w:rPr>
              <w:t>W bardzo wielu postępowaniach wierzyciele nie zgłaszają swoich wierzytelności lub kwoty zgłaszane są bagatelne (kilkaset złotych, kilka-kilkanaście tysięcy złotych). Nie można zapominać, iż koszty postępowania, w tym zaliczkowane przez Skarb Państwa muszą być w całości w ramach planu spłaty spłacone przez upadłego (art.491</w:t>
            </w:r>
            <w:r w:rsidR="00DD3AEC" w:rsidRPr="00462965">
              <w:rPr>
                <w:rFonts w:asciiTheme="minorHAnsi" w:hAnsiTheme="minorHAnsi" w:cstheme="minorHAnsi"/>
                <w:sz w:val="22"/>
                <w:szCs w:val="22"/>
                <w:vertAlign w:val="superscript"/>
              </w:rPr>
              <w:t>15</w:t>
            </w:r>
            <w:r w:rsidRPr="00462965">
              <w:rPr>
                <w:rFonts w:asciiTheme="minorHAnsi" w:hAnsiTheme="minorHAnsi" w:cstheme="minorHAnsi"/>
                <w:sz w:val="22"/>
                <w:szCs w:val="22"/>
              </w:rPr>
              <w:t xml:space="preserve"> ust.</w:t>
            </w:r>
            <w:r w:rsidR="00155445">
              <w:rPr>
                <w:rFonts w:asciiTheme="minorHAnsi" w:hAnsiTheme="minorHAnsi" w:cstheme="minorHAnsi"/>
                <w:sz w:val="22"/>
                <w:szCs w:val="22"/>
              </w:rPr>
              <w:t xml:space="preserve"> </w:t>
            </w:r>
            <w:r w:rsidRPr="00462965">
              <w:rPr>
                <w:rFonts w:asciiTheme="minorHAnsi" w:hAnsiTheme="minorHAnsi" w:cstheme="minorHAnsi"/>
                <w:sz w:val="22"/>
                <w:szCs w:val="22"/>
              </w:rPr>
              <w:t>2 pr. upadł.).</w:t>
            </w:r>
          </w:p>
          <w:p w14:paraId="287619E9" w14:textId="77777777" w:rsidR="0075301E" w:rsidRPr="00462965" w:rsidRDefault="0075301E" w:rsidP="00462965">
            <w:pPr>
              <w:pStyle w:val="Default"/>
              <w:jc w:val="both"/>
              <w:rPr>
                <w:rFonts w:asciiTheme="minorHAnsi" w:hAnsiTheme="minorHAnsi" w:cstheme="minorHAnsi"/>
                <w:sz w:val="22"/>
                <w:szCs w:val="22"/>
              </w:rPr>
            </w:pPr>
            <w:r w:rsidRPr="00462965">
              <w:rPr>
                <w:rFonts w:asciiTheme="minorHAnsi" w:hAnsiTheme="minorHAnsi" w:cstheme="minorHAnsi"/>
                <w:sz w:val="22"/>
                <w:szCs w:val="22"/>
              </w:rPr>
              <w:t>Ustalenie wynagrodzenia na poziomie ponad 10.000 zł może u upadłych rodzić poczucie krzywdy, iż to syndyk na upadłości się wzbogaca, zamiast rozwiązać problem finansowy upadłego, zaś to upadły jako największe zobowiązanie będzie pokrywać koszty wynikające z wynagrodzenia syndyka.</w:t>
            </w:r>
          </w:p>
          <w:p w14:paraId="5889352C" w14:textId="55CCBB23" w:rsidR="0075301E" w:rsidRPr="00462965" w:rsidRDefault="0075301E" w:rsidP="00462965">
            <w:pPr>
              <w:pStyle w:val="Default"/>
              <w:jc w:val="both"/>
              <w:rPr>
                <w:rFonts w:asciiTheme="minorHAnsi" w:hAnsiTheme="minorHAnsi" w:cstheme="minorHAnsi"/>
                <w:sz w:val="22"/>
                <w:szCs w:val="22"/>
              </w:rPr>
            </w:pPr>
            <w:r w:rsidRPr="00462965">
              <w:rPr>
                <w:rFonts w:asciiTheme="minorHAnsi" w:hAnsiTheme="minorHAnsi" w:cstheme="minorHAnsi"/>
                <w:sz w:val="22"/>
                <w:szCs w:val="22"/>
              </w:rPr>
              <w:t>Kwota ryczałtowego wynagrodzenia syndyka brutto powinna być zdecydowanie niższa, przy bezmasowych, niewielkich postępowaniach, których jest większość.</w:t>
            </w:r>
          </w:p>
        </w:tc>
        <w:tc>
          <w:tcPr>
            <w:tcW w:w="1027" w:type="pct"/>
          </w:tcPr>
          <w:p w14:paraId="22C9BEF7" w14:textId="77777777" w:rsidR="0075301E" w:rsidRPr="00CC7F2E" w:rsidRDefault="0075301E" w:rsidP="00CC7F2E">
            <w:pPr>
              <w:jc w:val="both"/>
              <w:rPr>
                <w:rFonts w:ascii="Calibri" w:hAnsi="Calibri" w:cs="Calibri"/>
              </w:rPr>
            </w:pPr>
          </w:p>
        </w:tc>
        <w:tc>
          <w:tcPr>
            <w:tcW w:w="1108" w:type="pct"/>
          </w:tcPr>
          <w:p w14:paraId="5CB8DA62" w14:textId="77777777" w:rsidR="00FE584C" w:rsidRPr="009F09FD" w:rsidRDefault="00FE584C" w:rsidP="00FE584C">
            <w:pPr>
              <w:jc w:val="both"/>
              <w:rPr>
                <w:rFonts w:cstheme="minorHAnsi"/>
                <w:b/>
                <w:bCs/>
              </w:rPr>
            </w:pPr>
            <w:r w:rsidRPr="009F09FD">
              <w:rPr>
                <w:rFonts w:cstheme="minorHAnsi"/>
                <w:b/>
                <w:bCs/>
              </w:rPr>
              <w:t>Uwaga uwzględniona</w:t>
            </w:r>
          </w:p>
          <w:p w14:paraId="6248E1C1" w14:textId="77777777" w:rsidR="009F09FD" w:rsidRPr="009F09FD" w:rsidRDefault="009F09FD" w:rsidP="009F09FD">
            <w:pPr>
              <w:jc w:val="both"/>
              <w:rPr>
                <w:rFonts w:cstheme="minorHAnsi"/>
              </w:rPr>
            </w:pPr>
            <w:r w:rsidRPr="009F09FD">
              <w:rPr>
                <w:rFonts w:cstheme="minorHAnsi"/>
              </w:rPr>
              <w:t>Do projektu wprowadzono wentyl bezpieczeństwa w zakresie obniżenia wynagrodzenia (w wyjątkowych sytuacjach) poprzez nadanie ust. 3 nowego brzmienia:</w:t>
            </w:r>
          </w:p>
          <w:p w14:paraId="21098BCC" w14:textId="170EB601" w:rsidR="009F09FD" w:rsidRPr="009F09FD" w:rsidRDefault="00BC752B" w:rsidP="009F09FD">
            <w:pPr>
              <w:jc w:val="both"/>
              <w:rPr>
                <w:rFonts w:cstheme="minorHAnsi"/>
              </w:rPr>
            </w:pPr>
            <w:r>
              <w:rPr>
                <w:rFonts w:cstheme="minorHAnsi"/>
              </w:rPr>
              <w:t>„</w:t>
            </w:r>
            <w:r w:rsidR="009F09FD" w:rsidRPr="00BC752B">
              <w:rPr>
                <w:rFonts w:cstheme="minorHAnsi"/>
                <w:i/>
                <w:iCs/>
              </w:rPr>
              <w:t>Ust. 3.  Jeżeli wysokość wynagrodzenia syndyka, o której mowa w ust. 2 byłaby rażąco wygórowana w stosunku do nakładu jego pracy wynikającego z przebiegu prowadzonego postępowania, w szczególności w razie umorzenia postępowania na wczesnym etapie, sąd może z urzędu obniżyć wynagrodzenie syndyka do wysokości nie niższej niż</w:t>
            </w:r>
            <w:r w:rsidR="009F09FD" w:rsidRPr="009F09FD">
              <w:rPr>
                <w:rFonts w:cstheme="minorHAnsi"/>
              </w:rPr>
              <w:t xml:space="preserve"> </w:t>
            </w:r>
            <w:r w:rsidR="009F09FD" w:rsidRPr="00BC752B">
              <w:rPr>
                <w:rFonts w:cstheme="minorHAnsi"/>
                <w:i/>
                <w:iCs/>
              </w:rPr>
              <w:lastRenderedPageBreak/>
              <w:t>jedna czwarta przeciętnego wynagrodzenia, o którym mowa w ust. 2</w:t>
            </w:r>
            <w:r w:rsidR="009F09FD" w:rsidRPr="009F09FD">
              <w:rPr>
                <w:rFonts w:cstheme="minorHAnsi"/>
              </w:rPr>
              <w:t>.”,</w:t>
            </w:r>
          </w:p>
          <w:p w14:paraId="0644DB71" w14:textId="77777777" w:rsidR="009F09FD" w:rsidRPr="009F09FD" w:rsidRDefault="009F09FD" w:rsidP="009F09FD">
            <w:pPr>
              <w:jc w:val="both"/>
              <w:rPr>
                <w:rFonts w:cstheme="minorHAnsi"/>
              </w:rPr>
            </w:pPr>
          </w:p>
          <w:p w14:paraId="1AA338B9" w14:textId="77777777" w:rsidR="009F09FD" w:rsidRPr="009F09FD" w:rsidRDefault="009F09FD" w:rsidP="009F09FD">
            <w:pPr>
              <w:jc w:val="both"/>
              <w:rPr>
                <w:rFonts w:cstheme="minorHAnsi"/>
              </w:rPr>
            </w:pPr>
            <w:r w:rsidRPr="009F09FD">
              <w:rPr>
                <w:rFonts w:cstheme="minorHAnsi"/>
              </w:rPr>
              <w:t>Dodatkowo, dodano ust. 3d w brzmieniu:</w:t>
            </w:r>
          </w:p>
          <w:p w14:paraId="02C3CD4E" w14:textId="75DE8A34" w:rsidR="009F09FD" w:rsidRPr="00BC752B" w:rsidRDefault="00BC752B" w:rsidP="009F09FD">
            <w:pPr>
              <w:jc w:val="both"/>
              <w:rPr>
                <w:rFonts w:cstheme="minorHAnsi"/>
                <w:i/>
                <w:iCs/>
              </w:rPr>
            </w:pPr>
            <w:r w:rsidRPr="00BC752B">
              <w:rPr>
                <w:rFonts w:cstheme="minorHAnsi"/>
                <w:i/>
                <w:iCs/>
              </w:rPr>
              <w:t>„</w:t>
            </w:r>
            <w:r w:rsidR="009F09FD" w:rsidRPr="00BC752B">
              <w:rPr>
                <w:rFonts w:cstheme="minorHAnsi"/>
                <w:i/>
                <w:iCs/>
              </w:rPr>
              <w:t>Syndyk jest uprawniony do pobrania wynagrodzenia po uprawomocnieniu się postanowienia, o którym mowa w ust. 3c. W przypadku, gdy środki masy upadłości nie pozwalają na pokrycie wynagrodzenia syndyka, w postanowieniu, o którym mowa w ust. 3c, sąd określa wysokość wynagrodzenia, która zostanie wypłacona ze środków Skarbu Państwa.</w:t>
            </w:r>
            <w:r w:rsidRPr="00BC752B">
              <w:rPr>
                <w:rFonts w:cstheme="minorHAnsi"/>
                <w:i/>
                <w:iCs/>
              </w:rPr>
              <w:t>”.</w:t>
            </w:r>
          </w:p>
          <w:p w14:paraId="30AFC560" w14:textId="2CA7D060" w:rsidR="0075301E" w:rsidRPr="009F09FD" w:rsidRDefault="0075301E" w:rsidP="009F09FD">
            <w:pPr>
              <w:jc w:val="both"/>
              <w:rPr>
                <w:rFonts w:cstheme="minorHAnsi"/>
              </w:rPr>
            </w:pPr>
          </w:p>
        </w:tc>
      </w:tr>
      <w:tr w:rsidR="0075301E" w:rsidRPr="00486628" w14:paraId="789666CE" w14:textId="77777777" w:rsidTr="00AC5078">
        <w:tc>
          <w:tcPr>
            <w:tcW w:w="158" w:type="pct"/>
          </w:tcPr>
          <w:p w14:paraId="750EB6B8" w14:textId="2E48D80B" w:rsidR="0075301E" w:rsidRDefault="00CD0B96" w:rsidP="00CD0B96">
            <w:pPr>
              <w:rPr>
                <w:rFonts w:cstheme="minorHAnsi"/>
              </w:rPr>
            </w:pPr>
            <w:r>
              <w:rPr>
                <w:rFonts w:cstheme="minorHAnsi"/>
              </w:rPr>
              <w:lastRenderedPageBreak/>
              <w:t>46</w:t>
            </w:r>
          </w:p>
        </w:tc>
        <w:tc>
          <w:tcPr>
            <w:tcW w:w="698" w:type="pct"/>
          </w:tcPr>
          <w:p w14:paraId="5084ADA8" w14:textId="6169CE70" w:rsidR="0075301E" w:rsidRPr="0075301E" w:rsidRDefault="0075301E" w:rsidP="0073232F">
            <w:pPr>
              <w:rPr>
                <w:rFonts w:ascii="Calibri" w:hAnsi="Calibri" w:cs="Calibri"/>
              </w:rPr>
            </w:pPr>
            <w:r w:rsidRPr="0075301E">
              <w:rPr>
                <w:rFonts w:ascii="Calibri" w:hAnsi="Calibri" w:cs="Calibri"/>
              </w:rPr>
              <w:t>Stowarzyszenie Sędziów Insolwencyjnych</w:t>
            </w:r>
          </w:p>
        </w:tc>
        <w:tc>
          <w:tcPr>
            <w:tcW w:w="591" w:type="pct"/>
          </w:tcPr>
          <w:p w14:paraId="0D06D8FB" w14:textId="5C8F8C0A" w:rsidR="0075301E" w:rsidRPr="002B3340" w:rsidRDefault="00E01E2E" w:rsidP="001C26E8">
            <w:pPr>
              <w:rPr>
                <w:rFonts w:ascii="Calibri" w:hAnsi="Calibri" w:cs="Calibri"/>
                <w:lang w:val="en-GB"/>
              </w:rPr>
            </w:pPr>
            <w:r w:rsidRPr="002B3340">
              <w:rPr>
                <w:rFonts w:ascii="Calibri" w:hAnsi="Calibri" w:cs="Calibri"/>
                <w:b/>
                <w:bCs/>
                <w:lang w:val="en-GB"/>
              </w:rPr>
              <w:t>Art. 1 pkt 13 lit. d</w:t>
            </w:r>
            <w:r w:rsidRPr="002B3340">
              <w:rPr>
                <w:rFonts w:ascii="Calibri" w:hAnsi="Calibri" w:cs="Calibri"/>
                <w:lang w:val="en-GB"/>
              </w:rPr>
              <w:t xml:space="preserve"> (</w:t>
            </w:r>
            <w:r w:rsidR="0075301E" w:rsidRPr="002B3340">
              <w:rPr>
                <w:rFonts w:ascii="Calibri" w:hAnsi="Calibri" w:cs="Calibri"/>
                <w:lang w:val="en-GB"/>
              </w:rPr>
              <w:t>art.</w:t>
            </w:r>
            <w:r w:rsidRPr="002B3340">
              <w:rPr>
                <w:rFonts w:ascii="Calibri" w:hAnsi="Calibri" w:cs="Calibri"/>
                <w:lang w:val="en-GB"/>
              </w:rPr>
              <w:t xml:space="preserve"> </w:t>
            </w:r>
            <w:r w:rsidR="0075301E" w:rsidRPr="002B3340">
              <w:rPr>
                <w:rFonts w:ascii="Calibri" w:hAnsi="Calibri" w:cs="Calibri"/>
                <w:lang w:val="en-GB"/>
              </w:rPr>
              <w:t>491</w:t>
            </w:r>
            <w:r w:rsidR="0075301E" w:rsidRPr="002B3340">
              <w:rPr>
                <w:rFonts w:ascii="Calibri" w:hAnsi="Calibri" w:cs="Calibri"/>
                <w:vertAlign w:val="superscript"/>
                <w:lang w:val="en-GB"/>
              </w:rPr>
              <w:t>9</w:t>
            </w:r>
            <w:r w:rsidR="0075301E" w:rsidRPr="002B3340">
              <w:rPr>
                <w:rFonts w:ascii="Calibri" w:hAnsi="Calibri" w:cs="Calibri"/>
                <w:lang w:val="en-GB"/>
              </w:rPr>
              <w:t xml:space="preserve"> ust.</w:t>
            </w:r>
            <w:r w:rsidRPr="002B3340">
              <w:rPr>
                <w:rFonts w:ascii="Calibri" w:hAnsi="Calibri" w:cs="Calibri"/>
                <w:lang w:val="en-GB"/>
              </w:rPr>
              <w:t xml:space="preserve"> </w:t>
            </w:r>
            <w:r w:rsidR="0075301E" w:rsidRPr="002B3340">
              <w:rPr>
                <w:rFonts w:ascii="Calibri" w:hAnsi="Calibri" w:cs="Calibri"/>
                <w:lang w:val="en-GB"/>
              </w:rPr>
              <w:t xml:space="preserve">3c </w:t>
            </w:r>
            <w:r w:rsidRPr="002B3340">
              <w:rPr>
                <w:rFonts w:ascii="Calibri" w:hAnsi="Calibri" w:cs="Calibri"/>
                <w:lang w:val="en-GB"/>
              </w:rPr>
              <w:t xml:space="preserve">P.U.) </w:t>
            </w:r>
          </w:p>
        </w:tc>
        <w:tc>
          <w:tcPr>
            <w:tcW w:w="1418" w:type="pct"/>
          </w:tcPr>
          <w:p w14:paraId="7F0C9179" w14:textId="200DA71E" w:rsidR="0075301E" w:rsidRPr="00462965" w:rsidRDefault="0075301E" w:rsidP="00462965">
            <w:pPr>
              <w:pStyle w:val="Default"/>
              <w:jc w:val="both"/>
              <w:rPr>
                <w:rFonts w:asciiTheme="minorHAnsi" w:hAnsiTheme="minorHAnsi" w:cstheme="minorHAnsi"/>
                <w:sz w:val="22"/>
                <w:szCs w:val="22"/>
              </w:rPr>
            </w:pPr>
            <w:r w:rsidRPr="00462965">
              <w:rPr>
                <w:rFonts w:asciiTheme="minorHAnsi" w:hAnsiTheme="minorHAnsi" w:cstheme="minorHAnsi"/>
                <w:sz w:val="22"/>
                <w:szCs w:val="22"/>
              </w:rPr>
              <w:t>Niezrozumiała jest procedura wypłaty wynagrodzenia syndykowi na podstawie projektowanego art.</w:t>
            </w:r>
            <w:r w:rsidR="00E01E2E">
              <w:rPr>
                <w:rFonts w:asciiTheme="minorHAnsi" w:hAnsiTheme="minorHAnsi" w:cstheme="minorHAnsi"/>
                <w:sz w:val="22"/>
                <w:szCs w:val="22"/>
              </w:rPr>
              <w:t xml:space="preserve"> </w:t>
            </w:r>
            <w:r w:rsidRPr="00462965">
              <w:rPr>
                <w:rFonts w:asciiTheme="minorHAnsi" w:hAnsiTheme="minorHAnsi" w:cstheme="minorHAnsi"/>
                <w:sz w:val="22"/>
                <w:szCs w:val="22"/>
              </w:rPr>
              <w:t>491</w:t>
            </w:r>
            <w:r w:rsidR="00E01E2E">
              <w:rPr>
                <w:rFonts w:asciiTheme="minorHAnsi" w:hAnsiTheme="minorHAnsi" w:cstheme="minorHAnsi"/>
                <w:sz w:val="22"/>
                <w:szCs w:val="22"/>
                <w:vertAlign w:val="superscript"/>
              </w:rPr>
              <w:t>9</w:t>
            </w:r>
            <w:r w:rsidRPr="00462965">
              <w:rPr>
                <w:rFonts w:asciiTheme="minorHAnsi" w:hAnsiTheme="minorHAnsi" w:cstheme="minorHAnsi"/>
                <w:sz w:val="22"/>
                <w:szCs w:val="22"/>
              </w:rPr>
              <w:t xml:space="preserve"> ust.</w:t>
            </w:r>
            <w:r w:rsidR="00E01E2E">
              <w:rPr>
                <w:rFonts w:asciiTheme="minorHAnsi" w:hAnsiTheme="minorHAnsi" w:cstheme="minorHAnsi"/>
                <w:sz w:val="22"/>
                <w:szCs w:val="22"/>
              </w:rPr>
              <w:t xml:space="preserve"> </w:t>
            </w:r>
            <w:r w:rsidRPr="00462965">
              <w:rPr>
                <w:rFonts w:asciiTheme="minorHAnsi" w:hAnsiTheme="minorHAnsi" w:cstheme="minorHAnsi"/>
                <w:sz w:val="22"/>
                <w:szCs w:val="22"/>
              </w:rPr>
              <w:t xml:space="preserve">3c pr. upadł. </w:t>
            </w:r>
            <w:r w:rsidRPr="00462965">
              <w:rPr>
                <w:rFonts w:asciiTheme="minorHAnsi" w:hAnsiTheme="minorHAnsi" w:cstheme="minorHAnsi"/>
                <w:sz w:val="22"/>
                <w:szCs w:val="22"/>
              </w:rPr>
              <w:lastRenderedPageBreak/>
              <w:t>„bez przyznania wynagrodzenia</w:t>
            </w:r>
            <w:r w:rsidR="00613450">
              <w:rPr>
                <w:rFonts w:asciiTheme="minorHAnsi" w:hAnsiTheme="minorHAnsi" w:cstheme="minorHAnsi"/>
                <w:sz w:val="22"/>
                <w:szCs w:val="22"/>
              </w:rPr>
              <w:t xml:space="preserve"> </w:t>
            </w:r>
            <w:r w:rsidRPr="00462965">
              <w:rPr>
                <w:rFonts w:asciiTheme="minorHAnsi" w:hAnsiTheme="minorHAnsi" w:cstheme="minorHAnsi"/>
                <w:sz w:val="22"/>
                <w:szCs w:val="22"/>
              </w:rPr>
              <w:t>postanowieniem sądu, na podstawie rachunku wystawionego przez syndyka (…)”.</w:t>
            </w:r>
          </w:p>
          <w:p w14:paraId="2035D142" w14:textId="53F17622" w:rsidR="0075301E" w:rsidRPr="00462965" w:rsidRDefault="0075301E" w:rsidP="00462965">
            <w:pPr>
              <w:pStyle w:val="Default"/>
              <w:jc w:val="both"/>
              <w:rPr>
                <w:rFonts w:asciiTheme="minorHAnsi" w:hAnsiTheme="minorHAnsi" w:cstheme="minorHAnsi"/>
                <w:sz w:val="22"/>
                <w:szCs w:val="22"/>
              </w:rPr>
            </w:pPr>
            <w:r w:rsidRPr="00462965">
              <w:rPr>
                <w:rFonts w:asciiTheme="minorHAnsi" w:hAnsiTheme="minorHAnsi" w:cstheme="minorHAnsi"/>
                <w:sz w:val="22"/>
                <w:szCs w:val="22"/>
              </w:rPr>
              <w:t>O ile miało to w założeniu odciążyć orzeczników, przedłożenie rachunku (faktury) winno następować poza systemem KRZ. Dla rozwiania wątpliwości, winno być wskazane, że syndyk przedkłada ten rachunek bezpośrednio oddziałowi finansowemu sądu. W innym przypadku pojawią się kolejne wątpliwości interpretacyjne, związane z obiegiem dokumentów i angażowaniem orzeczników w czynności poza</w:t>
            </w:r>
            <w:r w:rsidR="00772BC4">
              <w:rPr>
                <w:rFonts w:asciiTheme="minorHAnsi" w:hAnsiTheme="minorHAnsi" w:cstheme="minorHAnsi"/>
                <w:sz w:val="22"/>
                <w:szCs w:val="22"/>
              </w:rPr>
              <w:t xml:space="preserve"> </w:t>
            </w:r>
            <w:r w:rsidRPr="00462965">
              <w:rPr>
                <w:rFonts w:asciiTheme="minorHAnsi" w:hAnsiTheme="minorHAnsi" w:cstheme="minorHAnsi"/>
                <w:sz w:val="22"/>
                <w:szCs w:val="22"/>
              </w:rPr>
              <w:t>orzecznicze (w jaki sposób rachunki mają trafiać do księgowości, np. czy z sądu upadłościowego poprzez wprowadzony w sądach system EZD). Nie można zapominać o zmianach z początkiem 2026 r. w zakresie obowiązków podatkowych (faktury elektroniczne, KSeF) i oczekiwaniach co do formy dokumentów.</w:t>
            </w:r>
          </w:p>
          <w:p w14:paraId="5ABECB95" w14:textId="7C8120EA" w:rsidR="0075301E" w:rsidRPr="00462965" w:rsidRDefault="0075301E" w:rsidP="00462965">
            <w:pPr>
              <w:pStyle w:val="Default"/>
              <w:jc w:val="both"/>
              <w:rPr>
                <w:rFonts w:asciiTheme="minorHAnsi" w:hAnsiTheme="minorHAnsi" w:cstheme="minorHAnsi"/>
                <w:sz w:val="22"/>
                <w:szCs w:val="22"/>
              </w:rPr>
            </w:pPr>
            <w:r w:rsidRPr="00462965">
              <w:rPr>
                <w:rFonts w:asciiTheme="minorHAnsi" w:hAnsiTheme="minorHAnsi" w:cstheme="minorHAnsi"/>
                <w:sz w:val="22"/>
                <w:szCs w:val="22"/>
              </w:rPr>
              <w:t>Wskazane jest zatem, aby co do tego punktu wydano akt wykonawczy (rozporządzenie lub zarządzenie).</w:t>
            </w:r>
          </w:p>
        </w:tc>
        <w:tc>
          <w:tcPr>
            <w:tcW w:w="1027" w:type="pct"/>
          </w:tcPr>
          <w:p w14:paraId="6494E805" w14:textId="77777777" w:rsidR="0075301E" w:rsidRPr="00CC7F2E" w:rsidRDefault="0075301E" w:rsidP="00CC7F2E">
            <w:pPr>
              <w:jc w:val="both"/>
              <w:rPr>
                <w:rFonts w:ascii="Calibri" w:hAnsi="Calibri" w:cs="Calibri"/>
              </w:rPr>
            </w:pPr>
          </w:p>
        </w:tc>
        <w:tc>
          <w:tcPr>
            <w:tcW w:w="1108" w:type="pct"/>
          </w:tcPr>
          <w:p w14:paraId="1232D68F" w14:textId="77777777" w:rsidR="006E4752" w:rsidRPr="009F09FD" w:rsidRDefault="007A17C5" w:rsidP="005F7A15">
            <w:pPr>
              <w:jc w:val="both"/>
              <w:rPr>
                <w:rFonts w:cstheme="minorHAnsi"/>
              </w:rPr>
            </w:pPr>
            <w:r w:rsidRPr="009F09FD">
              <w:rPr>
                <w:rFonts w:cstheme="minorHAnsi"/>
                <w:b/>
                <w:bCs/>
              </w:rPr>
              <w:t>Uwaga uwzględniona</w:t>
            </w:r>
            <w:r w:rsidRPr="009F09FD">
              <w:rPr>
                <w:rFonts w:cstheme="minorHAnsi"/>
              </w:rPr>
              <w:t xml:space="preserve"> </w:t>
            </w:r>
          </w:p>
          <w:p w14:paraId="19960AD6" w14:textId="3AD8D9CD" w:rsidR="009F09FD" w:rsidRPr="009F09FD" w:rsidRDefault="009F09FD" w:rsidP="009F09FD">
            <w:pPr>
              <w:jc w:val="both"/>
              <w:rPr>
                <w:rFonts w:cstheme="minorHAnsi"/>
              </w:rPr>
            </w:pPr>
            <w:r w:rsidRPr="009F09FD">
              <w:rPr>
                <w:rFonts w:cstheme="minorHAnsi"/>
              </w:rPr>
              <w:t xml:space="preserve">dodano </w:t>
            </w:r>
            <w:r w:rsidR="00764284">
              <w:rPr>
                <w:rFonts w:cstheme="minorHAnsi"/>
              </w:rPr>
              <w:t>w art. 491</w:t>
            </w:r>
            <w:r w:rsidR="00764284">
              <w:rPr>
                <w:rFonts w:cstheme="minorHAnsi"/>
                <w:vertAlign w:val="superscript"/>
              </w:rPr>
              <w:t>9</w:t>
            </w:r>
            <w:r w:rsidR="00764284">
              <w:rPr>
                <w:rFonts w:cstheme="minorHAnsi"/>
              </w:rPr>
              <w:t xml:space="preserve"> u</w:t>
            </w:r>
            <w:r w:rsidRPr="009F09FD">
              <w:rPr>
                <w:rFonts w:cstheme="minorHAnsi"/>
              </w:rPr>
              <w:t>st. 3d w brzmieniu:</w:t>
            </w:r>
          </w:p>
          <w:p w14:paraId="5231EC51" w14:textId="331A40AA" w:rsidR="006E4752" w:rsidRPr="009F09FD" w:rsidRDefault="00D51ABB" w:rsidP="009F09FD">
            <w:pPr>
              <w:jc w:val="both"/>
              <w:rPr>
                <w:rFonts w:cstheme="minorHAnsi"/>
              </w:rPr>
            </w:pPr>
            <w:r>
              <w:rPr>
                <w:rFonts w:cstheme="minorHAnsi"/>
                <w:i/>
                <w:iCs/>
              </w:rPr>
              <w:lastRenderedPageBreak/>
              <w:t>„</w:t>
            </w:r>
            <w:r w:rsidR="009F09FD" w:rsidRPr="00D51ABB">
              <w:rPr>
                <w:rFonts w:cstheme="minorHAnsi"/>
                <w:i/>
                <w:iCs/>
              </w:rPr>
              <w:t>Syndyk jest uprawniony do pobrania wynagrodzenia po uprawomocnieniu się postanowienia, o którym mowa w</w:t>
            </w:r>
            <w:r w:rsidR="009F09FD" w:rsidRPr="009F09FD">
              <w:rPr>
                <w:rFonts w:cstheme="minorHAnsi"/>
              </w:rPr>
              <w:t xml:space="preserve"> </w:t>
            </w:r>
            <w:r w:rsidR="009F09FD" w:rsidRPr="00D51ABB">
              <w:rPr>
                <w:rFonts w:cstheme="minorHAnsi"/>
                <w:i/>
                <w:iCs/>
              </w:rPr>
              <w:t>ust. 3c. W przypadku, gdy środki masy upadłości nie pozwalają na pokrycie wynagrodzenia syndyka, w postanowieniu, o którym mowa w ust. 3c, sąd określa wysokość wynagrodzenia, która zostanie wypłacona ze środków Skarbu Państwa</w:t>
            </w:r>
            <w:r>
              <w:rPr>
                <w:rFonts w:cstheme="minorHAnsi"/>
                <w:i/>
                <w:iCs/>
              </w:rPr>
              <w:t>.”</w:t>
            </w:r>
            <w:r w:rsidR="009F09FD" w:rsidRPr="00D51ABB">
              <w:rPr>
                <w:rFonts w:cstheme="minorHAnsi"/>
                <w:i/>
                <w:iCs/>
              </w:rPr>
              <w:t>.</w:t>
            </w:r>
          </w:p>
          <w:p w14:paraId="3F96004D" w14:textId="5233A38F" w:rsidR="007A17C5" w:rsidRPr="009F09FD" w:rsidRDefault="007A17C5" w:rsidP="009F09FD">
            <w:pPr>
              <w:jc w:val="both"/>
              <w:rPr>
                <w:rFonts w:cstheme="minorHAnsi"/>
              </w:rPr>
            </w:pPr>
          </w:p>
        </w:tc>
      </w:tr>
      <w:tr w:rsidR="00683703" w:rsidRPr="00486628" w14:paraId="03B8824E" w14:textId="77777777" w:rsidTr="00AC5078">
        <w:tc>
          <w:tcPr>
            <w:tcW w:w="158" w:type="pct"/>
          </w:tcPr>
          <w:p w14:paraId="508B44C1" w14:textId="3952A4B7" w:rsidR="00683703" w:rsidRDefault="00683703" w:rsidP="00683703">
            <w:pPr>
              <w:jc w:val="center"/>
              <w:rPr>
                <w:rFonts w:cstheme="minorHAnsi"/>
              </w:rPr>
            </w:pPr>
            <w:r>
              <w:rPr>
                <w:rFonts w:cstheme="minorHAnsi"/>
              </w:rPr>
              <w:lastRenderedPageBreak/>
              <w:t>47</w:t>
            </w:r>
          </w:p>
        </w:tc>
        <w:tc>
          <w:tcPr>
            <w:tcW w:w="698" w:type="pct"/>
          </w:tcPr>
          <w:p w14:paraId="09D99275" w14:textId="32B35603" w:rsidR="00683703" w:rsidRPr="0075301E" w:rsidRDefault="00683703" w:rsidP="00683703">
            <w:pPr>
              <w:rPr>
                <w:rFonts w:ascii="Calibri" w:hAnsi="Calibri" w:cs="Calibri"/>
              </w:rPr>
            </w:pPr>
            <w:r w:rsidRPr="0057491B">
              <w:rPr>
                <w:rFonts w:ascii="Calibri" w:hAnsi="Calibri" w:cs="Calibri"/>
              </w:rPr>
              <w:t>Sekcja Prawa Upadłościowego i Restrukturyzacyjnego Instytutu Allerhanda</w:t>
            </w:r>
          </w:p>
        </w:tc>
        <w:tc>
          <w:tcPr>
            <w:tcW w:w="591" w:type="pct"/>
          </w:tcPr>
          <w:p w14:paraId="7AD44D05" w14:textId="76772810" w:rsidR="00683703" w:rsidRPr="002B3340" w:rsidRDefault="00683703" w:rsidP="00683703">
            <w:pPr>
              <w:rPr>
                <w:rFonts w:ascii="Calibri" w:hAnsi="Calibri" w:cs="Calibri"/>
                <w:b/>
                <w:bCs/>
                <w:lang w:val="en-GB"/>
              </w:rPr>
            </w:pPr>
            <w:r w:rsidRPr="003F549A">
              <w:rPr>
                <w:rFonts w:cstheme="minorHAnsi"/>
                <w:b/>
                <w:bCs/>
              </w:rPr>
              <w:t>Art. 1 pkt 5 i 7, oraz pkt 17 i 18</w:t>
            </w:r>
            <w:r>
              <w:rPr>
                <w:rFonts w:cstheme="minorHAnsi"/>
              </w:rPr>
              <w:t xml:space="preserve"> (u</w:t>
            </w:r>
            <w:r w:rsidRPr="00F05DD5">
              <w:rPr>
                <w:rFonts w:cstheme="minorHAnsi"/>
              </w:rPr>
              <w:t>chylenie art. 370b</w:t>
            </w:r>
            <w:r>
              <w:rPr>
                <w:rFonts w:cstheme="minorHAnsi"/>
              </w:rPr>
              <w:t xml:space="preserve"> i zmiana art. 370d. oraz art. 491</w:t>
            </w:r>
            <w:r>
              <w:rPr>
                <w:rFonts w:cstheme="minorHAnsi"/>
                <w:vertAlign w:val="superscript"/>
              </w:rPr>
              <w:t xml:space="preserve">18 </w:t>
            </w:r>
            <w:r>
              <w:rPr>
                <w:rFonts w:cstheme="minorHAnsi"/>
              </w:rPr>
              <w:t>i art. 491</w:t>
            </w:r>
            <w:r>
              <w:rPr>
                <w:rFonts w:cstheme="minorHAnsi"/>
                <w:vertAlign w:val="superscript"/>
              </w:rPr>
              <w:t xml:space="preserve">19 </w:t>
            </w:r>
            <w:r>
              <w:rPr>
                <w:rFonts w:cstheme="minorHAnsi"/>
              </w:rPr>
              <w:t>P.U.)</w:t>
            </w:r>
          </w:p>
        </w:tc>
        <w:tc>
          <w:tcPr>
            <w:tcW w:w="1418" w:type="pct"/>
          </w:tcPr>
          <w:p w14:paraId="2C761C3E" w14:textId="77777777" w:rsidR="00683703" w:rsidRPr="004B14BE" w:rsidRDefault="00683703" w:rsidP="00683703">
            <w:pPr>
              <w:pStyle w:val="Default"/>
              <w:jc w:val="both"/>
              <w:rPr>
                <w:rFonts w:asciiTheme="minorHAnsi" w:hAnsiTheme="minorHAnsi" w:cstheme="minorHAnsi"/>
                <w:sz w:val="22"/>
                <w:szCs w:val="22"/>
              </w:rPr>
            </w:pPr>
            <w:r>
              <w:rPr>
                <w:rFonts w:asciiTheme="minorHAnsi" w:hAnsiTheme="minorHAnsi" w:cstheme="minorHAnsi"/>
                <w:sz w:val="22"/>
                <w:szCs w:val="22"/>
              </w:rPr>
              <w:t>N</w:t>
            </w:r>
            <w:r w:rsidRPr="004B14BE">
              <w:rPr>
                <w:rFonts w:asciiTheme="minorHAnsi" w:hAnsiTheme="minorHAnsi" w:cstheme="minorHAnsi"/>
                <w:sz w:val="22"/>
                <w:szCs w:val="22"/>
              </w:rPr>
              <w:t xml:space="preserve">ależy jeszcze raz przeanalizować zagadnienie skargi kasacyjnej przy sprawach o ustalenie planu spłaty. Obecnie, wniesienie skargi kasacyjnej i tak nie wstrzymuje co do zasady przystąpienia do realizacji planu spłaty, a może pozostać użytecznym instrumentem dla ochrony praw wierzycieli w postępowaniu, tym bardziej że zgodnie z ogólną ideą projektu, ciężar dbałości o realizację prawidłowości </w:t>
            </w:r>
            <w:r w:rsidRPr="004B14BE">
              <w:rPr>
                <w:rFonts w:asciiTheme="minorHAnsi" w:hAnsiTheme="minorHAnsi" w:cstheme="minorHAnsi"/>
                <w:sz w:val="22"/>
                <w:szCs w:val="22"/>
              </w:rPr>
              <w:lastRenderedPageBreak/>
              <w:t>postępowania, spoczywał będzie właśnie na wierzycielach.</w:t>
            </w:r>
          </w:p>
          <w:p w14:paraId="3D9BB3B3" w14:textId="4A26328A" w:rsidR="00683703" w:rsidRPr="00462965" w:rsidRDefault="00683703" w:rsidP="00683703">
            <w:pPr>
              <w:pStyle w:val="Default"/>
              <w:jc w:val="both"/>
              <w:rPr>
                <w:rFonts w:asciiTheme="minorHAnsi" w:hAnsiTheme="minorHAnsi" w:cstheme="minorHAnsi"/>
                <w:sz w:val="22"/>
                <w:szCs w:val="22"/>
              </w:rPr>
            </w:pPr>
            <w:r w:rsidRPr="004B14BE">
              <w:rPr>
                <w:rFonts w:asciiTheme="minorHAnsi" w:hAnsiTheme="minorHAnsi" w:cstheme="minorHAnsi"/>
                <w:sz w:val="22"/>
                <w:szCs w:val="22"/>
              </w:rPr>
              <w:t>Ponadto, nasze doświadczenie praktyczne wskazuje, że skarga kasacyjna w tego typu sprawach nie jest instrumentem nadużywanym przez uczestników postępowania, a oddłużenie stanowi wyłom w zasadzie pacta sunt servanda i przez to ingeruje głęboko w prawa wierzycieli.</w:t>
            </w:r>
          </w:p>
        </w:tc>
        <w:tc>
          <w:tcPr>
            <w:tcW w:w="1027" w:type="pct"/>
          </w:tcPr>
          <w:p w14:paraId="1949AFAC" w14:textId="77777777" w:rsidR="00683703" w:rsidRPr="00CC7F2E" w:rsidRDefault="00683703" w:rsidP="00683703">
            <w:pPr>
              <w:jc w:val="both"/>
              <w:rPr>
                <w:rFonts w:ascii="Calibri" w:hAnsi="Calibri" w:cs="Calibri"/>
              </w:rPr>
            </w:pPr>
          </w:p>
        </w:tc>
        <w:tc>
          <w:tcPr>
            <w:tcW w:w="1108" w:type="pct"/>
          </w:tcPr>
          <w:p w14:paraId="704EC778" w14:textId="77777777" w:rsidR="00683703" w:rsidRPr="00BC45D4" w:rsidRDefault="00683703" w:rsidP="00683703">
            <w:pPr>
              <w:jc w:val="both"/>
              <w:rPr>
                <w:rFonts w:cstheme="minorHAnsi"/>
                <w:b/>
                <w:bCs/>
              </w:rPr>
            </w:pPr>
            <w:r w:rsidRPr="00BC45D4">
              <w:rPr>
                <w:rFonts w:cstheme="minorHAnsi"/>
                <w:b/>
                <w:bCs/>
              </w:rPr>
              <w:t>Uwaga nieuwzględniona</w:t>
            </w:r>
          </w:p>
          <w:p w14:paraId="19473DF5" w14:textId="77777777" w:rsidR="00683703" w:rsidRPr="00BC45D4" w:rsidRDefault="00683703" w:rsidP="00683703">
            <w:pPr>
              <w:jc w:val="both"/>
              <w:rPr>
                <w:rFonts w:cstheme="minorHAnsi"/>
              </w:rPr>
            </w:pPr>
            <w:r w:rsidRPr="00BC45D4">
              <w:rPr>
                <w:rFonts w:cstheme="minorHAnsi"/>
              </w:rPr>
              <w:t xml:space="preserve">W zakresie zniesienie skargi kasacyjnej – po pierwsze, w postępowaniach tych skarga ma znikome zastosowanie w praktyce.  Ponadto, biorąc pod uwagę ustawowe przesłanki umorzenia zobowiązań oraz ustalenia lub zmiany planu spłaty wierzycieli, </w:t>
            </w:r>
            <w:r w:rsidRPr="00BC45D4">
              <w:rPr>
                <w:rFonts w:cstheme="minorHAnsi"/>
              </w:rPr>
              <w:lastRenderedPageBreak/>
              <w:t>wskazać należy, że ogniskują się one przede wszystkim wokół materii dotyczącej ustaleń faktycznych (w zakresie możliwości zarobkowych upadłego i jego sytuacji osobistej, przyczyn powstania stanu niewypłacalności, stopnia winy w dorowadzeniu do stanu niewypłacalności, a także co do przesłanek humanitaryzmu i słuszności), a nie sfery interpretacji przepisów prawa. Kwestia ustaleń faktycznych nie mieści się w zakresie kontroli kasacyjnej sprawowanej przez Sąd Najwyższy.</w:t>
            </w:r>
          </w:p>
          <w:p w14:paraId="3AE52490" w14:textId="5D20A11D" w:rsidR="00683703" w:rsidRPr="006E4752" w:rsidRDefault="00683703" w:rsidP="00683703">
            <w:pPr>
              <w:jc w:val="both"/>
              <w:rPr>
                <w:rFonts w:cstheme="minorHAnsi"/>
                <w:b/>
                <w:bCs/>
              </w:rPr>
            </w:pPr>
            <w:r w:rsidRPr="00BC45D4">
              <w:rPr>
                <w:rFonts w:cstheme="minorHAnsi"/>
              </w:rPr>
              <w:t>Problematyka zapewnienia spójności orzeczniczej w sprawach dotyczących oddłużenia jest gwarantowana instytucją pytań prawnych do Sądu Najwyższego.</w:t>
            </w:r>
          </w:p>
        </w:tc>
      </w:tr>
      <w:tr w:rsidR="00AE288B" w:rsidRPr="00486628" w14:paraId="371B424D" w14:textId="77777777" w:rsidTr="00AC5078">
        <w:tc>
          <w:tcPr>
            <w:tcW w:w="158" w:type="pct"/>
          </w:tcPr>
          <w:p w14:paraId="0BDEAE88" w14:textId="04107C92" w:rsidR="00AE288B" w:rsidRPr="00AC5078" w:rsidRDefault="00AE288B" w:rsidP="00AE288B">
            <w:pPr>
              <w:jc w:val="center"/>
              <w:rPr>
                <w:rFonts w:cstheme="minorHAnsi"/>
              </w:rPr>
            </w:pPr>
            <w:r>
              <w:rPr>
                <w:rFonts w:cstheme="minorHAnsi"/>
              </w:rPr>
              <w:lastRenderedPageBreak/>
              <w:t>48</w:t>
            </w:r>
          </w:p>
        </w:tc>
        <w:tc>
          <w:tcPr>
            <w:tcW w:w="698" w:type="pct"/>
          </w:tcPr>
          <w:p w14:paraId="78DA5B4A" w14:textId="4C1556FA" w:rsidR="00AE288B" w:rsidRPr="0057491B" w:rsidRDefault="00AE288B" w:rsidP="00AE288B">
            <w:pPr>
              <w:rPr>
                <w:rFonts w:ascii="Calibri" w:hAnsi="Calibri" w:cs="Calibri"/>
              </w:rPr>
            </w:pPr>
            <w:r w:rsidRPr="000D7E12">
              <w:rPr>
                <w:rFonts w:ascii="Calibri" w:hAnsi="Calibri" w:cs="Calibri"/>
              </w:rPr>
              <w:t>Sekcja Prawa Upadłościowego i Restrukturyzacyjnego Instytutu Allerhanda</w:t>
            </w:r>
          </w:p>
        </w:tc>
        <w:tc>
          <w:tcPr>
            <w:tcW w:w="591" w:type="pct"/>
          </w:tcPr>
          <w:p w14:paraId="6BED1573" w14:textId="4781C7E2" w:rsidR="00AE288B" w:rsidRPr="003F549A" w:rsidRDefault="00AE288B" w:rsidP="00AE288B">
            <w:pPr>
              <w:rPr>
                <w:rFonts w:cstheme="minorHAnsi"/>
                <w:b/>
                <w:bCs/>
              </w:rPr>
            </w:pPr>
            <w:r w:rsidRPr="00647F39">
              <w:rPr>
                <w:rFonts w:ascii="Calibri" w:hAnsi="Calibri" w:cs="Calibri"/>
                <w:b/>
                <w:bCs/>
              </w:rPr>
              <w:t>Art. 1 pkt 12</w:t>
            </w:r>
            <w:r>
              <w:rPr>
                <w:rFonts w:ascii="Calibri" w:hAnsi="Calibri" w:cs="Calibri"/>
              </w:rPr>
              <w:t xml:space="preserve"> (art. </w:t>
            </w:r>
            <w:r w:rsidRPr="00477F3C">
              <w:rPr>
                <w:rFonts w:ascii="Calibri" w:hAnsi="Calibri" w:cs="Calibri"/>
              </w:rPr>
              <w:t xml:space="preserve">491⁷ ust. 3 </w:t>
            </w:r>
            <w:r>
              <w:rPr>
                <w:rFonts w:ascii="Calibri" w:hAnsi="Calibri" w:cs="Calibri"/>
              </w:rPr>
              <w:t>P.U.)</w:t>
            </w:r>
          </w:p>
        </w:tc>
        <w:tc>
          <w:tcPr>
            <w:tcW w:w="1418" w:type="pct"/>
          </w:tcPr>
          <w:p w14:paraId="76940D30" w14:textId="77777777" w:rsidR="00AE288B" w:rsidRPr="00AC5078" w:rsidRDefault="00AE288B" w:rsidP="00AE288B">
            <w:pPr>
              <w:pStyle w:val="Default"/>
              <w:jc w:val="both"/>
              <w:rPr>
                <w:rFonts w:asciiTheme="minorHAnsi" w:hAnsiTheme="minorHAnsi" w:cstheme="minorHAnsi"/>
                <w:sz w:val="22"/>
                <w:szCs w:val="22"/>
              </w:rPr>
            </w:pPr>
            <w:r w:rsidRPr="00AC5078">
              <w:rPr>
                <w:rFonts w:asciiTheme="minorHAnsi" w:hAnsiTheme="minorHAnsi" w:cstheme="minorHAnsi"/>
                <w:sz w:val="22"/>
                <w:szCs w:val="22"/>
              </w:rPr>
              <w:t>Zmiany dotyczące ustalania kosztów postępowania oraz wynagrodzenia syndyka są konieczne, lecz proponowane w projekcie unormowania nie oddają w sposób adekwatny wymaganego nakładu pracy w toku upadłości konsumenckiej.</w:t>
            </w:r>
          </w:p>
          <w:p w14:paraId="28CAF488" w14:textId="77777777" w:rsidR="00AE288B" w:rsidRPr="00AC5078" w:rsidRDefault="00AE288B" w:rsidP="00AE288B">
            <w:pPr>
              <w:pStyle w:val="Default"/>
              <w:jc w:val="both"/>
              <w:rPr>
                <w:rFonts w:asciiTheme="minorHAnsi" w:hAnsiTheme="minorHAnsi" w:cstheme="minorHAnsi"/>
                <w:sz w:val="22"/>
                <w:szCs w:val="22"/>
              </w:rPr>
            </w:pPr>
            <w:r w:rsidRPr="00AC5078">
              <w:rPr>
                <w:rFonts w:asciiTheme="minorHAnsi" w:hAnsiTheme="minorHAnsi" w:cstheme="minorHAnsi"/>
                <w:sz w:val="22"/>
                <w:szCs w:val="22"/>
              </w:rPr>
              <w:t>Stąd, celem uniknięcia sytuacji, w której syndyk zmuszony jest faktycznie kredytować postępowanie upadłościowe (pracując bez wynagrodzenia, podobnie też niekiedy jak jego</w:t>
            </w:r>
          </w:p>
          <w:p w14:paraId="0D13D642" w14:textId="77777777" w:rsidR="00AE288B" w:rsidRPr="00AC5078" w:rsidRDefault="00AE288B" w:rsidP="00AE288B">
            <w:pPr>
              <w:pStyle w:val="Default"/>
              <w:jc w:val="both"/>
              <w:rPr>
                <w:rFonts w:asciiTheme="minorHAnsi" w:hAnsiTheme="minorHAnsi" w:cstheme="minorHAnsi"/>
                <w:sz w:val="22"/>
                <w:szCs w:val="22"/>
              </w:rPr>
            </w:pPr>
            <w:r w:rsidRPr="00AC5078">
              <w:rPr>
                <w:rFonts w:asciiTheme="minorHAnsi" w:hAnsiTheme="minorHAnsi" w:cstheme="minorHAnsi"/>
                <w:sz w:val="22"/>
                <w:szCs w:val="22"/>
              </w:rPr>
              <w:t xml:space="preserve">kontrahenci: obsługa administracyjna, prawna i księgowa – którzy czasem muszą dokonać </w:t>
            </w:r>
            <w:r w:rsidRPr="00AC5078">
              <w:rPr>
                <w:rFonts w:asciiTheme="minorHAnsi" w:hAnsiTheme="minorHAnsi" w:cstheme="minorHAnsi"/>
                <w:sz w:val="22"/>
                <w:szCs w:val="22"/>
              </w:rPr>
              <w:lastRenderedPageBreak/>
              <w:t>usługi na długo przed możliwością zapłaty za nią) należy postulować następujące rozwiązania:</w:t>
            </w:r>
          </w:p>
          <w:p w14:paraId="4D0F5514" w14:textId="77777777" w:rsidR="00AE288B" w:rsidRPr="00AC5078" w:rsidRDefault="00AE288B" w:rsidP="00AE288B">
            <w:pPr>
              <w:pStyle w:val="Default"/>
              <w:jc w:val="both"/>
              <w:rPr>
                <w:rFonts w:asciiTheme="minorHAnsi" w:hAnsiTheme="minorHAnsi" w:cstheme="minorHAnsi"/>
                <w:sz w:val="22"/>
                <w:szCs w:val="22"/>
              </w:rPr>
            </w:pPr>
            <w:r w:rsidRPr="00AC5078">
              <w:rPr>
                <w:rFonts w:asciiTheme="minorHAnsi" w:hAnsiTheme="minorHAnsi" w:cstheme="minorHAnsi"/>
                <w:sz w:val="22"/>
                <w:szCs w:val="22"/>
              </w:rPr>
              <w:t>1.</w:t>
            </w:r>
          </w:p>
          <w:p w14:paraId="603FB575" w14:textId="571E6F8C" w:rsidR="00AE288B" w:rsidRPr="00AC5078" w:rsidRDefault="00AE288B" w:rsidP="00AE288B">
            <w:pPr>
              <w:pStyle w:val="Default"/>
              <w:jc w:val="both"/>
              <w:rPr>
                <w:rFonts w:asciiTheme="minorHAnsi" w:hAnsiTheme="minorHAnsi" w:cstheme="minorHAnsi"/>
                <w:sz w:val="22"/>
                <w:szCs w:val="22"/>
              </w:rPr>
            </w:pPr>
            <w:r>
              <w:rPr>
                <w:rFonts w:asciiTheme="minorHAnsi" w:hAnsiTheme="minorHAnsi" w:cstheme="minorHAnsi"/>
                <w:sz w:val="22"/>
                <w:szCs w:val="22"/>
              </w:rPr>
              <w:t>Z</w:t>
            </w:r>
            <w:r w:rsidRPr="00AC5078">
              <w:rPr>
                <w:rFonts w:asciiTheme="minorHAnsi" w:hAnsiTheme="minorHAnsi" w:cstheme="minorHAnsi"/>
                <w:sz w:val="22"/>
                <w:szCs w:val="22"/>
              </w:rPr>
              <w:t>ryczałtowane koszty postępowania prowadzonego według przepisów niniejszego tytułu powinny wynosić do 1/2 przeciętnego miesięcznego wynagrodzenia w sektorze przedsiębiorstw bez wypłat nagród z zysku w trzecim kwartale roku poprzedniego, ogłoszonego przez Prezesa Głównego Urzędu Statystycznego.</w:t>
            </w:r>
          </w:p>
          <w:p w14:paraId="07213781" w14:textId="77777777" w:rsidR="00AE288B" w:rsidRPr="00AC5078" w:rsidRDefault="00AE288B" w:rsidP="00AE288B">
            <w:pPr>
              <w:pStyle w:val="Default"/>
              <w:jc w:val="both"/>
              <w:rPr>
                <w:rFonts w:asciiTheme="minorHAnsi" w:hAnsiTheme="minorHAnsi" w:cstheme="minorHAnsi"/>
                <w:sz w:val="22"/>
                <w:szCs w:val="22"/>
              </w:rPr>
            </w:pPr>
            <w:r w:rsidRPr="00AC5078">
              <w:rPr>
                <w:rFonts w:asciiTheme="minorHAnsi" w:hAnsiTheme="minorHAnsi" w:cstheme="minorHAnsi"/>
                <w:sz w:val="22"/>
                <w:szCs w:val="22"/>
              </w:rPr>
              <w:t>2.</w:t>
            </w:r>
          </w:p>
          <w:p w14:paraId="205AF5DB" w14:textId="0606F0DD" w:rsidR="00AE288B" w:rsidRPr="00AC5078" w:rsidRDefault="00AE288B" w:rsidP="00AE288B">
            <w:pPr>
              <w:pStyle w:val="Default"/>
              <w:jc w:val="both"/>
              <w:rPr>
                <w:rFonts w:asciiTheme="minorHAnsi" w:hAnsiTheme="minorHAnsi" w:cstheme="minorHAnsi"/>
                <w:sz w:val="22"/>
                <w:szCs w:val="22"/>
              </w:rPr>
            </w:pPr>
            <w:r>
              <w:rPr>
                <w:rFonts w:asciiTheme="minorHAnsi" w:hAnsiTheme="minorHAnsi" w:cstheme="minorHAnsi"/>
                <w:sz w:val="22"/>
                <w:szCs w:val="22"/>
              </w:rPr>
              <w:t>W</w:t>
            </w:r>
            <w:r w:rsidRPr="00AC5078">
              <w:rPr>
                <w:rFonts w:asciiTheme="minorHAnsi" w:hAnsiTheme="minorHAnsi" w:cstheme="minorHAnsi"/>
                <w:sz w:val="22"/>
                <w:szCs w:val="22"/>
              </w:rPr>
              <w:t xml:space="preserve"> przypadku prowadzenia upadłości w trybie art. 491</w:t>
            </w:r>
            <w:r>
              <w:rPr>
                <w:rFonts w:asciiTheme="minorHAnsi" w:hAnsiTheme="minorHAnsi" w:cstheme="minorHAnsi"/>
                <w:sz w:val="22"/>
                <w:szCs w:val="22"/>
                <w:vertAlign w:val="superscript"/>
              </w:rPr>
              <w:t>1</w:t>
            </w:r>
            <w:r w:rsidRPr="00AC5078">
              <w:rPr>
                <w:rFonts w:asciiTheme="minorHAnsi" w:hAnsiTheme="minorHAnsi" w:cstheme="minorHAnsi"/>
                <w:sz w:val="22"/>
                <w:szCs w:val="22"/>
              </w:rPr>
              <w:t xml:space="preserve"> ust. 1 PU powinna być zawsze wypłacana zaliczka na pokrycie kosztów postępowania w wysokości 1/5 przeciętnego miesięcznego wynagrodzenia określonego powyżej.</w:t>
            </w:r>
          </w:p>
          <w:p w14:paraId="5C96898E" w14:textId="77777777" w:rsidR="00AE288B" w:rsidRPr="00AC5078" w:rsidRDefault="00AE288B" w:rsidP="00AE288B">
            <w:pPr>
              <w:pStyle w:val="Default"/>
              <w:jc w:val="both"/>
              <w:rPr>
                <w:rFonts w:asciiTheme="minorHAnsi" w:hAnsiTheme="minorHAnsi" w:cstheme="minorHAnsi"/>
                <w:sz w:val="22"/>
                <w:szCs w:val="22"/>
              </w:rPr>
            </w:pPr>
            <w:r w:rsidRPr="00AC5078">
              <w:rPr>
                <w:rFonts w:asciiTheme="minorHAnsi" w:hAnsiTheme="minorHAnsi" w:cstheme="minorHAnsi"/>
                <w:sz w:val="22"/>
                <w:szCs w:val="22"/>
              </w:rPr>
              <w:t>3.</w:t>
            </w:r>
          </w:p>
          <w:p w14:paraId="1627F2DE" w14:textId="5F7CFB5E" w:rsidR="00AE288B" w:rsidRPr="00AC5078" w:rsidRDefault="00AE288B" w:rsidP="00AE288B">
            <w:pPr>
              <w:pStyle w:val="Default"/>
              <w:jc w:val="both"/>
              <w:rPr>
                <w:rFonts w:asciiTheme="minorHAnsi" w:hAnsiTheme="minorHAnsi" w:cstheme="minorHAnsi"/>
                <w:sz w:val="22"/>
                <w:szCs w:val="22"/>
              </w:rPr>
            </w:pPr>
            <w:r>
              <w:rPr>
                <w:rFonts w:asciiTheme="minorHAnsi" w:hAnsiTheme="minorHAnsi" w:cstheme="minorHAnsi"/>
                <w:sz w:val="22"/>
                <w:szCs w:val="22"/>
              </w:rPr>
              <w:t>P</w:t>
            </w:r>
            <w:r w:rsidRPr="00AC5078">
              <w:rPr>
                <w:rFonts w:asciiTheme="minorHAnsi" w:hAnsiTheme="minorHAnsi" w:cstheme="minorHAnsi"/>
                <w:sz w:val="22"/>
                <w:szCs w:val="22"/>
              </w:rPr>
              <w:t>odobnie powinna być zawsze wypłacana zaliczka na wynagrodzenie syndyka w wysokości 1/4 miesięcznego wynagrodzenia określonego w pkt 1 powyżej.</w:t>
            </w:r>
          </w:p>
          <w:p w14:paraId="159CDFCE" w14:textId="77777777" w:rsidR="00AE288B" w:rsidRPr="00AC5078" w:rsidRDefault="00AE288B" w:rsidP="00AE288B">
            <w:pPr>
              <w:pStyle w:val="Default"/>
              <w:jc w:val="both"/>
              <w:rPr>
                <w:rFonts w:asciiTheme="minorHAnsi" w:hAnsiTheme="minorHAnsi" w:cstheme="minorHAnsi"/>
                <w:sz w:val="22"/>
                <w:szCs w:val="22"/>
              </w:rPr>
            </w:pPr>
            <w:r w:rsidRPr="00AC5078">
              <w:rPr>
                <w:rFonts w:asciiTheme="minorHAnsi" w:hAnsiTheme="minorHAnsi" w:cstheme="minorHAnsi"/>
                <w:sz w:val="22"/>
                <w:szCs w:val="22"/>
              </w:rPr>
              <w:t>Zaliczki wskazane w pkt 2 i 3 powinny być określane automatycznie w każdym postanowieniu o ogłoszeniu upadłości, a ich wypłata powinna być dokonywana niezwłocznie na rachunek bankowy wskazany przez syndyka wyznaczonego w danym postępowaniu.</w:t>
            </w:r>
          </w:p>
          <w:p w14:paraId="015CC874" w14:textId="3E429B4E" w:rsidR="00AE288B" w:rsidRDefault="00AE288B" w:rsidP="00AE288B">
            <w:pPr>
              <w:pStyle w:val="Default"/>
              <w:jc w:val="both"/>
              <w:rPr>
                <w:rFonts w:asciiTheme="minorHAnsi" w:hAnsiTheme="minorHAnsi" w:cstheme="minorHAnsi"/>
                <w:sz w:val="22"/>
                <w:szCs w:val="22"/>
              </w:rPr>
            </w:pPr>
            <w:r w:rsidRPr="00AC5078">
              <w:rPr>
                <w:rFonts w:asciiTheme="minorHAnsi" w:hAnsiTheme="minorHAnsi" w:cstheme="minorHAnsi"/>
                <w:sz w:val="22"/>
                <w:szCs w:val="22"/>
              </w:rPr>
              <w:lastRenderedPageBreak/>
              <w:t>Jak już zwrócono wcześniej uwagę, prowadzenie upadłości konsumenckiej przez syndyka z jednej strony ma charakter projektu o charakterze gospodarczym, który powinien być przeprowadzany efektywnie tj. szybko, sprawnie i z jak najwyższym zaspokojeniem wierzycieli – ale też z zachowaniem realiów rynkowych wynikających z danej sprawy. Z drugiej strony, sama upadłość ma cel społeczny – zarówno oddłużeniowy – uwzględniający interes indywidualny konkretnego dłużnika, ale również szerszy – przywracanie do normalnego obrotu prawno-gospodarczego grup wykluczonych wskutek nadmiernego zadłużenia.</w:t>
            </w:r>
          </w:p>
        </w:tc>
        <w:tc>
          <w:tcPr>
            <w:tcW w:w="1027" w:type="pct"/>
          </w:tcPr>
          <w:p w14:paraId="5F82BE5D" w14:textId="77777777" w:rsidR="00AE288B" w:rsidRPr="00CC7F2E" w:rsidRDefault="00AE288B" w:rsidP="00AE288B">
            <w:pPr>
              <w:jc w:val="both"/>
              <w:rPr>
                <w:rFonts w:ascii="Calibri" w:hAnsi="Calibri" w:cs="Calibri"/>
              </w:rPr>
            </w:pPr>
          </w:p>
        </w:tc>
        <w:tc>
          <w:tcPr>
            <w:tcW w:w="1108" w:type="pct"/>
          </w:tcPr>
          <w:p w14:paraId="36BF9466" w14:textId="2F69FA0B" w:rsidR="00AE288B" w:rsidRDefault="00AE288B" w:rsidP="00AE288B">
            <w:pPr>
              <w:autoSpaceDE w:val="0"/>
              <w:autoSpaceDN w:val="0"/>
              <w:adjustRightInd w:val="0"/>
              <w:jc w:val="both"/>
              <w:rPr>
                <w:rFonts w:cstheme="minorHAnsi"/>
                <w:b/>
                <w:bCs/>
              </w:rPr>
            </w:pPr>
            <w:r w:rsidRPr="00F457A7">
              <w:rPr>
                <w:rFonts w:cstheme="minorHAnsi"/>
                <w:b/>
                <w:bCs/>
              </w:rPr>
              <w:t>Uwagi</w:t>
            </w:r>
            <w:r>
              <w:rPr>
                <w:rFonts w:cstheme="minorHAnsi"/>
                <w:b/>
                <w:bCs/>
              </w:rPr>
              <w:t xml:space="preserve"> częściowo </w:t>
            </w:r>
            <w:r w:rsidRPr="00F457A7">
              <w:rPr>
                <w:rFonts w:cstheme="minorHAnsi"/>
                <w:b/>
                <w:bCs/>
              </w:rPr>
              <w:t>uwzględniono</w:t>
            </w:r>
          </w:p>
          <w:p w14:paraId="73EB0536" w14:textId="0109F4BF" w:rsidR="00AE288B" w:rsidRPr="00EB68A8" w:rsidRDefault="00AE288B" w:rsidP="00AE288B">
            <w:pPr>
              <w:autoSpaceDE w:val="0"/>
              <w:autoSpaceDN w:val="0"/>
              <w:adjustRightInd w:val="0"/>
              <w:jc w:val="both"/>
              <w:rPr>
                <w:rFonts w:cstheme="minorHAnsi"/>
              </w:rPr>
            </w:pPr>
            <w:r>
              <w:rPr>
                <w:rFonts w:cstheme="minorHAnsi"/>
              </w:rPr>
              <w:t xml:space="preserve">Dokonano zmiany treści art. </w:t>
            </w:r>
            <w:r w:rsidR="00EB68A8">
              <w:rPr>
                <w:rFonts w:cstheme="minorHAnsi"/>
              </w:rPr>
              <w:t>491</w:t>
            </w:r>
            <w:r w:rsidR="00EB68A8">
              <w:rPr>
                <w:rFonts w:cstheme="minorHAnsi"/>
                <w:vertAlign w:val="superscript"/>
              </w:rPr>
              <w:t>7</w:t>
            </w:r>
            <w:r w:rsidR="00EB68A8">
              <w:rPr>
                <w:rFonts w:cstheme="minorHAnsi"/>
              </w:rPr>
              <w:t xml:space="preserve"> ust. 3-3b.</w:t>
            </w:r>
          </w:p>
          <w:p w14:paraId="20CD01AF" w14:textId="77777777" w:rsidR="00AE288B" w:rsidRPr="00F457A7" w:rsidRDefault="00AE288B" w:rsidP="00AE288B">
            <w:pPr>
              <w:autoSpaceDE w:val="0"/>
              <w:autoSpaceDN w:val="0"/>
              <w:adjustRightInd w:val="0"/>
              <w:jc w:val="both"/>
              <w:rPr>
                <w:rFonts w:cstheme="minorHAnsi"/>
                <w:i/>
                <w:iCs/>
              </w:rPr>
            </w:pPr>
            <w:r w:rsidRPr="00F457A7">
              <w:rPr>
                <w:rFonts w:cstheme="minorHAnsi"/>
                <w:i/>
                <w:iCs/>
              </w:rPr>
              <w:t>3. Zryczałtowane koszty postępowania prowadzonego według przepisów niniejszego</w:t>
            </w:r>
            <w:r>
              <w:rPr>
                <w:rFonts w:cstheme="minorHAnsi"/>
                <w:i/>
                <w:iCs/>
              </w:rPr>
              <w:t xml:space="preserve"> </w:t>
            </w:r>
            <w:r w:rsidRPr="00F457A7">
              <w:rPr>
                <w:rFonts w:cstheme="minorHAnsi"/>
                <w:i/>
                <w:iCs/>
              </w:rPr>
              <w:t>tytułu inne niż wynagrodzenie syndyka wynoszą nie więcej niż 1/5 przeciętnego</w:t>
            </w:r>
            <w:r>
              <w:rPr>
                <w:rFonts w:cstheme="minorHAnsi"/>
                <w:i/>
                <w:iCs/>
              </w:rPr>
              <w:t xml:space="preserve"> </w:t>
            </w:r>
            <w:r w:rsidRPr="00F457A7">
              <w:rPr>
                <w:rFonts w:cstheme="minorHAnsi"/>
                <w:i/>
                <w:iCs/>
              </w:rPr>
              <w:t>miesięcznego</w:t>
            </w:r>
            <w:r>
              <w:rPr>
                <w:rFonts w:cstheme="minorHAnsi"/>
                <w:i/>
                <w:iCs/>
              </w:rPr>
              <w:t xml:space="preserve"> </w:t>
            </w:r>
            <w:r w:rsidRPr="00F457A7">
              <w:rPr>
                <w:rFonts w:cstheme="minorHAnsi"/>
                <w:i/>
                <w:iCs/>
              </w:rPr>
              <w:t>wynagrodzenia w sektorze przedsiębiorstw bez wypłat nagród z zysku</w:t>
            </w:r>
            <w:r>
              <w:rPr>
                <w:rFonts w:cstheme="minorHAnsi"/>
                <w:i/>
                <w:iCs/>
              </w:rPr>
              <w:t xml:space="preserve"> </w:t>
            </w:r>
            <w:r w:rsidRPr="00F457A7">
              <w:rPr>
                <w:rFonts w:cstheme="minorHAnsi"/>
                <w:i/>
                <w:iCs/>
              </w:rPr>
              <w:t xml:space="preserve">w trzecim kwartale roku </w:t>
            </w:r>
            <w:r w:rsidRPr="00F457A7">
              <w:rPr>
                <w:rFonts w:cstheme="minorHAnsi"/>
                <w:i/>
                <w:iCs/>
              </w:rPr>
              <w:lastRenderedPageBreak/>
              <w:t>poprzedniego, ogłoszonego przez Prezesa Głównego Urzędu</w:t>
            </w:r>
            <w:r>
              <w:rPr>
                <w:rFonts w:cstheme="minorHAnsi"/>
                <w:i/>
                <w:iCs/>
              </w:rPr>
              <w:t xml:space="preserve"> </w:t>
            </w:r>
            <w:r w:rsidRPr="00F457A7">
              <w:rPr>
                <w:rFonts w:cstheme="minorHAnsi"/>
                <w:i/>
                <w:iCs/>
              </w:rPr>
              <w:t>Statystycznego.</w:t>
            </w:r>
          </w:p>
          <w:p w14:paraId="73C65C68" w14:textId="77777777" w:rsidR="00AE288B" w:rsidRPr="00F457A7" w:rsidRDefault="00AE288B" w:rsidP="00AE288B">
            <w:pPr>
              <w:autoSpaceDE w:val="0"/>
              <w:autoSpaceDN w:val="0"/>
              <w:adjustRightInd w:val="0"/>
              <w:jc w:val="both"/>
              <w:rPr>
                <w:rFonts w:cstheme="minorHAnsi"/>
                <w:i/>
                <w:iCs/>
              </w:rPr>
            </w:pPr>
            <w:r w:rsidRPr="00F457A7">
              <w:rPr>
                <w:rFonts w:cstheme="minorHAnsi"/>
                <w:i/>
                <w:iCs/>
              </w:rPr>
              <w:t>3a. W postanowieniu o ogłoszeniu upadłości sąd przyznaje syndykowi zaliczkę na pokrycie</w:t>
            </w:r>
            <w:r>
              <w:rPr>
                <w:rFonts w:cstheme="minorHAnsi"/>
                <w:i/>
                <w:iCs/>
              </w:rPr>
              <w:t xml:space="preserve"> </w:t>
            </w:r>
            <w:r w:rsidRPr="00F457A7">
              <w:rPr>
                <w:rFonts w:cstheme="minorHAnsi"/>
                <w:i/>
                <w:iCs/>
              </w:rPr>
              <w:t>tych kosztów, chyba że majątek upadłego pozwala na bieżące pokrywanie kosztów</w:t>
            </w:r>
          </w:p>
          <w:p w14:paraId="1BD3E6B6" w14:textId="77777777" w:rsidR="00AE288B" w:rsidRPr="00F457A7" w:rsidRDefault="00AE288B" w:rsidP="00AE288B">
            <w:pPr>
              <w:autoSpaceDE w:val="0"/>
              <w:autoSpaceDN w:val="0"/>
              <w:adjustRightInd w:val="0"/>
              <w:jc w:val="both"/>
              <w:rPr>
                <w:rFonts w:cstheme="minorHAnsi"/>
                <w:i/>
                <w:iCs/>
              </w:rPr>
            </w:pPr>
            <w:r w:rsidRPr="00F457A7">
              <w:rPr>
                <w:rFonts w:cstheme="minorHAnsi"/>
                <w:i/>
                <w:iCs/>
              </w:rPr>
              <w:t>postępowania.</w:t>
            </w:r>
          </w:p>
          <w:p w14:paraId="2B46A15F" w14:textId="77777777" w:rsidR="00AE288B" w:rsidRPr="00F457A7" w:rsidRDefault="00AE288B" w:rsidP="00AE288B">
            <w:pPr>
              <w:autoSpaceDE w:val="0"/>
              <w:autoSpaceDN w:val="0"/>
              <w:adjustRightInd w:val="0"/>
              <w:jc w:val="both"/>
              <w:rPr>
                <w:rFonts w:cstheme="minorHAnsi"/>
                <w:i/>
                <w:iCs/>
              </w:rPr>
            </w:pPr>
            <w:r w:rsidRPr="00F457A7">
              <w:rPr>
                <w:rFonts w:cstheme="minorHAnsi"/>
                <w:i/>
                <w:iCs/>
              </w:rPr>
              <w:t>3b. W dalszym toku postępowania sąd może ustalić, że koszty postępowania mogą</w:t>
            </w:r>
            <w:r>
              <w:rPr>
                <w:rFonts w:cstheme="minorHAnsi"/>
                <w:i/>
                <w:iCs/>
              </w:rPr>
              <w:t xml:space="preserve"> </w:t>
            </w:r>
            <w:r w:rsidRPr="00F457A7">
              <w:rPr>
                <w:rFonts w:cstheme="minorHAnsi"/>
                <w:i/>
                <w:iCs/>
              </w:rPr>
              <w:t>przekroczyć wysokość kosztów zryczałtowanych i przyznać syndykowi wyższą zaliczkę na</w:t>
            </w:r>
            <w:r>
              <w:rPr>
                <w:rFonts w:cstheme="minorHAnsi"/>
                <w:i/>
                <w:iCs/>
              </w:rPr>
              <w:t xml:space="preserve"> </w:t>
            </w:r>
            <w:r w:rsidRPr="00F457A7">
              <w:rPr>
                <w:rFonts w:cstheme="minorHAnsi"/>
                <w:i/>
                <w:iCs/>
              </w:rPr>
              <w:t>ich pokrycie oraz zarządzić jej niezwłoczną wypłatę tymczasowo ze środków Skarbu</w:t>
            </w:r>
            <w:r>
              <w:rPr>
                <w:rFonts w:cstheme="minorHAnsi"/>
                <w:i/>
                <w:iCs/>
              </w:rPr>
              <w:t xml:space="preserve"> </w:t>
            </w:r>
            <w:r w:rsidRPr="00F457A7">
              <w:rPr>
                <w:rFonts w:cstheme="minorHAnsi"/>
                <w:i/>
                <w:iCs/>
              </w:rPr>
              <w:t>Państwa tylko wówczas gdy zwiększone koszty postępowania wynikają ze znacznego</w:t>
            </w:r>
            <w:r>
              <w:rPr>
                <w:rFonts w:cstheme="minorHAnsi"/>
                <w:i/>
                <w:iCs/>
              </w:rPr>
              <w:t xml:space="preserve"> </w:t>
            </w:r>
            <w:r w:rsidRPr="00F457A7">
              <w:rPr>
                <w:rFonts w:cstheme="minorHAnsi"/>
                <w:i/>
                <w:iCs/>
              </w:rPr>
              <w:t>rozmiaru masy upadłości, w szczególności, gdy w skład masy upadłości wchodzi</w:t>
            </w:r>
          </w:p>
          <w:p w14:paraId="35CDE6C7" w14:textId="4FA97767" w:rsidR="00AE288B" w:rsidRPr="00683703" w:rsidRDefault="00AE288B" w:rsidP="00AE288B">
            <w:pPr>
              <w:autoSpaceDE w:val="0"/>
              <w:autoSpaceDN w:val="0"/>
              <w:adjustRightInd w:val="0"/>
              <w:jc w:val="both"/>
              <w:rPr>
                <w:rFonts w:cstheme="minorHAnsi"/>
              </w:rPr>
            </w:pPr>
            <w:r w:rsidRPr="00F457A7">
              <w:rPr>
                <w:rFonts w:cstheme="minorHAnsi"/>
                <w:i/>
                <w:iCs/>
              </w:rPr>
              <w:t>nieruchomość, lub z konieczności dochodzenia przekazania do masy upadłości tego, co</w:t>
            </w:r>
            <w:r>
              <w:rPr>
                <w:rFonts w:cstheme="minorHAnsi"/>
                <w:i/>
                <w:iCs/>
              </w:rPr>
              <w:t xml:space="preserve"> </w:t>
            </w:r>
            <w:r w:rsidRPr="00F457A7">
              <w:rPr>
                <w:rFonts w:cstheme="minorHAnsi"/>
                <w:i/>
                <w:iCs/>
              </w:rPr>
              <w:t>wskutek czynności dłużnika bezskutecznych wobec masy upadłości lub wierzycieli ubyło</w:t>
            </w:r>
            <w:r>
              <w:rPr>
                <w:rFonts w:cstheme="minorHAnsi"/>
                <w:i/>
                <w:iCs/>
              </w:rPr>
              <w:t xml:space="preserve"> </w:t>
            </w:r>
            <w:r w:rsidRPr="00F457A7">
              <w:rPr>
                <w:rFonts w:cstheme="minorHAnsi"/>
                <w:i/>
                <w:iCs/>
              </w:rPr>
              <w:t>z majątku upadłego lub do niego nie weszło.</w:t>
            </w:r>
          </w:p>
        </w:tc>
      </w:tr>
      <w:tr w:rsidR="00AE288B" w:rsidRPr="00486628" w14:paraId="02255B09" w14:textId="77777777" w:rsidTr="00AC5078">
        <w:tc>
          <w:tcPr>
            <w:tcW w:w="158" w:type="pct"/>
          </w:tcPr>
          <w:p w14:paraId="5CA690B5" w14:textId="487E9C22" w:rsidR="00AE288B" w:rsidRDefault="00AE288B" w:rsidP="00AE288B">
            <w:pPr>
              <w:jc w:val="center"/>
              <w:rPr>
                <w:rFonts w:cstheme="minorHAnsi"/>
              </w:rPr>
            </w:pPr>
            <w:r>
              <w:rPr>
                <w:rFonts w:cstheme="minorHAnsi"/>
              </w:rPr>
              <w:lastRenderedPageBreak/>
              <w:t>49</w:t>
            </w:r>
          </w:p>
        </w:tc>
        <w:tc>
          <w:tcPr>
            <w:tcW w:w="698" w:type="pct"/>
          </w:tcPr>
          <w:p w14:paraId="7D0A4BC3" w14:textId="4F3C48C9" w:rsidR="00AE288B" w:rsidRPr="000D7E12" w:rsidRDefault="00AE288B" w:rsidP="00AE288B">
            <w:pPr>
              <w:rPr>
                <w:rFonts w:ascii="Calibri" w:hAnsi="Calibri" w:cs="Calibri"/>
              </w:rPr>
            </w:pPr>
            <w:r w:rsidRPr="00AC5078">
              <w:rPr>
                <w:rFonts w:ascii="Calibri" w:hAnsi="Calibri" w:cs="Calibri"/>
              </w:rPr>
              <w:t>Sekcja Prawa Upadłościowego i Restrukturyzacyjnego Instytutu Allerhanda</w:t>
            </w:r>
          </w:p>
        </w:tc>
        <w:tc>
          <w:tcPr>
            <w:tcW w:w="591" w:type="pct"/>
          </w:tcPr>
          <w:p w14:paraId="0F097A25" w14:textId="37715C90" w:rsidR="00AE288B" w:rsidRPr="00AC5078" w:rsidRDefault="00AE288B" w:rsidP="00AE288B">
            <w:pPr>
              <w:rPr>
                <w:rFonts w:ascii="Calibri" w:hAnsi="Calibri" w:cs="Calibri"/>
              </w:rPr>
            </w:pPr>
            <w:r w:rsidRPr="002B3340">
              <w:rPr>
                <w:rFonts w:cstheme="minorHAnsi"/>
                <w:b/>
                <w:bCs/>
                <w:lang w:val="en-GB"/>
              </w:rPr>
              <w:t>Art. 1 pkt 13 lit. d</w:t>
            </w:r>
            <w:r w:rsidRPr="002B3340">
              <w:rPr>
                <w:rFonts w:cstheme="minorHAnsi"/>
                <w:lang w:val="en-GB"/>
              </w:rPr>
              <w:t xml:space="preserve"> (art. 491</w:t>
            </w:r>
            <w:r w:rsidRPr="002B3340">
              <w:rPr>
                <w:rFonts w:cstheme="minorHAnsi"/>
                <w:vertAlign w:val="superscript"/>
                <w:lang w:val="en-GB"/>
              </w:rPr>
              <w:t>9</w:t>
            </w:r>
            <w:r w:rsidRPr="002B3340">
              <w:rPr>
                <w:rFonts w:cstheme="minorHAnsi"/>
                <w:lang w:val="en-GB"/>
              </w:rPr>
              <w:t xml:space="preserve"> ust. 3 P.U.)</w:t>
            </w:r>
          </w:p>
        </w:tc>
        <w:tc>
          <w:tcPr>
            <w:tcW w:w="1418" w:type="pct"/>
          </w:tcPr>
          <w:p w14:paraId="2E7EF320" w14:textId="77777777" w:rsidR="00AE288B" w:rsidRDefault="00AE288B" w:rsidP="00AE288B">
            <w:pPr>
              <w:pStyle w:val="Default"/>
              <w:jc w:val="both"/>
              <w:rPr>
                <w:rFonts w:asciiTheme="minorHAnsi" w:hAnsiTheme="minorHAnsi" w:cstheme="minorHAnsi"/>
                <w:sz w:val="22"/>
                <w:szCs w:val="22"/>
              </w:rPr>
            </w:pPr>
            <w:r>
              <w:rPr>
                <w:rFonts w:asciiTheme="minorHAnsi" w:hAnsiTheme="minorHAnsi" w:cstheme="minorHAnsi"/>
                <w:sz w:val="22"/>
                <w:szCs w:val="22"/>
              </w:rPr>
              <w:t xml:space="preserve">Aprobując </w:t>
            </w:r>
            <w:r w:rsidRPr="007915B6">
              <w:rPr>
                <w:rFonts w:asciiTheme="minorHAnsi" w:hAnsiTheme="minorHAnsi" w:cstheme="minorHAnsi"/>
                <w:sz w:val="22"/>
                <w:szCs w:val="22"/>
              </w:rPr>
              <w:t>określenie stałego wynagrodzenia dla syndyka w wysokości jednokrotności przeciętnego miesięcznego wynagrodzenia w sektorze przedsiębiorstw bez wypłat nagród z zysku w trzecim kwartale roku poprzedniego, ogłoszonego przez Prezesa Głównego Urzędu Statystycznego – jako wynagrodzenia podstawowego. Limit kosztów „bez-efektywnej” upadłości konsumenckiej</w:t>
            </w:r>
            <w:r>
              <w:rPr>
                <w:rFonts w:asciiTheme="minorHAnsi" w:hAnsiTheme="minorHAnsi" w:cstheme="minorHAnsi"/>
                <w:sz w:val="22"/>
                <w:szCs w:val="22"/>
              </w:rPr>
              <w:t>, w której wyniku nie dojdzie do pokrycia kosztów poniesionych przez Skarb Państwa</w:t>
            </w:r>
            <w:r w:rsidRPr="007915B6">
              <w:rPr>
                <w:rFonts w:asciiTheme="minorHAnsi" w:hAnsiTheme="minorHAnsi" w:cstheme="minorHAnsi"/>
                <w:sz w:val="22"/>
                <w:szCs w:val="22"/>
              </w:rPr>
              <w:t xml:space="preserve"> też może zostać ustalony na minimalnym poziomie, ale o charakterze realistycznym. Zdaniem Sekcji, przedmiotowy limit powinien wynosić przynajmniej ½ wynagrodzenia przeciętnego miesięcznego wynagrodzenia w sektorze przedsiębiorstw bez wypłat nagród z zysku w </w:t>
            </w:r>
            <w:r w:rsidRPr="007915B6">
              <w:rPr>
                <w:rFonts w:asciiTheme="minorHAnsi" w:hAnsiTheme="minorHAnsi" w:cstheme="minorHAnsi"/>
                <w:sz w:val="22"/>
                <w:szCs w:val="22"/>
              </w:rPr>
              <w:lastRenderedPageBreak/>
              <w:t>trzecim kwartale roku poprzedniego, ogłoszonego przez Prezesa Głównego Urzędu Statystycznego – za cały okres postępowania. Niższe limity doprowadzą do upośledzenia finansowego kancelarii doradców restrukturyzacyjnych i ich bezpośrednich kooperantów (personel administracyjny, koszty wynajmu powierzchni, mediów, materiałów biurowych itp.). Tymczasem – jak się wydaje - nie taki cel przyświeca ustawodawcy, który od lat wprowadza normy powodujące profesjonalizację zawodu doradcy restrukturyzacyjnego, choćby z powodu konieczności utrzymywania kancelarii dostępnej dla uczestników postępowania, a także z obsługą i przechowywaniem korespondencji oraz dokumentacji związanej z postępowaniem upadłościowym.</w:t>
            </w:r>
          </w:p>
          <w:p w14:paraId="5741D922" w14:textId="77777777" w:rsidR="00AE288B" w:rsidRDefault="00AE288B" w:rsidP="00AE288B">
            <w:pPr>
              <w:pStyle w:val="Default"/>
              <w:jc w:val="both"/>
              <w:rPr>
                <w:rFonts w:asciiTheme="minorHAnsi" w:hAnsiTheme="minorHAnsi" w:cstheme="minorHAnsi"/>
                <w:sz w:val="22"/>
                <w:szCs w:val="22"/>
              </w:rPr>
            </w:pPr>
          </w:p>
          <w:p w14:paraId="799F8C1E" w14:textId="4F5BF024" w:rsidR="00AE288B" w:rsidRPr="00AC5078" w:rsidRDefault="00AE288B" w:rsidP="00AE288B">
            <w:pPr>
              <w:jc w:val="both"/>
            </w:pPr>
            <w:r>
              <w:rPr>
                <w:rFonts w:cstheme="minorHAnsi"/>
              </w:rPr>
              <w:t xml:space="preserve">Powyższa </w:t>
            </w:r>
            <w:r w:rsidRPr="005B4482">
              <w:rPr>
                <w:rFonts w:cstheme="minorHAnsi"/>
              </w:rPr>
              <w:t>reguła powinna stosować się do kosztów postępowania (których limit w tych przypadkach mógłby być wyższy niż ½, ale np. wynosić dwukrotność przeciętnego miesięcznego wynagrodzenia w sektorze przedsiębiorstw</w:t>
            </w:r>
            <w:r w:rsidR="001D6E5D">
              <w:rPr>
                <w:rFonts w:cstheme="minorHAnsi"/>
              </w:rPr>
              <w:t>.</w:t>
            </w:r>
          </w:p>
        </w:tc>
        <w:tc>
          <w:tcPr>
            <w:tcW w:w="1027" w:type="pct"/>
          </w:tcPr>
          <w:p w14:paraId="287E1BE5" w14:textId="2FD9A5A5" w:rsidR="00AE288B" w:rsidRPr="00724947" w:rsidRDefault="00AE288B" w:rsidP="00AE288B">
            <w:pPr>
              <w:jc w:val="both"/>
              <w:rPr>
                <w:rFonts w:ascii="Calibri" w:hAnsi="Calibri" w:cs="Calibri"/>
              </w:rPr>
            </w:pPr>
            <w:r w:rsidRPr="00724947">
              <w:rPr>
                <w:rFonts w:ascii="Calibri" w:hAnsi="Calibri" w:cs="Calibri"/>
              </w:rPr>
              <w:lastRenderedPageBreak/>
              <w:t>Art. 49</w:t>
            </w:r>
            <w:r>
              <w:rPr>
                <w:rFonts w:ascii="Calibri" w:hAnsi="Calibri" w:cs="Calibri"/>
              </w:rPr>
              <w:t>1</w:t>
            </w:r>
            <w:r>
              <w:rPr>
                <w:rFonts w:ascii="Calibri" w:hAnsi="Calibri" w:cs="Calibri"/>
                <w:vertAlign w:val="superscript"/>
              </w:rPr>
              <w:t>9</w:t>
            </w:r>
            <w:r w:rsidRPr="00724947">
              <w:rPr>
                <w:rFonts w:ascii="Calibri" w:hAnsi="Calibri" w:cs="Calibri"/>
              </w:rPr>
              <w:t xml:space="preserve"> ust. 3 „Sąd może ustalić wynagrodzenie syndyka w wysokości do czterokrotności przeciętnego miesięcznego wynagrodzenia, o którym mowa w ust. 1, jeżeli jest to uzasadnione zwiększonym nakładem pracy syndyka wynikającym w szczególności ze stopnia skomplikowania postępowania oraz liczby wierzycieli, jeżeli syndykowi uda się zapewnić pełne pokrycie kosztów postępowania upadłościowego z funduszy masy upadłości, w tym też </w:t>
            </w:r>
            <w:r w:rsidRPr="00724947">
              <w:rPr>
                <w:rFonts w:ascii="Calibri" w:hAnsi="Calibri" w:cs="Calibri"/>
              </w:rPr>
              <w:lastRenderedPageBreak/>
              <w:t>wnioskowanego wynagrodzenia”.</w:t>
            </w:r>
          </w:p>
          <w:p w14:paraId="0900D984" w14:textId="77777777" w:rsidR="00AE288B" w:rsidRPr="00724947" w:rsidRDefault="00AE288B" w:rsidP="00AE288B">
            <w:pPr>
              <w:jc w:val="both"/>
              <w:rPr>
                <w:rFonts w:ascii="Calibri" w:hAnsi="Calibri" w:cs="Calibri"/>
              </w:rPr>
            </w:pPr>
          </w:p>
          <w:p w14:paraId="78CF6151" w14:textId="46F6E555" w:rsidR="00AE288B" w:rsidRPr="00CC7F2E" w:rsidRDefault="00AE288B" w:rsidP="00AE288B">
            <w:pPr>
              <w:jc w:val="both"/>
              <w:rPr>
                <w:rFonts w:ascii="Calibri" w:hAnsi="Calibri" w:cs="Calibri"/>
              </w:rPr>
            </w:pPr>
            <w:r w:rsidRPr="00724947">
              <w:rPr>
                <w:rFonts w:ascii="Calibri" w:hAnsi="Calibri" w:cs="Calibri"/>
              </w:rPr>
              <w:t>„art. 49</w:t>
            </w:r>
            <w:r>
              <w:rPr>
                <w:rFonts w:ascii="Calibri" w:hAnsi="Calibri" w:cs="Calibri"/>
              </w:rPr>
              <w:t>1</w:t>
            </w:r>
            <w:r>
              <w:rPr>
                <w:rFonts w:ascii="Calibri" w:hAnsi="Calibri" w:cs="Calibri"/>
                <w:vertAlign w:val="superscript"/>
              </w:rPr>
              <w:t>9</w:t>
            </w:r>
            <w:r w:rsidRPr="00724947">
              <w:rPr>
                <w:rFonts w:ascii="Calibri" w:hAnsi="Calibri" w:cs="Calibri"/>
              </w:rPr>
              <w:t xml:space="preserve"> ust. 3 stosuje się odpowiednio do art. 49</w:t>
            </w:r>
            <w:r>
              <w:rPr>
                <w:rFonts w:ascii="Calibri" w:hAnsi="Calibri" w:cs="Calibri"/>
              </w:rPr>
              <w:t>1</w:t>
            </w:r>
            <w:r>
              <w:rPr>
                <w:rFonts w:ascii="Calibri" w:hAnsi="Calibri" w:cs="Calibri"/>
                <w:vertAlign w:val="superscript"/>
              </w:rPr>
              <w:t>9</w:t>
            </w:r>
            <w:r w:rsidRPr="00724947">
              <w:rPr>
                <w:rFonts w:ascii="Calibri" w:hAnsi="Calibri" w:cs="Calibri"/>
              </w:rPr>
              <w:t xml:space="preserve"> ust. 3a, z zastrzeżeniem, że określona wysokość zryczałtowanych kosztów postępowania prowadzonego według przepisów niniejszego tytułu nie może przekroczyć dwukrotności przeciętnego miesięcznego wynagrodzenia, o którym mowa w ust. 1.”</w:t>
            </w:r>
          </w:p>
        </w:tc>
        <w:tc>
          <w:tcPr>
            <w:tcW w:w="1108" w:type="pct"/>
          </w:tcPr>
          <w:p w14:paraId="167E9DD0" w14:textId="77777777" w:rsidR="00AE288B" w:rsidRDefault="00EB68A8" w:rsidP="00AE288B">
            <w:pPr>
              <w:jc w:val="both"/>
              <w:rPr>
                <w:rFonts w:cstheme="minorHAnsi"/>
                <w:b/>
                <w:bCs/>
              </w:rPr>
            </w:pPr>
            <w:r>
              <w:rPr>
                <w:rFonts w:cstheme="minorHAnsi"/>
                <w:b/>
                <w:bCs/>
              </w:rPr>
              <w:lastRenderedPageBreak/>
              <w:t xml:space="preserve">Uwaga uwzględniona </w:t>
            </w:r>
          </w:p>
          <w:p w14:paraId="2542387C" w14:textId="77777777" w:rsidR="00EB68A8" w:rsidRDefault="00EB68A8" w:rsidP="00AE288B">
            <w:pPr>
              <w:jc w:val="both"/>
              <w:rPr>
                <w:rFonts w:cstheme="minorHAnsi"/>
              </w:rPr>
            </w:pPr>
          </w:p>
          <w:p w14:paraId="5B56F2D1" w14:textId="683CFEA3" w:rsidR="00EB68A8" w:rsidRPr="00EB68A8" w:rsidRDefault="00EB68A8" w:rsidP="00AE288B">
            <w:pPr>
              <w:jc w:val="both"/>
              <w:rPr>
                <w:rFonts w:cstheme="minorHAnsi"/>
              </w:rPr>
            </w:pPr>
            <w:r>
              <w:rPr>
                <w:rFonts w:cstheme="minorHAnsi"/>
              </w:rPr>
              <w:t>Dokonano zmiany treści art. 491</w:t>
            </w:r>
            <w:r>
              <w:rPr>
                <w:rFonts w:cstheme="minorHAnsi"/>
                <w:vertAlign w:val="superscript"/>
              </w:rPr>
              <w:t xml:space="preserve">9 </w:t>
            </w:r>
            <w:r>
              <w:rPr>
                <w:rFonts w:cstheme="minorHAnsi"/>
              </w:rPr>
              <w:t xml:space="preserve">ust. </w:t>
            </w:r>
            <w:r w:rsidR="00D51ABB">
              <w:rPr>
                <w:rFonts w:cstheme="minorHAnsi"/>
              </w:rPr>
              <w:t xml:space="preserve">3 </w:t>
            </w:r>
          </w:p>
          <w:p w14:paraId="16732D29" w14:textId="189632C8" w:rsidR="00EB68A8" w:rsidRPr="00EB68A8" w:rsidRDefault="00EB68A8" w:rsidP="00EB68A8">
            <w:pPr>
              <w:jc w:val="both"/>
              <w:rPr>
                <w:rFonts w:cstheme="minorHAnsi"/>
                <w:bCs/>
              </w:rPr>
            </w:pPr>
          </w:p>
          <w:p w14:paraId="46D55B88" w14:textId="3C8CCA53" w:rsidR="00EB68A8" w:rsidRPr="00EB68A8" w:rsidRDefault="00D51ABB" w:rsidP="00EB68A8">
            <w:pPr>
              <w:jc w:val="both"/>
              <w:rPr>
                <w:rFonts w:cstheme="minorHAnsi"/>
              </w:rPr>
            </w:pPr>
            <w:r>
              <w:rPr>
                <w:rFonts w:cstheme="minorHAnsi"/>
              </w:rPr>
              <w:t>„</w:t>
            </w:r>
            <w:r w:rsidRPr="00D51ABB">
              <w:rPr>
                <w:rFonts w:cstheme="minorHAnsi"/>
                <w:i/>
                <w:iCs/>
              </w:rPr>
              <w:t xml:space="preserve">Jeżeli wysokość wynagrodzenia syndyka, o której mowa w ust. 2 byłaby rażąco wygórowana w stosunku do nakładu jego pracy wynikającego z przebiegu prowadzonego postępowania, w szczególności w razie umorzenia postępowania na wczesnym etapie, sąd może z urzędu obniżyć wynagrodzenie syndyka do wysokości nie niższej niż jedna czwarta przeciętnego </w:t>
            </w:r>
            <w:r w:rsidRPr="00D51ABB">
              <w:rPr>
                <w:rFonts w:cstheme="minorHAnsi"/>
                <w:i/>
                <w:iCs/>
              </w:rPr>
              <w:lastRenderedPageBreak/>
              <w:t>wynagrodzenia, o którym mowa w ust. 2.”,</w:t>
            </w:r>
          </w:p>
        </w:tc>
      </w:tr>
      <w:tr w:rsidR="00AE288B" w:rsidRPr="00486628" w14:paraId="7E820E8F" w14:textId="77777777" w:rsidTr="00AC5078">
        <w:tc>
          <w:tcPr>
            <w:tcW w:w="158" w:type="pct"/>
          </w:tcPr>
          <w:p w14:paraId="25D8811B" w14:textId="61F73C88" w:rsidR="00AE288B" w:rsidRDefault="00AE288B" w:rsidP="00AE288B">
            <w:pPr>
              <w:jc w:val="center"/>
              <w:rPr>
                <w:rFonts w:cstheme="minorHAnsi"/>
              </w:rPr>
            </w:pPr>
            <w:r>
              <w:rPr>
                <w:rFonts w:cstheme="minorHAnsi"/>
              </w:rPr>
              <w:lastRenderedPageBreak/>
              <w:t>50</w:t>
            </w:r>
          </w:p>
        </w:tc>
        <w:tc>
          <w:tcPr>
            <w:tcW w:w="698" w:type="pct"/>
          </w:tcPr>
          <w:p w14:paraId="7DDDB7DB" w14:textId="2E370CEC" w:rsidR="00AE288B" w:rsidRPr="00AC5078" w:rsidRDefault="00AE288B" w:rsidP="00AE288B">
            <w:pPr>
              <w:rPr>
                <w:rFonts w:ascii="Calibri" w:hAnsi="Calibri" w:cs="Calibri"/>
              </w:rPr>
            </w:pPr>
            <w:r w:rsidRPr="00724947">
              <w:rPr>
                <w:rFonts w:ascii="Calibri" w:hAnsi="Calibri" w:cs="Calibri"/>
              </w:rPr>
              <w:t>Sekcja Prawa Upadłościowego i Restrukturyzacyjnego Instytutu Allerhanda</w:t>
            </w:r>
          </w:p>
        </w:tc>
        <w:tc>
          <w:tcPr>
            <w:tcW w:w="591" w:type="pct"/>
          </w:tcPr>
          <w:p w14:paraId="3DE33E9A" w14:textId="45068207" w:rsidR="00AE288B" w:rsidRPr="002B3340" w:rsidRDefault="00AE288B" w:rsidP="00AE288B">
            <w:pPr>
              <w:rPr>
                <w:rFonts w:cstheme="minorHAnsi"/>
                <w:b/>
                <w:bCs/>
                <w:lang w:val="en-GB"/>
              </w:rPr>
            </w:pPr>
            <w:r w:rsidRPr="00231517">
              <w:rPr>
                <w:rFonts w:ascii="Calibri" w:hAnsi="Calibri" w:cs="Calibri"/>
                <w:b/>
                <w:bCs/>
              </w:rPr>
              <w:t>Art. 1 pkt 10</w:t>
            </w:r>
            <w:r>
              <w:rPr>
                <w:rFonts w:ascii="Calibri" w:hAnsi="Calibri" w:cs="Calibri"/>
              </w:rPr>
              <w:t xml:space="preserve"> (</w:t>
            </w:r>
            <w:r w:rsidRPr="00627622">
              <w:rPr>
                <w:rFonts w:ascii="Calibri" w:hAnsi="Calibri" w:cs="Calibri"/>
              </w:rPr>
              <w:t>art. 491</w:t>
            </w:r>
            <w:r>
              <w:rPr>
                <w:rFonts w:ascii="Calibri" w:hAnsi="Calibri" w:cs="Calibri"/>
                <w:vertAlign w:val="superscript"/>
              </w:rPr>
              <w:t>1</w:t>
            </w:r>
            <w:r w:rsidRPr="00627622">
              <w:rPr>
                <w:rFonts w:ascii="Calibri" w:hAnsi="Calibri" w:cs="Calibri"/>
              </w:rPr>
              <w:t xml:space="preserve"> ust. 3 P.U.</w:t>
            </w:r>
            <w:r>
              <w:rPr>
                <w:rFonts w:ascii="Calibri" w:hAnsi="Calibri" w:cs="Calibri"/>
              </w:rPr>
              <w:t>)</w:t>
            </w:r>
          </w:p>
        </w:tc>
        <w:tc>
          <w:tcPr>
            <w:tcW w:w="1418" w:type="pct"/>
          </w:tcPr>
          <w:p w14:paraId="425909D0" w14:textId="696EFA7B" w:rsidR="00AE288B" w:rsidRDefault="00AE288B" w:rsidP="00AE288B">
            <w:pPr>
              <w:jc w:val="both"/>
            </w:pPr>
            <w:r>
              <w:t>Opiniujący krytycznie ocenia propozycję zawartą w art. 1 pkt 10 projektu, przewidującą ustalanie wynagrodzenia syndyka w postępowaniach upadłościowych prowadzonych w trybie art. 491</w:t>
            </w:r>
            <w:r>
              <w:rPr>
                <w:vertAlign w:val="superscript"/>
              </w:rPr>
              <w:t>1</w:t>
            </w:r>
            <w:r>
              <w:t xml:space="preserve"> ust. 2 (tryb komisarski) na takich samych zasadach jak w </w:t>
            </w:r>
            <w:r>
              <w:lastRenderedPageBreak/>
              <w:t>przypadku postępowań z art. 491</w:t>
            </w:r>
            <w:r>
              <w:rPr>
                <w:vertAlign w:val="superscript"/>
              </w:rPr>
              <w:t>1</w:t>
            </w:r>
            <w:r>
              <w:t xml:space="preserve"> ust. 1 (uproszczone postępowanie konsumenckie).</w:t>
            </w:r>
          </w:p>
          <w:p w14:paraId="51E55F1A" w14:textId="6CDA5B1C" w:rsidR="00AE288B" w:rsidRPr="00724947" w:rsidRDefault="00AE288B" w:rsidP="00AE288B">
            <w:pPr>
              <w:jc w:val="both"/>
            </w:pPr>
            <w:r>
              <w:t>W praktyce, w tym w przypadku postępowań prowadzonych w tzw. trybie komisarskim, syndycy nie raz borykają się z problematyką byłego przedsiębiorcy, który przed złożeniem wniosku inicjującego postępowanie wyrejestrował się z CEIDG. W takim postępowaniu często należy zmierzyć się z konsekwencjami działalności gospodarczej dłużnika w sytuacji braku ciągłości dokumentacji oraz deficytu informacyjnego po stronie syndyka. Oznacza to, że mimo obowiązywania rygoru przepisów działu dot. upadłości konsumentów, faktycznie syndyk ma do czynienia z upadłością przedsiębiorcy. W takich przypadkach niesłusznym jest przyznawanie mu z zasady wynagrodzenia właściwego dla procedury uproszczonej, gdyż nie będzie ono adekwatne do nakładu pracy niezbędnego do zabezpieczenia interesów wierzycieli.</w:t>
            </w:r>
          </w:p>
        </w:tc>
        <w:tc>
          <w:tcPr>
            <w:tcW w:w="1027" w:type="pct"/>
          </w:tcPr>
          <w:p w14:paraId="677E5B62" w14:textId="5445DE1E" w:rsidR="00AE288B" w:rsidRPr="00CC7F2E" w:rsidRDefault="00AE288B" w:rsidP="00AE288B">
            <w:pPr>
              <w:jc w:val="both"/>
              <w:rPr>
                <w:rFonts w:ascii="Calibri" w:hAnsi="Calibri" w:cs="Calibri"/>
              </w:rPr>
            </w:pPr>
            <w:r>
              <w:rPr>
                <w:rFonts w:ascii="Calibri" w:hAnsi="Calibri" w:cs="Calibri"/>
              </w:rPr>
              <w:lastRenderedPageBreak/>
              <w:t>P</w:t>
            </w:r>
            <w:r w:rsidRPr="00724947">
              <w:rPr>
                <w:rFonts w:ascii="Calibri" w:hAnsi="Calibri" w:cs="Calibri"/>
              </w:rPr>
              <w:t>ostuluje odpowiednią modyfikację art. 49</w:t>
            </w:r>
            <w:r>
              <w:rPr>
                <w:rFonts w:ascii="Calibri" w:hAnsi="Calibri" w:cs="Calibri"/>
              </w:rPr>
              <w:t>1</w:t>
            </w:r>
            <w:r>
              <w:rPr>
                <w:rFonts w:ascii="Calibri" w:hAnsi="Calibri" w:cs="Calibri"/>
                <w:vertAlign w:val="superscript"/>
              </w:rPr>
              <w:t>9</w:t>
            </w:r>
            <w:r w:rsidRPr="00724947">
              <w:rPr>
                <w:rFonts w:ascii="Calibri" w:hAnsi="Calibri" w:cs="Calibri"/>
              </w:rPr>
              <w:t xml:space="preserve"> ust. 4 poprzez zastąpienie sformułowania „zwrotu jego wydatków” wyrażeniem „ustalenia kosztów”: „W przedmiocie wynagrodzenia </w:t>
            </w:r>
            <w:r w:rsidRPr="00724947">
              <w:rPr>
                <w:rFonts w:ascii="Calibri" w:hAnsi="Calibri" w:cs="Calibri"/>
              </w:rPr>
              <w:lastRenderedPageBreak/>
              <w:t>syndyka, o którym mowa w ust. 3, oraz zwrotu jego wydatków ustalenia kosztów postępowania, orzeka sąd upadłościowy w składzie jednego sędziego zawodowego”. Sformułowanie „zwrot wydatków” jest bowiem reliktem nieobowiązującej już ustawy i nie powinno być stosowane na nowym brzmieniu przepisów, gdzie w ogóle nie ma mowy o zwrocie wydatków syndyka. To rozwiązanie było bowiem znane Prawu upadłościowemu i naprawczemu, i przestało funkcjonować po 01.01.2016.</w:t>
            </w:r>
          </w:p>
        </w:tc>
        <w:tc>
          <w:tcPr>
            <w:tcW w:w="1108" w:type="pct"/>
          </w:tcPr>
          <w:p w14:paraId="34A47D09" w14:textId="5E2F3C26" w:rsidR="002022BA" w:rsidRDefault="002022BA" w:rsidP="002022BA">
            <w:pPr>
              <w:jc w:val="both"/>
              <w:rPr>
                <w:rFonts w:cstheme="minorHAnsi"/>
                <w:b/>
                <w:bCs/>
              </w:rPr>
            </w:pPr>
            <w:r>
              <w:rPr>
                <w:rFonts w:cstheme="minorHAnsi"/>
                <w:b/>
                <w:bCs/>
              </w:rPr>
              <w:lastRenderedPageBreak/>
              <w:t xml:space="preserve">Uwaga częściowo </w:t>
            </w:r>
            <w:r w:rsidR="009F0B6A">
              <w:rPr>
                <w:rFonts w:cstheme="minorHAnsi"/>
                <w:b/>
                <w:bCs/>
              </w:rPr>
              <w:t>uwzględniona</w:t>
            </w:r>
            <w:r>
              <w:rPr>
                <w:rFonts w:cstheme="minorHAnsi"/>
                <w:b/>
                <w:bCs/>
              </w:rPr>
              <w:t xml:space="preserve"> </w:t>
            </w:r>
          </w:p>
          <w:p w14:paraId="12351B9E" w14:textId="77777777" w:rsidR="002022BA" w:rsidRDefault="002022BA" w:rsidP="002022BA">
            <w:pPr>
              <w:jc w:val="both"/>
              <w:rPr>
                <w:rFonts w:cstheme="minorHAnsi"/>
                <w:b/>
                <w:bCs/>
              </w:rPr>
            </w:pPr>
          </w:p>
          <w:p w14:paraId="2F7DE9E7" w14:textId="7CCD77B9" w:rsidR="00AE288B" w:rsidRPr="005C0310" w:rsidRDefault="002022BA" w:rsidP="002022BA">
            <w:pPr>
              <w:jc w:val="both"/>
              <w:rPr>
                <w:rFonts w:cstheme="minorHAnsi"/>
              </w:rPr>
            </w:pPr>
            <w:r w:rsidRPr="005C0310">
              <w:rPr>
                <w:rFonts w:cstheme="minorHAnsi"/>
              </w:rPr>
              <w:t>Dokonano zmiany treści art. 491</w:t>
            </w:r>
            <w:r w:rsidRPr="005C0310">
              <w:rPr>
                <w:rFonts w:cstheme="minorHAnsi"/>
                <w:vertAlign w:val="superscript"/>
              </w:rPr>
              <w:t>9</w:t>
            </w:r>
            <w:r w:rsidRPr="005C0310">
              <w:rPr>
                <w:rFonts w:cstheme="minorHAnsi"/>
              </w:rPr>
              <w:t xml:space="preserve"> </w:t>
            </w:r>
            <w:r w:rsidR="001D6E5D">
              <w:rPr>
                <w:rFonts w:cstheme="minorHAnsi"/>
              </w:rPr>
              <w:t>P.U.</w:t>
            </w:r>
          </w:p>
          <w:p w14:paraId="116B80B4" w14:textId="20244B03" w:rsidR="002022BA" w:rsidRPr="002115F4" w:rsidRDefault="002115F4" w:rsidP="002022BA">
            <w:pPr>
              <w:jc w:val="both"/>
              <w:rPr>
                <w:rFonts w:cstheme="minorHAnsi"/>
                <w:bCs/>
              </w:rPr>
            </w:pPr>
            <w:r>
              <w:rPr>
                <w:rFonts w:cstheme="minorHAnsi"/>
                <w:bCs/>
              </w:rPr>
              <w:t xml:space="preserve">Wprowadzająca zarówno możliwość odpowiedniego, stosownie do okoliczności sprawy </w:t>
            </w:r>
            <w:r>
              <w:rPr>
                <w:rFonts w:cstheme="minorHAnsi"/>
                <w:bCs/>
              </w:rPr>
              <w:lastRenderedPageBreak/>
              <w:t xml:space="preserve">podniesienie jak i też obniżenia wynagrodzenia </w:t>
            </w:r>
            <w:r w:rsidR="00D51ABB">
              <w:rPr>
                <w:rFonts w:cstheme="minorHAnsi"/>
                <w:bCs/>
              </w:rPr>
              <w:t>syndyka</w:t>
            </w:r>
            <w:r>
              <w:rPr>
                <w:rFonts w:cstheme="minorHAnsi"/>
                <w:bCs/>
              </w:rPr>
              <w:t xml:space="preserve">. </w:t>
            </w:r>
          </w:p>
          <w:p w14:paraId="7584B0DD" w14:textId="24BDD635" w:rsidR="002022BA" w:rsidRPr="002022BA" w:rsidRDefault="002022BA" w:rsidP="002022BA">
            <w:pPr>
              <w:jc w:val="both"/>
              <w:rPr>
                <w:rFonts w:cstheme="minorHAnsi"/>
              </w:rPr>
            </w:pPr>
          </w:p>
        </w:tc>
      </w:tr>
      <w:tr w:rsidR="00AE288B" w:rsidRPr="00486628" w14:paraId="7D5587DD" w14:textId="77777777" w:rsidTr="00AC5078">
        <w:tc>
          <w:tcPr>
            <w:tcW w:w="158" w:type="pct"/>
          </w:tcPr>
          <w:p w14:paraId="02B204D9" w14:textId="17E7FED2" w:rsidR="00AE288B" w:rsidRDefault="00AE288B" w:rsidP="00AE288B">
            <w:pPr>
              <w:jc w:val="center"/>
              <w:rPr>
                <w:rFonts w:cstheme="minorHAnsi"/>
              </w:rPr>
            </w:pPr>
            <w:r>
              <w:rPr>
                <w:rFonts w:cstheme="minorHAnsi"/>
              </w:rPr>
              <w:lastRenderedPageBreak/>
              <w:t>51</w:t>
            </w:r>
          </w:p>
        </w:tc>
        <w:tc>
          <w:tcPr>
            <w:tcW w:w="698" w:type="pct"/>
          </w:tcPr>
          <w:p w14:paraId="0270ACD6" w14:textId="5BB8244A" w:rsidR="00AE288B" w:rsidRPr="00724947" w:rsidRDefault="00AE288B" w:rsidP="00AE288B">
            <w:pPr>
              <w:rPr>
                <w:rFonts w:ascii="Calibri" w:hAnsi="Calibri" w:cs="Calibri"/>
              </w:rPr>
            </w:pPr>
            <w:r w:rsidRPr="00724947">
              <w:rPr>
                <w:rFonts w:ascii="Calibri" w:hAnsi="Calibri" w:cs="Calibri"/>
              </w:rPr>
              <w:t>Sekcja Prawa Upadłościowego i Restrukturyzacyjnego Instytutu Allerhanda</w:t>
            </w:r>
          </w:p>
        </w:tc>
        <w:tc>
          <w:tcPr>
            <w:tcW w:w="591" w:type="pct"/>
          </w:tcPr>
          <w:p w14:paraId="37A34378" w14:textId="781A2CE8" w:rsidR="00AE288B" w:rsidRPr="00724947" w:rsidRDefault="00AE288B" w:rsidP="00AE288B">
            <w:pPr>
              <w:rPr>
                <w:rFonts w:ascii="Calibri" w:hAnsi="Calibri" w:cs="Calibri"/>
              </w:rPr>
            </w:pPr>
            <w:r w:rsidRPr="00724947">
              <w:rPr>
                <w:rFonts w:ascii="Calibri" w:hAnsi="Calibri" w:cs="Calibri"/>
              </w:rPr>
              <w:t>art. 51 ust. 1 pkt. 4 oraz art. 491</w:t>
            </w:r>
            <w:r>
              <w:rPr>
                <w:rFonts w:ascii="Calibri" w:hAnsi="Calibri" w:cs="Calibri"/>
                <w:vertAlign w:val="superscript"/>
              </w:rPr>
              <w:t>5</w:t>
            </w:r>
            <w:r w:rsidRPr="00724947">
              <w:rPr>
                <w:rFonts w:ascii="Calibri" w:hAnsi="Calibri" w:cs="Calibri"/>
              </w:rPr>
              <w:t xml:space="preserve"> P.U.</w:t>
            </w:r>
          </w:p>
        </w:tc>
        <w:tc>
          <w:tcPr>
            <w:tcW w:w="1418" w:type="pct"/>
          </w:tcPr>
          <w:p w14:paraId="76991250" w14:textId="77777777" w:rsidR="00AE288B" w:rsidRDefault="00AE288B" w:rsidP="00AE288B">
            <w:pPr>
              <w:jc w:val="both"/>
            </w:pPr>
            <w:r>
              <w:t xml:space="preserve">Należy zwrócić uwagę na konieczność ustawowego uregulowania budzącego kontrowersje zagadnienia zwrotu zryczałtowanych kosztów postępowania wynikających ze zgłoszenia wierzytelności po upływie terminu (vide: uchwała SN z dnia 22.05.2024 r. o sygn. akt III CZP 49/23), które nie może być traktowane jako element wynagrodzenia syndyka. Celem uniknięcia rozbieżności w stosowaniu art. 235 PU Sekcja </w:t>
            </w:r>
            <w:r>
              <w:lastRenderedPageBreak/>
              <w:t>proponuje doprecyzowanie przepisu dodając ustęp 3 o następującym brzmieniu: „Zryczałtowane koszty, o których mowa w ust. 1 wchodzą do masy upadłości”.</w:t>
            </w:r>
          </w:p>
          <w:p w14:paraId="69608996" w14:textId="77777777" w:rsidR="00AE288B" w:rsidRDefault="00AE288B" w:rsidP="00AE288B">
            <w:pPr>
              <w:jc w:val="both"/>
            </w:pPr>
            <w:r>
              <w:t>Ponadto, mając na uwadze słuszny interes wierzycieli, należy wskazać, że termin 30 dni na dokonanie zgłoszenia wierzytelności nie uległ zmianie po wprowadzenia systemu teleinformatycznego KRZ, za sprawą którego obwieszczenie następuje natychmiast po ogłoszeniu upadłości. Na gruncie wcześniejszego systemu, odpowiednie obwieszczenie w MSiG ukazywało się około 2 tygodni po ogłoszeniu upadłości. W rzeczywistości więc termin na dokonanie zgłoszeń wierzytelności był dłuższy.</w:t>
            </w:r>
          </w:p>
          <w:p w14:paraId="0D602623" w14:textId="45A7114E" w:rsidR="00AE288B" w:rsidRDefault="00AE288B" w:rsidP="00AE288B">
            <w:pPr>
              <w:jc w:val="both"/>
            </w:pPr>
            <w:r>
              <w:t>Tym samym, mimo braku zmiany odpowiednich przepisów (vide: art. 51 ust. 1 pkt. 4 oraz art. 491</w:t>
            </w:r>
            <w:r w:rsidR="001D6E5D">
              <w:rPr>
                <w:vertAlign w:val="superscript"/>
              </w:rPr>
              <w:t>5</w:t>
            </w:r>
            <w:r>
              <w:t xml:space="preserve">) faktyczny czas na przygotowanie zgłoszenia wierzytelności, która to czynność często jest bardzo pracochłonna, został zredukowany o 1/3. Powyższe nie koresponduje z art. 176 ustawy zgodnie z którym syndyk zawiadamia wierzycieli o ogłoszeniu upadłości w drodze tradycyjnych przesyłek pocztowych, skutkiem czego poszczególni wierzyciele dowiadują się o postępowaniu upadłościowym często blisko upływu terminu na bez kosztowe dokonanie zgłoszenia wierzytelności, a sytuacja taka co najmniej utrudnia wierzycielom realizację ich uprawnień w postępowaniach </w:t>
            </w:r>
            <w:r>
              <w:lastRenderedPageBreak/>
              <w:t>upadłościowych. Mając na uwadze powyższe, Sekcja INSO sugeruje wydłużenie przedmiotowego terminu z 30 dni do 45 dni.</w:t>
            </w:r>
          </w:p>
        </w:tc>
        <w:tc>
          <w:tcPr>
            <w:tcW w:w="1027" w:type="pct"/>
          </w:tcPr>
          <w:p w14:paraId="3CA3CCDB" w14:textId="77777777" w:rsidR="00AE288B" w:rsidRPr="00724947" w:rsidRDefault="00AE288B" w:rsidP="00AE288B">
            <w:pPr>
              <w:jc w:val="both"/>
              <w:rPr>
                <w:rFonts w:ascii="Calibri" w:hAnsi="Calibri" w:cs="Calibri"/>
              </w:rPr>
            </w:pPr>
          </w:p>
        </w:tc>
        <w:tc>
          <w:tcPr>
            <w:tcW w:w="1108" w:type="pct"/>
          </w:tcPr>
          <w:p w14:paraId="72F6B39D" w14:textId="7B622446" w:rsidR="00AE288B" w:rsidRPr="006E4752" w:rsidRDefault="00AE288B" w:rsidP="00AE288B">
            <w:pPr>
              <w:jc w:val="both"/>
              <w:rPr>
                <w:rFonts w:cstheme="minorHAnsi"/>
                <w:b/>
                <w:bCs/>
              </w:rPr>
            </w:pPr>
            <w:r w:rsidRPr="005B0948">
              <w:rPr>
                <w:rFonts w:cstheme="minorHAnsi"/>
                <w:b/>
                <w:bCs/>
              </w:rPr>
              <w:t>Uwaga poza zakresem projektu</w:t>
            </w:r>
          </w:p>
        </w:tc>
      </w:tr>
      <w:tr w:rsidR="00AE288B" w:rsidRPr="00486628" w14:paraId="5EFF57ED" w14:textId="77777777" w:rsidTr="00AC5078">
        <w:tc>
          <w:tcPr>
            <w:tcW w:w="158" w:type="pct"/>
          </w:tcPr>
          <w:p w14:paraId="24888004" w14:textId="2D15D78D" w:rsidR="00AE288B" w:rsidRDefault="00AE288B" w:rsidP="00AE288B">
            <w:pPr>
              <w:jc w:val="center"/>
              <w:rPr>
                <w:rFonts w:cstheme="minorHAnsi"/>
              </w:rPr>
            </w:pPr>
            <w:r>
              <w:rPr>
                <w:rFonts w:cstheme="minorHAnsi"/>
              </w:rPr>
              <w:lastRenderedPageBreak/>
              <w:t>52</w:t>
            </w:r>
          </w:p>
        </w:tc>
        <w:tc>
          <w:tcPr>
            <w:tcW w:w="698" w:type="pct"/>
          </w:tcPr>
          <w:p w14:paraId="23A3D612" w14:textId="1CFE6D4F" w:rsidR="00AE288B" w:rsidRPr="00724947" w:rsidRDefault="00AE288B" w:rsidP="00AE288B">
            <w:pPr>
              <w:rPr>
                <w:rFonts w:ascii="Calibri" w:hAnsi="Calibri" w:cs="Calibri"/>
              </w:rPr>
            </w:pPr>
            <w:r>
              <w:rPr>
                <w:rFonts w:ascii="Calibri" w:hAnsi="Calibri" w:cs="Calibri"/>
              </w:rPr>
              <w:t xml:space="preserve">Rada Legislacyjna </w:t>
            </w:r>
          </w:p>
        </w:tc>
        <w:tc>
          <w:tcPr>
            <w:tcW w:w="591" w:type="pct"/>
          </w:tcPr>
          <w:p w14:paraId="5F58485A" w14:textId="2E7A235F" w:rsidR="00AE288B" w:rsidRPr="00724947" w:rsidRDefault="00AE288B" w:rsidP="00AE288B">
            <w:pPr>
              <w:rPr>
                <w:rFonts w:ascii="Calibri" w:hAnsi="Calibri" w:cs="Calibri"/>
              </w:rPr>
            </w:pPr>
            <w:r w:rsidRPr="007E4001">
              <w:rPr>
                <w:rFonts w:ascii="Calibri" w:hAnsi="Calibri" w:cs="Calibri"/>
                <w:b/>
                <w:bCs/>
              </w:rPr>
              <w:t>Art. 1 pkt 13</w:t>
            </w:r>
            <w:r>
              <w:rPr>
                <w:rFonts w:ascii="Calibri" w:hAnsi="Calibri" w:cs="Calibri"/>
                <w:b/>
                <w:bCs/>
              </w:rPr>
              <w:t xml:space="preserve"> lit.e</w:t>
            </w:r>
            <w:r w:rsidRPr="00FF4B56">
              <w:rPr>
                <w:rFonts w:ascii="Calibri" w:hAnsi="Calibri" w:cs="Calibri"/>
              </w:rPr>
              <w:t xml:space="preserve"> (art. </w:t>
            </w:r>
            <w:r w:rsidRPr="007E4001">
              <w:rPr>
                <w:rFonts w:ascii="Calibri" w:hAnsi="Calibri" w:cs="Calibri"/>
              </w:rPr>
              <w:t>491</w:t>
            </w:r>
            <w:r>
              <w:rPr>
                <w:rFonts w:ascii="Calibri" w:hAnsi="Calibri" w:cs="Calibri"/>
                <w:vertAlign w:val="superscript"/>
              </w:rPr>
              <w:t>9</w:t>
            </w:r>
            <w:r>
              <w:rPr>
                <w:rFonts w:ascii="Calibri" w:hAnsi="Calibri" w:cs="Calibri"/>
              </w:rPr>
              <w:t xml:space="preserve"> ust. 4</w:t>
            </w:r>
            <w:r>
              <w:rPr>
                <w:rFonts w:ascii="Calibri" w:hAnsi="Calibri" w:cs="Calibri"/>
                <w:vertAlign w:val="superscript"/>
              </w:rPr>
              <w:t xml:space="preserve"> </w:t>
            </w:r>
            <w:r w:rsidRPr="00FF4B56">
              <w:rPr>
                <w:rFonts w:ascii="Calibri" w:hAnsi="Calibri" w:cs="Calibri"/>
              </w:rPr>
              <w:t>P.U.)</w:t>
            </w:r>
          </w:p>
        </w:tc>
        <w:tc>
          <w:tcPr>
            <w:tcW w:w="1418" w:type="pct"/>
          </w:tcPr>
          <w:p w14:paraId="58DCA067" w14:textId="200922AF" w:rsidR="00AE288B" w:rsidRDefault="00AE288B" w:rsidP="00AE288B">
            <w:pPr>
              <w:jc w:val="both"/>
            </w:pPr>
            <w:r>
              <w:t>Z</w:t>
            </w:r>
            <w:r w:rsidRPr="00FF4B56">
              <w:t>godnie z art. 491(9) ust. 4, w przedmiocie wynagrodzenia syndyka, o którym mowa w ust. 3, oraz zwrotu jego wydatków, orzeka sąd upadłościowy w składzie jednego sędziego zawodowego. Wydaje się, że nie zostało jasno uregulowane to, w jakim składzie ma orzekać sąd o wynagrodzeniu syndyka przyznawanego na zasadach określonych w art. 162 (projektowany art. 491(9) ust. 3b). W ust. 4 nie ma odwołania do ust. 3b. Jednocześnie nie jest całkowicie jasne, czy wskazanie w ust. 3b, że wynagrodzenie ustala się na zasadach określonych w art. 162 oznacza, że o wynagrodzeniu powinien orzekać sąd w składzie trzyosobowym. Jest to tym bardziej kontrowersyjne, że samodzielnie art. 162 nie stanowi o składzie sądu. Kwestia ta wymaga doprecyzowania.</w:t>
            </w:r>
          </w:p>
        </w:tc>
        <w:tc>
          <w:tcPr>
            <w:tcW w:w="1027" w:type="pct"/>
          </w:tcPr>
          <w:p w14:paraId="230264FD" w14:textId="77777777" w:rsidR="00AE288B" w:rsidRPr="00724947" w:rsidRDefault="00AE288B" w:rsidP="00AE288B">
            <w:pPr>
              <w:jc w:val="both"/>
              <w:rPr>
                <w:rFonts w:ascii="Calibri" w:hAnsi="Calibri" w:cs="Calibri"/>
              </w:rPr>
            </w:pPr>
          </w:p>
        </w:tc>
        <w:tc>
          <w:tcPr>
            <w:tcW w:w="1108" w:type="pct"/>
          </w:tcPr>
          <w:p w14:paraId="4EA18AF2" w14:textId="6FE27E66" w:rsidR="00AE288B" w:rsidRPr="004D2699" w:rsidRDefault="00AE288B" w:rsidP="00AE288B">
            <w:pPr>
              <w:autoSpaceDE w:val="0"/>
              <w:autoSpaceDN w:val="0"/>
              <w:adjustRightInd w:val="0"/>
              <w:rPr>
                <w:rFonts w:ascii="Calibri" w:hAnsi="Calibri" w:cs="Calibri"/>
                <w:b/>
                <w:bCs/>
              </w:rPr>
            </w:pPr>
            <w:r w:rsidRPr="004D2699">
              <w:rPr>
                <w:rFonts w:ascii="Calibri" w:hAnsi="Calibri" w:cs="Calibri"/>
                <w:b/>
                <w:bCs/>
              </w:rPr>
              <w:t xml:space="preserve">Uwaga uwzględniona </w:t>
            </w:r>
          </w:p>
          <w:p w14:paraId="2DE90205" w14:textId="40EC0D17" w:rsidR="00AE288B" w:rsidRPr="004D2699" w:rsidRDefault="00AE288B" w:rsidP="00AE288B">
            <w:pPr>
              <w:autoSpaceDE w:val="0"/>
              <w:autoSpaceDN w:val="0"/>
              <w:adjustRightInd w:val="0"/>
              <w:jc w:val="both"/>
              <w:rPr>
                <w:rFonts w:ascii="Calibri" w:hAnsi="Calibri" w:cs="Calibri"/>
                <w:sz w:val="14"/>
                <w:szCs w:val="14"/>
                <w:vertAlign w:val="superscript"/>
              </w:rPr>
            </w:pPr>
            <w:r>
              <w:rPr>
                <w:rFonts w:ascii="Calibri" w:hAnsi="Calibri" w:cs="Calibri"/>
              </w:rPr>
              <w:t>Uwaga uwzględniona poprzez uchylenie ust. 4 w art. 491</w:t>
            </w:r>
            <w:r>
              <w:rPr>
                <w:rFonts w:ascii="Calibri" w:hAnsi="Calibri" w:cs="Calibri"/>
                <w:vertAlign w:val="superscript"/>
              </w:rPr>
              <w:t xml:space="preserve">9 </w:t>
            </w:r>
            <w:r>
              <w:rPr>
                <w:rFonts w:ascii="Calibri" w:hAnsi="Calibri" w:cs="Calibri"/>
              </w:rPr>
              <w:t>i dodanie w art. 491</w:t>
            </w:r>
            <w:r>
              <w:rPr>
                <w:rFonts w:ascii="Calibri" w:hAnsi="Calibri" w:cs="Calibri"/>
                <w:vertAlign w:val="superscript"/>
              </w:rPr>
              <w:t>3</w:t>
            </w:r>
            <w:r>
              <w:rPr>
                <w:rFonts w:ascii="Calibri" w:hAnsi="Calibri" w:cs="Calibri"/>
                <w:sz w:val="14"/>
                <w:szCs w:val="14"/>
              </w:rPr>
              <w:t xml:space="preserve"> </w:t>
            </w:r>
            <w:r>
              <w:rPr>
                <w:rFonts w:ascii="Calibri" w:hAnsi="Calibri" w:cs="Calibri"/>
              </w:rPr>
              <w:t xml:space="preserve">ust. 2 w brzmieniu: </w:t>
            </w:r>
            <w:r>
              <w:rPr>
                <w:rFonts w:ascii="Calibri-Italic" w:hAnsi="Calibri-Italic" w:cs="Calibri-Italic"/>
                <w:i/>
                <w:iCs/>
              </w:rPr>
              <w:t>W przedmiocie wynagrodzenia syndyka orzeka sąd upadłościowy w składzie jednego sędziego zawodowego</w:t>
            </w:r>
            <w:r>
              <w:rPr>
                <w:rFonts w:ascii="Calibri" w:hAnsi="Calibri" w:cs="Calibri"/>
              </w:rPr>
              <w:t>.</w:t>
            </w:r>
          </w:p>
        </w:tc>
      </w:tr>
      <w:tr w:rsidR="00AE288B" w:rsidRPr="00486628" w14:paraId="639CFD01" w14:textId="77777777" w:rsidTr="00AC5078">
        <w:tc>
          <w:tcPr>
            <w:tcW w:w="158" w:type="pct"/>
          </w:tcPr>
          <w:p w14:paraId="2FF93A2A" w14:textId="3F0CA837" w:rsidR="00AE288B" w:rsidRDefault="00AE288B" w:rsidP="00AE288B">
            <w:pPr>
              <w:jc w:val="center"/>
              <w:rPr>
                <w:rFonts w:cstheme="minorHAnsi"/>
              </w:rPr>
            </w:pPr>
            <w:r>
              <w:rPr>
                <w:rFonts w:cstheme="minorHAnsi"/>
              </w:rPr>
              <w:t>53</w:t>
            </w:r>
          </w:p>
        </w:tc>
        <w:tc>
          <w:tcPr>
            <w:tcW w:w="698" w:type="pct"/>
          </w:tcPr>
          <w:p w14:paraId="0739172E" w14:textId="3F478A02" w:rsidR="00AE288B" w:rsidRDefault="00AE288B" w:rsidP="00AE288B">
            <w:pPr>
              <w:rPr>
                <w:rFonts w:ascii="Calibri" w:hAnsi="Calibri" w:cs="Calibri"/>
              </w:rPr>
            </w:pPr>
            <w:r>
              <w:rPr>
                <w:rFonts w:ascii="Calibri" w:hAnsi="Calibri" w:cs="Calibri"/>
              </w:rPr>
              <w:t xml:space="preserve">Rada Legislacyjna </w:t>
            </w:r>
          </w:p>
        </w:tc>
        <w:tc>
          <w:tcPr>
            <w:tcW w:w="591" w:type="pct"/>
          </w:tcPr>
          <w:p w14:paraId="343B02D9" w14:textId="1E9C7AE2" w:rsidR="00AE288B" w:rsidRPr="007E4001" w:rsidRDefault="00AE288B" w:rsidP="00AE288B">
            <w:pPr>
              <w:rPr>
                <w:rFonts w:ascii="Calibri" w:hAnsi="Calibri" w:cs="Calibri"/>
                <w:b/>
                <w:bCs/>
              </w:rPr>
            </w:pPr>
            <w:r w:rsidRPr="004D2699">
              <w:rPr>
                <w:rFonts w:ascii="Calibri" w:hAnsi="Calibri" w:cs="Calibri"/>
                <w:b/>
                <w:bCs/>
              </w:rPr>
              <w:t xml:space="preserve">Art. 1 pkt </w:t>
            </w:r>
            <w:r>
              <w:rPr>
                <w:rFonts w:ascii="Calibri" w:hAnsi="Calibri" w:cs="Calibri"/>
                <w:b/>
                <w:bCs/>
              </w:rPr>
              <w:t xml:space="preserve">12 i </w:t>
            </w:r>
            <w:r w:rsidRPr="004D2699">
              <w:rPr>
                <w:rFonts w:ascii="Calibri" w:hAnsi="Calibri" w:cs="Calibri"/>
                <w:b/>
                <w:bCs/>
              </w:rPr>
              <w:t xml:space="preserve">13 </w:t>
            </w:r>
            <w:r w:rsidRPr="00F457A7">
              <w:rPr>
                <w:rFonts w:ascii="Calibri" w:hAnsi="Calibri" w:cs="Calibri"/>
              </w:rPr>
              <w:t>(art. 491</w:t>
            </w:r>
            <w:r>
              <w:rPr>
                <w:rFonts w:ascii="Calibri" w:hAnsi="Calibri" w:cs="Calibri"/>
                <w:vertAlign w:val="superscript"/>
              </w:rPr>
              <w:t>7</w:t>
            </w:r>
            <w:r>
              <w:rPr>
                <w:rFonts w:ascii="Calibri" w:hAnsi="Calibri" w:cs="Calibri"/>
              </w:rPr>
              <w:t xml:space="preserve"> i art. 491</w:t>
            </w:r>
            <w:r>
              <w:rPr>
                <w:rFonts w:ascii="Calibri" w:hAnsi="Calibri" w:cs="Calibri"/>
                <w:vertAlign w:val="superscript"/>
              </w:rPr>
              <w:t xml:space="preserve">9 </w:t>
            </w:r>
            <w:r>
              <w:rPr>
                <w:rFonts w:ascii="Calibri" w:hAnsi="Calibri" w:cs="Calibri"/>
              </w:rPr>
              <w:t>P.U.)</w:t>
            </w:r>
            <w:r w:rsidRPr="00F457A7">
              <w:rPr>
                <w:rFonts w:ascii="Calibri" w:hAnsi="Calibri" w:cs="Calibri"/>
              </w:rPr>
              <w:t xml:space="preserve"> </w:t>
            </w:r>
          </w:p>
        </w:tc>
        <w:tc>
          <w:tcPr>
            <w:tcW w:w="1418" w:type="pct"/>
          </w:tcPr>
          <w:p w14:paraId="6617EFF7" w14:textId="72AD322A" w:rsidR="00AE288B" w:rsidRDefault="00AE288B" w:rsidP="00AE288B">
            <w:pPr>
              <w:jc w:val="both"/>
            </w:pPr>
            <w:r>
              <w:t xml:space="preserve">Projektodawca zakłada, że zryczałtowane koszty postępowania prowadzonego według przepisów niniejszego tytułu wyniosą nie więcej niż 1/5 przeciętnego miesięcznego wynagrodzenia w sektorze przedsiębiorstw bez wypłat nagród z zysku w trzecim kwartale roku poprzedniego, ogłoszonego przez Prezesa Głównego Urzędu Statystycznego, a jednocześnie wynagrodzenie syndyka w postępowaniu prowadzonym według przepisów niniejszego tytułu będzie wynosiło </w:t>
            </w:r>
            <w:r>
              <w:lastRenderedPageBreak/>
              <w:t>równowartość jednego przeciętnego miesięcznego wynagrodzenia w sektorze przedsiębiorstw bez wypłat nagród z zysku w trzecim kwartale roku poprzedniego, ogłoszonego przez Prezesa Głównego Urzędu Statystycznego. Pojawia się więc pewna sprzeczność, wynikająca z tego, że zgodnie ze stosowanym odpowiednio w upadłości konsumenckiej (por. art. 491(2) ust. 1 p.u.). art. 230 ust. 1 p.u. do kosztów postępowania zalicza się w szczególności wynagrodzenie syndyka. Należy zauważyć, że koszty postępowania nie mogą jednocześnie nie przekraczać 1/5 przeciętnego miesięcznego wynagrodzenia oraz obejmować wynagrodzenia syndyka w wysokości jednego przeciętnego wynagrodzenia. Wydaje się, że niewątpliwie intencją Projektodawcy było ustalenie zryczałtowanej wysokości pozostałych kosztów postępowania, tj. kosztów bez wynagrodzenia syndyka. W takim przypadku ust. 3a w art. 491(9) powinien otrzymać brzmienie: „Zryczałtowane koszty postępowania prowadzonego według przepisów niniejszego tytułu bez wynagrodzenia syndyka nie mogą przekraczać 1/5 przeciętnego miesięcznego wynagrodzenia w sektorze przedsiębiorstw bez wypłat nagród z zysku w trzecim kwartale roku poprzedniego, ogłoszonego przez Prezesa Głównego Urzędu Statystycznego”. Takie samo zastrzeżenie należy wprowadzić w art. 491</w:t>
            </w:r>
            <w:r>
              <w:rPr>
                <w:vertAlign w:val="superscript"/>
              </w:rPr>
              <w:t>7</w:t>
            </w:r>
            <w:r>
              <w:t xml:space="preserve"> ust. 3 („3. W </w:t>
            </w:r>
            <w:r>
              <w:lastRenderedPageBreak/>
              <w:t>postanowieniu o ogłoszeniu upadłości sąd przyznaje syndykowi zaliczkę na pokrycie zryczałtowanych kosztów postępowania bez wynagrodzenia syndyka /…/ ).</w:t>
            </w:r>
          </w:p>
          <w:p w14:paraId="3F5DC147" w14:textId="77777777" w:rsidR="00AE288B" w:rsidRDefault="00AE288B" w:rsidP="00AE288B">
            <w:pPr>
              <w:jc w:val="both"/>
            </w:pPr>
            <w:r>
              <w:t>b) W przywołanym już wyżej ust. 3a projektodawca założył, że zryczałtowane koszty wyniosą nie więcej niż 1/5 przeciętnego miesięcznego wynagrodzenia w sektorze przedsiębiorstw. Jednocześnie jednak projektodawca nie wprowadził przepisów, który wskazywałyby w jakich sytuacjach projektowane koszty mogą przekroczyć tę kwotę. Nie sposób uznać, aby takim przepisem był ust. 3. Zgodnie z tym przepisem w postanowieniu o ogłoszeniu upadłości sąd przyznaje syndykowi zaliczkę na pokrycie zryczałtowanych kosztów postępowania w wysokości nie wyższej niż 1/5 przeciętnego miesięcznego wynagrodzenia w sektorze przedsiębiorstw bez wypłat nagród z zysku w trzecim kwartale roku poprzedniego, ogłoszonego przez Prezesa Głównego Urzędu Statystycznego oraz zarządza jej niezwłoczną wypłatę tymczasowo ze środków Skarbu Państwa, chyba że majątek upadłego pozwala na bieżące pokrywanie kosztów postępowania. W dalszym toku postępowania sąd przyznaje syndykowi zaliczkę na pokrycie kosztów postępowania przekraczających wysokość kosztów zryczałtowanych oraz zarządza jej niezwłoczną wypłatę tymczasowo ze środków Skarbu Państwa tylko wówczas:</w:t>
            </w:r>
          </w:p>
          <w:p w14:paraId="0ACCA5E0" w14:textId="77777777" w:rsidR="00AE288B" w:rsidRDefault="00AE288B" w:rsidP="00AE288B">
            <w:pPr>
              <w:jc w:val="both"/>
            </w:pPr>
            <w:r>
              <w:lastRenderedPageBreak/>
              <w:t>1) gdy zwiększone koszty postępowania wynikają ze znacznego rozmiaru masy upadłości, w szczególności, gdy w skład masy upadłości wchodzi nieruchomość, lub z konieczności dochodzenia przekazania do masy upadłości tego, co wskutek czynności dłużnika bezskutecznych wobec masy upadłości lub wierzycieli ubyło z majątku upadłego lub do niego nie weszło,</w:t>
            </w:r>
          </w:p>
          <w:p w14:paraId="6804371F" w14:textId="77777777" w:rsidR="00AE288B" w:rsidRDefault="00AE288B" w:rsidP="00AE288B">
            <w:pPr>
              <w:jc w:val="both"/>
            </w:pPr>
            <w:r>
              <w:t>2) gdy postanowienie, o którym mowa w art. 491</w:t>
            </w:r>
            <w:r w:rsidRPr="0079516B">
              <w:rPr>
                <w:vertAlign w:val="superscript"/>
              </w:rPr>
              <w:t>9</w:t>
            </w:r>
            <w:r>
              <w:t xml:space="preserve"> ust. 3c, nie zostało wydane w terminie 1 miesiąca od dnia złożenia projektu planu spłaty wierzycieli z uzasadnieniem albo informacji, że zachodzą przesłanki, o których mowa w art. 491</w:t>
            </w:r>
            <w:r w:rsidRPr="0079516B">
              <w:rPr>
                <w:vertAlign w:val="superscript"/>
              </w:rPr>
              <w:t xml:space="preserve">14a </w:t>
            </w:r>
            <w:r>
              <w:t>ust. 1 lub art. 491</w:t>
            </w:r>
            <w:r w:rsidRPr="0079516B">
              <w:rPr>
                <w:vertAlign w:val="superscript"/>
              </w:rPr>
              <w:t xml:space="preserve">16 </w:t>
            </w:r>
            <w:r>
              <w:t>ust. 1 lub 2a.</w:t>
            </w:r>
          </w:p>
          <w:p w14:paraId="7B13EC4D" w14:textId="03E124ED" w:rsidR="00AE288B" w:rsidRDefault="00AE288B" w:rsidP="00AE288B">
            <w:pPr>
              <w:jc w:val="both"/>
            </w:pPr>
            <w:r>
              <w:t xml:space="preserve">Tak więc projektowany art. 491(7) ust. 3 ogranicza jedynie możliwość przyznania dalszej zaliczki, ale w żaden sposób nie odnosi się do kosztów postępowania ponoszonych przez syndyka i pokrywanych bezpośrednio z masy upadłości. Innymi słowy, brak jest w projekcie rozwiązania, które co do zasady ograniczałoby wysokość kosztów postępowania, również w przypadku gdy nie są one pokrywane z zaliczki. Jest to poważny mankament projektu gdyż po pierwsze, różnicuje on w sposób nieuzasadniony sytuację postępowań, w których koszty są pokrywane z masy upadłości i w których koszty są pokrywane ze środków Skarbu Państwa. Po drugie, takie rozwiązanie nie powoli na osiągnięcie efektu w postaci skrócenia czasu </w:t>
            </w:r>
            <w:r>
              <w:lastRenderedPageBreak/>
              <w:t>trwania postępowań, gdyż w przypadku postępowań, w których koszty są pokrywane z masy upadłości dłuższy czas postępowania pozwoli, jak dotychczas, na generowanie wyższych kosztów. W takiej sytuacji wydaje się, że w art. 491(9) po ust. 3a powinien być dodany nowy ust. 3b w brzmieniu:</w:t>
            </w:r>
          </w:p>
          <w:p w14:paraId="465D48F2" w14:textId="77777777" w:rsidR="00AE288B" w:rsidRDefault="00AE288B" w:rsidP="00AE288B">
            <w:pPr>
              <w:jc w:val="both"/>
            </w:pPr>
            <w:r>
              <w:t>„3b. Zryczałtowane koszty postępowania prowadzonego według przepisów niniejszego tytułu bez wynagrodzenia syndyka mogą przekroczyć kwotę wskazaną w ust. 3a jedynie wówczas gdy:</w:t>
            </w:r>
          </w:p>
          <w:p w14:paraId="03C4593D" w14:textId="77777777" w:rsidR="00AE288B" w:rsidRDefault="00AE288B" w:rsidP="00AE288B">
            <w:pPr>
              <w:jc w:val="both"/>
            </w:pPr>
            <w:r>
              <w:t>1) zwiększone koszty postępowania wynikają ze znacznego rozmiaru masy upadłości, w szczególności, gdy w skład masy upadłości wchodzi nieruchomość, lub z konieczności dochodzenia przekazania do masy upadłości tego, co wskutek czynności dłużnika bezskutecznych wobec masy upadłości lub wierzycieli ubyło z majątku upadłego lub do niego nie weszło,</w:t>
            </w:r>
          </w:p>
          <w:p w14:paraId="1EA02D2A" w14:textId="5846C850" w:rsidR="00AE288B" w:rsidRDefault="00AE288B" w:rsidP="00AE288B">
            <w:pPr>
              <w:jc w:val="both"/>
            </w:pPr>
            <w:r>
              <w:t>2) postanowienie, o którym mowa w art. 491</w:t>
            </w:r>
            <w:r>
              <w:rPr>
                <w:vertAlign w:val="superscript"/>
              </w:rPr>
              <w:t>9</w:t>
            </w:r>
            <w:r>
              <w:t xml:space="preserve"> ust. 3c, nie zostało wydane w terminie 1 miesiąca od dnia złożenia projektu planu spłaty wierzycieli z uzasadnieniem albo informacji, że zachodzą przesłanki, o których mowa w art. 491</w:t>
            </w:r>
            <w:r w:rsidRPr="0079516B">
              <w:rPr>
                <w:vertAlign w:val="superscript"/>
              </w:rPr>
              <w:t>14a</w:t>
            </w:r>
            <w:r>
              <w:t xml:space="preserve"> ust. 1 lub art. 491</w:t>
            </w:r>
            <w:r w:rsidRPr="0079516B">
              <w:rPr>
                <w:vertAlign w:val="superscript"/>
              </w:rPr>
              <w:t>16</w:t>
            </w:r>
            <w:r>
              <w:t xml:space="preserve"> ust. 1 lub 2a”.</w:t>
            </w:r>
          </w:p>
          <w:p w14:paraId="01F159FC" w14:textId="77777777" w:rsidR="00AE288B" w:rsidRDefault="00AE288B" w:rsidP="00AE288B">
            <w:pPr>
              <w:jc w:val="both"/>
            </w:pPr>
            <w:r>
              <w:t xml:space="preserve">Wówczas art. 491(7) ust. 3 powinien otrzymać brzmienie: „3. W postanowieniu o ogłoszeniu upadłości sąd przyznaje syndykowi zaliczkę na pokrycie zryczałtowanych kosztów postępowania bez wynagrodzenia syndyka w </w:t>
            </w:r>
            <w:r>
              <w:lastRenderedPageBreak/>
              <w:t>wysokości nie wyższej niż 1/5 przeciętnego miesięcznego wynagrodzenia w sektorze przedsiębiorstw bez wypłat nagród z zysku w trzecim kwartale roku poprzedniego, ogłoszonego przez Prezesa Głównego Urzędu Statystycznego oraz zarządza jej niezwłoczną wypłatę tymczasowo ze środków Skarbu Państwa, chyba że majątek upadłego pozwala na bieżące pokrywanie kosztów postępowania. W dalszym toku postępowania sąd przyznaje syndykowi zaliczkę na pokrycie kosztów postępowania przekraczających wysokość kosztów zryczałtowanych oraz zarządza jej niezwłoczną wypłatę tymczasowo ze środków Skarbu Państwa tylko wówczas gdy zostaną spełnione przesłanki wskazane w art. 491(9) ust. 3b”.</w:t>
            </w:r>
          </w:p>
          <w:p w14:paraId="56E90F14" w14:textId="543DBCFA" w:rsidR="00AE288B" w:rsidRDefault="00AE288B" w:rsidP="00AE288B">
            <w:pPr>
              <w:jc w:val="both"/>
            </w:pPr>
            <w:r>
              <w:t xml:space="preserve">c) Zgodnie z projektowanym art. 491(9) ust. 4 „W przedmiocie wynagrodzenia syndyka, o którym mowa w ust. 3, oraz zwrotu jego wydatków, orzeka sąd upadłościowy w składzie jednego sędziego zawodowego”. Wcześniej, w treści Opinii, wskazano, że przepis ten powinien ulec modyfikacji co do części dotyczącej orzekania o wynagrodzeniu syndyka. W tym miejscu należy natomiast zauważyć, że projektowane brzmienie przepisu oznacza, że w każdej sprawie sąd będzie zobowiązany do orzekania w przedmiocie wydatków. Wydaje się, że nie takie było założenie Projektodawcy. Skoro bowiem w każdej sprawie sąd będzie </w:t>
            </w:r>
            <w:r>
              <w:lastRenderedPageBreak/>
              <w:t>zobowiązany do orzekania w przedmiocie wydatków to co do zasady projektowane rozwiązania nie ograniczą obciążania sądów upadłościowych. Wydaje się, że jeżeli koszty (bez wynagrodzenia syndyka) nie przekroczą ryczałtowo określonej wysokości to nie ma potrzeby aby orzekał o nich sąd. Dopiero, w sytuacji, w której koszty tę wysokość przekroczą, co jak wyżej wskazano, powinno mieć charakter wyjątkowy celowe będzie działanie sądu. Wobec tego projektowany ust. 4 w części dotyczącej kosztów powinien otrzymać brzmienie: „W przedmiocie /../ zwrotu jego wydatków, w przypadku, o którym mowa w art. 491(9) ust. 3b orzeka sąd upadłościowy w składzie jednego sędziego zawodowego. Można również rozważyć dla uniknięcia jakichkolwiek wątpliwości wyraźne wskazanie w art. 491(9) ust. 3a, że o kosztach nieprzekraczających ryczałtowej wysokości sąd nie orzeka. Nie wyklucza to oczywiście weryfikacji ponoszonych przez syndyka kosztów, w tym również kosztów nieprzekraczających ryczałtu w ramach skargi na czynności syndyka</w:t>
            </w:r>
            <w:r w:rsidR="00FB2256">
              <w:t>.</w:t>
            </w:r>
          </w:p>
        </w:tc>
        <w:tc>
          <w:tcPr>
            <w:tcW w:w="1027" w:type="pct"/>
          </w:tcPr>
          <w:p w14:paraId="45F460B6" w14:textId="77777777" w:rsidR="00AE288B" w:rsidRPr="00724947" w:rsidRDefault="00AE288B" w:rsidP="00AE288B">
            <w:pPr>
              <w:jc w:val="both"/>
              <w:rPr>
                <w:rFonts w:ascii="Calibri" w:hAnsi="Calibri" w:cs="Calibri"/>
              </w:rPr>
            </w:pPr>
          </w:p>
        </w:tc>
        <w:tc>
          <w:tcPr>
            <w:tcW w:w="1108" w:type="pct"/>
          </w:tcPr>
          <w:p w14:paraId="6C6CB695" w14:textId="7F5D939E" w:rsidR="00AE288B" w:rsidRPr="00F457A7" w:rsidRDefault="00AE288B" w:rsidP="00AE288B">
            <w:pPr>
              <w:autoSpaceDE w:val="0"/>
              <w:autoSpaceDN w:val="0"/>
              <w:adjustRightInd w:val="0"/>
              <w:jc w:val="both"/>
              <w:rPr>
                <w:rFonts w:cstheme="minorHAnsi"/>
                <w:b/>
                <w:bCs/>
              </w:rPr>
            </w:pPr>
            <w:r w:rsidRPr="00F457A7">
              <w:rPr>
                <w:rFonts w:cstheme="minorHAnsi"/>
                <w:b/>
                <w:bCs/>
              </w:rPr>
              <w:t>Uwagi uwzględniono</w:t>
            </w:r>
          </w:p>
          <w:p w14:paraId="529BDCEA" w14:textId="77777777" w:rsidR="009625BA" w:rsidRDefault="00AE288B" w:rsidP="00AE288B">
            <w:pPr>
              <w:autoSpaceDE w:val="0"/>
              <w:autoSpaceDN w:val="0"/>
              <w:adjustRightInd w:val="0"/>
              <w:jc w:val="both"/>
              <w:rPr>
                <w:rFonts w:cstheme="minorHAnsi"/>
              </w:rPr>
            </w:pPr>
            <w:r w:rsidRPr="00F457A7">
              <w:rPr>
                <w:rFonts w:cstheme="minorHAnsi"/>
              </w:rPr>
              <w:t>a) uwaga do art. 491</w:t>
            </w:r>
            <w:r>
              <w:rPr>
                <w:rFonts w:cstheme="minorHAnsi"/>
                <w:vertAlign w:val="superscript"/>
              </w:rPr>
              <w:t>9</w:t>
            </w:r>
            <w:r w:rsidRPr="00F457A7">
              <w:rPr>
                <w:rFonts w:cstheme="minorHAnsi"/>
              </w:rPr>
              <w:t xml:space="preserve"> ust. 3d - uwzględnion</w:t>
            </w:r>
            <w:r w:rsidR="001D6E5D">
              <w:rPr>
                <w:rFonts w:cstheme="minorHAnsi"/>
              </w:rPr>
              <w:t>o</w:t>
            </w:r>
            <w:r w:rsidRPr="00F457A7">
              <w:rPr>
                <w:rFonts w:cstheme="minorHAnsi"/>
              </w:rPr>
              <w:t xml:space="preserve"> w ten sposób, że proj. art. 491</w:t>
            </w:r>
            <w:r>
              <w:rPr>
                <w:rFonts w:cstheme="minorHAnsi"/>
                <w:vertAlign w:val="superscript"/>
              </w:rPr>
              <w:t>9</w:t>
            </w:r>
            <w:r w:rsidRPr="00F457A7">
              <w:rPr>
                <w:rFonts w:cstheme="minorHAnsi"/>
              </w:rPr>
              <w:t xml:space="preserve"> ust.</w:t>
            </w:r>
            <w:r>
              <w:rPr>
                <w:rFonts w:cstheme="minorHAnsi"/>
              </w:rPr>
              <w:t xml:space="preserve"> </w:t>
            </w:r>
            <w:r w:rsidRPr="00F457A7">
              <w:rPr>
                <w:rFonts w:cstheme="minorHAnsi"/>
              </w:rPr>
              <w:t>3</w:t>
            </w:r>
            <w:r w:rsidR="00D51ABB">
              <w:rPr>
                <w:rFonts w:cstheme="minorHAnsi"/>
              </w:rPr>
              <w:t>d</w:t>
            </w:r>
            <w:r w:rsidRPr="00F457A7">
              <w:rPr>
                <w:rFonts w:cstheme="minorHAnsi"/>
              </w:rPr>
              <w:t xml:space="preserve"> </w:t>
            </w:r>
            <w:r w:rsidR="00D51ABB">
              <w:rPr>
                <w:rFonts w:cstheme="minorHAnsi"/>
              </w:rPr>
              <w:t xml:space="preserve">nadano następujące brzmienie </w:t>
            </w:r>
          </w:p>
          <w:p w14:paraId="642DD92D" w14:textId="06A066FE" w:rsidR="00AE288B" w:rsidRPr="00D51ABB" w:rsidRDefault="00D51ABB" w:rsidP="00AE288B">
            <w:pPr>
              <w:autoSpaceDE w:val="0"/>
              <w:autoSpaceDN w:val="0"/>
              <w:adjustRightInd w:val="0"/>
              <w:jc w:val="both"/>
              <w:rPr>
                <w:rFonts w:cstheme="minorHAnsi"/>
              </w:rPr>
            </w:pPr>
            <w:r>
              <w:rPr>
                <w:rFonts w:cstheme="minorHAnsi"/>
              </w:rPr>
              <w:t>„</w:t>
            </w:r>
            <w:r w:rsidRPr="00D51ABB">
              <w:rPr>
                <w:i/>
                <w:iCs/>
              </w:rPr>
              <w:t>Syndyk jest uprawniony do pobrania wynagrodzenia po</w:t>
            </w:r>
            <w:r>
              <w:rPr>
                <w:i/>
                <w:iCs/>
              </w:rPr>
              <w:t xml:space="preserve"> </w:t>
            </w:r>
            <w:r w:rsidRPr="00D51ABB">
              <w:rPr>
                <w:i/>
                <w:iCs/>
              </w:rPr>
              <w:t xml:space="preserve">uprawomocnieniu się postanowienia, o którym mowa w ust. 3c. W przypadku, gdy środki masy upadłości nie pozwalają na </w:t>
            </w:r>
            <w:r w:rsidRPr="00D51ABB">
              <w:rPr>
                <w:i/>
                <w:iCs/>
              </w:rPr>
              <w:lastRenderedPageBreak/>
              <w:t>pokrycie wynagrodzenia syndyka, w postanowieniu, o którym mowa w ust. 3c, sąd określa wysokość</w:t>
            </w:r>
            <w:r w:rsidRPr="00C35E76">
              <w:t xml:space="preserve"> </w:t>
            </w:r>
            <w:r w:rsidRPr="00D51ABB">
              <w:rPr>
                <w:i/>
                <w:iCs/>
              </w:rPr>
              <w:t>wynagrodzenia, która zostanie wypłacona ze środków Skarbu Państwa</w:t>
            </w:r>
            <w:r>
              <w:rPr>
                <w:i/>
                <w:iCs/>
              </w:rPr>
              <w:t>”</w:t>
            </w:r>
            <w:r>
              <w:t>.</w:t>
            </w:r>
          </w:p>
          <w:p w14:paraId="37BC9B85" w14:textId="54FB1BD0" w:rsidR="00AE288B" w:rsidRPr="00F457A7" w:rsidRDefault="00AE288B" w:rsidP="00AE288B">
            <w:pPr>
              <w:autoSpaceDE w:val="0"/>
              <w:autoSpaceDN w:val="0"/>
              <w:adjustRightInd w:val="0"/>
              <w:jc w:val="both"/>
              <w:rPr>
                <w:rFonts w:cstheme="minorHAnsi"/>
                <w:vertAlign w:val="superscript"/>
              </w:rPr>
            </w:pPr>
            <w:r w:rsidRPr="00F457A7">
              <w:rPr>
                <w:rFonts w:cstheme="minorHAnsi"/>
              </w:rPr>
              <w:t>b) uwaga do art. 491</w:t>
            </w:r>
            <w:r>
              <w:rPr>
                <w:rFonts w:cstheme="minorHAnsi"/>
                <w:vertAlign w:val="superscript"/>
              </w:rPr>
              <w:t>9</w:t>
            </w:r>
            <w:r w:rsidRPr="00F457A7">
              <w:rPr>
                <w:rFonts w:cstheme="minorHAnsi"/>
              </w:rPr>
              <w:t xml:space="preserve"> ust. 4 </w:t>
            </w:r>
            <w:r w:rsidR="001D6E5D" w:rsidRPr="00F457A7">
              <w:rPr>
                <w:rFonts w:cstheme="minorHAnsi"/>
              </w:rPr>
              <w:t>– uwzględniono</w:t>
            </w:r>
            <w:r w:rsidRPr="00F457A7">
              <w:rPr>
                <w:rFonts w:cstheme="minorHAnsi"/>
              </w:rPr>
              <w:t xml:space="preserve"> poprzez uchylenie ust. 4 w art. 491</w:t>
            </w:r>
            <w:r>
              <w:rPr>
                <w:rFonts w:cstheme="minorHAnsi"/>
                <w:vertAlign w:val="superscript"/>
              </w:rPr>
              <w:t xml:space="preserve">9 </w:t>
            </w:r>
            <w:r w:rsidRPr="00F457A7">
              <w:rPr>
                <w:rFonts w:cstheme="minorHAnsi"/>
              </w:rPr>
              <w:t>i dodanie w art. 491</w:t>
            </w:r>
            <w:r>
              <w:rPr>
                <w:rFonts w:cstheme="minorHAnsi"/>
                <w:vertAlign w:val="superscript"/>
              </w:rPr>
              <w:t>3</w:t>
            </w:r>
            <w:r w:rsidRPr="00F457A7">
              <w:rPr>
                <w:rFonts w:cstheme="minorHAnsi"/>
              </w:rPr>
              <w:t xml:space="preserve"> ust. 2 w brzmieniu: </w:t>
            </w:r>
            <w:r w:rsidRPr="00F457A7">
              <w:rPr>
                <w:rFonts w:cstheme="minorHAnsi"/>
                <w:i/>
                <w:iCs/>
              </w:rPr>
              <w:t>W przedmiocie wynagrodzenia syndyka orzeka</w:t>
            </w:r>
            <w:r>
              <w:rPr>
                <w:rFonts w:cstheme="minorHAnsi"/>
                <w:i/>
                <w:iCs/>
              </w:rPr>
              <w:t xml:space="preserve"> </w:t>
            </w:r>
            <w:r w:rsidRPr="00F457A7">
              <w:rPr>
                <w:rFonts w:cstheme="minorHAnsi"/>
                <w:i/>
                <w:iCs/>
              </w:rPr>
              <w:t>sąd upadłościowy w składzie jednego sędziego zawodowego</w:t>
            </w:r>
            <w:r w:rsidRPr="00F457A7">
              <w:rPr>
                <w:rFonts w:cstheme="minorHAnsi"/>
              </w:rPr>
              <w:t>.</w:t>
            </w:r>
          </w:p>
          <w:p w14:paraId="766D3686" w14:textId="3E6DB0D0" w:rsidR="00AE288B" w:rsidRPr="0079516B" w:rsidRDefault="00AE288B" w:rsidP="00AE288B">
            <w:pPr>
              <w:autoSpaceDE w:val="0"/>
              <w:autoSpaceDN w:val="0"/>
              <w:adjustRightInd w:val="0"/>
              <w:jc w:val="both"/>
              <w:rPr>
                <w:rFonts w:cstheme="minorHAnsi"/>
                <w:vertAlign w:val="superscript"/>
              </w:rPr>
            </w:pPr>
            <w:r w:rsidRPr="00F457A7">
              <w:rPr>
                <w:rFonts w:cstheme="minorHAnsi"/>
              </w:rPr>
              <w:t>c) uwaga do art. 491</w:t>
            </w:r>
            <w:r>
              <w:rPr>
                <w:rFonts w:cstheme="minorHAnsi"/>
                <w:vertAlign w:val="superscript"/>
              </w:rPr>
              <w:t>9</w:t>
            </w:r>
            <w:r w:rsidRPr="00F457A7">
              <w:rPr>
                <w:rFonts w:cstheme="minorHAnsi"/>
              </w:rPr>
              <w:t xml:space="preserve"> ust. 3a –a uwzględnion</w:t>
            </w:r>
            <w:r w:rsidR="001D6E5D">
              <w:rPr>
                <w:rFonts w:cstheme="minorHAnsi"/>
              </w:rPr>
              <w:t>o</w:t>
            </w:r>
            <w:r w:rsidRPr="00F457A7">
              <w:rPr>
                <w:rFonts w:cstheme="minorHAnsi"/>
              </w:rPr>
              <w:t xml:space="preserve"> w taki sposób, że uchylono art. 491</w:t>
            </w:r>
            <w:r>
              <w:rPr>
                <w:rFonts w:cstheme="minorHAnsi"/>
                <w:vertAlign w:val="superscript"/>
              </w:rPr>
              <w:t xml:space="preserve">9 </w:t>
            </w:r>
            <w:r w:rsidRPr="00F457A7">
              <w:rPr>
                <w:rFonts w:cstheme="minorHAnsi"/>
              </w:rPr>
              <w:t>ust. 3a, natomiast w art. 491</w:t>
            </w:r>
            <w:r>
              <w:rPr>
                <w:rFonts w:cstheme="minorHAnsi"/>
                <w:vertAlign w:val="superscript"/>
              </w:rPr>
              <w:t>7</w:t>
            </w:r>
            <w:r w:rsidRPr="00F457A7">
              <w:rPr>
                <w:rFonts w:cstheme="minorHAnsi"/>
              </w:rPr>
              <w:t xml:space="preserve"> dokonano następujących zmian:</w:t>
            </w:r>
          </w:p>
          <w:p w14:paraId="56D1B1E8" w14:textId="0F773A2A" w:rsidR="00AE288B" w:rsidRPr="00F457A7" w:rsidRDefault="00AE288B" w:rsidP="00AE288B">
            <w:pPr>
              <w:autoSpaceDE w:val="0"/>
              <w:autoSpaceDN w:val="0"/>
              <w:adjustRightInd w:val="0"/>
              <w:jc w:val="both"/>
              <w:rPr>
                <w:rFonts w:cstheme="minorHAnsi"/>
              </w:rPr>
            </w:pPr>
            <w:r w:rsidRPr="00F457A7">
              <w:rPr>
                <w:rFonts w:cstheme="minorHAnsi"/>
              </w:rPr>
              <w:t>- w art. 491</w:t>
            </w:r>
            <w:r>
              <w:rPr>
                <w:rFonts w:cstheme="minorHAnsi"/>
                <w:vertAlign w:val="superscript"/>
              </w:rPr>
              <w:t>7</w:t>
            </w:r>
            <w:r w:rsidRPr="00F457A7">
              <w:rPr>
                <w:rFonts w:cstheme="minorHAnsi"/>
              </w:rPr>
              <w:t xml:space="preserve"> ust. 3 otrzymuje brzmienie:</w:t>
            </w:r>
          </w:p>
          <w:p w14:paraId="1488D130" w14:textId="4600ADD9" w:rsidR="00AE288B" w:rsidRPr="00F457A7" w:rsidRDefault="00AE288B" w:rsidP="00AE288B">
            <w:pPr>
              <w:autoSpaceDE w:val="0"/>
              <w:autoSpaceDN w:val="0"/>
              <w:adjustRightInd w:val="0"/>
              <w:jc w:val="both"/>
              <w:rPr>
                <w:rFonts w:cstheme="minorHAnsi"/>
                <w:i/>
                <w:iCs/>
              </w:rPr>
            </w:pPr>
            <w:r w:rsidRPr="00F457A7">
              <w:rPr>
                <w:rFonts w:cstheme="minorHAnsi"/>
                <w:i/>
                <w:iCs/>
              </w:rPr>
              <w:t>3. Zryczałtowane koszty postępowania prowadzonego według przepisów niniejszego</w:t>
            </w:r>
            <w:r>
              <w:rPr>
                <w:rFonts w:cstheme="minorHAnsi"/>
                <w:i/>
                <w:iCs/>
              </w:rPr>
              <w:t xml:space="preserve"> </w:t>
            </w:r>
            <w:r w:rsidRPr="00F457A7">
              <w:rPr>
                <w:rFonts w:cstheme="minorHAnsi"/>
                <w:i/>
                <w:iCs/>
              </w:rPr>
              <w:t>tytułu inne niż wynagrodzenie syndyka wynoszą nie więcej niż 1/5 przeciętnego</w:t>
            </w:r>
            <w:r>
              <w:rPr>
                <w:rFonts w:cstheme="minorHAnsi"/>
                <w:i/>
                <w:iCs/>
              </w:rPr>
              <w:t xml:space="preserve"> </w:t>
            </w:r>
            <w:r w:rsidRPr="00F457A7">
              <w:rPr>
                <w:rFonts w:cstheme="minorHAnsi"/>
                <w:i/>
                <w:iCs/>
              </w:rPr>
              <w:t>miesięcznego</w:t>
            </w:r>
            <w:r>
              <w:rPr>
                <w:rFonts w:cstheme="minorHAnsi"/>
                <w:i/>
                <w:iCs/>
              </w:rPr>
              <w:t xml:space="preserve"> </w:t>
            </w:r>
            <w:r w:rsidRPr="00F457A7">
              <w:rPr>
                <w:rFonts w:cstheme="minorHAnsi"/>
                <w:i/>
                <w:iCs/>
              </w:rPr>
              <w:t>wynagrodzenia w sektorze przedsiębiorstw bez wypłat nagród z zysku</w:t>
            </w:r>
            <w:r>
              <w:rPr>
                <w:rFonts w:cstheme="minorHAnsi"/>
                <w:i/>
                <w:iCs/>
              </w:rPr>
              <w:t xml:space="preserve"> </w:t>
            </w:r>
            <w:r w:rsidRPr="00F457A7">
              <w:rPr>
                <w:rFonts w:cstheme="minorHAnsi"/>
                <w:i/>
                <w:iCs/>
              </w:rPr>
              <w:t xml:space="preserve">w trzecim kwartale roku poprzedniego, ogłoszonego przez </w:t>
            </w:r>
            <w:r w:rsidRPr="00F457A7">
              <w:rPr>
                <w:rFonts w:cstheme="minorHAnsi"/>
                <w:i/>
                <w:iCs/>
              </w:rPr>
              <w:lastRenderedPageBreak/>
              <w:t>Prezesa Głównego Urzędu</w:t>
            </w:r>
            <w:r>
              <w:rPr>
                <w:rFonts w:cstheme="minorHAnsi"/>
                <w:i/>
                <w:iCs/>
              </w:rPr>
              <w:t xml:space="preserve"> </w:t>
            </w:r>
            <w:r w:rsidRPr="00F457A7">
              <w:rPr>
                <w:rFonts w:cstheme="minorHAnsi"/>
                <w:i/>
                <w:iCs/>
              </w:rPr>
              <w:t>Statystycznego.</w:t>
            </w:r>
          </w:p>
          <w:p w14:paraId="78B55040" w14:textId="4182DFE3" w:rsidR="00AE288B" w:rsidRPr="00F457A7" w:rsidRDefault="00AE288B" w:rsidP="00AE288B">
            <w:pPr>
              <w:autoSpaceDE w:val="0"/>
              <w:autoSpaceDN w:val="0"/>
              <w:adjustRightInd w:val="0"/>
              <w:jc w:val="both"/>
              <w:rPr>
                <w:rFonts w:cstheme="minorHAnsi"/>
                <w:i/>
                <w:iCs/>
              </w:rPr>
            </w:pPr>
            <w:r w:rsidRPr="00F457A7">
              <w:rPr>
                <w:rFonts w:cstheme="minorHAnsi"/>
                <w:i/>
                <w:iCs/>
              </w:rPr>
              <w:t>3a. W postanowieniu o ogłoszeniu upadłości sąd przyznaje syndykowi zaliczkę na pokrycie</w:t>
            </w:r>
            <w:r>
              <w:rPr>
                <w:rFonts w:cstheme="minorHAnsi"/>
                <w:i/>
                <w:iCs/>
              </w:rPr>
              <w:t xml:space="preserve"> </w:t>
            </w:r>
            <w:r w:rsidRPr="00F457A7">
              <w:rPr>
                <w:rFonts w:cstheme="minorHAnsi"/>
                <w:i/>
                <w:iCs/>
              </w:rPr>
              <w:t>tych kosztów, chyba że majątek upadłego pozwala na bieżące pokrywanie kosztów</w:t>
            </w:r>
          </w:p>
          <w:p w14:paraId="5ED4A308" w14:textId="77777777" w:rsidR="00AE288B" w:rsidRPr="00F457A7" w:rsidRDefault="00AE288B" w:rsidP="00AE288B">
            <w:pPr>
              <w:autoSpaceDE w:val="0"/>
              <w:autoSpaceDN w:val="0"/>
              <w:adjustRightInd w:val="0"/>
              <w:jc w:val="both"/>
              <w:rPr>
                <w:rFonts w:cstheme="minorHAnsi"/>
                <w:i/>
                <w:iCs/>
              </w:rPr>
            </w:pPr>
            <w:r w:rsidRPr="00F457A7">
              <w:rPr>
                <w:rFonts w:cstheme="minorHAnsi"/>
                <w:i/>
                <w:iCs/>
              </w:rPr>
              <w:t>postępowania.</w:t>
            </w:r>
          </w:p>
          <w:p w14:paraId="687ABFEA" w14:textId="334BA67F" w:rsidR="00AE288B" w:rsidRPr="00F457A7" w:rsidRDefault="00AE288B" w:rsidP="00AE288B">
            <w:pPr>
              <w:autoSpaceDE w:val="0"/>
              <w:autoSpaceDN w:val="0"/>
              <w:adjustRightInd w:val="0"/>
              <w:jc w:val="both"/>
              <w:rPr>
                <w:rFonts w:cstheme="minorHAnsi"/>
                <w:i/>
                <w:iCs/>
              </w:rPr>
            </w:pPr>
            <w:r w:rsidRPr="00F457A7">
              <w:rPr>
                <w:rFonts w:cstheme="minorHAnsi"/>
                <w:i/>
                <w:iCs/>
              </w:rPr>
              <w:t>3b. W dalszym toku postępowania sąd może ustalić, że koszty postępowania mogą</w:t>
            </w:r>
            <w:r>
              <w:rPr>
                <w:rFonts w:cstheme="minorHAnsi"/>
                <w:i/>
                <w:iCs/>
              </w:rPr>
              <w:t xml:space="preserve"> </w:t>
            </w:r>
            <w:r w:rsidRPr="00F457A7">
              <w:rPr>
                <w:rFonts w:cstheme="minorHAnsi"/>
                <w:i/>
                <w:iCs/>
              </w:rPr>
              <w:t>przekroczyć wysokość kosztów zryczałtowanych i przyznać syndykowi wyższą zaliczkę na</w:t>
            </w:r>
            <w:r>
              <w:rPr>
                <w:rFonts w:cstheme="minorHAnsi"/>
                <w:i/>
                <w:iCs/>
              </w:rPr>
              <w:t xml:space="preserve"> </w:t>
            </w:r>
            <w:r w:rsidRPr="00F457A7">
              <w:rPr>
                <w:rFonts w:cstheme="minorHAnsi"/>
                <w:i/>
                <w:iCs/>
              </w:rPr>
              <w:t>ich pokrycie oraz zarządzić jej niezwłoczną wypłatę tymczasowo ze środków Skarbu</w:t>
            </w:r>
            <w:r>
              <w:rPr>
                <w:rFonts w:cstheme="minorHAnsi"/>
                <w:i/>
                <w:iCs/>
              </w:rPr>
              <w:t xml:space="preserve"> </w:t>
            </w:r>
            <w:r w:rsidRPr="00F457A7">
              <w:rPr>
                <w:rFonts w:cstheme="minorHAnsi"/>
                <w:i/>
                <w:iCs/>
              </w:rPr>
              <w:t>Państwa tylko wówczas gdy zwiększone koszty postępowania wynikają ze znacznego</w:t>
            </w:r>
            <w:r>
              <w:rPr>
                <w:rFonts w:cstheme="minorHAnsi"/>
                <w:i/>
                <w:iCs/>
              </w:rPr>
              <w:t xml:space="preserve"> </w:t>
            </w:r>
            <w:r w:rsidRPr="00F457A7">
              <w:rPr>
                <w:rFonts w:cstheme="minorHAnsi"/>
                <w:i/>
                <w:iCs/>
              </w:rPr>
              <w:t>rozmiaru masy upadłości, w szczególności, gdy w skład masy upadłości wchodzi</w:t>
            </w:r>
          </w:p>
          <w:p w14:paraId="4B2EF5EA" w14:textId="398241B7" w:rsidR="00AE288B" w:rsidRPr="0079516B" w:rsidRDefault="00AE288B" w:rsidP="00AE288B">
            <w:pPr>
              <w:autoSpaceDE w:val="0"/>
              <w:autoSpaceDN w:val="0"/>
              <w:adjustRightInd w:val="0"/>
              <w:jc w:val="both"/>
              <w:rPr>
                <w:rFonts w:cstheme="minorHAnsi"/>
                <w:i/>
                <w:iCs/>
              </w:rPr>
            </w:pPr>
            <w:r w:rsidRPr="00F457A7">
              <w:rPr>
                <w:rFonts w:cstheme="minorHAnsi"/>
                <w:i/>
                <w:iCs/>
              </w:rPr>
              <w:t>nieruchomość, lub z konieczności dochodzenia przekazania do masy upadłości tego, co</w:t>
            </w:r>
            <w:r>
              <w:rPr>
                <w:rFonts w:cstheme="minorHAnsi"/>
                <w:i/>
                <w:iCs/>
              </w:rPr>
              <w:t xml:space="preserve"> </w:t>
            </w:r>
            <w:r w:rsidRPr="00F457A7">
              <w:rPr>
                <w:rFonts w:cstheme="minorHAnsi"/>
                <w:i/>
                <w:iCs/>
              </w:rPr>
              <w:t>wskutek czynności dłużnika bezskutecznych wobec masy upadłości lub wierzycieli ubyło</w:t>
            </w:r>
            <w:r>
              <w:rPr>
                <w:rFonts w:cstheme="minorHAnsi"/>
                <w:i/>
                <w:iCs/>
              </w:rPr>
              <w:t xml:space="preserve"> </w:t>
            </w:r>
            <w:r w:rsidRPr="00F457A7">
              <w:rPr>
                <w:rFonts w:cstheme="minorHAnsi"/>
                <w:i/>
                <w:iCs/>
              </w:rPr>
              <w:t>z majątku upadłego lub do niego nie weszło.</w:t>
            </w:r>
          </w:p>
        </w:tc>
      </w:tr>
      <w:tr w:rsidR="00E72257" w:rsidRPr="00486628" w14:paraId="5477273E" w14:textId="77777777" w:rsidTr="00AC5078">
        <w:tc>
          <w:tcPr>
            <w:tcW w:w="158" w:type="pct"/>
          </w:tcPr>
          <w:p w14:paraId="1AC075B8" w14:textId="503DA34E" w:rsidR="00E72257" w:rsidRDefault="00E72257" w:rsidP="00AE288B">
            <w:pPr>
              <w:jc w:val="center"/>
              <w:rPr>
                <w:rFonts w:cstheme="minorHAnsi"/>
              </w:rPr>
            </w:pPr>
            <w:r>
              <w:rPr>
                <w:rFonts w:cstheme="minorHAnsi"/>
              </w:rPr>
              <w:lastRenderedPageBreak/>
              <w:t>5</w:t>
            </w:r>
            <w:r w:rsidR="00073C41">
              <w:rPr>
                <w:rFonts w:cstheme="minorHAnsi"/>
              </w:rPr>
              <w:t>4</w:t>
            </w:r>
          </w:p>
        </w:tc>
        <w:tc>
          <w:tcPr>
            <w:tcW w:w="698" w:type="pct"/>
          </w:tcPr>
          <w:p w14:paraId="6470E4B1" w14:textId="3D2D9DF5" w:rsidR="00E72257" w:rsidRDefault="00E72257" w:rsidP="00AE288B">
            <w:pPr>
              <w:rPr>
                <w:rFonts w:ascii="Calibri" w:hAnsi="Calibri" w:cs="Calibri"/>
              </w:rPr>
            </w:pPr>
            <w:r>
              <w:rPr>
                <w:rFonts w:ascii="Calibri" w:hAnsi="Calibri" w:cs="Calibri"/>
              </w:rPr>
              <w:t xml:space="preserve">Rada Legislacyjna </w:t>
            </w:r>
          </w:p>
        </w:tc>
        <w:tc>
          <w:tcPr>
            <w:tcW w:w="591" w:type="pct"/>
          </w:tcPr>
          <w:p w14:paraId="5A0233C4" w14:textId="76B8132B" w:rsidR="00E72257" w:rsidRPr="00E72257" w:rsidRDefault="00073C41" w:rsidP="00AE288B">
            <w:pPr>
              <w:rPr>
                <w:rFonts w:ascii="Calibri" w:hAnsi="Calibri" w:cs="Calibri"/>
              </w:rPr>
            </w:pPr>
            <w:r>
              <w:rPr>
                <w:rFonts w:ascii="Calibri" w:eastAsia="Times New Roman" w:hAnsi="Calibri" w:cs="Times New Roman"/>
                <w:lang w:eastAsia="pl-PL"/>
              </w:rPr>
              <w:t xml:space="preserve">art. </w:t>
            </w:r>
            <w:r w:rsidRPr="00073C41">
              <w:rPr>
                <w:rFonts w:ascii="Calibri" w:eastAsia="Times New Roman" w:hAnsi="Calibri" w:cs="Times New Roman"/>
                <w:lang w:eastAsia="pl-PL"/>
              </w:rPr>
              <w:t xml:space="preserve"> 216aa i 491</w:t>
            </w:r>
            <w:r w:rsidRPr="00073C41">
              <w:rPr>
                <w:rFonts w:ascii="Calibri" w:eastAsia="Times New Roman" w:hAnsi="Calibri" w:cs="Times New Roman"/>
                <w:vertAlign w:val="superscript"/>
                <w:lang w:eastAsia="pl-PL"/>
              </w:rPr>
              <w:t>2</w:t>
            </w:r>
            <w:r w:rsidRPr="00073C41">
              <w:rPr>
                <w:rFonts w:ascii="Calibri" w:eastAsia="Times New Roman" w:hAnsi="Calibri" w:cs="Times New Roman"/>
                <w:lang w:eastAsia="pl-PL"/>
              </w:rPr>
              <w:t xml:space="preserve"> ust. 3 </w:t>
            </w:r>
            <w:r>
              <w:rPr>
                <w:rFonts w:ascii="Calibri" w:eastAsia="Times New Roman" w:hAnsi="Calibri" w:cs="Times New Roman"/>
                <w:lang w:eastAsia="pl-PL"/>
              </w:rPr>
              <w:t xml:space="preserve">P.U. </w:t>
            </w:r>
            <w:r w:rsidRPr="00073C41">
              <w:rPr>
                <w:rFonts w:ascii="Calibri" w:eastAsia="Times New Roman" w:hAnsi="Calibri" w:cs="Times New Roman"/>
                <w:lang w:eastAsia="pl-PL"/>
              </w:rPr>
              <w:t xml:space="preserve">oraz art. 196b </w:t>
            </w:r>
            <w:r>
              <w:rPr>
                <w:rFonts w:ascii="Calibri" w:eastAsia="Times New Roman" w:hAnsi="Calibri" w:cs="Times New Roman"/>
                <w:lang w:eastAsia="pl-PL"/>
              </w:rPr>
              <w:t>P.U.</w:t>
            </w:r>
          </w:p>
        </w:tc>
        <w:tc>
          <w:tcPr>
            <w:tcW w:w="1418" w:type="pct"/>
          </w:tcPr>
          <w:p w14:paraId="2D28CE89" w14:textId="77777777" w:rsidR="00E72257" w:rsidRDefault="00E72257" w:rsidP="00E72257">
            <w:pPr>
              <w:jc w:val="both"/>
            </w:pPr>
            <w:r>
              <w:t xml:space="preserve">Projektowane zmiany sprowadzające się do umożliwienia osobom fizycznym nieprowadzącym działalności gospodarczej wnoszenia pism „w papierze” po 5 latach funkcjonowania zinformatyzowanych postępowań upadłościowych i restrukturyzacyjnych są ogromnym krokiem </w:t>
            </w:r>
            <w:r>
              <w:lastRenderedPageBreak/>
              <w:t>wstecz i stanowią zaprzeczenie słusznie realizowanej przez Ministra Sprawiedliwości polityki informatycznej. Należy przy tym podkreślić, że nigdy nie było żadnych trudności oraz zastrzeżeń dotyczących działania</w:t>
            </w:r>
          </w:p>
          <w:p w14:paraId="118826AE" w14:textId="77777777" w:rsidR="00E72257" w:rsidRDefault="00E72257" w:rsidP="00E72257">
            <w:pPr>
              <w:jc w:val="both"/>
            </w:pPr>
            <w:r>
              <w:t>5</w:t>
            </w:r>
          </w:p>
          <w:p w14:paraId="2F408A93" w14:textId="77777777" w:rsidR="00E72257" w:rsidRDefault="00E72257" w:rsidP="00E72257">
            <w:pPr>
              <w:jc w:val="both"/>
            </w:pPr>
            <w:r>
              <w:t>w systemie teleinformatycznym przez osoby, które nie prowadzą działalności gospodarczej w ramach restrukturyzacji i upadłości przedsiębiorców. Dyskusje, które się toczyły na ten temat dotyczyły wyłącznie upadłości konsumenckiej. W tym zakresie należy jednak odnotować, że liczba ogłoszonych i prowadzonych ponad 20 000 upadłości konsumenckich rocznie w okresie od 1.12.2021 r., tj. wprowadzenia systemu teleinformatycznego, pokazuje, że również konsumenci działają w systemie teleinformatycznym (https://ipuir.lazarski.pl/pl/badania-naukowe-ipuir/).</w:t>
            </w:r>
          </w:p>
          <w:p w14:paraId="5A10E711" w14:textId="77777777" w:rsidR="00E72257" w:rsidRDefault="00E72257" w:rsidP="00E72257">
            <w:pPr>
              <w:jc w:val="both"/>
            </w:pPr>
            <w:r>
              <w:t>4.</w:t>
            </w:r>
          </w:p>
          <w:p w14:paraId="557D63D2" w14:textId="77777777" w:rsidR="00E72257" w:rsidRDefault="00E72257" w:rsidP="00E72257">
            <w:pPr>
              <w:jc w:val="both"/>
            </w:pPr>
            <w:r>
              <w:t xml:space="preserve">Projektowane zmiany nie uwzględniają kosztów związanych z koniecznością skanowania wszystkich papierowych dokumentów (nie tylko w upadłości konsumenckiej, ale również w restrukturyzacji i upadłości przedsiębiorców) i załączenia skanów do akt elektronicznych. W skali kraju to będą setki tysięcy pism i dokumentów. Wystarczy sobie wyobrazić, że w sprawie tej skali co upadłość Getin Noble Bank zgłoszenia </w:t>
            </w:r>
            <w:r>
              <w:lastRenderedPageBreak/>
              <w:t>wierzytelności i sprzeciwy kredytobiorców-konsumentów wobec listy wierzytelności będą wnoszone w papierze. Spowoduje to spowolnienie, o ile nie paraliż, pracy sekretariatu wydziału. Projektowana zmiana również zdecydowanie zwiększy koszty postępowań upadłościowych ponoszone przez syndyków. Jedna przesyłka do wierzyciela, który nie prowadzi działalności gospodarczej, to jest koszt około 12 zł dla masy upadłości, podczas gdy wysyłka w systemie teleinformatycznym nie generuje żadnych kosztów. Obrazowo można więc wskazać, że w upadłości tego rzędu co Getin Noble Bank koszt jednorazowej wysyłki korespondencji dla wierzycieli, którzy nie prowadzą działalności gospodarczej przekroczyłby kwotę 300 000 zł. Gdyby więc Projektodawca zdecydował się przenieść rozwiązanie wskazane w tabeli uwag do Projektu ustawy, to zdecydowanie konieczne będzie uzupełnienie Oceny Skutków Regulacji o analizę kosztów projektowanej zmiany i to zarówno w odniesieniu do kosztów ponoszonych z budżetu państwa (kosztów funkcjonowania wydziałów ds. upadłościowych i restrukturyzacyjnych), jak i kosztów postępowań upadłościowych i restrukturyzacyjnych, które przecież w istocie rzeczy obciążają wierzycieli, obniżając możliwość ich zaspokojenia.</w:t>
            </w:r>
          </w:p>
          <w:p w14:paraId="466B57AA" w14:textId="77777777" w:rsidR="00E72257" w:rsidRDefault="00E72257" w:rsidP="00E72257">
            <w:pPr>
              <w:jc w:val="both"/>
            </w:pPr>
            <w:r>
              <w:t>5.</w:t>
            </w:r>
          </w:p>
          <w:p w14:paraId="1F0EEF93" w14:textId="77777777" w:rsidR="00E72257" w:rsidRDefault="00E72257" w:rsidP="00E72257">
            <w:pPr>
              <w:jc w:val="both"/>
            </w:pPr>
            <w:r>
              <w:lastRenderedPageBreak/>
              <w:t>Projektowane zmiany są sprzeczne z jednoznaczną i jednokierunkową tendencją europejską. Podczas ostatniej konferencji organizowanej przez CERIL w Leuven (Belgia) w dniach 26 i 27 marca tego roku, w ramach panelu poświęconego informatyzacji postępowań (Into the digital age: what digitisation means for restructuring and insolvency) wprost wskazywano, że w innych państwach (np. Belgia) obowiązek działania w systemie teleinformatycznym dotyczy wszystkich, w tym</w:t>
            </w:r>
          </w:p>
          <w:p w14:paraId="1B099393" w14:textId="77777777" w:rsidR="00E72257" w:rsidRDefault="00E72257" w:rsidP="00E72257">
            <w:pPr>
              <w:jc w:val="both"/>
            </w:pPr>
            <w:r>
              <w:t>6</w:t>
            </w:r>
          </w:p>
          <w:p w14:paraId="596F3895" w14:textId="77777777" w:rsidR="00E72257" w:rsidRDefault="00E72257" w:rsidP="00E72257">
            <w:pPr>
              <w:jc w:val="both"/>
            </w:pPr>
            <w:r>
              <w:t>również konsumentów w ramach upadłości konsumenckiej. Projektowane zmiany postawią Polskę w negatywnym świetle na arenie międzynarodowej jako państwo, które wycofuje się z informatyzacji postępowań sądowych.</w:t>
            </w:r>
          </w:p>
          <w:p w14:paraId="1ADA7F3A" w14:textId="77777777" w:rsidR="00E72257" w:rsidRDefault="00E72257" w:rsidP="00E72257">
            <w:pPr>
              <w:jc w:val="both"/>
            </w:pPr>
            <w:r>
              <w:t>6.</w:t>
            </w:r>
          </w:p>
          <w:p w14:paraId="2188BB66" w14:textId="4B4F9868" w:rsidR="00E72257" w:rsidRDefault="00E72257" w:rsidP="00E72257">
            <w:pPr>
              <w:jc w:val="both"/>
            </w:pPr>
            <w:r>
              <w:t xml:space="preserve">Projektowane zmiany spowodują, że w każdym przypadku wniesienia pisma „w papierze” przez wierzyciela doradca restrukturyzacyjny lub sąd będą musieli weryfikować, czy wierzyciel jest osobą, która nie prowadzi działalności gospodarczej. Spowoduje to zwiększenie obciążenia pracą, wydłuży postępowania i wygeneruje dodatkowe koszty. Należy przy tym podkreślić, że wpis do CEIDG ma jedynie deklaratoryjny charakter3, a więc ustalenie tego, czy ktoś prowadzi działalność </w:t>
            </w:r>
            <w:r>
              <w:lastRenderedPageBreak/>
              <w:t>gospodarczą, czy jej nie prowadzi, może niekiedy być bardziej skomplikowane</w:t>
            </w:r>
          </w:p>
        </w:tc>
        <w:tc>
          <w:tcPr>
            <w:tcW w:w="1027" w:type="pct"/>
          </w:tcPr>
          <w:p w14:paraId="1589FFB0" w14:textId="77777777" w:rsidR="00E72257" w:rsidRPr="00724947" w:rsidRDefault="00E72257" w:rsidP="00AE288B">
            <w:pPr>
              <w:jc w:val="both"/>
              <w:rPr>
                <w:rFonts w:ascii="Calibri" w:hAnsi="Calibri" w:cs="Calibri"/>
              </w:rPr>
            </w:pPr>
          </w:p>
        </w:tc>
        <w:tc>
          <w:tcPr>
            <w:tcW w:w="1108" w:type="pct"/>
          </w:tcPr>
          <w:p w14:paraId="40D5B914" w14:textId="77777777" w:rsidR="00E72257" w:rsidRDefault="00073C41" w:rsidP="00073C41">
            <w:pPr>
              <w:autoSpaceDE w:val="0"/>
              <w:autoSpaceDN w:val="0"/>
              <w:adjustRightInd w:val="0"/>
              <w:jc w:val="both"/>
              <w:rPr>
                <w:rFonts w:cstheme="minorHAnsi"/>
                <w:b/>
                <w:bCs/>
              </w:rPr>
            </w:pPr>
            <w:r>
              <w:rPr>
                <w:rFonts w:cstheme="minorHAnsi"/>
                <w:b/>
                <w:bCs/>
              </w:rPr>
              <w:t xml:space="preserve">Uwaga uwzględniona. </w:t>
            </w:r>
          </w:p>
          <w:p w14:paraId="3016AB4F" w14:textId="77777777" w:rsidR="00073C41" w:rsidRDefault="00073C41" w:rsidP="00073C41">
            <w:pPr>
              <w:spacing w:before="120" w:after="120"/>
              <w:jc w:val="both"/>
              <w:rPr>
                <w:rFonts w:ascii="Calibri" w:hAnsi="Calibri"/>
              </w:rPr>
            </w:pPr>
            <w:r>
              <w:rPr>
                <w:rFonts w:ascii="Calibri" w:hAnsi="Calibri"/>
              </w:rPr>
              <w:t>Ministerstwo Sprawiedliwości odstąpiło od planowanej zmiany treści art. 216aa i 491</w:t>
            </w:r>
            <w:r>
              <w:rPr>
                <w:rFonts w:ascii="Calibri" w:hAnsi="Calibri"/>
                <w:vertAlign w:val="superscript"/>
              </w:rPr>
              <w:t>2</w:t>
            </w:r>
            <w:r>
              <w:rPr>
                <w:rFonts w:ascii="Calibri" w:hAnsi="Calibri"/>
              </w:rPr>
              <w:t xml:space="preserve"> ust. 3 ustawy – Prawo </w:t>
            </w:r>
            <w:r w:rsidRPr="008566F4">
              <w:rPr>
                <w:rFonts w:ascii="Calibri" w:hAnsi="Calibri"/>
              </w:rPr>
              <w:t>upadłościowe</w:t>
            </w:r>
            <w:r>
              <w:rPr>
                <w:rFonts w:ascii="Calibri" w:hAnsi="Calibri"/>
              </w:rPr>
              <w:t xml:space="preserve"> oraz </w:t>
            </w:r>
            <w:r w:rsidRPr="008566F4">
              <w:rPr>
                <w:rFonts w:ascii="Calibri" w:hAnsi="Calibri"/>
              </w:rPr>
              <w:t>art. 1</w:t>
            </w:r>
            <w:r>
              <w:rPr>
                <w:rFonts w:ascii="Calibri" w:hAnsi="Calibri"/>
              </w:rPr>
              <w:t>96</w:t>
            </w:r>
            <w:r w:rsidRPr="008566F4">
              <w:rPr>
                <w:rFonts w:ascii="Calibri" w:hAnsi="Calibri"/>
              </w:rPr>
              <w:t xml:space="preserve">b ustawy </w:t>
            </w:r>
            <w:r>
              <w:rPr>
                <w:rFonts w:ascii="Calibri" w:hAnsi="Calibri"/>
              </w:rPr>
              <w:t xml:space="preserve">– </w:t>
            </w:r>
            <w:r w:rsidRPr="008566F4">
              <w:rPr>
                <w:rFonts w:ascii="Calibri" w:hAnsi="Calibri"/>
              </w:rPr>
              <w:t>Prawo restrukturyzacyjne</w:t>
            </w:r>
            <w:r>
              <w:rPr>
                <w:rFonts w:ascii="Calibri" w:hAnsi="Calibri"/>
              </w:rPr>
              <w:t xml:space="preserve">, podzielając </w:t>
            </w:r>
            <w:r>
              <w:rPr>
                <w:rFonts w:ascii="Calibri" w:hAnsi="Calibri"/>
              </w:rPr>
              <w:lastRenderedPageBreak/>
              <w:t>stanowisko przedstawione w ww. opinii Rady Legislacyjnej.</w:t>
            </w:r>
          </w:p>
          <w:p w14:paraId="6A22CF4A" w14:textId="6FEA139E" w:rsidR="00073C41" w:rsidRPr="00F457A7" w:rsidRDefault="00073C41" w:rsidP="00073C41">
            <w:pPr>
              <w:autoSpaceDE w:val="0"/>
              <w:autoSpaceDN w:val="0"/>
              <w:adjustRightInd w:val="0"/>
              <w:jc w:val="both"/>
              <w:rPr>
                <w:rFonts w:cstheme="minorHAnsi"/>
                <w:b/>
                <w:bCs/>
              </w:rPr>
            </w:pPr>
          </w:p>
        </w:tc>
      </w:tr>
      <w:tr w:rsidR="00073C41" w:rsidRPr="00486628" w14:paraId="5FE92FB1" w14:textId="77777777" w:rsidTr="00AC5078">
        <w:tc>
          <w:tcPr>
            <w:tcW w:w="158" w:type="pct"/>
          </w:tcPr>
          <w:p w14:paraId="546AA2F3" w14:textId="583DB42E" w:rsidR="00073C41" w:rsidRDefault="00073C41" w:rsidP="00AE288B">
            <w:pPr>
              <w:jc w:val="center"/>
              <w:rPr>
                <w:rFonts w:cstheme="minorHAnsi"/>
              </w:rPr>
            </w:pPr>
            <w:r>
              <w:rPr>
                <w:rFonts w:cstheme="minorHAnsi"/>
              </w:rPr>
              <w:lastRenderedPageBreak/>
              <w:t>55</w:t>
            </w:r>
          </w:p>
        </w:tc>
        <w:tc>
          <w:tcPr>
            <w:tcW w:w="698" w:type="pct"/>
          </w:tcPr>
          <w:p w14:paraId="19FA2D68" w14:textId="0458720D" w:rsidR="00073C41" w:rsidRDefault="008C435D" w:rsidP="00AE288B">
            <w:pPr>
              <w:rPr>
                <w:rFonts w:ascii="Calibri" w:hAnsi="Calibri" w:cs="Calibri"/>
              </w:rPr>
            </w:pPr>
            <w:r>
              <w:rPr>
                <w:rFonts w:ascii="Calibri" w:hAnsi="Calibri" w:cs="Calibri"/>
              </w:rPr>
              <w:t xml:space="preserve">Rada Legislacyjna </w:t>
            </w:r>
          </w:p>
        </w:tc>
        <w:tc>
          <w:tcPr>
            <w:tcW w:w="591" w:type="pct"/>
          </w:tcPr>
          <w:p w14:paraId="2DAC9C30" w14:textId="73CB8D32" w:rsidR="00073C41" w:rsidRDefault="00302EA7" w:rsidP="00AE288B">
            <w:pPr>
              <w:rPr>
                <w:rFonts w:ascii="Calibri" w:eastAsia="Times New Roman" w:hAnsi="Calibri" w:cs="Times New Roman"/>
                <w:lang w:eastAsia="pl-PL"/>
              </w:rPr>
            </w:pPr>
            <w:r w:rsidRPr="00302EA7">
              <w:rPr>
                <w:rFonts w:ascii="Calibri" w:eastAsia="Times New Roman" w:hAnsi="Calibri" w:cs="Times New Roman"/>
                <w:b/>
                <w:bCs/>
                <w:lang w:eastAsia="pl-PL"/>
              </w:rPr>
              <w:t>Art. 1 pkt 1</w:t>
            </w:r>
            <w:r>
              <w:rPr>
                <w:rFonts w:ascii="Calibri" w:eastAsia="Times New Roman" w:hAnsi="Calibri" w:cs="Times New Roman"/>
                <w:b/>
                <w:bCs/>
                <w:lang w:eastAsia="pl-PL"/>
              </w:rPr>
              <w:t>5</w:t>
            </w:r>
            <w:r w:rsidRPr="00302EA7">
              <w:rPr>
                <w:rFonts w:ascii="Calibri" w:eastAsia="Times New Roman" w:hAnsi="Calibri" w:cs="Times New Roman"/>
                <w:b/>
                <w:bCs/>
                <w:lang w:eastAsia="pl-PL"/>
              </w:rPr>
              <w:t xml:space="preserve"> lit. a</w:t>
            </w:r>
            <w:r w:rsidRPr="00302EA7">
              <w:rPr>
                <w:rFonts w:ascii="Calibri" w:eastAsia="Times New Roman" w:hAnsi="Calibri" w:cs="Times New Roman"/>
                <w:lang w:eastAsia="pl-PL"/>
              </w:rPr>
              <w:t xml:space="preserve"> (</w:t>
            </w:r>
            <w:r>
              <w:rPr>
                <w:rFonts w:ascii="Calibri" w:eastAsia="Times New Roman" w:hAnsi="Calibri" w:cs="Times New Roman"/>
                <w:lang w:eastAsia="pl-PL"/>
              </w:rPr>
              <w:t xml:space="preserve">zmiana w zakresie </w:t>
            </w:r>
            <w:r w:rsidRPr="00302EA7">
              <w:rPr>
                <w:rFonts w:ascii="Calibri" w:eastAsia="Times New Roman" w:hAnsi="Calibri" w:cs="Times New Roman"/>
                <w:lang w:eastAsia="pl-PL"/>
              </w:rPr>
              <w:t>art. 491</w:t>
            </w:r>
            <w:r>
              <w:rPr>
                <w:rFonts w:ascii="Calibri" w:eastAsia="Times New Roman" w:hAnsi="Calibri" w:cs="Times New Roman"/>
                <w:vertAlign w:val="superscript"/>
                <w:lang w:eastAsia="pl-PL"/>
              </w:rPr>
              <w:t>9</w:t>
            </w:r>
            <w:r w:rsidRPr="00302EA7">
              <w:rPr>
                <w:rFonts w:ascii="Calibri" w:eastAsia="Times New Roman" w:hAnsi="Calibri" w:cs="Times New Roman"/>
                <w:lang w:eastAsia="pl-PL"/>
              </w:rPr>
              <w:t xml:space="preserve"> P.U.)</w:t>
            </w:r>
          </w:p>
        </w:tc>
        <w:tc>
          <w:tcPr>
            <w:tcW w:w="1418" w:type="pct"/>
          </w:tcPr>
          <w:p w14:paraId="51F0BA1F" w14:textId="6370C3E4" w:rsidR="00073C41" w:rsidRDefault="008C435D" w:rsidP="00E72257">
            <w:pPr>
              <w:jc w:val="both"/>
            </w:pPr>
            <w:r w:rsidRPr="008C435D">
              <w:t xml:space="preserve">Należy zauważyć, że akceptacja tej zmiany w istocie rzeczy byłaby zaprzeczeniem przyjętego przez projektodawcę modelu, opartego na ryczałtowym i automatycznym (z mocy ustawy) ustalaniu wynagrodzenia syndyka, i w konsekwencji zwiększałaby koszty społeczne (w tym finansowe) funkcjonowania systemu tzw. upadłości konsumenckiej. Proponowana zmiana stanowi powrót „do punktu wyjścia” i spowoduje, że stan prawny po nowelizacji nie będzie się istotnie różnił od stanu obecnego. Nowelizacja nie spowoduje więc przyspieszenia postępowań i nie odciąży sądów upadłościowych. Wręcz przeciwnie, można założyć pewne utrudnienie i skomplikowanie procedury, skoro o ewentualnym obniżeniu wynagrodzenia będzie orzekał sąd w orzeczeniu kończącym postępowanie w sprawie. Orzeczeniem kończącym postępowanie jest przykładowo postanowienie o ustaleniu planu spłaty wierzycieli wydawane na podstawie projektu przygotowanego przez syndyka. Mało efektywne jest jednoczesne ustalanie obniżenia wynagrodzenia i planu spłaty, skoro nadwyżka środków ponad obniżone wynagrodzenie powinna być przekazana do podziału w ramach planu spłaty wierzycieli. Jednak skoro jednocześnie postanowienie w przedmiocie wynagrodzenia jest zaskarżalne, </w:t>
            </w:r>
            <w:r w:rsidRPr="008C435D">
              <w:lastRenderedPageBreak/>
              <w:t>to oznacza to, że nie jest możliwe wydanie go jednocześnie z postanowieniem o ustaleniu planu spłaty wierzycieli. Pokazuje to, że być może projektowana zmiana realizuje jakieś określone założenia teoretyczne, ale w żaden sposób nie uwzględnia praktyki orzekania w sprawach ustalenia planu spłaty wierzycieli.</w:t>
            </w:r>
          </w:p>
        </w:tc>
        <w:tc>
          <w:tcPr>
            <w:tcW w:w="1027" w:type="pct"/>
          </w:tcPr>
          <w:p w14:paraId="1B212B8E" w14:textId="77777777" w:rsidR="00073C41" w:rsidRPr="00724947" w:rsidRDefault="00073C41" w:rsidP="00AE288B">
            <w:pPr>
              <w:jc w:val="both"/>
              <w:rPr>
                <w:rFonts w:ascii="Calibri" w:hAnsi="Calibri" w:cs="Calibri"/>
              </w:rPr>
            </w:pPr>
          </w:p>
        </w:tc>
        <w:tc>
          <w:tcPr>
            <w:tcW w:w="1108" w:type="pct"/>
          </w:tcPr>
          <w:p w14:paraId="79F1A3E8" w14:textId="77777777" w:rsidR="00073C41" w:rsidRPr="00302EA7" w:rsidRDefault="00302EA7" w:rsidP="00073C41">
            <w:pPr>
              <w:autoSpaceDE w:val="0"/>
              <w:autoSpaceDN w:val="0"/>
              <w:adjustRightInd w:val="0"/>
              <w:jc w:val="both"/>
              <w:rPr>
                <w:rFonts w:cstheme="minorHAnsi"/>
                <w:b/>
                <w:bCs/>
              </w:rPr>
            </w:pPr>
            <w:r w:rsidRPr="00302EA7">
              <w:rPr>
                <w:rFonts w:cstheme="minorHAnsi"/>
                <w:b/>
                <w:bCs/>
              </w:rPr>
              <w:t xml:space="preserve">Uwaga nie uwzględniona </w:t>
            </w:r>
          </w:p>
          <w:p w14:paraId="550605C2" w14:textId="77777777" w:rsidR="00302EA7" w:rsidRPr="00302EA7" w:rsidRDefault="00302EA7" w:rsidP="00073C41">
            <w:pPr>
              <w:autoSpaceDE w:val="0"/>
              <w:autoSpaceDN w:val="0"/>
              <w:adjustRightInd w:val="0"/>
              <w:jc w:val="both"/>
              <w:rPr>
                <w:rFonts w:cstheme="minorHAnsi"/>
              </w:rPr>
            </w:pPr>
          </w:p>
          <w:p w14:paraId="76D69F00" w14:textId="5BF1C848" w:rsidR="00302EA7" w:rsidRPr="00302EA7" w:rsidRDefault="00302EA7" w:rsidP="00302EA7">
            <w:pPr>
              <w:autoSpaceDE w:val="0"/>
              <w:autoSpaceDN w:val="0"/>
              <w:adjustRightInd w:val="0"/>
              <w:jc w:val="both"/>
              <w:rPr>
                <w:rFonts w:cstheme="minorHAnsi"/>
              </w:rPr>
            </w:pPr>
            <w:r w:rsidRPr="00302EA7">
              <w:rPr>
                <w:rFonts w:cstheme="minorHAnsi"/>
              </w:rPr>
              <w:t>rzedmiotowy projekt ustawy przewiduje, że co do zasady wynagrodzenie syndyka w postępowaniu upadłościowym wobec osób fizycznych nieprowadzących działalności gospodarczej wynosić będzie równowartość jednego przeciętnego miesięcznego wynagrodzenia w sektorze przedsiębiorstw bez wypłat nagród z zysku w trzecim kwartale roku poprzedniego, ogłoszonego przez Prezesa Głównego Urzędu Statystycznego (art. 491</w:t>
            </w:r>
            <w:r w:rsidRPr="00302EA7">
              <w:rPr>
                <w:rFonts w:cstheme="minorHAnsi"/>
                <w:vertAlign w:val="superscript"/>
              </w:rPr>
              <w:t>9</w:t>
            </w:r>
            <w:r w:rsidRPr="00302EA7">
              <w:rPr>
                <w:rFonts w:cstheme="minorHAnsi"/>
              </w:rPr>
              <w:t xml:space="preserve"> ust. 2 P.U.). </w:t>
            </w:r>
          </w:p>
          <w:p w14:paraId="229ECCDF" w14:textId="77777777" w:rsidR="00302EA7" w:rsidRPr="00302EA7" w:rsidRDefault="00302EA7" w:rsidP="00302EA7">
            <w:pPr>
              <w:autoSpaceDE w:val="0"/>
              <w:autoSpaceDN w:val="0"/>
              <w:adjustRightInd w:val="0"/>
              <w:jc w:val="both"/>
              <w:rPr>
                <w:rFonts w:cstheme="minorHAnsi"/>
              </w:rPr>
            </w:pPr>
            <w:r w:rsidRPr="00302EA7">
              <w:rPr>
                <w:rFonts w:cstheme="minorHAnsi"/>
              </w:rPr>
              <w:t xml:space="preserve">W projekcie ustawy wprowadzono dwa wyjątki od ww. zasady ustalania wynagrodzenia syndyka. Po pierwsze w przypadku gdy wysokość wynagrodzenia syndyka byłaby rażąco wygórowana w stosunku do nakładu jego pracy, wynikającego z przebiegu prowadzonego postępowania, w szczególności w razie umorzenia postępowania na wczesnym etapie, sąd w orzeczeniu kończącym </w:t>
            </w:r>
            <w:r w:rsidRPr="00302EA7">
              <w:rPr>
                <w:rFonts w:cstheme="minorHAnsi"/>
              </w:rPr>
              <w:lastRenderedPageBreak/>
              <w:t>postępowanie w sprawie będzie mógł z urzędu obniżyć wynagrodzenie, do wysokości nie niższej niż jedna czwarta wyżej określonego wynagrodzenia (art. 491</w:t>
            </w:r>
            <w:r w:rsidRPr="00302EA7">
              <w:rPr>
                <w:rFonts w:cstheme="minorHAnsi"/>
                <w:vertAlign w:val="superscript"/>
              </w:rPr>
              <w:t xml:space="preserve">9 </w:t>
            </w:r>
            <w:r w:rsidRPr="00302EA7">
              <w:rPr>
                <w:rFonts w:cstheme="minorHAnsi"/>
              </w:rPr>
              <w:t>ust. 3 P.U.). Po drugie, gdy jest to uzasadnione istotnie zwiększonym nakładem pracy syndyka skutkującym wzrostem funduszów masy upadłości, w szczególności wskutek podjęcia przez syndyka czynności związanych z dochodzeniem przekazania do masy upadłości tego, co wskutek czynności dłużnika bezskutecznych wobec masy upadłości lub wierzycieli ubyło z majątku upadłego lub do niego nie weszło, sąd może na wniosek syndyka ustalić jego wynagrodzenie w wysokości do czterokrotności przeciętnego miesięcznego wynagrodzenia. (art. 491</w:t>
            </w:r>
            <w:r w:rsidRPr="00302EA7">
              <w:rPr>
                <w:rFonts w:cstheme="minorHAnsi"/>
                <w:vertAlign w:val="superscript"/>
              </w:rPr>
              <w:t>9</w:t>
            </w:r>
            <w:r w:rsidRPr="00302EA7">
              <w:rPr>
                <w:rFonts w:cstheme="minorHAnsi"/>
              </w:rPr>
              <w:t xml:space="preserve"> ust. 3a P.U.).</w:t>
            </w:r>
          </w:p>
          <w:p w14:paraId="412642E1" w14:textId="77777777" w:rsidR="00302EA7" w:rsidRPr="00302EA7" w:rsidRDefault="00302EA7" w:rsidP="00302EA7">
            <w:pPr>
              <w:autoSpaceDE w:val="0"/>
              <w:autoSpaceDN w:val="0"/>
              <w:adjustRightInd w:val="0"/>
              <w:jc w:val="both"/>
              <w:rPr>
                <w:rFonts w:cstheme="minorHAnsi"/>
              </w:rPr>
            </w:pPr>
            <w:r w:rsidRPr="00302EA7">
              <w:rPr>
                <w:rFonts w:cstheme="minorHAnsi"/>
              </w:rPr>
              <w:t xml:space="preserve">Przedmiotowa zmiana ww. przepisu wynika zatem z konieczności uwzględnienia sytuacji, gdy konsumenckie postępowania upadłościowe będą wiązały się z mniejszym nakładem pracy syndyka, niż w przypadku standardowo prowadzonego </w:t>
            </w:r>
            <w:r w:rsidRPr="00302EA7">
              <w:rPr>
                <w:rFonts w:cstheme="minorHAnsi"/>
              </w:rPr>
              <w:lastRenderedPageBreak/>
              <w:t>postępowania upadłościowego osób fizycznych nieprowadzących działalności gospodarczej. Kwota ryczałtowego wynagrodzenia syndyka brutto (która w 2025 r. wynosiłaby 10.887,24 zł). powinna być zdecydowanie niższa między innymi w przypadku bezmasowych, niewielkich postępowaniach upadłościowych, które nie generują zbyt wielu czynności po stronie syndyka. Zaprojektowane przepisy realizują zatem zasadę sprawiedliwego wynagradzania za przeprowadzone działania, nie generując przy tym nadmiernych kosztów postępowania.</w:t>
            </w:r>
          </w:p>
          <w:p w14:paraId="73E09098" w14:textId="72B91BD1" w:rsidR="00302EA7" w:rsidRPr="00302EA7" w:rsidRDefault="00302EA7" w:rsidP="00302EA7">
            <w:pPr>
              <w:autoSpaceDE w:val="0"/>
              <w:autoSpaceDN w:val="0"/>
              <w:adjustRightInd w:val="0"/>
              <w:jc w:val="both"/>
              <w:rPr>
                <w:rFonts w:cstheme="minorHAnsi"/>
              </w:rPr>
            </w:pPr>
            <w:r w:rsidRPr="00302EA7">
              <w:rPr>
                <w:rFonts w:cstheme="minorHAnsi"/>
              </w:rPr>
              <w:t>Należy podkreślić, że przedmiotowa zmiana art. 491</w:t>
            </w:r>
            <w:r w:rsidRPr="00302EA7">
              <w:rPr>
                <w:rFonts w:cstheme="minorHAnsi"/>
                <w:vertAlign w:val="superscript"/>
              </w:rPr>
              <w:t>9</w:t>
            </w:r>
            <w:r w:rsidRPr="00302EA7">
              <w:rPr>
                <w:rFonts w:cstheme="minorHAnsi"/>
              </w:rPr>
              <w:t xml:space="preserve"> ust. 3 P.U., umożliwiająca sądowi obniżenie ryczałtowego wynagrodzenia syndyka, została wprowadzona skutek krytycznych uwag zgłoszonych zarówno przez sądy powszechne jak i też Stowarzyszenie Sędziów Insolwencyjnych, a więc praktyków orzekających w sprawach upadłościowych. W podnoszonych przez przedstawiciel środowiska sędziowskiego uwagach (między innymi przewodniczącego VII </w:t>
            </w:r>
            <w:r w:rsidRPr="00302EA7">
              <w:rPr>
                <w:rFonts w:cstheme="minorHAnsi"/>
              </w:rPr>
              <w:lastRenderedPageBreak/>
              <w:t>Wydziału Gospodarczego Sądu Rejonowego w Koszalinie oraz członków Stowarzyszenia Sędziów Insolwencyjnych ) skazywano między innymi, że „</w:t>
            </w:r>
            <w:r w:rsidRPr="00302EA7">
              <w:rPr>
                <w:rFonts w:cstheme="minorHAnsi"/>
                <w:i/>
                <w:iCs/>
              </w:rPr>
              <w:t>w sytuacji, gdy większość postępowań upadłościowych konsumenckich to postępowania bezmasowe lub o niewielkich wpływach, samo wynagrodzenie syndyka w kwocie przewyższającej 10.000 zł brutto stanowiłoby ogromny czynnik kosztowo twórczy, wykładany przez Skarb Państwa. W bardzo wielu postępowaniach wierzyciele nie zgłaszają swoich wierzytelności lub kwoty zgłaszane są bagatelne (kilkaset złotych, kilka-kilkanaście tysięcy złotych). Nie można zapominać, iż koszty postępowania, w tym zaliczkowane przez Skarb Państwa, muszą być całości w ramach planu spłaty spłacone przez upadłego (art. 491</w:t>
            </w:r>
            <w:r>
              <w:rPr>
                <w:rFonts w:cstheme="minorHAnsi"/>
                <w:i/>
                <w:iCs/>
                <w:vertAlign w:val="superscript"/>
              </w:rPr>
              <w:t>15</w:t>
            </w:r>
            <w:r w:rsidRPr="00302EA7">
              <w:rPr>
                <w:rFonts w:cstheme="minorHAnsi"/>
                <w:i/>
                <w:iCs/>
              </w:rPr>
              <w:t xml:space="preserve"> ust. 2 pr. upadł.). Kwota ryczałtowego wynagrodzenia syndyka brutto powinna być zdecydowanie niższa, przy bezmasowych, niewielkich postępowaniach, których jest większość</w:t>
            </w:r>
            <w:r w:rsidRPr="00302EA7">
              <w:rPr>
                <w:rFonts w:cstheme="minorHAnsi"/>
              </w:rPr>
              <w:t>.”.</w:t>
            </w:r>
          </w:p>
          <w:p w14:paraId="62909677" w14:textId="4D655B1D" w:rsidR="00302EA7" w:rsidRPr="00302EA7" w:rsidRDefault="00302EA7" w:rsidP="00073C41">
            <w:pPr>
              <w:autoSpaceDE w:val="0"/>
              <w:autoSpaceDN w:val="0"/>
              <w:adjustRightInd w:val="0"/>
              <w:jc w:val="both"/>
              <w:rPr>
                <w:rFonts w:cstheme="minorHAnsi"/>
              </w:rPr>
            </w:pPr>
          </w:p>
        </w:tc>
      </w:tr>
      <w:tr w:rsidR="00AB7F77" w:rsidRPr="00486628" w14:paraId="28B9CC1D" w14:textId="77777777" w:rsidTr="00AC5078">
        <w:tc>
          <w:tcPr>
            <w:tcW w:w="158" w:type="pct"/>
          </w:tcPr>
          <w:p w14:paraId="71A81B41" w14:textId="0211CA50" w:rsidR="00AB7F77" w:rsidRDefault="00AB7F77" w:rsidP="00AE288B">
            <w:pPr>
              <w:jc w:val="center"/>
              <w:rPr>
                <w:rFonts w:cstheme="minorHAnsi"/>
              </w:rPr>
            </w:pPr>
            <w:r>
              <w:rPr>
                <w:rFonts w:cstheme="minorHAnsi"/>
              </w:rPr>
              <w:lastRenderedPageBreak/>
              <w:t>5</w:t>
            </w:r>
            <w:r w:rsidR="00073C41">
              <w:rPr>
                <w:rFonts w:cstheme="minorHAnsi"/>
              </w:rPr>
              <w:t>6</w:t>
            </w:r>
          </w:p>
        </w:tc>
        <w:tc>
          <w:tcPr>
            <w:tcW w:w="698" w:type="pct"/>
          </w:tcPr>
          <w:p w14:paraId="592A7DE7" w14:textId="52CA2597" w:rsidR="00AB7F77" w:rsidRDefault="00AB7F77" w:rsidP="00AE288B">
            <w:pPr>
              <w:rPr>
                <w:rFonts w:ascii="Calibri" w:hAnsi="Calibri" w:cs="Calibri"/>
              </w:rPr>
            </w:pPr>
            <w:r>
              <w:rPr>
                <w:rFonts w:ascii="Calibri" w:hAnsi="Calibri" w:cs="Calibri"/>
              </w:rPr>
              <w:t>Obywatel 1</w:t>
            </w:r>
            <w:r w:rsidR="005A41CC">
              <w:rPr>
                <w:rFonts w:ascii="Calibri" w:hAnsi="Calibri" w:cs="Calibri"/>
              </w:rPr>
              <w:t xml:space="preserve"> i 2</w:t>
            </w:r>
            <w:r w:rsidR="008B435C">
              <w:rPr>
                <w:rFonts w:ascii="Calibri" w:hAnsi="Calibri" w:cs="Calibri"/>
              </w:rPr>
              <w:t xml:space="preserve">, 3 </w:t>
            </w:r>
          </w:p>
        </w:tc>
        <w:tc>
          <w:tcPr>
            <w:tcW w:w="591" w:type="pct"/>
          </w:tcPr>
          <w:p w14:paraId="4E2CF955" w14:textId="6A0E8A89" w:rsidR="00AB7F77" w:rsidRPr="00AB7F77" w:rsidRDefault="00AB7F77" w:rsidP="00AE288B">
            <w:pPr>
              <w:rPr>
                <w:rFonts w:ascii="Calibri" w:hAnsi="Calibri" w:cs="Calibri"/>
              </w:rPr>
            </w:pPr>
            <w:r>
              <w:rPr>
                <w:rFonts w:ascii="Calibri" w:hAnsi="Calibri" w:cs="Calibri"/>
              </w:rPr>
              <w:t>art 14</w:t>
            </w:r>
            <w:r>
              <w:rPr>
                <w:rFonts w:ascii="Calibri" w:hAnsi="Calibri" w:cs="Calibri"/>
                <w:vertAlign w:val="superscript"/>
              </w:rPr>
              <w:t xml:space="preserve">1 </w:t>
            </w:r>
            <w:r>
              <w:rPr>
                <w:rFonts w:ascii="Calibri" w:hAnsi="Calibri" w:cs="Calibri"/>
              </w:rPr>
              <w:t>KSH</w:t>
            </w:r>
          </w:p>
        </w:tc>
        <w:tc>
          <w:tcPr>
            <w:tcW w:w="1418" w:type="pct"/>
          </w:tcPr>
          <w:p w14:paraId="2E6619BB" w14:textId="11A06291" w:rsidR="00AB7F77" w:rsidRDefault="00AB7F77" w:rsidP="00AB7F77">
            <w:pPr>
              <w:jc w:val="both"/>
            </w:pPr>
            <w:r>
              <w:t xml:space="preserve">Wprowadzenie zasady adekwatności </w:t>
            </w:r>
            <w:r w:rsidR="00621CC0">
              <w:t>kapitałowej –</w:t>
            </w:r>
            <w:r>
              <w:t xml:space="preserve"> pożyczki wspólników udzielone przy ujemnym kapitale własnym traktowane jako kapitał zastępczy.</w:t>
            </w:r>
          </w:p>
        </w:tc>
        <w:tc>
          <w:tcPr>
            <w:tcW w:w="1027" w:type="pct"/>
          </w:tcPr>
          <w:p w14:paraId="3CF8743E" w14:textId="77777777" w:rsidR="008B435C" w:rsidRPr="008B435C" w:rsidRDefault="008B435C" w:rsidP="008B435C">
            <w:pPr>
              <w:jc w:val="both"/>
              <w:rPr>
                <w:rFonts w:ascii="Calibri" w:hAnsi="Calibri" w:cs="Calibri"/>
              </w:rPr>
            </w:pPr>
            <w:r w:rsidRPr="008B435C">
              <w:rPr>
                <w:rFonts w:ascii="Calibri" w:hAnsi="Calibri" w:cs="Calibri"/>
              </w:rPr>
              <w:t>1. W okresie niewypłacalności lub zagrożenia niewypłacalnością wspólnik nie może</w:t>
            </w:r>
          </w:p>
          <w:p w14:paraId="229031F6" w14:textId="77777777" w:rsidR="008B435C" w:rsidRPr="008B435C" w:rsidRDefault="008B435C" w:rsidP="008B435C">
            <w:pPr>
              <w:jc w:val="both"/>
              <w:rPr>
                <w:rFonts w:ascii="Calibri" w:hAnsi="Calibri" w:cs="Calibri"/>
              </w:rPr>
            </w:pPr>
            <w:r w:rsidRPr="008B435C">
              <w:rPr>
                <w:rFonts w:ascii="Calibri" w:hAnsi="Calibri" w:cs="Calibri"/>
              </w:rPr>
              <w:t>udzielać spółce pożyczek ani innych form finansowania, które w rzeczywistości</w:t>
            </w:r>
          </w:p>
          <w:p w14:paraId="10D97021" w14:textId="77777777" w:rsidR="008B435C" w:rsidRPr="008B435C" w:rsidRDefault="008B435C" w:rsidP="008B435C">
            <w:pPr>
              <w:jc w:val="both"/>
              <w:rPr>
                <w:rFonts w:ascii="Calibri" w:hAnsi="Calibri" w:cs="Calibri"/>
              </w:rPr>
            </w:pPr>
            <w:r w:rsidRPr="008B435C">
              <w:rPr>
                <w:rFonts w:ascii="Calibri" w:hAnsi="Calibri" w:cs="Calibri"/>
              </w:rPr>
              <w:t>zastępują wkład kapitałowy.</w:t>
            </w:r>
          </w:p>
          <w:p w14:paraId="00AF5997" w14:textId="77777777" w:rsidR="008B435C" w:rsidRPr="008B435C" w:rsidRDefault="008B435C" w:rsidP="008B435C">
            <w:pPr>
              <w:jc w:val="both"/>
              <w:rPr>
                <w:rFonts w:ascii="Calibri" w:hAnsi="Calibri" w:cs="Calibri"/>
              </w:rPr>
            </w:pPr>
            <w:r w:rsidRPr="008B435C">
              <w:rPr>
                <w:rFonts w:ascii="Calibri" w:hAnsi="Calibri" w:cs="Calibri"/>
              </w:rPr>
              <w:t>2. Finansowanie takie traktuje się jak wkład i nie podlega zwrotowi do czasu pełnego</w:t>
            </w:r>
          </w:p>
          <w:p w14:paraId="1DF5EB56" w14:textId="620CA0CA" w:rsidR="00AB7F77" w:rsidRPr="00724947" w:rsidRDefault="008B435C" w:rsidP="008B435C">
            <w:pPr>
              <w:jc w:val="both"/>
              <w:rPr>
                <w:rFonts w:ascii="Calibri" w:hAnsi="Calibri" w:cs="Calibri"/>
              </w:rPr>
            </w:pPr>
            <w:r w:rsidRPr="008B435C">
              <w:rPr>
                <w:rFonts w:ascii="Calibri" w:hAnsi="Calibri" w:cs="Calibri"/>
              </w:rPr>
              <w:t>zaspokojenia wierzycieli</w:t>
            </w:r>
          </w:p>
        </w:tc>
        <w:tc>
          <w:tcPr>
            <w:tcW w:w="1108" w:type="pct"/>
          </w:tcPr>
          <w:p w14:paraId="7E51F1E5" w14:textId="3268BD8B" w:rsidR="00AB7F77" w:rsidRPr="00F457A7" w:rsidRDefault="00AB7F77" w:rsidP="00AE288B">
            <w:pPr>
              <w:autoSpaceDE w:val="0"/>
              <w:autoSpaceDN w:val="0"/>
              <w:adjustRightInd w:val="0"/>
              <w:jc w:val="both"/>
              <w:rPr>
                <w:rFonts w:cstheme="minorHAnsi"/>
                <w:b/>
                <w:bCs/>
              </w:rPr>
            </w:pPr>
            <w:r w:rsidRPr="00AB7F77">
              <w:rPr>
                <w:rFonts w:cstheme="minorHAnsi"/>
                <w:b/>
                <w:bCs/>
              </w:rPr>
              <w:t>Uwaga poza zakresem projektu</w:t>
            </w:r>
          </w:p>
        </w:tc>
      </w:tr>
      <w:tr w:rsidR="00621CC0" w:rsidRPr="00486628" w14:paraId="323401D7" w14:textId="77777777" w:rsidTr="00AC5078">
        <w:tc>
          <w:tcPr>
            <w:tcW w:w="158" w:type="pct"/>
          </w:tcPr>
          <w:p w14:paraId="37F5D94F" w14:textId="1467546A" w:rsidR="00621CC0" w:rsidRDefault="00621CC0" w:rsidP="00AE288B">
            <w:pPr>
              <w:jc w:val="center"/>
              <w:rPr>
                <w:rFonts w:cstheme="minorHAnsi"/>
              </w:rPr>
            </w:pPr>
            <w:r>
              <w:rPr>
                <w:rFonts w:cstheme="minorHAnsi"/>
              </w:rPr>
              <w:t>5</w:t>
            </w:r>
            <w:r w:rsidR="00073C41">
              <w:rPr>
                <w:rFonts w:cstheme="minorHAnsi"/>
              </w:rPr>
              <w:t>7</w:t>
            </w:r>
          </w:p>
        </w:tc>
        <w:tc>
          <w:tcPr>
            <w:tcW w:w="698" w:type="pct"/>
          </w:tcPr>
          <w:p w14:paraId="6D9E9054" w14:textId="22F72C41" w:rsidR="00621CC0" w:rsidRDefault="00621CC0" w:rsidP="00AE288B">
            <w:pPr>
              <w:rPr>
                <w:rFonts w:ascii="Calibri" w:hAnsi="Calibri" w:cs="Calibri"/>
              </w:rPr>
            </w:pPr>
            <w:r>
              <w:rPr>
                <w:rFonts w:ascii="Calibri" w:hAnsi="Calibri" w:cs="Calibri"/>
              </w:rPr>
              <w:t>Obywatel 1</w:t>
            </w:r>
            <w:r w:rsidR="00D71921">
              <w:rPr>
                <w:rFonts w:ascii="Calibri" w:hAnsi="Calibri" w:cs="Calibri"/>
              </w:rPr>
              <w:t xml:space="preserve">, </w:t>
            </w:r>
            <w:r w:rsidR="005A41CC">
              <w:rPr>
                <w:rFonts w:ascii="Calibri" w:hAnsi="Calibri" w:cs="Calibri"/>
              </w:rPr>
              <w:t>2</w:t>
            </w:r>
            <w:r w:rsidR="00D71921">
              <w:rPr>
                <w:rFonts w:ascii="Calibri" w:hAnsi="Calibri" w:cs="Calibri"/>
              </w:rPr>
              <w:t xml:space="preserve"> </w:t>
            </w:r>
            <w:r w:rsidR="00A65AF3">
              <w:rPr>
                <w:rFonts w:ascii="Calibri" w:hAnsi="Calibri" w:cs="Calibri"/>
              </w:rPr>
              <w:t xml:space="preserve">, </w:t>
            </w:r>
            <w:r w:rsidR="00D71921">
              <w:rPr>
                <w:rFonts w:ascii="Calibri" w:hAnsi="Calibri" w:cs="Calibri"/>
              </w:rPr>
              <w:t>4</w:t>
            </w:r>
            <w:r w:rsidR="00A65AF3">
              <w:rPr>
                <w:rFonts w:ascii="Calibri" w:hAnsi="Calibri" w:cs="Calibri"/>
              </w:rPr>
              <w:t xml:space="preserve">, 5 </w:t>
            </w:r>
          </w:p>
        </w:tc>
        <w:tc>
          <w:tcPr>
            <w:tcW w:w="591" w:type="pct"/>
          </w:tcPr>
          <w:p w14:paraId="7713C9A5" w14:textId="0BDF4D8D" w:rsidR="00621CC0" w:rsidRDefault="00621CC0" w:rsidP="00AE288B">
            <w:pPr>
              <w:rPr>
                <w:rFonts w:ascii="Calibri" w:hAnsi="Calibri" w:cs="Calibri"/>
              </w:rPr>
            </w:pPr>
            <w:r w:rsidRPr="00621CC0">
              <w:rPr>
                <w:rFonts w:ascii="Calibri" w:hAnsi="Calibri" w:cs="Calibri"/>
              </w:rPr>
              <w:t>art 1</w:t>
            </w:r>
            <w:r>
              <w:rPr>
                <w:rFonts w:ascii="Calibri" w:hAnsi="Calibri" w:cs="Calibri"/>
              </w:rPr>
              <w:t>4</w:t>
            </w:r>
            <w:r>
              <w:rPr>
                <w:rFonts w:ascii="Calibri" w:hAnsi="Calibri" w:cs="Calibri"/>
                <w:vertAlign w:val="superscript"/>
              </w:rPr>
              <w:t>1</w:t>
            </w:r>
            <w:r w:rsidRPr="00621CC0">
              <w:rPr>
                <w:rFonts w:ascii="Calibri" w:hAnsi="Calibri" w:cs="Calibri"/>
              </w:rPr>
              <w:t xml:space="preserve"> KSH</w:t>
            </w:r>
          </w:p>
        </w:tc>
        <w:tc>
          <w:tcPr>
            <w:tcW w:w="1418" w:type="pct"/>
          </w:tcPr>
          <w:p w14:paraId="4D2BA4C5" w14:textId="3C15068C" w:rsidR="00621CC0" w:rsidRDefault="00621CC0" w:rsidP="00621CC0">
            <w:pPr>
              <w:jc w:val="both"/>
            </w:pPr>
            <w:r>
              <w:t>Zakaz nadużywania pozycji wspólnika – bezskuteczność hipotek i zabezpieczeń ustanowionych przez wspólników w okresie niewypłacalności</w:t>
            </w:r>
          </w:p>
        </w:tc>
        <w:tc>
          <w:tcPr>
            <w:tcW w:w="1027" w:type="pct"/>
          </w:tcPr>
          <w:p w14:paraId="1E5CEDB7" w14:textId="77777777" w:rsidR="00621CC0" w:rsidRPr="00724947" w:rsidRDefault="00621CC0" w:rsidP="00AE288B">
            <w:pPr>
              <w:jc w:val="both"/>
              <w:rPr>
                <w:rFonts w:ascii="Calibri" w:hAnsi="Calibri" w:cs="Calibri"/>
              </w:rPr>
            </w:pPr>
          </w:p>
        </w:tc>
        <w:tc>
          <w:tcPr>
            <w:tcW w:w="1108" w:type="pct"/>
          </w:tcPr>
          <w:p w14:paraId="6E183848" w14:textId="2EEB477E" w:rsidR="00621CC0" w:rsidRPr="00AB7F77" w:rsidRDefault="00621CC0" w:rsidP="00AE288B">
            <w:pPr>
              <w:autoSpaceDE w:val="0"/>
              <w:autoSpaceDN w:val="0"/>
              <w:adjustRightInd w:val="0"/>
              <w:jc w:val="both"/>
              <w:rPr>
                <w:rFonts w:cstheme="minorHAnsi"/>
                <w:b/>
                <w:bCs/>
              </w:rPr>
            </w:pPr>
            <w:r w:rsidRPr="00621CC0">
              <w:rPr>
                <w:rFonts w:cstheme="minorHAnsi"/>
                <w:b/>
                <w:bCs/>
              </w:rPr>
              <w:t>Uwaga poza zakresem projektu</w:t>
            </w:r>
          </w:p>
        </w:tc>
      </w:tr>
      <w:tr w:rsidR="00A64BDF" w:rsidRPr="00486628" w14:paraId="5DAE595F" w14:textId="77777777" w:rsidTr="00AC5078">
        <w:tc>
          <w:tcPr>
            <w:tcW w:w="158" w:type="pct"/>
          </w:tcPr>
          <w:p w14:paraId="55B8CD1B" w14:textId="2F220FD6" w:rsidR="00A64BDF" w:rsidRDefault="00A64BDF" w:rsidP="00AE288B">
            <w:pPr>
              <w:jc w:val="center"/>
              <w:rPr>
                <w:rFonts w:cstheme="minorHAnsi"/>
              </w:rPr>
            </w:pPr>
            <w:r>
              <w:rPr>
                <w:rFonts w:cstheme="minorHAnsi"/>
              </w:rPr>
              <w:t>5</w:t>
            </w:r>
            <w:r w:rsidR="00073C41">
              <w:rPr>
                <w:rFonts w:cstheme="minorHAnsi"/>
              </w:rPr>
              <w:t>8</w:t>
            </w:r>
          </w:p>
        </w:tc>
        <w:tc>
          <w:tcPr>
            <w:tcW w:w="698" w:type="pct"/>
          </w:tcPr>
          <w:p w14:paraId="2DA162B2" w14:textId="065F8FE0" w:rsidR="00A64BDF" w:rsidRDefault="00A64BDF" w:rsidP="00AE288B">
            <w:pPr>
              <w:rPr>
                <w:rFonts w:ascii="Calibri" w:hAnsi="Calibri" w:cs="Calibri"/>
              </w:rPr>
            </w:pPr>
            <w:r>
              <w:rPr>
                <w:rFonts w:ascii="Calibri" w:hAnsi="Calibri" w:cs="Calibri"/>
              </w:rPr>
              <w:t>Obywatel 1</w:t>
            </w:r>
            <w:r w:rsidR="00D71921">
              <w:rPr>
                <w:rFonts w:ascii="Calibri" w:hAnsi="Calibri" w:cs="Calibri"/>
              </w:rPr>
              <w:t xml:space="preserve">, </w:t>
            </w:r>
            <w:r w:rsidR="005A41CC">
              <w:rPr>
                <w:rFonts w:ascii="Calibri" w:hAnsi="Calibri" w:cs="Calibri"/>
              </w:rPr>
              <w:t>2</w:t>
            </w:r>
            <w:r w:rsidR="00D71921">
              <w:rPr>
                <w:rFonts w:ascii="Calibri" w:hAnsi="Calibri" w:cs="Calibri"/>
              </w:rPr>
              <w:t xml:space="preserve"> i 4</w:t>
            </w:r>
          </w:p>
        </w:tc>
        <w:tc>
          <w:tcPr>
            <w:tcW w:w="591" w:type="pct"/>
          </w:tcPr>
          <w:p w14:paraId="235410FF" w14:textId="631934D0" w:rsidR="00A64BDF" w:rsidRPr="00621CC0" w:rsidRDefault="00407766" w:rsidP="00AE288B">
            <w:pPr>
              <w:rPr>
                <w:rFonts w:ascii="Calibri" w:hAnsi="Calibri" w:cs="Calibri"/>
              </w:rPr>
            </w:pPr>
            <w:r>
              <w:rPr>
                <w:rFonts w:ascii="Calibri" w:hAnsi="Calibri" w:cs="Calibri"/>
              </w:rPr>
              <w:t xml:space="preserve">Art. 20 § 3 KSH </w:t>
            </w:r>
          </w:p>
        </w:tc>
        <w:tc>
          <w:tcPr>
            <w:tcW w:w="1418" w:type="pct"/>
          </w:tcPr>
          <w:p w14:paraId="6B1CC14E" w14:textId="6C6F427A" w:rsidR="00A64BDF" w:rsidRDefault="00407766" w:rsidP="00407766">
            <w:pPr>
              <w:jc w:val="both"/>
            </w:pPr>
            <w:r>
              <w:t>Odpowiedzialność wspólnika za działania na szkodę wierzycieli – odpowiedzialność odszkodowawcza za finansowanie dłużne w okresie kryzysu.</w:t>
            </w:r>
          </w:p>
        </w:tc>
        <w:tc>
          <w:tcPr>
            <w:tcW w:w="1027" w:type="pct"/>
          </w:tcPr>
          <w:p w14:paraId="4930AFCB" w14:textId="77777777" w:rsidR="00A64BDF" w:rsidRPr="00724947" w:rsidRDefault="00A64BDF" w:rsidP="00AE288B">
            <w:pPr>
              <w:jc w:val="both"/>
              <w:rPr>
                <w:rFonts w:ascii="Calibri" w:hAnsi="Calibri" w:cs="Calibri"/>
              </w:rPr>
            </w:pPr>
          </w:p>
        </w:tc>
        <w:tc>
          <w:tcPr>
            <w:tcW w:w="1108" w:type="pct"/>
          </w:tcPr>
          <w:p w14:paraId="6BD4CC4B" w14:textId="36BB8C99" w:rsidR="00A64BDF" w:rsidRPr="00621CC0" w:rsidRDefault="00407766" w:rsidP="00AE288B">
            <w:pPr>
              <w:autoSpaceDE w:val="0"/>
              <w:autoSpaceDN w:val="0"/>
              <w:adjustRightInd w:val="0"/>
              <w:jc w:val="both"/>
              <w:rPr>
                <w:rFonts w:cstheme="minorHAnsi"/>
                <w:b/>
                <w:bCs/>
              </w:rPr>
            </w:pPr>
            <w:r w:rsidRPr="00407766">
              <w:rPr>
                <w:rFonts w:cstheme="minorHAnsi"/>
                <w:b/>
                <w:bCs/>
              </w:rPr>
              <w:t>Uwaga poza zakresem projektu</w:t>
            </w:r>
          </w:p>
        </w:tc>
      </w:tr>
      <w:tr w:rsidR="003B2F95" w:rsidRPr="00486628" w14:paraId="46058C7C" w14:textId="77777777" w:rsidTr="00AC5078">
        <w:tc>
          <w:tcPr>
            <w:tcW w:w="158" w:type="pct"/>
          </w:tcPr>
          <w:p w14:paraId="5E0455FB" w14:textId="7D9486E2" w:rsidR="003B2F95" w:rsidRDefault="006A7A12" w:rsidP="00AE288B">
            <w:pPr>
              <w:jc w:val="center"/>
              <w:rPr>
                <w:rFonts w:cstheme="minorHAnsi"/>
              </w:rPr>
            </w:pPr>
            <w:r>
              <w:rPr>
                <w:rFonts w:cstheme="minorHAnsi"/>
              </w:rPr>
              <w:t>5</w:t>
            </w:r>
            <w:r w:rsidR="00073C41">
              <w:rPr>
                <w:rFonts w:cstheme="minorHAnsi"/>
              </w:rPr>
              <w:t>9</w:t>
            </w:r>
          </w:p>
        </w:tc>
        <w:tc>
          <w:tcPr>
            <w:tcW w:w="698" w:type="pct"/>
          </w:tcPr>
          <w:p w14:paraId="676367E8" w14:textId="356E676F" w:rsidR="003B2F95" w:rsidRDefault="006A7A12" w:rsidP="00AE288B">
            <w:pPr>
              <w:rPr>
                <w:rFonts w:ascii="Calibri" w:hAnsi="Calibri" w:cs="Calibri"/>
              </w:rPr>
            </w:pPr>
            <w:r>
              <w:rPr>
                <w:rFonts w:ascii="Calibri" w:hAnsi="Calibri" w:cs="Calibri"/>
              </w:rPr>
              <w:t xml:space="preserve">Obywatel 1 </w:t>
            </w:r>
            <w:r w:rsidR="005A41CC">
              <w:rPr>
                <w:rFonts w:ascii="Calibri" w:hAnsi="Calibri" w:cs="Calibri"/>
              </w:rPr>
              <w:t>i 2</w:t>
            </w:r>
            <w:r w:rsidR="00D71921">
              <w:rPr>
                <w:rFonts w:ascii="Calibri" w:hAnsi="Calibri" w:cs="Calibri"/>
              </w:rPr>
              <w:t xml:space="preserve"> i 4</w:t>
            </w:r>
          </w:p>
        </w:tc>
        <w:tc>
          <w:tcPr>
            <w:tcW w:w="591" w:type="pct"/>
          </w:tcPr>
          <w:p w14:paraId="6B96146F" w14:textId="15641F24" w:rsidR="003B2F95" w:rsidRPr="006A7A12" w:rsidRDefault="006A7A12" w:rsidP="00AE288B">
            <w:pPr>
              <w:rPr>
                <w:rFonts w:ascii="Calibri" w:hAnsi="Calibri" w:cs="Calibri"/>
              </w:rPr>
            </w:pPr>
            <w:r>
              <w:rPr>
                <w:rFonts w:ascii="Calibri" w:hAnsi="Calibri" w:cs="Calibri"/>
              </w:rPr>
              <w:t>Art. 159</w:t>
            </w:r>
            <w:r>
              <w:rPr>
                <w:rFonts w:ascii="Calibri" w:hAnsi="Calibri" w:cs="Calibri"/>
                <w:vertAlign w:val="superscript"/>
              </w:rPr>
              <w:t>1</w:t>
            </w:r>
            <w:r>
              <w:rPr>
                <w:rFonts w:ascii="Calibri" w:hAnsi="Calibri" w:cs="Calibri"/>
              </w:rPr>
              <w:t xml:space="preserve"> KSH </w:t>
            </w:r>
          </w:p>
        </w:tc>
        <w:tc>
          <w:tcPr>
            <w:tcW w:w="1418" w:type="pct"/>
          </w:tcPr>
          <w:p w14:paraId="74624CB3" w14:textId="4E787B88" w:rsidR="006A7A12" w:rsidRDefault="006A7A12" w:rsidP="006A7A12">
            <w:pPr>
              <w:jc w:val="both"/>
            </w:pPr>
            <w:r>
              <w:t xml:space="preserve">Obowiązki wspólników w restrukturyzacji </w:t>
            </w:r>
          </w:p>
          <w:p w14:paraId="779AC867" w14:textId="7A257825" w:rsidR="003B2F95" w:rsidRDefault="006A7A12" w:rsidP="006A7A12">
            <w:pPr>
              <w:jc w:val="both"/>
            </w:pPr>
            <w:r>
              <w:t>– zakaz blokowania układu, jeśli sytuacja wspólnika nie pogarsza się względem upadłości</w:t>
            </w:r>
          </w:p>
        </w:tc>
        <w:tc>
          <w:tcPr>
            <w:tcW w:w="1027" w:type="pct"/>
          </w:tcPr>
          <w:p w14:paraId="08070EC8" w14:textId="77777777" w:rsidR="003B2F95" w:rsidRPr="00724947" w:rsidRDefault="003B2F95" w:rsidP="00AE288B">
            <w:pPr>
              <w:jc w:val="both"/>
              <w:rPr>
                <w:rFonts w:ascii="Calibri" w:hAnsi="Calibri" w:cs="Calibri"/>
              </w:rPr>
            </w:pPr>
          </w:p>
        </w:tc>
        <w:tc>
          <w:tcPr>
            <w:tcW w:w="1108" w:type="pct"/>
          </w:tcPr>
          <w:p w14:paraId="11CECFC6" w14:textId="61515241" w:rsidR="003B2F95" w:rsidRPr="00407766" w:rsidRDefault="006A7A12" w:rsidP="00AE288B">
            <w:pPr>
              <w:autoSpaceDE w:val="0"/>
              <w:autoSpaceDN w:val="0"/>
              <w:adjustRightInd w:val="0"/>
              <w:jc w:val="both"/>
              <w:rPr>
                <w:rFonts w:cstheme="minorHAnsi"/>
                <w:b/>
                <w:bCs/>
              </w:rPr>
            </w:pPr>
            <w:r w:rsidRPr="006A7A12">
              <w:rPr>
                <w:rFonts w:cstheme="minorHAnsi"/>
                <w:b/>
                <w:bCs/>
              </w:rPr>
              <w:t>Uwaga poza zakresem projektu</w:t>
            </w:r>
          </w:p>
        </w:tc>
      </w:tr>
      <w:tr w:rsidR="006A7A12" w:rsidRPr="00486628" w14:paraId="7BB54353" w14:textId="77777777" w:rsidTr="00AC5078">
        <w:tc>
          <w:tcPr>
            <w:tcW w:w="158" w:type="pct"/>
          </w:tcPr>
          <w:p w14:paraId="0A192BE6" w14:textId="36314948" w:rsidR="006A7A12" w:rsidRDefault="00073C41" w:rsidP="00AE288B">
            <w:pPr>
              <w:jc w:val="center"/>
              <w:rPr>
                <w:rFonts w:cstheme="minorHAnsi"/>
              </w:rPr>
            </w:pPr>
            <w:r>
              <w:rPr>
                <w:rFonts w:cstheme="minorHAnsi"/>
              </w:rPr>
              <w:t>60</w:t>
            </w:r>
          </w:p>
        </w:tc>
        <w:tc>
          <w:tcPr>
            <w:tcW w:w="698" w:type="pct"/>
          </w:tcPr>
          <w:p w14:paraId="02B5CB7F" w14:textId="4E84F192" w:rsidR="006A7A12" w:rsidRDefault="006A7A12" w:rsidP="00AE288B">
            <w:pPr>
              <w:rPr>
                <w:rFonts w:ascii="Calibri" w:hAnsi="Calibri" w:cs="Calibri"/>
              </w:rPr>
            </w:pPr>
            <w:r w:rsidRPr="006A7A12">
              <w:rPr>
                <w:rFonts w:ascii="Calibri" w:hAnsi="Calibri" w:cs="Calibri"/>
              </w:rPr>
              <w:t>Obywatel 1</w:t>
            </w:r>
            <w:r w:rsidR="005A41CC">
              <w:rPr>
                <w:rFonts w:ascii="Calibri" w:hAnsi="Calibri" w:cs="Calibri"/>
              </w:rPr>
              <w:t xml:space="preserve"> i 2</w:t>
            </w:r>
          </w:p>
        </w:tc>
        <w:tc>
          <w:tcPr>
            <w:tcW w:w="591" w:type="pct"/>
          </w:tcPr>
          <w:p w14:paraId="134C740F" w14:textId="3D8288BC" w:rsidR="006A7A12" w:rsidRDefault="006A7A12" w:rsidP="00AE288B">
            <w:pPr>
              <w:rPr>
                <w:rFonts w:ascii="Calibri" w:hAnsi="Calibri" w:cs="Calibri"/>
              </w:rPr>
            </w:pPr>
            <w:r>
              <w:rPr>
                <w:rFonts w:ascii="Calibri" w:hAnsi="Calibri" w:cs="Calibri"/>
              </w:rPr>
              <w:t xml:space="preserve">Art. 126 § 3 KSH </w:t>
            </w:r>
          </w:p>
        </w:tc>
        <w:tc>
          <w:tcPr>
            <w:tcW w:w="1418" w:type="pct"/>
          </w:tcPr>
          <w:p w14:paraId="770D2606" w14:textId="0B65DC80" w:rsidR="006A7A12" w:rsidRDefault="006A7A12" w:rsidP="006A7A12">
            <w:pPr>
              <w:jc w:val="both"/>
            </w:pPr>
            <w:r>
              <w:t>Zrównanie spółek komandytowych płacących CIT ze spółkami kapitałowymi – konieczne dla spójności systemu.</w:t>
            </w:r>
          </w:p>
        </w:tc>
        <w:tc>
          <w:tcPr>
            <w:tcW w:w="1027" w:type="pct"/>
          </w:tcPr>
          <w:p w14:paraId="4E78A0B6" w14:textId="77777777" w:rsidR="006A7A12" w:rsidRPr="00724947" w:rsidRDefault="006A7A12" w:rsidP="00AE288B">
            <w:pPr>
              <w:jc w:val="both"/>
              <w:rPr>
                <w:rFonts w:ascii="Calibri" w:hAnsi="Calibri" w:cs="Calibri"/>
              </w:rPr>
            </w:pPr>
          </w:p>
        </w:tc>
        <w:tc>
          <w:tcPr>
            <w:tcW w:w="1108" w:type="pct"/>
          </w:tcPr>
          <w:p w14:paraId="04BA5756" w14:textId="2E8C0CC3" w:rsidR="006A7A12" w:rsidRPr="006A7A12" w:rsidRDefault="006A7A12" w:rsidP="00AE288B">
            <w:pPr>
              <w:autoSpaceDE w:val="0"/>
              <w:autoSpaceDN w:val="0"/>
              <w:adjustRightInd w:val="0"/>
              <w:jc w:val="both"/>
              <w:rPr>
                <w:rFonts w:cstheme="minorHAnsi"/>
                <w:b/>
                <w:bCs/>
              </w:rPr>
            </w:pPr>
            <w:r w:rsidRPr="006A7A12">
              <w:rPr>
                <w:rFonts w:cstheme="minorHAnsi"/>
                <w:b/>
                <w:bCs/>
              </w:rPr>
              <w:t>Uwaga poza zakresem projektu</w:t>
            </w:r>
          </w:p>
        </w:tc>
      </w:tr>
      <w:tr w:rsidR="00C2577C" w:rsidRPr="00486628" w14:paraId="1FF94B08" w14:textId="77777777" w:rsidTr="00AC5078">
        <w:tc>
          <w:tcPr>
            <w:tcW w:w="158" w:type="pct"/>
          </w:tcPr>
          <w:p w14:paraId="332FF92D" w14:textId="4E713537" w:rsidR="00C2577C" w:rsidRDefault="00073C41" w:rsidP="00AE288B">
            <w:pPr>
              <w:jc w:val="center"/>
              <w:rPr>
                <w:rFonts w:cstheme="minorHAnsi"/>
              </w:rPr>
            </w:pPr>
            <w:r>
              <w:rPr>
                <w:rFonts w:cstheme="minorHAnsi"/>
              </w:rPr>
              <w:t>61</w:t>
            </w:r>
          </w:p>
        </w:tc>
        <w:tc>
          <w:tcPr>
            <w:tcW w:w="698" w:type="pct"/>
          </w:tcPr>
          <w:p w14:paraId="527700D3" w14:textId="57ECD520" w:rsidR="00C2577C" w:rsidRPr="006A7A12" w:rsidRDefault="00C2577C" w:rsidP="00AE288B">
            <w:pPr>
              <w:rPr>
                <w:rFonts w:ascii="Calibri" w:hAnsi="Calibri" w:cs="Calibri"/>
              </w:rPr>
            </w:pPr>
            <w:r>
              <w:rPr>
                <w:rFonts w:ascii="Calibri" w:hAnsi="Calibri" w:cs="Calibri"/>
              </w:rPr>
              <w:t xml:space="preserve">Obywatel 1 </w:t>
            </w:r>
            <w:r w:rsidR="008B435C">
              <w:rPr>
                <w:rFonts w:ascii="Calibri" w:hAnsi="Calibri" w:cs="Calibri"/>
              </w:rPr>
              <w:t>,</w:t>
            </w:r>
            <w:r w:rsidR="00D71921">
              <w:rPr>
                <w:rFonts w:ascii="Calibri" w:hAnsi="Calibri" w:cs="Calibri"/>
              </w:rPr>
              <w:t>2</w:t>
            </w:r>
          </w:p>
        </w:tc>
        <w:tc>
          <w:tcPr>
            <w:tcW w:w="591" w:type="pct"/>
          </w:tcPr>
          <w:p w14:paraId="3A677173" w14:textId="215D1F4F" w:rsidR="00C2577C" w:rsidRPr="00496FB4" w:rsidRDefault="00C2577C" w:rsidP="00AE288B">
            <w:pPr>
              <w:rPr>
                <w:rFonts w:ascii="Calibri" w:hAnsi="Calibri" w:cs="Calibri"/>
              </w:rPr>
            </w:pPr>
            <w:r>
              <w:rPr>
                <w:rFonts w:ascii="Calibri" w:hAnsi="Calibri" w:cs="Calibri"/>
              </w:rPr>
              <w:t xml:space="preserve">Dodanie art. </w:t>
            </w:r>
            <w:r w:rsidR="00496FB4">
              <w:rPr>
                <w:rFonts w:ascii="Calibri" w:hAnsi="Calibri" w:cs="Calibri"/>
              </w:rPr>
              <w:t>233</w:t>
            </w:r>
            <w:r w:rsidR="00496FB4">
              <w:rPr>
                <w:rFonts w:ascii="Calibri" w:hAnsi="Calibri" w:cs="Calibri"/>
                <w:vertAlign w:val="superscript"/>
              </w:rPr>
              <w:t>1</w:t>
            </w:r>
            <w:r w:rsidR="00496FB4">
              <w:rPr>
                <w:rFonts w:ascii="Calibri" w:hAnsi="Calibri" w:cs="Calibri"/>
              </w:rPr>
              <w:t xml:space="preserve"> KSH </w:t>
            </w:r>
          </w:p>
        </w:tc>
        <w:tc>
          <w:tcPr>
            <w:tcW w:w="1418" w:type="pct"/>
          </w:tcPr>
          <w:p w14:paraId="2D78179A" w14:textId="77777777" w:rsidR="00C2577C" w:rsidRDefault="00C2577C" w:rsidP="006A7A12">
            <w:pPr>
              <w:jc w:val="both"/>
            </w:pPr>
          </w:p>
        </w:tc>
        <w:tc>
          <w:tcPr>
            <w:tcW w:w="1027" w:type="pct"/>
          </w:tcPr>
          <w:p w14:paraId="473076D8" w14:textId="77777777" w:rsidR="00496FB4" w:rsidRDefault="00C2577C" w:rsidP="00AE288B">
            <w:pPr>
              <w:jc w:val="both"/>
              <w:rPr>
                <w:rFonts w:ascii="Calibri" w:hAnsi="Calibri" w:cs="Calibri"/>
              </w:rPr>
            </w:pPr>
            <w:r w:rsidRPr="00C2577C">
              <w:rPr>
                <w:rFonts w:ascii="Calibri" w:hAnsi="Calibri" w:cs="Calibri"/>
              </w:rPr>
              <w:t xml:space="preserve">Art. 233¹. § 1. Pożyczka udzielona spółce przez wspólnika lub odsetki naliczone od pożyczki udzielonej w stanie nieodpowiedniego kapitału spółce w sytuacji, o której mowa </w:t>
            </w:r>
            <w:r w:rsidRPr="00C2577C">
              <w:rPr>
                <w:rFonts w:ascii="Calibri" w:hAnsi="Calibri" w:cs="Calibri"/>
              </w:rPr>
              <w:lastRenderedPageBreak/>
              <w:t xml:space="preserve">w art. 233 § 1 [ujemny kapitał], jest traktowana jako wkład do kapitału w rozumieniu przepisów o zaspokajaniu wierzytelności w postępowaniu upadłościowym i restrukturyzacyjnym. </w:t>
            </w:r>
          </w:p>
          <w:p w14:paraId="732E4C14" w14:textId="778D808F" w:rsidR="00C2577C" w:rsidRPr="00724947" w:rsidRDefault="00C2577C" w:rsidP="00AE288B">
            <w:pPr>
              <w:jc w:val="both"/>
              <w:rPr>
                <w:rFonts w:ascii="Calibri" w:hAnsi="Calibri" w:cs="Calibri"/>
              </w:rPr>
            </w:pPr>
            <w:r w:rsidRPr="00C2577C">
              <w:rPr>
                <w:rFonts w:ascii="Calibri" w:hAnsi="Calibri" w:cs="Calibri"/>
              </w:rPr>
              <w:t xml:space="preserve">§ 2. Wierzytelność o zwrot pożyczki wraz z odsetkami oraz odsetek naliczonych od pożyczki udzielonej w stanie nieodpowiedniego kapitału spółce do zakresu </w:t>
            </w:r>
            <w:r w:rsidR="00D51ABB" w:rsidRPr="00C2577C">
              <w:rPr>
                <w:rFonts w:ascii="Calibri" w:hAnsi="Calibri" w:cs="Calibri"/>
              </w:rPr>
              <w:t>działalności,</w:t>
            </w:r>
            <w:r w:rsidRPr="00C2577C">
              <w:rPr>
                <w:rFonts w:ascii="Calibri" w:hAnsi="Calibri" w:cs="Calibri"/>
              </w:rPr>
              <w:t xml:space="preserve"> o której mowa w § 1, nie może być zabezpieczona na majątku spółki. Zabezpieczenia ustanowione z naruszeniem niniejszego przepisu są nieważne z mocy prawa.”</w:t>
            </w:r>
          </w:p>
        </w:tc>
        <w:tc>
          <w:tcPr>
            <w:tcW w:w="1108" w:type="pct"/>
          </w:tcPr>
          <w:p w14:paraId="52299300" w14:textId="37E0E317" w:rsidR="00C2577C" w:rsidRPr="006A7A12" w:rsidRDefault="006E0FAE" w:rsidP="00AE288B">
            <w:pPr>
              <w:autoSpaceDE w:val="0"/>
              <w:autoSpaceDN w:val="0"/>
              <w:adjustRightInd w:val="0"/>
              <w:jc w:val="both"/>
              <w:rPr>
                <w:rFonts w:cstheme="minorHAnsi"/>
                <w:b/>
                <w:bCs/>
              </w:rPr>
            </w:pPr>
            <w:r w:rsidRPr="006E0FAE">
              <w:rPr>
                <w:rFonts w:cstheme="minorHAnsi"/>
                <w:b/>
                <w:bCs/>
              </w:rPr>
              <w:lastRenderedPageBreak/>
              <w:t>Uwaga poza zakresem projektu</w:t>
            </w:r>
          </w:p>
        </w:tc>
      </w:tr>
      <w:tr w:rsidR="00F70232" w:rsidRPr="00486628" w14:paraId="73ED6446" w14:textId="77777777" w:rsidTr="00AC5078">
        <w:tc>
          <w:tcPr>
            <w:tcW w:w="158" w:type="pct"/>
          </w:tcPr>
          <w:p w14:paraId="3E9DE077" w14:textId="49B35CEB" w:rsidR="00F70232" w:rsidRDefault="00F70232" w:rsidP="00AE288B">
            <w:pPr>
              <w:jc w:val="center"/>
              <w:rPr>
                <w:rFonts w:cstheme="minorHAnsi"/>
              </w:rPr>
            </w:pPr>
            <w:r>
              <w:rPr>
                <w:rFonts w:cstheme="minorHAnsi"/>
              </w:rPr>
              <w:t>6</w:t>
            </w:r>
            <w:r w:rsidR="00073C41">
              <w:rPr>
                <w:rFonts w:cstheme="minorHAnsi"/>
              </w:rPr>
              <w:t>2</w:t>
            </w:r>
          </w:p>
        </w:tc>
        <w:tc>
          <w:tcPr>
            <w:tcW w:w="698" w:type="pct"/>
          </w:tcPr>
          <w:p w14:paraId="49B8FB5D" w14:textId="0994D427" w:rsidR="00F70232" w:rsidRDefault="00F70232" w:rsidP="00AE288B">
            <w:pPr>
              <w:rPr>
                <w:rFonts w:ascii="Calibri" w:hAnsi="Calibri" w:cs="Calibri"/>
              </w:rPr>
            </w:pPr>
            <w:r>
              <w:rPr>
                <w:rFonts w:ascii="Calibri" w:hAnsi="Calibri" w:cs="Calibri"/>
              </w:rPr>
              <w:t xml:space="preserve">Obywatel 1 </w:t>
            </w:r>
          </w:p>
        </w:tc>
        <w:tc>
          <w:tcPr>
            <w:tcW w:w="591" w:type="pct"/>
          </w:tcPr>
          <w:p w14:paraId="588FF939" w14:textId="71581E33" w:rsidR="00F70232" w:rsidRDefault="00F70232" w:rsidP="00AE288B">
            <w:pPr>
              <w:rPr>
                <w:rFonts w:ascii="Calibri" w:hAnsi="Calibri" w:cs="Calibri"/>
              </w:rPr>
            </w:pPr>
            <w:r>
              <w:rPr>
                <w:rFonts w:ascii="Calibri" w:hAnsi="Calibri" w:cs="Calibri"/>
              </w:rPr>
              <w:t>Art. 125 P.R.</w:t>
            </w:r>
          </w:p>
        </w:tc>
        <w:tc>
          <w:tcPr>
            <w:tcW w:w="1418" w:type="pct"/>
          </w:tcPr>
          <w:p w14:paraId="2658E2C4" w14:textId="77777777" w:rsidR="00F70232" w:rsidRDefault="00F70232" w:rsidP="006A7A12">
            <w:pPr>
              <w:jc w:val="both"/>
            </w:pPr>
          </w:p>
        </w:tc>
        <w:tc>
          <w:tcPr>
            <w:tcW w:w="1027" w:type="pct"/>
          </w:tcPr>
          <w:p w14:paraId="24B581CD" w14:textId="7EA3B7EB" w:rsidR="00F70232" w:rsidRDefault="00F70232" w:rsidP="00AE288B">
            <w:pPr>
              <w:jc w:val="both"/>
              <w:rPr>
                <w:rFonts w:ascii="Calibri" w:hAnsi="Calibri" w:cs="Calibri"/>
              </w:rPr>
            </w:pPr>
            <w:r>
              <w:rPr>
                <w:rFonts w:ascii="Calibri" w:hAnsi="Calibri" w:cs="Calibri"/>
              </w:rPr>
              <w:t>Dodanie ust. 4 w brzmieniu:</w:t>
            </w:r>
          </w:p>
          <w:p w14:paraId="3B0031A0" w14:textId="0A699F60" w:rsidR="00F70232" w:rsidRPr="00C2577C" w:rsidRDefault="00F70232" w:rsidP="00AE288B">
            <w:pPr>
              <w:jc w:val="both"/>
              <w:rPr>
                <w:rFonts w:ascii="Calibri" w:hAnsi="Calibri" w:cs="Calibri"/>
              </w:rPr>
            </w:pPr>
            <w:r w:rsidRPr="00F70232">
              <w:rPr>
                <w:rFonts w:ascii="Calibri" w:hAnsi="Calibri" w:cs="Calibri"/>
              </w:rPr>
              <w:t>„4. Bezskuteczne w stosunku do masy restrukturyzacyjnej są hipoteki, zastawy oraz inne zabezpieczenia ustanowione przez dłużnika na rzecz wspólników w okresie 12 miesięcy przed dniem złożenia wniosku o otwarcie postępowania, jeżeli w chwili ich ustanowienia dłużnik był niewypłacalny lub zagrożony niewypłacalnością.”</w:t>
            </w:r>
          </w:p>
        </w:tc>
        <w:tc>
          <w:tcPr>
            <w:tcW w:w="1108" w:type="pct"/>
          </w:tcPr>
          <w:p w14:paraId="117C985A" w14:textId="17D58B5C" w:rsidR="00F70232" w:rsidRPr="006E0FAE" w:rsidRDefault="00D51ABB" w:rsidP="00AE288B">
            <w:pPr>
              <w:autoSpaceDE w:val="0"/>
              <w:autoSpaceDN w:val="0"/>
              <w:adjustRightInd w:val="0"/>
              <w:jc w:val="both"/>
              <w:rPr>
                <w:rFonts w:cstheme="minorHAnsi"/>
                <w:b/>
                <w:bCs/>
              </w:rPr>
            </w:pPr>
            <w:r w:rsidRPr="00D51ABB">
              <w:rPr>
                <w:rFonts w:cstheme="minorHAnsi"/>
                <w:b/>
                <w:bCs/>
              </w:rPr>
              <w:t>Uwaga poza zakresem projektu</w:t>
            </w:r>
          </w:p>
        </w:tc>
      </w:tr>
      <w:tr w:rsidR="006E0FAE" w:rsidRPr="00486628" w14:paraId="305CBC97" w14:textId="77777777" w:rsidTr="00AC5078">
        <w:tc>
          <w:tcPr>
            <w:tcW w:w="158" w:type="pct"/>
          </w:tcPr>
          <w:p w14:paraId="0B458F5A" w14:textId="09A83F9D" w:rsidR="006E0FAE" w:rsidRDefault="006E0FAE" w:rsidP="00AE288B">
            <w:pPr>
              <w:jc w:val="center"/>
              <w:rPr>
                <w:rFonts w:cstheme="minorHAnsi"/>
              </w:rPr>
            </w:pPr>
            <w:r>
              <w:rPr>
                <w:rFonts w:cstheme="minorHAnsi"/>
              </w:rPr>
              <w:lastRenderedPageBreak/>
              <w:t>6</w:t>
            </w:r>
            <w:r w:rsidR="00073C41">
              <w:rPr>
                <w:rFonts w:cstheme="minorHAnsi"/>
              </w:rPr>
              <w:t>3</w:t>
            </w:r>
          </w:p>
        </w:tc>
        <w:tc>
          <w:tcPr>
            <w:tcW w:w="698" w:type="pct"/>
          </w:tcPr>
          <w:p w14:paraId="069934B5" w14:textId="206BFECA" w:rsidR="006E0FAE" w:rsidRDefault="006E0FAE" w:rsidP="00AE288B">
            <w:pPr>
              <w:rPr>
                <w:rFonts w:ascii="Calibri" w:hAnsi="Calibri" w:cs="Calibri"/>
              </w:rPr>
            </w:pPr>
            <w:r>
              <w:rPr>
                <w:rFonts w:ascii="Calibri" w:hAnsi="Calibri" w:cs="Calibri"/>
              </w:rPr>
              <w:t xml:space="preserve">Obywatel 1 </w:t>
            </w:r>
          </w:p>
        </w:tc>
        <w:tc>
          <w:tcPr>
            <w:tcW w:w="591" w:type="pct"/>
          </w:tcPr>
          <w:p w14:paraId="3E87C265" w14:textId="39C5F882" w:rsidR="006E0FAE" w:rsidRDefault="006E0FAE" w:rsidP="00AE288B">
            <w:pPr>
              <w:rPr>
                <w:rFonts w:ascii="Calibri" w:hAnsi="Calibri" w:cs="Calibri"/>
              </w:rPr>
            </w:pPr>
            <w:r>
              <w:rPr>
                <w:rFonts w:ascii="Calibri" w:hAnsi="Calibri" w:cs="Calibri"/>
              </w:rPr>
              <w:t xml:space="preserve">Art. 150 ust. 1 P.R. </w:t>
            </w:r>
          </w:p>
        </w:tc>
        <w:tc>
          <w:tcPr>
            <w:tcW w:w="1418" w:type="pct"/>
          </w:tcPr>
          <w:p w14:paraId="793970D5" w14:textId="77777777" w:rsidR="006E0FAE" w:rsidRDefault="006E0FAE" w:rsidP="006A7A12">
            <w:pPr>
              <w:jc w:val="both"/>
            </w:pPr>
          </w:p>
        </w:tc>
        <w:tc>
          <w:tcPr>
            <w:tcW w:w="1027" w:type="pct"/>
          </w:tcPr>
          <w:p w14:paraId="215ACDDA" w14:textId="77777777" w:rsidR="006E0FAE" w:rsidRDefault="006E0FAE" w:rsidP="00AE288B">
            <w:pPr>
              <w:jc w:val="both"/>
              <w:rPr>
                <w:rFonts w:ascii="Calibri" w:hAnsi="Calibri" w:cs="Calibri"/>
              </w:rPr>
            </w:pPr>
            <w:r>
              <w:rPr>
                <w:rFonts w:ascii="Calibri" w:hAnsi="Calibri" w:cs="Calibri"/>
              </w:rPr>
              <w:t>Dodanie ust. 5 w brzmieniu:</w:t>
            </w:r>
          </w:p>
          <w:p w14:paraId="2BAA9AE9" w14:textId="4A5D31F6" w:rsidR="006E0FAE" w:rsidRPr="00C2577C" w:rsidRDefault="006E0FAE" w:rsidP="00AE288B">
            <w:pPr>
              <w:jc w:val="both"/>
              <w:rPr>
                <w:rFonts w:ascii="Calibri" w:hAnsi="Calibri" w:cs="Calibri"/>
              </w:rPr>
            </w:pPr>
            <w:r w:rsidRPr="006E0FAE">
              <w:rPr>
                <w:rFonts w:ascii="Calibri" w:hAnsi="Calibri" w:cs="Calibri"/>
              </w:rPr>
              <w:t>„5) wierzytelności wspólników lub akcjonariuszy z tytułu pożyczek lub odsetek lub innych czynności o podobnym skutku, udzielonych dłużnikowi w okresie lub odsetek naliczonych od udzielonej w stanie nieodpowiedniego kapitału spółce, gdy kapitał własny dłużnika był ujemny lub niższy niż połowa kapitału zakładowego, podlegają zaspokojeniu w ostatniej kolejności po zaspokojeniu wszystkich innych wierzycieli układowych.”</w:t>
            </w:r>
          </w:p>
        </w:tc>
        <w:tc>
          <w:tcPr>
            <w:tcW w:w="1108" w:type="pct"/>
          </w:tcPr>
          <w:p w14:paraId="4B05961D" w14:textId="7E843A9A" w:rsidR="006E0FAE" w:rsidRPr="006E0FAE" w:rsidRDefault="006E0FAE" w:rsidP="00AE288B">
            <w:pPr>
              <w:autoSpaceDE w:val="0"/>
              <w:autoSpaceDN w:val="0"/>
              <w:adjustRightInd w:val="0"/>
              <w:jc w:val="both"/>
              <w:rPr>
                <w:rFonts w:cstheme="minorHAnsi"/>
                <w:b/>
                <w:bCs/>
              </w:rPr>
            </w:pPr>
            <w:r w:rsidRPr="006E0FAE">
              <w:rPr>
                <w:rFonts w:cstheme="minorHAnsi"/>
                <w:b/>
                <w:bCs/>
              </w:rPr>
              <w:t>Uwaga poza zakresem projektu</w:t>
            </w:r>
          </w:p>
        </w:tc>
      </w:tr>
      <w:tr w:rsidR="00F70232" w:rsidRPr="00486628" w14:paraId="5DFFECF6" w14:textId="77777777" w:rsidTr="00AC5078">
        <w:tc>
          <w:tcPr>
            <w:tcW w:w="158" w:type="pct"/>
          </w:tcPr>
          <w:p w14:paraId="49B5ED29" w14:textId="24CFA446" w:rsidR="00F70232" w:rsidRDefault="00F70232" w:rsidP="00AE288B">
            <w:pPr>
              <w:jc w:val="center"/>
              <w:rPr>
                <w:rFonts w:cstheme="minorHAnsi"/>
              </w:rPr>
            </w:pPr>
            <w:r>
              <w:rPr>
                <w:rFonts w:cstheme="minorHAnsi"/>
              </w:rPr>
              <w:t>6</w:t>
            </w:r>
            <w:r w:rsidR="00073C41">
              <w:rPr>
                <w:rFonts w:cstheme="minorHAnsi"/>
              </w:rPr>
              <w:t>4</w:t>
            </w:r>
          </w:p>
        </w:tc>
        <w:tc>
          <w:tcPr>
            <w:tcW w:w="698" w:type="pct"/>
          </w:tcPr>
          <w:p w14:paraId="63580D64" w14:textId="7094EF3C" w:rsidR="00F70232" w:rsidRDefault="00F70232" w:rsidP="00AE288B">
            <w:pPr>
              <w:rPr>
                <w:rFonts w:ascii="Calibri" w:hAnsi="Calibri" w:cs="Calibri"/>
              </w:rPr>
            </w:pPr>
            <w:r>
              <w:rPr>
                <w:rFonts w:ascii="Calibri" w:hAnsi="Calibri" w:cs="Calibri"/>
              </w:rPr>
              <w:t>Obywatel 1</w:t>
            </w:r>
          </w:p>
        </w:tc>
        <w:tc>
          <w:tcPr>
            <w:tcW w:w="591" w:type="pct"/>
          </w:tcPr>
          <w:p w14:paraId="4406AAD1" w14:textId="3B3829A8" w:rsidR="00F70232" w:rsidRDefault="00F70232" w:rsidP="00AE288B">
            <w:pPr>
              <w:rPr>
                <w:rFonts w:ascii="Calibri" w:hAnsi="Calibri" w:cs="Calibri"/>
              </w:rPr>
            </w:pPr>
            <w:r>
              <w:rPr>
                <w:rFonts w:ascii="Calibri" w:hAnsi="Calibri" w:cs="Calibri"/>
              </w:rPr>
              <w:t xml:space="preserve">Art. 359 K.C. </w:t>
            </w:r>
          </w:p>
        </w:tc>
        <w:tc>
          <w:tcPr>
            <w:tcW w:w="1418" w:type="pct"/>
          </w:tcPr>
          <w:p w14:paraId="4ED3E692" w14:textId="77777777" w:rsidR="00F70232" w:rsidRDefault="00F70232" w:rsidP="006A7A12">
            <w:pPr>
              <w:jc w:val="both"/>
            </w:pPr>
          </w:p>
        </w:tc>
        <w:tc>
          <w:tcPr>
            <w:tcW w:w="1027" w:type="pct"/>
          </w:tcPr>
          <w:p w14:paraId="1AF1999B" w14:textId="77777777" w:rsidR="00F70232" w:rsidRDefault="00F70232" w:rsidP="00AE288B">
            <w:pPr>
              <w:jc w:val="both"/>
              <w:rPr>
                <w:rFonts w:ascii="Calibri" w:hAnsi="Calibri" w:cs="Calibri"/>
              </w:rPr>
            </w:pPr>
            <w:r>
              <w:rPr>
                <w:rFonts w:ascii="Calibri" w:hAnsi="Calibri" w:cs="Calibri"/>
              </w:rPr>
              <w:t>Dodanie § 2</w:t>
            </w:r>
            <w:r>
              <w:rPr>
                <w:rFonts w:ascii="Calibri" w:hAnsi="Calibri" w:cs="Calibri"/>
                <w:vertAlign w:val="superscript"/>
              </w:rPr>
              <w:t>3</w:t>
            </w:r>
            <w:r>
              <w:rPr>
                <w:rFonts w:ascii="Calibri" w:hAnsi="Calibri" w:cs="Calibri"/>
              </w:rPr>
              <w:t xml:space="preserve"> w brzmieniu:</w:t>
            </w:r>
          </w:p>
          <w:p w14:paraId="3241564B" w14:textId="6CEDDE10" w:rsidR="00F70232" w:rsidRPr="00F70232" w:rsidRDefault="00F70232" w:rsidP="00AE288B">
            <w:pPr>
              <w:jc w:val="both"/>
              <w:rPr>
                <w:rFonts w:ascii="Calibri" w:hAnsi="Calibri" w:cs="Calibri"/>
              </w:rPr>
            </w:pPr>
            <w:r w:rsidRPr="00F70232">
              <w:rPr>
                <w:rFonts w:ascii="Calibri" w:hAnsi="Calibri" w:cs="Calibri"/>
              </w:rPr>
              <w:t>„§ 2³. Odsetki od pożyczek udzielonych osobie prawnej przez jej członków (wspólników, akcjonariuszy) nie naliczają się za okres, w którym dłużnik pozostaje w stanie niewypłacalności w rozumieniu przepisów o upadłości.”</w:t>
            </w:r>
          </w:p>
        </w:tc>
        <w:tc>
          <w:tcPr>
            <w:tcW w:w="1108" w:type="pct"/>
          </w:tcPr>
          <w:p w14:paraId="0F983A44" w14:textId="06CEEBAC" w:rsidR="00F70232" w:rsidRPr="006E0FAE" w:rsidRDefault="00F70232" w:rsidP="00AE288B">
            <w:pPr>
              <w:autoSpaceDE w:val="0"/>
              <w:autoSpaceDN w:val="0"/>
              <w:adjustRightInd w:val="0"/>
              <w:jc w:val="both"/>
              <w:rPr>
                <w:rFonts w:cstheme="minorHAnsi"/>
                <w:b/>
                <w:bCs/>
              </w:rPr>
            </w:pPr>
            <w:r w:rsidRPr="00F70232">
              <w:rPr>
                <w:rFonts w:cstheme="minorHAnsi"/>
                <w:b/>
                <w:bCs/>
              </w:rPr>
              <w:t>Uwaga poza zakresem projektu</w:t>
            </w:r>
          </w:p>
        </w:tc>
      </w:tr>
      <w:tr w:rsidR="00B223A1" w:rsidRPr="00486628" w14:paraId="5DC6BA09" w14:textId="77777777" w:rsidTr="00AC5078">
        <w:tc>
          <w:tcPr>
            <w:tcW w:w="158" w:type="pct"/>
          </w:tcPr>
          <w:p w14:paraId="70E07071" w14:textId="5A056471" w:rsidR="00B223A1" w:rsidRDefault="00B223A1" w:rsidP="00AE288B">
            <w:pPr>
              <w:jc w:val="center"/>
              <w:rPr>
                <w:rFonts w:cstheme="minorHAnsi"/>
              </w:rPr>
            </w:pPr>
            <w:r>
              <w:rPr>
                <w:rFonts w:cstheme="minorHAnsi"/>
              </w:rPr>
              <w:t>6</w:t>
            </w:r>
            <w:r w:rsidR="008C435D">
              <w:rPr>
                <w:rFonts w:cstheme="minorHAnsi"/>
              </w:rPr>
              <w:t>5</w:t>
            </w:r>
          </w:p>
        </w:tc>
        <w:tc>
          <w:tcPr>
            <w:tcW w:w="698" w:type="pct"/>
          </w:tcPr>
          <w:p w14:paraId="6D468A7F" w14:textId="78A5B85B" w:rsidR="00B223A1" w:rsidRDefault="00B223A1" w:rsidP="00AE288B">
            <w:pPr>
              <w:rPr>
                <w:rFonts w:ascii="Calibri" w:hAnsi="Calibri" w:cs="Calibri"/>
              </w:rPr>
            </w:pPr>
            <w:r>
              <w:rPr>
                <w:rFonts w:ascii="Calibri" w:hAnsi="Calibri" w:cs="Calibri"/>
              </w:rPr>
              <w:t>Obywatel 3</w:t>
            </w:r>
          </w:p>
        </w:tc>
        <w:tc>
          <w:tcPr>
            <w:tcW w:w="591" w:type="pct"/>
          </w:tcPr>
          <w:p w14:paraId="463C1642" w14:textId="0BC64FD8" w:rsidR="00B223A1" w:rsidRDefault="00B223A1" w:rsidP="00AE288B">
            <w:pPr>
              <w:rPr>
                <w:rFonts w:ascii="Calibri" w:hAnsi="Calibri" w:cs="Calibri"/>
              </w:rPr>
            </w:pPr>
            <w:r>
              <w:rPr>
                <w:rFonts w:ascii="Calibri" w:hAnsi="Calibri" w:cs="Calibri"/>
              </w:rPr>
              <w:t>Dodanie art. 21</w:t>
            </w:r>
            <w:r w:rsidR="004D6AE2">
              <w:rPr>
                <w:rFonts w:ascii="Calibri" w:hAnsi="Calibri" w:cs="Calibri"/>
              </w:rPr>
              <w:t>a-d</w:t>
            </w:r>
            <w:r>
              <w:rPr>
                <w:rFonts w:ascii="Calibri" w:hAnsi="Calibri" w:cs="Calibri"/>
              </w:rPr>
              <w:t xml:space="preserve"> P.R. </w:t>
            </w:r>
          </w:p>
        </w:tc>
        <w:tc>
          <w:tcPr>
            <w:tcW w:w="1418" w:type="pct"/>
          </w:tcPr>
          <w:p w14:paraId="0A2EC004" w14:textId="77777777" w:rsidR="00B223A1" w:rsidRDefault="00B223A1" w:rsidP="006A7A12">
            <w:pPr>
              <w:jc w:val="both"/>
            </w:pPr>
          </w:p>
        </w:tc>
        <w:tc>
          <w:tcPr>
            <w:tcW w:w="1027" w:type="pct"/>
          </w:tcPr>
          <w:p w14:paraId="138D7BD5" w14:textId="4B2D5266" w:rsidR="004D6AE2" w:rsidRDefault="004D6AE2" w:rsidP="00B223A1">
            <w:pPr>
              <w:jc w:val="both"/>
              <w:rPr>
                <w:rFonts w:ascii="Calibri" w:hAnsi="Calibri" w:cs="Calibri"/>
              </w:rPr>
            </w:pPr>
            <w:r w:rsidRPr="004D6AE2">
              <w:rPr>
                <w:rFonts w:ascii="Calibri" w:hAnsi="Calibri" w:cs="Calibri"/>
              </w:rPr>
              <w:t>Art. 21a. [Zakaz naliczania odsetek i innych kosztów finansowania]</w:t>
            </w:r>
          </w:p>
          <w:p w14:paraId="6AE43CCF" w14:textId="0B2E8ABF" w:rsidR="00B223A1" w:rsidRPr="00B223A1" w:rsidRDefault="00B223A1" w:rsidP="00B223A1">
            <w:pPr>
              <w:jc w:val="both"/>
              <w:rPr>
                <w:rFonts w:ascii="Calibri" w:hAnsi="Calibri" w:cs="Calibri"/>
              </w:rPr>
            </w:pPr>
            <w:r w:rsidRPr="00B223A1">
              <w:rPr>
                <w:rFonts w:ascii="Calibri" w:hAnsi="Calibri" w:cs="Calibri"/>
              </w:rPr>
              <w:t>1. W okresie zagrożenia niewypłacalnością lub niewypłacalności, w rozumieniu art. 6</w:t>
            </w:r>
            <w:r>
              <w:rPr>
                <w:rFonts w:ascii="Calibri" w:hAnsi="Calibri" w:cs="Calibri"/>
              </w:rPr>
              <w:t xml:space="preserve"> </w:t>
            </w:r>
            <w:r w:rsidRPr="00B223A1">
              <w:rPr>
                <w:rFonts w:ascii="Calibri" w:hAnsi="Calibri" w:cs="Calibri"/>
              </w:rPr>
              <w:t xml:space="preserve">ustawy, wszelkie odsetki, </w:t>
            </w:r>
            <w:r w:rsidRPr="00B223A1">
              <w:rPr>
                <w:rFonts w:ascii="Calibri" w:hAnsi="Calibri" w:cs="Calibri"/>
              </w:rPr>
              <w:lastRenderedPageBreak/>
              <w:t>prowizje, opłaty, koszty finansowania oraz inne świadczeniauboczne od pożyczek, kredytów i innych instrumentów dłużnych nie podlegają</w:t>
            </w:r>
          </w:p>
          <w:p w14:paraId="50FDB7A0" w14:textId="77777777" w:rsidR="00B223A1" w:rsidRPr="00B223A1" w:rsidRDefault="00B223A1" w:rsidP="00B223A1">
            <w:pPr>
              <w:jc w:val="both"/>
              <w:rPr>
                <w:rFonts w:ascii="Calibri" w:hAnsi="Calibri" w:cs="Calibri"/>
              </w:rPr>
            </w:pPr>
            <w:r w:rsidRPr="00B223A1">
              <w:rPr>
                <w:rFonts w:ascii="Calibri" w:hAnsi="Calibri" w:cs="Calibri"/>
              </w:rPr>
              <w:t>naliczaniu ani kapitalizacji.</w:t>
            </w:r>
          </w:p>
          <w:p w14:paraId="307A5AA7" w14:textId="77777777" w:rsidR="00B223A1" w:rsidRPr="00B223A1" w:rsidRDefault="00B223A1" w:rsidP="00B223A1">
            <w:pPr>
              <w:jc w:val="both"/>
              <w:rPr>
                <w:rFonts w:ascii="Calibri" w:hAnsi="Calibri" w:cs="Calibri"/>
              </w:rPr>
            </w:pPr>
            <w:r w:rsidRPr="00B223A1">
              <w:rPr>
                <w:rFonts w:ascii="Calibri" w:hAnsi="Calibri" w:cs="Calibri"/>
              </w:rPr>
              <w:t>2. Postanowienia umowne sprzeczne z ust. 1 są nieważne z mocy prawa.</w:t>
            </w:r>
          </w:p>
          <w:p w14:paraId="60F4973A" w14:textId="77777777" w:rsidR="00B223A1" w:rsidRPr="00B223A1" w:rsidRDefault="00B223A1" w:rsidP="00B223A1">
            <w:pPr>
              <w:jc w:val="both"/>
              <w:rPr>
                <w:rFonts w:ascii="Calibri" w:hAnsi="Calibri" w:cs="Calibri"/>
              </w:rPr>
            </w:pPr>
            <w:r w:rsidRPr="00B223A1">
              <w:rPr>
                <w:rFonts w:ascii="Calibri" w:hAnsi="Calibri" w:cs="Calibri"/>
              </w:rPr>
              <w:t>3. Przepisy ust. 1–2 stosuje się odpowiednio do pożyczek udzielonych przez</w:t>
            </w:r>
          </w:p>
          <w:p w14:paraId="225A6EC1" w14:textId="77777777" w:rsidR="00B223A1" w:rsidRPr="00B223A1" w:rsidRDefault="00B223A1" w:rsidP="00B223A1">
            <w:pPr>
              <w:jc w:val="both"/>
              <w:rPr>
                <w:rFonts w:ascii="Calibri" w:hAnsi="Calibri" w:cs="Calibri"/>
              </w:rPr>
            </w:pPr>
            <w:r w:rsidRPr="00B223A1">
              <w:rPr>
                <w:rFonts w:ascii="Calibri" w:hAnsi="Calibri" w:cs="Calibri"/>
              </w:rPr>
              <w:t>wspólników, akcjonariuszy, członków organów, podmioty powiązane oraz inne</w:t>
            </w:r>
          </w:p>
          <w:p w14:paraId="446D9A74" w14:textId="77777777" w:rsidR="00B223A1" w:rsidRDefault="00B223A1" w:rsidP="00B223A1">
            <w:pPr>
              <w:jc w:val="both"/>
              <w:rPr>
                <w:rFonts w:ascii="Calibri" w:hAnsi="Calibri" w:cs="Calibri"/>
              </w:rPr>
            </w:pPr>
            <w:r w:rsidRPr="00B223A1">
              <w:rPr>
                <w:rFonts w:ascii="Calibri" w:hAnsi="Calibri" w:cs="Calibri"/>
              </w:rPr>
              <w:t>podmioty mające istotny wpływ na działalność dłużnika</w:t>
            </w:r>
          </w:p>
          <w:p w14:paraId="6E8A7920" w14:textId="77777777" w:rsidR="004D6AE2" w:rsidRPr="004D6AE2" w:rsidRDefault="004D6AE2" w:rsidP="004D6AE2">
            <w:pPr>
              <w:jc w:val="both"/>
              <w:rPr>
                <w:rFonts w:ascii="Calibri" w:hAnsi="Calibri" w:cs="Calibri"/>
              </w:rPr>
            </w:pPr>
            <w:r w:rsidRPr="004D6AE2">
              <w:rPr>
                <w:rFonts w:ascii="Calibri" w:hAnsi="Calibri" w:cs="Calibri"/>
              </w:rPr>
              <w:t>Art. 21b. [Zakaz ustanawiania zabezpieczeń w okresie kryzysu]</w:t>
            </w:r>
          </w:p>
          <w:p w14:paraId="5155A913" w14:textId="77777777" w:rsidR="004D6AE2" w:rsidRPr="004D6AE2" w:rsidRDefault="004D6AE2" w:rsidP="004D6AE2">
            <w:pPr>
              <w:jc w:val="both"/>
              <w:rPr>
                <w:rFonts w:ascii="Calibri" w:hAnsi="Calibri" w:cs="Calibri"/>
              </w:rPr>
            </w:pPr>
            <w:r w:rsidRPr="004D6AE2">
              <w:rPr>
                <w:rFonts w:ascii="Calibri" w:hAnsi="Calibri" w:cs="Calibri"/>
              </w:rPr>
              <w:t>1. W okresie zagrożenia niewypłacalnością lub niewypłacalności dłużnik nie może</w:t>
            </w:r>
          </w:p>
          <w:p w14:paraId="5E441FD5" w14:textId="77777777" w:rsidR="004D6AE2" w:rsidRPr="004D6AE2" w:rsidRDefault="004D6AE2" w:rsidP="004D6AE2">
            <w:pPr>
              <w:jc w:val="both"/>
              <w:rPr>
                <w:rFonts w:ascii="Calibri" w:hAnsi="Calibri" w:cs="Calibri"/>
              </w:rPr>
            </w:pPr>
            <w:r w:rsidRPr="004D6AE2">
              <w:rPr>
                <w:rFonts w:ascii="Calibri" w:hAnsi="Calibri" w:cs="Calibri"/>
              </w:rPr>
              <w:t>ustanawiać zabezpieczeń rzeczowych, w szczególności hipotek, zastawów,</w:t>
            </w:r>
          </w:p>
          <w:p w14:paraId="768617BA" w14:textId="77777777" w:rsidR="004D6AE2" w:rsidRPr="004D6AE2" w:rsidRDefault="004D6AE2" w:rsidP="004D6AE2">
            <w:pPr>
              <w:jc w:val="both"/>
              <w:rPr>
                <w:rFonts w:ascii="Calibri" w:hAnsi="Calibri" w:cs="Calibri"/>
              </w:rPr>
            </w:pPr>
            <w:r w:rsidRPr="004D6AE2">
              <w:rPr>
                <w:rFonts w:ascii="Calibri" w:hAnsi="Calibri" w:cs="Calibri"/>
              </w:rPr>
              <w:t>zastawów rejestrowych, przewłaszczeń na zabezpieczenie ani innych form</w:t>
            </w:r>
          </w:p>
          <w:p w14:paraId="11492340" w14:textId="77777777" w:rsidR="004D6AE2" w:rsidRPr="004D6AE2" w:rsidRDefault="004D6AE2" w:rsidP="004D6AE2">
            <w:pPr>
              <w:jc w:val="both"/>
              <w:rPr>
                <w:rFonts w:ascii="Calibri" w:hAnsi="Calibri" w:cs="Calibri"/>
              </w:rPr>
            </w:pPr>
            <w:r w:rsidRPr="004D6AE2">
              <w:rPr>
                <w:rFonts w:ascii="Calibri" w:hAnsi="Calibri" w:cs="Calibri"/>
              </w:rPr>
              <w:t>zabezpieczenia na majątku spółki.</w:t>
            </w:r>
          </w:p>
          <w:p w14:paraId="3DD9F849" w14:textId="77777777" w:rsidR="004D6AE2" w:rsidRPr="004D6AE2" w:rsidRDefault="004D6AE2" w:rsidP="004D6AE2">
            <w:pPr>
              <w:jc w:val="both"/>
              <w:rPr>
                <w:rFonts w:ascii="Calibri" w:hAnsi="Calibri" w:cs="Calibri"/>
              </w:rPr>
            </w:pPr>
            <w:r w:rsidRPr="004D6AE2">
              <w:rPr>
                <w:rFonts w:ascii="Calibri" w:hAnsi="Calibri" w:cs="Calibri"/>
              </w:rPr>
              <w:lastRenderedPageBreak/>
              <w:t>2. Czynności dokonane z naruszeniem ust. 1 są bezskuteczne względem masy</w:t>
            </w:r>
          </w:p>
          <w:p w14:paraId="6E16DE89" w14:textId="77777777" w:rsidR="004D6AE2" w:rsidRPr="004D6AE2" w:rsidRDefault="004D6AE2" w:rsidP="004D6AE2">
            <w:pPr>
              <w:jc w:val="both"/>
              <w:rPr>
                <w:rFonts w:ascii="Calibri" w:hAnsi="Calibri" w:cs="Calibri"/>
              </w:rPr>
            </w:pPr>
            <w:r w:rsidRPr="004D6AE2">
              <w:rPr>
                <w:rFonts w:ascii="Calibri" w:hAnsi="Calibri" w:cs="Calibri"/>
              </w:rPr>
              <w:t>układowej.</w:t>
            </w:r>
          </w:p>
          <w:p w14:paraId="7E641BB0" w14:textId="77777777" w:rsidR="004D6AE2" w:rsidRPr="004D6AE2" w:rsidRDefault="004D6AE2" w:rsidP="004D6AE2">
            <w:pPr>
              <w:jc w:val="both"/>
              <w:rPr>
                <w:rFonts w:ascii="Calibri" w:hAnsi="Calibri" w:cs="Calibri"/>
              </w:rPr>
            </w:pPr>
            <w:r w:rsidRPr="004D6AE2">
              <w:rPr>
                <w:rFonts w:ascii="Calibri" w:hAnsi="Calibri" w:cs="Calibri"/>
              </w:rPr>
              <w:t>3. Zakaz nie dotyczy zabezpieczeń ustanawianych w ramach postępowania</w:t>
            </w:r>
          </w:p>
          <w:p w14:paraId="61871AC2" w14:textId="77777777" w:rsidR="004D6AE2" w:rsidRPr="004D6AE2" w:rsidRDefault="004D6AE2" w:rsidP="004D6AE2">
            <w:pPr>
              <w:jc w:val="both"/>
              <w:rPr>
                <w:rFonts w:ascii="Calibri" w:hAnsi="Calibri" w:cs="Calibri"/>
              </w:rPr>
            </w:pPr>
            <w:r w:rsidRPr="004D6AE2">
              <w:rPr>
                <w:rFonts w:ascii="Calibri" w:hAnsi="Calibri" w:cs="Calibri"/>
              </w:rPr>
              <w:t>restrukturyzacyjnego za zgodą nadzorcy sądowego.</w:t>
            </w:r>
          </w:p>
          <w:p w14:paraId="171A6D01" w14:textId="77777777" w:rsidR="004D6AE2" w:rsidRPr="004D6AE2" w:rsidRDefault="004D6AE2" w:rsidP="004D6AE2">
            <w:pPr>
              <w:jc w:val="both"/>
              <w:rPr>
                <w:rFonts w:ascii="Calibri" w:hAnsi="Calibri" w:cs="Calibri"/>
              </w:rPr>
            </w:pPr>
            <w:r w:rsidRPr="004D6AE2">
              <w:rPr>
                <w:rFonts w:ascii="Calibri" w:hAnsi="Calibri" w:cs="Calibri"/>
              </w:rPr>
              <w:t>Art. 21c. [Pożyczki wspólników i podmiotów powiązanych]</w:t>
            </w:r>
          </w:p>
          <w:p w14:paraId="6BD481BF" w14:textId="77777777" w:rsidR="004D6AE2" w:rsidRPr="004D6AE2" w:rsidRDefault="004D6AE2" w:rsidP="004D6AE2">
            <w:pPr>
              <w:jc w:val="both"/>
              <w:rPr>
                <w:rFonts w:ascii="Calibri" w:hAnsi="Calibri" w:cs="Calibri"/>
              </w:rPr>
            </w:pPr>
            <w:r w:rsidRPr="004D6AE2">
              <w:rPr>
                <w:rFonts w:ascii="Calibri" w:hAnsi="Calibri" w:cs="Calibri"/>
              </w:rPr>
              <w:t>1. Pożyczki, kredyty oraz inne formy finansowania udzielone przez wspólników,</w:t>
            </w:r>
          </w:p>
          <w:p w14:paraId="52827A0A" w14:textId="77777777" w:rsidR="004D6AE2" w:rsidRPr="004D6AE2" w:rsidRDefault="004D6AE2" w:rsidP="004D6AE2">
            <w:pPr>
              <w:jc w:val="both"/>
              <w:rPr>
                <w:rFonts w:ascii="Calibri" w:hAnsi="Calibri" w:cs="Calibri"/>
              </w:rPr>
            </w:pPr>
            <w:r w:rsidRPr="004D6AE2">
              <w:rPr>
                <w:rFonts w:ascii="Calibri" w:hAnsi="Calibri" w:cs="Calibri"/>
              </w:rPr>
              <w:t>akcjonariuszy, członków organów lub podmioty powiązane w okresie 24 miesięcy</w:t>
            </w:r>
          </w:p>
          <w:p w14:paraId="7290C2FF" w14:textId="77777777" w:rsidR="004D6AE2" w:rsidRPr="004D6AE2" w:rsidRDefault="004D6AE2" w:rsidP="004D6AE2">
            <w:pPr>
              <w:jc w:val="both"/>
              <w:rPr>
                <w:rFonts w:ascii="Calibri" w:hAnsi="Calibri" w:cs="Calibri"/>
              </w:rPr>
            </w:pPr>
            <w:r w:rsidRPr="004D6AE2">
              <w:rPr>
                <w:rFonts w:ascii="Calibri" w:hAnsi="Calibri" w:cs="Calibri"/>
              </w:rPr>
              <w:t>przed dniem otwarcia postępowania restrukturyzacyjnego traktuje się jak</w:t>
            </w:r>
          </w:p>
          <w:p w14:paraId="3695AA05" w14:textId="77777777" w:rsidR="004D6AE2" w:rsidRPr="004D6AE2" w:rsidRDefault="004D6AE2" w:rsidP="004D6AE2">
            <w:pPr>
              <w:jc w:val="both"/>
              <w:rPr>
                <w:rFonts w:ascii="Calibri" w:hAnsi="Calibri" w:cs="Calibri"/>
              </w:rPr>
            </w:pPr>
            <w:r w:rsidRPr="004D6AE2">
              <w:rPr>
                <w:rFonts w:ascii="Calibri" w:hAnsi="Calibri" w:cs="Calibri"/>
              </w:rPr>
              <w:t>finansowanie podporządkowane.</w:t>
            </w:r>
          </w:p>
          <w:p w14:paraId="26A8658C" w14:textId="77777777" w:rsidR="004D6AE2" w:rsidRPr="004D6AE2" w:rsidRDefault="004D6AE2" w:rsidP="004D6AE2">
            <w:pPr>
              <w:jc w:val="both"/>
              <w:rPr>
                <w:rFonts w:ascii="Calibri" w:hAnsi="Calibri" w:cs="Calibri"/>
              </w:rPr>
            </w:pPr>
            <w:r w:rsidRPr="004D6AE2">
              <w:rPr>
                <w:rFonts w:ascii="Calibri" w:hAnsi="Calibri" w:cs="Calibri"/>
              </w:rPr>
              <w:t>2. Wierzytelności z tytułu finansowania podporządkowanego zaspokaja się po</w:t>
            </w:r>
          </w:p>
          <w:p w14:paraId="254C7CA2" w14:textId="77777777" w:rsidR="004D6AE2" w:rsidRPr="004D6AE2" w:rsidRDefault="004D6AE2" w:rsidP="004D6AE2">
            <w:pPr>
              <w:jc w:val="both"/>
              <w:rPr>
                <w:rFonts w:ascii="Calibri" w:hAnsi="Calibri" w:cs="Calibri"/>
              </w:rPr>
            </w:pPr>
            <w:r w:rsidRPr="004D6AE2">
              <w:rPr>
                <w:rFonts w:ascii="Calibri" w:hAnsi="Calibri" w:cs="Calibri"/>
              </w:rPr>
              <w:t>zaspokojeniu wszystkich innych wierzycieli, w tym wierzycieli układowych.</w:t>
            </w:r>
          </w:p>
          <w:p w14:paraId="0256255A" w14:textId="77777777" w:rsidR="004D6AE2" w:rsidRPr="004D6AE2" w:rsidRDefault="004D6AE2" w:rsidP="004D6AE2">
            <w:pPr>
              <w:jc w:val="both"/>
              <w:rPr>
                <w:rFonts w:ascii="Calibri" w:hAnsi="Calibri" w:cs="Calibri"/>
              </w:rPr>
            </w:pPr>
            <w:r w:rsidRPr="004D6AE2">
              <w:rPr>
                <w:rFonts w:ascii="Calibri" w:hAnsi="Calibri" w:cs="Calibri"/>
              </w:rPr>
              <w:lastRenderedPageBreak/>
              <w:t>3. Wierzytelności te mogą zostać umorzone w całości w ramach układu.</w:t>
            </w:r>
          </w:p>
          <w:p w14:paraId="3DE3A0A6" w14:textId="77777777" w:rsidR="004D6AE2" w:rsidRPr="004D6AE2" w:rsidRDefault="004D6AE2" w:rsidP="004D6AE2">
            <w:pPr>
              <w:jc w:val="both"/>
              <w:rPr>
                <w:rFonts w:ascii="Calibri" w:hAnsi="Calibri" w:cs="Calibri"/>
              </w:rPr>
            </w:pPr>
            <w:r w:rsidRPr="004D6AE2">
              <w:rPr>
                <w:rFonts w:ascii="Calibri" w:hAnsi="Calibri" w:cs="Calibri"/>
              </w:rPr>
              <w:t>Art. 21d. [Zasada uzdrowienia finansów spółki]</w:t>
            </w:r>
          </w:p>
          <w:p w14:paraId="6096C790" w14:textId="77777777" w:rsidR="004D6AE2" w:rsidRPr="004D6AE2" w:rsidRDefault="004D6AE2" w:rsidP="004D6AE2">
            <w:pPr>
              <w:jc w:val="both"/>
              <w:rPr>
                <w:rFonts w:ascii="Calibri" w:hAnsi="Calibri" w:cs="Calibri"/>
              </w:rPr>
            </w:pPr>
            <w:r w:rsidRPr="004D6AE2">
              <w:rPr>
                <w:rFonts w:ascii="Calibri" w:hAnsi="Calibri" w:cs="Calibri"/>
              </w:rPr>
              <w:t>1. Układ może przewidywać redukcję zobowiązań do poziomu umożliwiającego</w:t>
            </w:r>
          </w:p>
          <w:p w14:paraId="1372C631" w14:textId="77777777" w:rsidR="004D6AE2" w:rsidRPr="004D6AE2" w:rsidRDefault="004D6AE2" w:rsidP="004D6AE2">
            <w:pPr>
              <w:jc w:val="both"/>
              <w:rPr>
                <w:rFonts w:ascii="Calibri" w:hAnsi="Calibri" w:cs="Calibri"/>
              </w:rPr>
            </w:pPr>
            <w:r w:rsidRPr="004D6AE2">
              <w:rPr>
                <w:rFonts w:ascii="Calibri" w:hAnsi="Calibri" w:cs="Calibri"/>
              </w:rPr>
              <w:t>przywrócenie dłużnikowi zdolności do wykonywania zobowiązań w przyszłości.</w:t>
            </w:r>
          </w:p>
          <w:p w14:paraId="352A0857" w14:textId="77777777" w:rsidR="004D6AE2" w:rsidRPr="004D6AE2" w:rsidRDefault="004D6AE2" w:rsidP="004D6AE2">
            <w:pPr>
              <w:jc w:val="both"/>
              <w:rPr>
                <w:rFonts w:ascii="Calibri" w:hAnsi="Calibri" w:cs="Calibri"/>
              </w:rPr>
            </w:pPr>
            <w:r w:rsidRPr="004D6AE2">
              <w:rPr>
                <w:rFonts w:ascii="Calibri" w:hAnsi="Calibri" w:cs="Calibri"/>
              </w:rPr>
              <w:t>2. Wierzytelności wspólników i podmiotów powiązanych mogą zostać zaspokojone</w:t>
            </w:r>
          </w:p>
          <w:p w14:paraId="288EB079" w14:textId="77777777" w:rsidR="004D6AE2" w:rsidRPr="004D6AE2" w:rsidRDefault="004D6AE2" w:rsidP="004D6AE2">
            <w:pPr>
              <w:jc w:val="both"/>
              <w:rPr>
                <w:rFonts w:ascii="Calibri" w:hAnsi="Calibri" w:cs="Calibri"/>
              </w:rPr>
            </w:pPr>
            <w:r w:rsidRPr="004D6AE2">
              <w:rPr>
                <w:rFonts w:ascii="Calibri" w:hAnsi="Calibri" w:cs="Calibri"/>
              </w:rPr>
              <w:t>wyłącznie po pełnym wykonaniu układu wobec pozostałych wierzycieli.</w:t>
            </w:r>
          </w:p>
          <w:p w14:paraId="3E890B5B" w14:textId="0514D4A6" w:rsidR="004D6AE2" w:rsidRDefault="004D6AE2" w:rsidP="004D6AE2">
            <w:pPr>
              <w:jc w:val="both"/>
              <w:rPr>
                <w:rFonts w:ascii="Calibri" w:hAnsi="Calibri" w:cs="Calibri"/>
              </w:rPr>
            </w:pPr>
            <w:r w:rsidRPr="004D6AE2">
              <w:rPr>
                <w:rFonts w:ascii="Calibri" w:hAnsi="Calibri" w:cs="Calibri"/>
              </w:rPr>
              <w:t>3. Postanowienia układu sprzeczne z ust. 1–2 są nieważne.</w:t>
            </w:r>
          </w:p>
        </w:tc>
        <w:tc>
          <w:tcPr>
            <w:tcW w:w="1108" w:type="pct"/>
          </w:tcPr>
          <w:p w14:paraId="2A857ADA" w14:textId="70B19574" w:rsidR="00B223A1" w:rsidRPr="00F70232" w:rsidRDefault="004D6AE2" w:rsidP="00AE288B">
            <w:pPr>
              <w:autoSpaceDE w:val="0"/>
              <w:autoSpaceDN w:val="0"/>
              <w:adjustRightInd w:val="0"/>
              <w:jc w:val="both"/>
              <w:rPr>
                <w:rFonts w:cstheme="minorHAnsi"/>
                <w:b/>
                <w:bCs/>
              </w:rPr>
            </w:pPr>
            <w:r w:rsidRPr="004D6AE2">
              <w:rPr>
                <w:rFonts w:cstheme="minorHAnsi"/>
                <w:b/>
                <w:bCs/>
              </w:rPr>
              <w:lastRenderedPageBreak/>
              <w:t>Uwaga poza zakresem projektu</w:t>
            </w:r>
          </w:p>
        </w:tc>
      </w:tr>
      <w:tr w:rsidR="00B223A1" w:rsidRPr="00486628" w14:paraId="2323CED4" w14:textId="77777777" w:rsidTr="00AC5078">
        <w:tc>
          <w:tcPr>
            <w:tcW w:w="158" w:type="pct"/>
          </w:tcPr>
          <w:p w14:paraId="73E5EE77" w14:textId="25CBA7FC" w:rsidR="00B223A1" w:rsidRDefault="00B223A1" w:rsidP="00AE288B">
            <w:pPr>
              <w:jc w:val="center"/>
              <w:rPr>
                <w:rFonts w:cstheme="minorHAnsi"/>
              </w:rPr>
            </w:pPr>
            <w:r>
              <w:rPr>
                <w:rFonts w:cstheme="minorHAnsi"/>
              </w:rPr>
              <w:lastRenderedPageBreak/>
              <w:t>6</w:t>
            </w:r>
            <w:r w:rsidR="008C435D">
              <w:rPr>
                <w:rFonts w:cstheme="minorHAnsi"/>
              </w:rPr>
              <w:t>6</w:t>
            </w:r>
          </w:p>
        </w:tc>
        <w:tc>
          <w:tcPr>
            <w:tcW w:w="698" w:type="pct"/>
          </w:tcPr>
          <w:p w14:paraId="56FA4C7B" w14:textId="5CCB3C37" w:rsidR="00B223A1" w:rsidRDefault="004D6AE2" w:rsidP="00AE288B">
            <w:pPr>
              <w:rPr>
                <w:rFonts w:ascii="Calibri" w:hAnsi="Calibri" w:cs="Calibri"/>
              </w:rPr>
            </w:pPr>
            <w:r>
              <w:rPr>
                <w:rFonts w:ascii="Calibri" w:hAnsi="Calibri" w:cs="Calibri"/>
              </w:rPr>
              <w:t xml:space="preserve">Obywatel 3 </w:t>
            </w:r>
          </w:p>
        </w:tc>
        <w:tc>
          <w:tcPr>
            <w:tcW w:w="591" w:type="pct"/>
          </w:tcPr>
          <w:p w14:paraId="5B54F142" w14:textId="660C52F7" w:rsidR="00B223A1" w:rsidRDefault="004D6AE2" w:rsidP="00AE288B">
            <w:pPr>
              <w:rPr>
                <w:rFonts w:ascii="Calibri" w:hAnsi="Calibri" w:cs="Calibri"/>
              </w:rPr>
            </w:pPr>
            <w:r>
              <w:rPr>
                <w:rFonts w:ascii="Calibri" w:hAnsi="Calibri" w:cs="Calibri"/>
              </w:rPr>
              <w:t>Dodanie art. 85a P.U.</w:t>
            </w:r>
          </w:p>
        </w:tc>
        <w:tc>
          <w:tcPr>
            <w:tcW w:w="1418" w:type="pct"/>
          </w:tcPr>
          <w:p w14:paraId="64B8645D" w14:textId="77777777" w:rsidR="00B223A1" w:rsidRDefault="00B223A1" w:rsidP="006A7A12">
            <w:pPr>
              <w:jc w:val="both"/>
            </w:pPr>
          </w:p>
        </w:tc>
        <w:tc>
          <w:tcPr>
            <w:tcW w:w="1027" w:type="pct"/>
          </w:tcPr>
          <w:p w14:paraId="76255291" w14:textId="77777777" w:rsidR="004D6AE2" w:rsidRPr="004D6AE2" w:rsidRDefault="004D6AE2" w:rsidP="004D6AE2">
            <w:pPr>
              <w:jc w:val="both"/>
              <w:rPr>
                <w:rFonts w:ascii="Calibri" w:hAnsi="Calibri" w:cs="Calibri"/>
              </w:rPr>
            </w:pPr>
            <w:r w:rsidRPr="004D6AE2">
              <w:rPr>
                <w:rFonts w:ascii="Calibri" w:hAnsi="Calibri" w:cs="Calibri"/>
              </w:rPr>
              <w:t>Art. 85a. [Bezskuteczność zabezpieczeń ustanowionych w okresie kryzysu]</w:t>
            </w:r>
          </w:p>
          <w:p w14:paraId="10DD7539" w14:textId="77777777" w:rsidR="004D6AE2" w:rsidRPr="004D6AE2" w:rsidRDefault="004D6AE2" w:rsidP="004D6AE2">
            <w:pPr>
              <w:jc w:val="both"/>
              <w:rPr>
                <w:rFonts w:ascii="Calibri" w:hAnsi="Calibri" w:cs="Calibri"/>
              </w:rPr>
            </w:pPr>
            <w:r w:rsidRPr="004D6AE2">
              <w:rPr>
                <w:rFonts w:ascii="Calibri" w:hAnsi="Calibri" w:cs="Calibri"/>
              </w:rPr>
              <w:t>1. Zabezpieczenia rzeczowe ustanowione w okresie 12 miesięcy przed dniem złożenia</w:t>
            </w:r>
          </w:p>
          <w:p w14:paraId="1AE6B897" w14:textId="77777777" w:rsidR="004D6AE2" w:rsidRPr="004D6AE2" w:rsidRDefault="004D6AE2" w:rsidP="004D6AE2">
            <w:pPr>
              <w:jc w:val="both"/>
              <w:rPr>
                <w:rFonts w:ascii="Calibri" w:hAnsi="Calibri" w:cs="Calibri"/>
              </w:rPr>
            </w:pPr>
            <w:r w:rsidRPr="004D6AE2">
              <w:rPr>
                <w:rFonts w:ascii="Calibri" w:hAnsi="Calibri" w:cs="Calibri"/>
              </w:rPr>
              <w:t>wniosku o ogłoszenie upadłości są bezskuteczne względem masy upadłości, jeżeli:</w:t>
            </w:r>
          </w:p>
          <w:p w14:paraId="511182A1" w14:textId="3E8C2984" w:rsidR="004D6AE2" w:rsidRPr="004D6AE2" w:rsidRDefault="004D6AE2" w:rsidP="004D6AE2">
            <w:pPr>
              <w:jc w:val="both"/>
              <w:rPr>
                <w:rFonts w:ascii="Calibri" w:hAnsi="Calibri" w:cs="Calibri"/>
              </w:rPr>
            </w:pPr>
            <w:r w:rsidRPr="004D6AE2">
              <w:rPr>
                <w:rFonts w:ascii="Calibri" w:hAnsi="Calibri" w:cs="Calibri"/>
              </w:rPr>
              <w:t>1. dłużnik był w stanie niewypłacalności lub zagrożenia niewypłacalnością, oraz</w:t>
            </w:r>
            <w:r>
              <w:t xml:space="preserve"> </w:t>
            </w:r>
            <w:r w:rsidRPr="004D6AE2">
              <w:rPr>
                <w:rFonts w:ascii="Calibri" w:hAnsi="Calibri" w:cs="Calibri"/>
              </w:rPr>
              <w:t xml:space="preserve">2. zabezpieczenie ustanowiono na </w:t>
            </w:r>
            <w:r w:rsidRPr="004D6AE2">
              <w:rPr>
                <w:rFonts w:ascii="Calibri" w:hAnsi="Calibri" w:cs="Calibri"/>
              </w:rPr>
              <w:lastRenderedPageBreak/>
              <w:t>rzecz wierzyciela, który wiedział lub przy</w:t>
            </w:r>
            <w:r>
              <w:rPr>
                <w:rFonts w:ascii="Calibri" w:hAnsi="Calibri" w:cs="Calibri"/>
              </w:rPr>
              <w:t xml:space="preserve"> </w:t>
            </w:r>
            <w:r w:rsidRPr="004D6AE2">
              <w:rPr>
                <w:rFonts w:ascii="Calibri" w:hAnsi="Calibri" w:cs="Calibri"/>
              </w:rPr>
              <w:t>zachowaniu należytej staranności mógł wiedzieć o stanie dłużnika.</w:t>
            </w:r>
          </w:p>
          <w:p w14:paraId="27CD45A3" w14:textId="77777777" w:rsidR="004D6AE2" w:rsidRPr="004D6AE2" w:rsidRDefault="004D6AE2" w:rsidP="004D6AE2">
            <w:pPr>
              <w:jc w:val="both"/>
              <w:rPr>
                <w:rFonts w:ascii="Calibri" w:hAnsi="Calibri" w:cs="Calibri"/>
              </w:rPr>
            </w:pPr>
            <w:r w:rsidRPr="004D6AE2">
              <w:rPr>
                <w:rFonts w:ascii="Calibri" w:hAnsi="Calibri" w:cs="Calibri"/>
              </w:rPr>
              <w:t>2. Przepisu ust. 1 nie stosuje się do zabezpieczeń ustanowionych w ramach postępowania</w:t>
            </w:r>
          </w:p>
          <w:p w14:paraId="10EF3980" w14:textId="08F54E51" w:rsidR="00B223A1" w:rsidRPr="00B223A1" w:rsidRDefault="004D6AE2" w:rsidP="004D6AE2">
            <w:pPr>
              <w:jc w:val="both"/>
              <w:rPr>
                <w:rFonts w:ascii="Calibri" w:hAnsi="Calibri" w:cs="Calibri"/>
              </w:rPr>
            </w:pPr>
            <w:r w:rsidRPr="004D6AE2">
              <w:rPr>
                <w:rFonts w:ascii="Calibri" w:hAnsi="Calibri" w:cs="Calibri"/>
              </w:rPr>
              <w:t>restrukturyzacyjnego.</w:t>
            </w:r>
          </w:p>
        </w:tc>
        <w:tc>
          <w:tcPr>
            <w:tcW w:w="1108" w:type="pct"/>
          </w:tcPr>
          <w:p w14:paraId="447DA4B0" w14:textId="4ECA3913" w:rsidR="00B223A1" w:rsidRPr="00F70232" w:rsidRDefault="004D6AE2" w:rsidP="00AE288B">
            <w:pPr>
              <w:autoSpaceDE w:val="0"/>
              <w:autoSpaceDN w:val="0"/>
              <w:adjustRightInd w:val="0"/>
              <w:jc w:val="both"/>
              <w:rPr>
                <w:rFonts w:cstheme="minorHAnsi"/>
                <w:b/>
                <w:bCs/>
              </w:rPr>
            </w:pPr>
            <w:r w:rsidRPr="004D6AE2">
              <w:rPr>
                <w:rFonts w:cstheme="minorHAnsi"/>
                <w:b/>
                <w:bCs/>
              </w:rPr>
              <w:lastRenderedPageBreak/>
              <w:t>Uwaga poza zakresem projektu</w:t>
            </w:r>
          </w:p>
        </w:tc>
      </w:tr>
      <w:tr w:rsidR="004D6AE2" w:rsidRPr="00486628" w14:paraId="1C270DAA" w14:textId="77777777" w:rsidTr="00AC5078">
        <w:tc>
          <w:tcPr>
            <w:tcW w:w="158" w:type="pct"/>
          </w:tcPr>
          <w:p w14:paraId="61D1F091" w14:textId="1D742CDE" w:rsidR="004D6AE2" w:rsidRDefault="004D6AE2" w:rsidP="00AE288B">
            <w:pPr>
              <w:jc w:val="center"/>
              <w:rPr>
                <w:rFonts w:cstheme="minorHAnsi"/>
              </w:rPr>
            </w:pPr>
            <w:r>
              <w:rPr>
                <w:rFonts w:cstheme="minorHAnsi"/>
              </w:rPr>
              <w:t>6</w:t>
            </w:r>
            <w:r w:rsidR="008C435D">
              <w:rPr>
                <w:rFonts w:cstheme="minorHAnsi"/>
              </w:rPr>
              <w:t>7</w:t>
            </w:r>
          </w:p>
        </w:tc>
        <w:tc>
          <w:tcPr>
            <w:tcW w:w="698" w:type="pct"/>
          </w:tcPr>
          <w:p w14:paraId="4E06DDB1" w14:textId="52E150E6" w:rsidR="004D6AE2" w:rsidRDefault="004D6AE2" w:rsidP="00AE288B">
            <w:pPr>
              <w:rPr>
                <w:rFonts w:ascii="Calibri" w:hAnsi="Calibri" w:cs="Calibri"/>
              </w:rPr>
            </w:pPr>
            <w:r w:rsidRPr="004D6AE2">
              <w:rPr>
                <w:rFonts w:ascii="Calibri" w:hAnsi="Calibri" w:cs="Calibri"/>
              </w:rPr>
              <w:t>Obywatel 3</w:t>
            </w:r>
          </w:p>
        </w:tc>
        <w:tc>
          <w:tcPr>
            <w:tcW w:w="591" w:type="pct"/>
          </w:tcPr>
          <w:p w14:paraId="7873A22B" w14:textId="60476C25" w:rsidR="004D6AE2" w:rsidRDefault="004D6AE2" w:rsidP="00AE288B">
            <w:pPr>
              <w:rPr>
                <w:rFonts w:ascii="Calibri" w:hAnsi="Calibri" w:cs="Calibri"/>
              </w:rPr>
            </w:pPr>
            <w:r>
              <w:rPr>
                <w:rFonts w:ascii="Calibri" w:hAnsi="Calibri" w:cs="Calibri"/>
              </w:rPr>
              <w:t>Dodanie art. 342a P.U.</w:t>
            </w:r>
          </w:p>
        </w:tc>
        <w:tc>
          <w:tcPr>
            <w:tcW w:w="1418" w:type="pct"/>
          </w:tcPr>
          <w:p w14:paraId="072147C8" w14:textId="77777777" w:rsidR="004D6AE2" w:rsidRDefault="004D6AE2" w:rsidP="006A7A12">
            <w:pPr>
              <w:jc w:val="both"/>
            </w:pPr>
          </w:p>
        </w:tc>
        <w:tc>
          <w:tcPr>
            <w:tcW w:w="1027" w:type="pct"/>
          </w:tcPr>
          <w:p w14:paraId="17AD5300" w14:textId="77777777" w:rsidR="00AD3012" w:rsidRPr="00AD3012" w:rsidRDefault="00AD3012" w:rsidP="00AD3012">
            <w:pPr>
              <w:jc w:val="both"/>
              <w:rPr>
                <w:rFonts w:ascii="Calibri" w:hAnsi="Calibri" w:cs="Calibri"/>
              </w:rPr>
            </w:pPr>
            <w:r w:rsidRPr="00AD3012">
              <w:rPr>
                <w:rFonts w:ascii="Calibri" w:hAnsi="Calibri" w:cs="Calibri"/>
              </w:rPr>
              <w:t>Art. 342a. [Pożyczki wspólników]</w:t>
            </w:r>
          </w:p>
          <w:p w14:paraId="6F55E20A" w14:textId="77777777" w:rsidR="00AD3012" w:rsidRPr="00AD3012" w:rsidRDefault="00AD3012" w:rsidP="00AD3012">
            <w:pPr>
              <w:jc w:val="both"/>
              <w:rPr>
                <w:rFonts w:ascii="Calibri" w:hAnsi="Calibri" w:cs="Calibri"/>
              </w:rPr>
            </w:pPr>
            <w:r w:rsidRPr="00AD3012">
              <w:rPr>
                <w:rFonts w:ascii="Calibri" w:hAnsi="Calibri" w:cs="Calibri"/>
              </w:rPr>
              <w:t>1. Wierzytelności wspólników, akcjonariuszy, członków organów oraz podmiotów</w:t>
            </w:r>
          </w:p>
          <w:p w14:paraId="4CCD9EEE" w14:textId="77777777" w:rsidR="00AD3012" w:rsidRPr="00AD3012" w:rsidRDefault="00AD3012" w:rsidP="00AD3012">
            <w:pPr>
              <w:jc w:val="both"/>
              <w:rPr>
                <w:rFonts w:ascii="Calibri" w:hAnsi="Calibri" w:cs="Calibri"/>
              </w:rPr>
            </w:pPr>
            <w:r w:rsidRPr="00AD3012">
              <w:rPr>
                <w:rFonts w:ascii="Calibri" w:hAnsi="Calibri" w:cs="Calibri"/>
              </w:rPr>
              <w:t>powiązanych z tytułu pożyczek, kredytów i innych form finansowania są zaspokajane</w:t>
            </w:r>
          </w:p>
          <w:p w14:paraId="0756EFB3" w14:textId="77777777" w:rsidR="00AD3012" w:rsidRPr="00AD3012" w:rsidRDefault="00AD3012" w:rsidP="00AD3012">
            <w:pPr>
              <w:jc w:val="both"/>
              <w:rPr>
                <w:rFonts w:ascii="Calibri" w:hAnsi="Calibri" w:cs="Calibri"/>
              </w:rPr>
            </w:pPr>
            <w:r w:rsidRPr="00AD3012">
              <w:rPr>
                <w:rFonts w:ascii="Calibri" w:hAnsi="Calibri" w:cs="Calibri"/>
              </w:rPr>
              <w:t>w ostatniej kategorii, po wszystkich innych wierzycielach.</w:t>
            </w:r>
          </w:p>
          <w:p w14:paraId="22CB7663" w14:textId="2D365456" w:rsidR="004D6AE2" w:rsidRPr="004D6AE2" w:rsidRDefault="00AD3012" w:rsidP="00AD3012">
            <w:pPr>
              <w:jc w:val="both"/>
              <w:rPr>
                <w:rFonts w:ascii="Calibri" w:hAnsi="Calibri" w:cs="Calibri"/>
              </w:rPr>
            </w:pPr>
            <w:r w:rsidRPr="00AD3012">
              <w:rPr>
                <w:rFonts w:ascii="Calibri" w:hAnsi="Calibri" w:cs="Calibri"/>
              </w:rPr>
              <w:t>2. Wierzytelności te nie mogą być zabezpieczone na majątku spółki.</w:t>
            </w:r>
          </w:p>
        </w:tc>
        <w:tc>
          <w:tcPr>
            <w:tcW w:w="1108" w:type="pct"/>
          </w:tcPr>
          <w:p w14:paraId="72896650" w14:textId="4F36E468" w:rsidR="004D6AE2" w:rsidRPr="004D6AE2" w:rsidRDefault="004D6AE2" w:rsidP="00AE288B">
            <w:pPr>
              <w:autoSpaceDE w:val="0"/>
              <w:autoSpaceDN w:val="0"/>
              <w:adjustRightInd w:val="0"/>
              <w:jc w:val="both"/>
              <w:rPr>
                <w:rFonts w:cstheme="minorHAnsi"/>
                <w:b/>
                <w:bCs/>
              </w:rPr>
            </w:pPr>
            <w:r w:rsidRPr="004D6AE2">
              <w:rPr>
                <w:rFonts w:cstheme="minorHAnsi"/>
                <w:b/>
                <w:bCs/>
              </w:rPr>
              <w:t>Uwaga poza zakresem projektu</w:t>
            </w:r>
          </w:p>
        </w:tc>
      </w:tr>
      <w:tr w:rsidR="00AD3012" w:rsidRPr="00486628" w14:paraId="7E6D825B" w14:textId="77777777" w:rsidTr="00AC5078">
        <w:tc>
          <w:tcPr>
            <w:tcW w:w="158" w:type="pct"/>
          </w:tcPr>
          <w:p w14:paraId="034AB84C" w14:textId="07CE2FB6" w:rsidR="00AD3012" w:rsidRDefault="00AD3012" w:rsidP="00AE288B">
            <w:pPr>
              <w:jc w:val="center"/>
              <w:rPr>
                <w:rFonts w:cstheme="minorHAnsi"/>
              </w:rPr>
            </w:pPr>
            <w:r>
              <w:rPr>
                <w:rFonts w:cstheme="minorHAnsi"/>
              </w:rPr>
              <w:t>6</w:t>
            </w:r>
            <w:r w:rsidR="008C435D">
              <w:rPr>
                <w:rFonts w:cstheme="minorHAnsi"/>
              </w:rPr>
              <w:t>8</w:t>
            </w:r>
          </w:p>
        </w:tc>
        <w:tc>
          <w:tcPr>
            <w:tcW w:w="698" w:type="pct"/>
          </w:tcPr>
          <w:p w14:paraId="648CF680" w14:textId="00F6A417" w:rsidR="00AD3012" w:rsidRPr="004D6AE2" w:rsidRDefault="00AD3012" w:rsidP="00AE288B">
            <w:pPr>
              <w:rPr>
                <w:rFonts w:ascii="Calibri" w:hAnsi="Calibri" w:cs="Calibri"/>
              </w:rPr>
            </w:pPr>
            <w:r>
              <w:rPr>
                <w:rFonts w:ascii="Calibri" w:hAnsi="Calibri" w:cs="Calibri"/>
              </w:rPr>
              <w:t xml:space="preserve">Obywatel 3 </w:t>
            </w:r>
          </w:p>
        </w:tc>
        <w:tc>
          <w:tcPr>
            <w:tcW w:w="591" w:type="pct"/>
          </w:tcPr>
          <w:p w14:paraId="0ED983DE" w14:textId="187C6F6D" w:rsidR="00AD3012" w:rsidRPr="00AD3012" w:rsidRDefault="00AD3012" w:rsidP="00AE288B">
            <w:pPr>
              <w:rPr>
                <w:rFonts w:ascii="Calibri" w:hAnsi="Calibri" w:cs="Calibri"/>
              </w:rPr>
            </w:pPr>
            <w:r>
              <w:rPr>
                <w:rFonts w:ascii="Calibri" w:hAnsi="Calibri" w:cs="Calibri"/>
              </w:rPr>
              <w:t>Dodanie art. 233</w:t>
            </w:r>
            <w:r>
              <w:rPr>
                <w:rFonts w:ascii="Calibri" w:hAnsi="Calibri" w:cs="Calibri"/>
                <w:vertAlign w:val="superscript"/>
              </w:rPr>
              <w:t>1</w:t>
            </w:r>
            <w:r>
              <w:rPr>
                <w:rFonts w:ascii="Calibri" w:hAnsi="Calibri" w:cs="Calibri"/>
              </w:rPr>
              <w:t xml:space="preserve"> i 300 KSH </w:t>
            </w:r>
          </w:p>
        </w:tc>
        <w:tc>
          <w:tcPr>
            <w:tcW w:w="1418" w:type="pct"/>
          </w:tcPr>
          <w:p w14:paraId="49A48D53" w14:textId="77777777" w:rsidR="00AD3012" w:rsidRDefault="00AD3012" w:rsidP="006A7A12">
            <w:pPr>
              <w:jc w:val="both"/>
            </w:pPr>
          </w:p>
        </w:tc>
        <w:tc>
          <w:tcPr>
            <w:tcW w:w="1027" w:type="pct"/>
          </w:tcPr>
          <w:p w14:paraId="415E35BA" w14:textId="77777777" w:rsidR="00AD3012" w:rsidRPr="00AD3012" w:rsidRDefault="00AD3012" w:rsidP="00AD3012">
            <w:pPr>
              <w:jc w:val="both"/>
              <w:rPr>
                <w:rFonts w:ascii="Calibri" w:hAnsi="Calibri" w:cs="Calibri"/>
              </w:rPr>
            </w:pPr>
            <w:r w:rsidRPr="00AD3012">
              <w:rPr>
                <w:rFonts w:ascii="Calibri" w:hAnsi="Calibri" w:cs="Calibri"/>
              </w:rPr>
              <w:t>Art. 233¹ / 300¹⁰¹. [Obowiązek zgłoszenia stanu kryzysu]</w:t>
            </w:r>
          </w:p>
          <w:p w14:paraId="563FF28A" w14:textId="77777777" w:rsidR="00AD3012" w:rsidRPr="00AD3012" w:rsidRDefault="00AD3012" w:rsidP="00AD3012">
            <w:pPr>
              <w:jc w:val="both"/>
              <w:rPr>
                <w:rFonts w:ascii="Calibri" w:hAnsi="Calibri" w:cs="Calibri"/>
              </w:rPr>
            </w:pPr>
            <w:r w:rsidRPr="00AD3012">
              <w:rPr>
                <w:rFonts w:ascii="Calibri" w:hAnsi="Calibri" w:cs="Calibri"/>
              </w:rPr>
              <w:t>1. Zarząd jest obowiązany niezwłocznie zgłosić wspólnikom oraz radzie nadzorczej</w:t>
            </w:r>
          </w:p>
          <w:p w14:paraId="6E488D65" w14:textId="77777777" w:rsidR="00AD3012" w:rsidRPr="00AD3012" w:rsidRDefault="00AD3012" w:rsidP="00AD3012">
            <w:pPr>
              <w:jc w:val="both"/>
              <w:rPr>
                <w:rFonts w:ascii="Calibri" w:hAnsi="Calibri" w:cs="Calibri"/>
              </w:rPr>
            </w:pPr>
            <w:r w:rsidRPr="00AD3012">
              <w:rPr>
                <w:rFonts w:ascii="Calibri" w:hAnsi="Calibri" w:cs="Calibri"/>
              </w:rPr>
              <w:t>wystąpienie stanu zagrożenia niewypłacalnością.</w:t>
            </w:r>
          </w:p>
          <w:p w14:paraId="70653FCB" w14:textId="77777777" w:rsidR="00AD3012" w:rsidRPr="00AD3012" w:rsidRDefault="00AD3012" w:rsidP="00AD3012">
            <w:pPr>
              <w:jc w:val="both"/>
              <w:rPr>
                <w:rFonts w:ascii="Calibri" w:hAnsi="Calibri" w:cs="Calibri"/>
              </w:rPr>
            </w:pPr>
            <w:r w:rsidRPr="00AD3012">
              <w:rPr>
                <w:rFonts w:ascii="Calibri" w:hAnsi="Calibri" w:cs="Calibri"/>
              </w:rPr>
              <w:t>2. Zaniechanie obowiązku skutkuje odpowiedzialnością odszkodowawczą członków</w:t>
            </w:r>
          </w:p>
          <w:p w14:paraId="48CE9367" w14:textId="774D425B" w:rsidR="00AD3012" w:rsidRPr="00AD3012" w:rsidRDefault="00AD3012" w:rsidP="00AD3012">
            <w:pPr>
              <w:jc w:val="both"/>
              <w:rPr>
                <w:rFonts w:ascii="Calibri" w:hAnsi="Calibri" w:cs="Calibri"/>
              </w:rPr>
            </w:pPr>
            <w:r w:rsidRPr="00AD3012">
              <w:rPr>
                <w:rFonts w:ascii="Calibri" w:hAnsi="Calibri" w:cs="Calibri"/>
              </w:rPr>
              <w:t>zarządu.</w:t>
            </w:r>
          </w:p>
        </w:tc>
        <w:tc>
          <w:tcPr>
            <w:tcW w:w="1108" w:type="pct"/>
          </w:tcPr>
          <w:p w14:paraId="37F99FA0" w14:textId="6C4C307B" w:rsidR="00AD3012" w:rsidRPr="004D6AE2" w:rsidRDefault="00AD3012" w:rsidP="00AE288B">
            <w:pPr>
              <w:autoSpaceDE w:val="0"/>
              <w:autoSpaceDN w:val="0"/>
              <w:adjustRightInd w:val="0"/>
              <w:jc w:val="both"/>
              <w:rPr>
                <w:rFonts w:cstheme="minorHAnsi"/>
                <w:b/>
                <w:bCs/>
              </w:rPr>
            </w:pPr>
            <w:r w:rsidRPr="00AD3012">
              <w:rPr>
                <w:rFonts w:cstheme="minorHAnsi"/>
                <w:b/>
                <w:bCs/>
              </w:rPr>
              <w:t>Uwaga poza zakresem projektu</w:t>
            </w:r>
          </w:p>
        </w:tc>
      </w:tr>
      <w:tr w:rsidR="00AD3012" w:rsidRPr="00486628" w14:paraId="2936E337" w14:textId="77777777" w:rsidTr="00AC5078">
        <w:tc>
          <w:tcPr>
            <w:tcW w:w="158" w:type="pct"/>
          </w:tcPr>
          <w:p w14:paraId="6A610174" w14:textId="54629BCD" w:rsidR="00AD3012" w:rsidRDefault="00AD3012" w:rsidP="00AE288B">
            <w:pPr>
              <w:jc w:val="center"/>
              <w:rPr>
                <w:rFonts w:cstheme="minorHAnsi"/>
              </w:rPr>
            </w:pPr>
            <w:r>
              <w:rPr>
                <w:rFonts w:cstheme="minorHAnsi"/>
              </w:rPr>
              <w:lastRenderedPageBreak/>
              <w:t>6</w:t>
            </w:r>
            <w:r w:rsidR="008C435D">
              <w:rPr>
                <w:rFonts w:cstheme="minorHAnsi"/>
              </w:rPr>
              <w:t>9</w:t>
            </w:r>
          </w:p>
        </w:tc>
        <w:tc>
          <w:tcPr>
            <w:tcW w:w="698" w:type="pct"/>
          </w:tcPr>
          <w:p w14:paraId="2681A2B9" w14:textId="538B67FD" w:rsidR="00AD3012" w:rsidRDefault="00AD3012" w:rsidP="00AE288B">
            <w:pPr>
              <w:rPr>
                <w:rFonts w:ascii="Calibri" w:hAnsi="Calibri" w:cs="Calibri"/>
              </w:rPr>
            </w:pPr>
            <w:r>
              <w:rPr>
                <w:rFonts w:ascii="Calibri" w:hAnsi="Calibri" w:cs="Calibri"/>
              </w:rPr>
              <w:t>Obywatel 3</w:t>
            </w:r>
          </w:p>
        </w:tc>
        <w:tc>
          <w:tcPr>
            <w:tcW w:w="591" w:type="pct"/>
          </w:tcPr>
          <w:p w14:paraId="564C560B" w14:textId="161D42D2" w:rsidR="00AD3012" w:rsidRDefault="00AD3012" w:rsidP="00AE288B">
            <w:pPr>
              <w:rPr>
                <w:rFonts w:ascii="Calibri" w:hAnsi="Calibri" w:cs="Calibri"/>
              </w:rPr>
            </w:pPr>
            <w:r>
              <w:rPr>
                <w:rFonts w:ascii="Calibri" w:hAnsi="Calibri" w:cs="Calibri"/>
              </w:rPr>
              <w:t>Dodanie § 4 w art. 359 K.C</w:t>
            </w:r>
            <w:r w:rsidR="00F05CA6">
              <w:rPr>
                <w:rFonts w:ascii="Calibri" w:hAnsi="Calibri" w:cs="Calibri"/>
              </w:rPr>
              <w:t>.</w:t>
            </w:r>
          </w:p>
        </w:tc>
        <w:tc>
          <w:tcPr>
            <w:tcW w:w="1418" w:type="pct"/>
          </w:tcPr>
          <w:p w14:paraId="498DBEBC" w14:textId="77777777" w:rsidR="00AD3012" w:rsidRDefault="00AD3012" w:rsidP="006A7A12">
            <w:pPr>
              <w:jc w:val="both"/>
            </w:pPr>
          </w:p>
        </w:tc>
        <w:tc>
          <w:tcPr>
            <w:tcW w:w="1027" w:type="pct"/>
          </w:tcPr>
          <w:p w14:paraId="298F1117" w14:textId="77777777" w:rsidR="00AD3012" w:rsidRPr="00AD3012" w:rsidRDefault="00AD3012" w:rsidP="00AD3012">
            <w:pPr>
              <w:jc w:val="both"/>
              <w:rPr>
                <w:rFonts w:ascii="Calibri" w:hAnsi="Calibri" w:cs="Calibri"/>
              </w:rPr>
            </w:pPr>
            <w:r w:rsidRPr="00AD3012">
              <w:rPr>
                <w:rFonts w:ascii="Calibri" w:hAnsi="Calibri" w:cs="Calibri"/>
              </w:rPr>
              <w:t>§ 4. W okresie niewypłacalności lub zagrożenia niewypłacalnością dłużnika odsetki</w:t>
            </w:r>
          </w:p>
          <w:p w14:paraId="708F6171" w14:textId="77777777" w:rsidR="00AD3012" w:rsidRPr="00AD3012" w:rsidRDefault="00AD3012" w:rsidP="00AD3012">
            <w:pPr>
              <w:jc w:val="both"/>
              <w:rPr>
                <w:rFonts w:ascii="Calibri" w:hAnsi="Calibri" w:cs="Calibri"/>
              </w:rPr>
            </w:pPr>
            <w:r w:rsidRPr="00AD3012">
              <w:rPr>
                <w:rFonts w:ascii="Calibri" w:hAnsi="Calibri" w:cs="Calibri"/>
              </w:rPr>
              <w:t>kapitałowe i za opóźnienie nie biegną, a postanowienia umowne przewidujące ich naliczanie</w:t>
            </w:r>
          </w:p>
          <w:p w14:paraId="5DDB0ADC" w14:textId="479A0DD5" w:rsidR="00AD3012" w:rsidRPr="00AD3012" w:rsidRDefault="00AD3012" w:rsidP="00AD3012">
            <w:pPr>
              <w:jc w:val="both"/>
              <w:rPr>
                <w:rFonts w:ascii="Calibri" w:hAnsi="Calibri" w:cs="Calibri"/>
              </w:rPr>
            </w:pPr>
            <w:r w:rsidRPr="00AD3012">
              <w:rPr>
                <w:rFonts w:ascii="Calibri" w:hAnsi="Calibri" w:cs="Calibri"/>
              </w:rPr>
              <w:t>są nieważne.</w:t>
            </w:r>
          </w:p>
        </w:tc>
        <w:tc>
          <w:tcPr>
            <w:tcW w:w="1108" w:type="pct"/>
          </w:tcPr>
          <w:p w14:paraId="373C8E96" w14:textId="4AE006F1" w:rsidR="00AD3012" w:rsidRPr="00AD3012" w:rsidRDefault="00AD3012" w:rsidP="00AE288B">
            <w:pPr>
              <w:autoSpaceDE w:val="0"/>
              <w:autoSpaceDN w:val="0"/>
              <w:adjustRightInd w:val="0"/>
              <w:jc w:val="both"/>
              <w:rPr>
                <w:rFonts w:cstheme="minorHAnsi"/>
                <w:b/>
                <w:bCs/>
              </w:rPr>
            </w:pPr>
            <w:r w:rsidRPr="00AD3012">
              <w:rPr>
                <w:rFonts w:cstheme="minorHAnsi"/>
                <w:b/>
                <w:bCs/>
              </w:rPr>
              <w:t>Uwaga poza zakresem projektu</w:t>
            </w:r>
          </w:p>
        </w:tc>
      </w:tr>
      <w:tr w:rsidR="00A65AF3" w:rsidRPr="00486628" w14:paraId="3A2D18EA" w14:textId="77777777" w:rsidTr="00AC5078">
        <w:tc>
          <w:tcPr>
            <w:tcW w:w="158" w:type="pct"/>
          </w:tcPr>
          <w:p w14:paraId="79B5F97C" w14:textId="2BCAF193" w:rsidR="00A65AF3" w:rsidRDefault="008C435D" w:rsidP="00AE288B">
            <w:pPr>
              <w:jc w:val="center"/>
              <w:rPr>
                <w:rFonts w:cstheme="minorHAnsi"/>
              </w:rPr>
            </w:pPr>
            <w:r>
              <w:rPr>
                <w:rFonts w:cstheme="minorHAnsi"/>
              </w:rPr>
              <w:t>70</w:t>
            </w:r>
          </w:p>
        </w:tc>
        <w:tc>
          <w:tcPr>
            <w:tcW w:w="698" w:type="pct"/>
          </w:tcPr>
          <w:p w14:paraId="5530F7E4" w14:textId="7052731E" w:rsidR="00A65AF3" w:rsidRDefault="00A65AF3" w:rsidP="00AE288B">
            <w:pPr>
              <w:rPr>
                <w:rFonts w:ascii="Calibri" w:hAnsi="Calibri" w:cs="Calibri"/>
              </w:rPr>
            </w:pPr>
            <w:r>
              <w:rPr>
                <w:rFonts w:ascii="Calibri" w:hAnsi="Calibri" w:cs="Calibri"/>
              </w:rPr>
              <w:t xml:space="preserve">Obywatel 5 </w:t>
            </w:r>
          </w:p>
        </w:tc>
        <w:tc>
          <w:tcPr>
            <w:tcW w:w="591" w:type="pct"/>
          </w:tcPr>
          <w:p w14:paraId="52A2CAC1" w14:textId="022665D5" w:rsidR="00A65AF3" w:rsidRPr="00F05CA6" w:rsidRDefault="00F05CA6" w:rsidP="00AE288B">
            <w:pPr>
              <w:rPr>
                <w:rFonts w:ascii="Calibri" w:hAnsi="Calibri" w:cs="Calibri"/>
              </w:rPr>
            </w:pPr>
            <w:r>
              <w:rPr>
                <w:rFonts w:ascii="Calibri" w:hAnsi="Calibri" w:cs="Calibri"/>
              </w:rPr>
              <w:t>Art. 533</w:t>
            </w:r>
            <w:r>
              <w:rPr>
                <w:rFonts w:ascii="Calibri" w:hAnsi="Calibri" w:cs="Calibri"/>
                <w:vertAlign w:val="superscript"/>
              </w:rPr>
              <w:t>1</w:t>
            </w:r>
            <w:r>
              <w:rPr>
                <w:rFonts w:ascii="Calibri" w:hAnsi="Calibri" w:cs="Calibri"/>
              </w:rPr>
              <w:t xml:space="preserve"> K.C.</w:t>
            </w:r>
          </w:p>
        </w:tc>
        <w:tc>
          <w:tcPr>
            <w:tcW w:w="1418" w:type="pct"/>
          </w:tcPr>
          <w:p w14:paraId="4A4941A7" w14:textId="77777777" w:rsidR="00A65AF3" w:rsidRDefault="00A65AF3" w:rsidP="006A7A12">
            <w:pPr>
              <w:jc w:val="both"/>
            </w:pPr>
          </w:p>
        </w:tc>
        <w:tc>
          <w:tcPr>
            <w:tcW w:w="1027" w:type="pct"/>
          </w:tcPr>
          <w:p w14:paraId="776880F3" w14:textId="47E01BD1" w:rsidR="00A65AF3" w:rsidRPr="00AD3012" w:rsidRDefault="00562643" w:rsidP="00AD3012">
            <w:pPr>
              <w:jc w:val="both"/>
              <w:rPr>
                <w:rFonts w:ascii="Calibri" w:hAnsi="Calibri" w:cs="Calibri"/>
              </w:rPr>
            </w:pPr>
            <w:r w:rsidRPr="00562643">
              <w:rPr>
                <w:rFonts w:ascii="Calibri" w:hAnsi="Calibri" w:cs="Calibri"/>
              </w:rPr>
              <w:t>§ 1. Hipoteka przymusowa lub zastaw na majątku spółki zabezpieczający pożyczkę wspólnika, ustanowione w stanie zagrożenia niewypłacalnością, są bezskuteczne względem masy upadłości.</w:t>
            </w:r>
          </w:p>
        </w:tc>
        <w:tc>
          <w:tcPr>
            <w:tcW w:w="1108" w:type="pct"/>
          </w:tcPr>
          <w:p w14:paraId="7F27EFF2" w14:textId="37A4FB7C" w:rsidR="00A65AF3" w:rsidRPr="00AD3012" w:rsidRDefault="00073751" w:rsidP="00AE288B">
            <w:pPr>
              <w:autoSpaceDE w:val="0"/>
              <w:autoSpaceDN w:val="0"/>
              <w:adjustRightInd w:val="0"/>
              <w:jc w:val="both"/>
              <w:rPr>
                <w:rFonts w:cstheme="minorHAnsi"/>
                <w:b/>
                <w:bCs/>
              </w:rPr>
            </w:pPr>
            <w:r w:rsidRPr="00073751">
              <w:rPr>
                <w:rFonts w:cstheme="minorHAnsi"/>
                <w:b/>
                <w:bCs/>
              </w:rPr>
              <w:t>Uwaga poza zakresem projektu</w:t>
            </w:r>
          </w:p>
        </w:tc>
      </w:tr>
      <w:tr w:rsidR="00AE288B" w:rsidRPr="004A3EE1" w14:paraId="68F2A34F" w14:textId="77777777" w:rsidTr="00DE0423">
        <w:tc>
          <w:tcPr>
            <w:tcW w:w="5000" w:type="pct"/>
            <w:gridSpan w:val="6"/>
            <w:shd w:val="clear" w:color="auto" w:fill="D9D9D9" w:themeFill="background1" w:themeFillShade="D9"/>
          </w:tcPr>
          <w:p w14:paraId="320E4826" w14:textId="5197DD41" w:rsidR="00AE288B" w:rsidRDefault="00AE288B" w:rsidP="00AE288B">
            <w:pPr>
              <w:tabs>
                <w:tab w:val="left" w:pos="13395"/>
              </w:tabs>
              <w:jc w:val="center"/>
              <w:rPr>
                <w:rFonts w:cstheme="minorHAnsi"/>
                <w:b/>
                <w:bCs/>
              </w:rPr>
            </w:pPr>
            <w:bookmarkStart w:id="1" w:name="_Hlk218690219"/>
            <w:r>
              <w:rPr>
                <w:rFonts w:cstheme="minorHAnsi"/>
                <w:b/>
                <w:bCs/>
              </w:rPr>
              <w:t>Uwagi do OSR</w:t>
            </w:r>
          </w:p>
        </w:tc>
      </w:tr>
      <w:bookmarkEnd w:id="1"/>
      <w:tr w:rsidR="00AE288B" w:rsidRPr="00FF142F" w14:paraId="08EAE235" w14:textId="77777777" w:rsidTr="00DE0423">
        <w:tc>
          <w:tcPr>
            <w:tcW w:w="5000" w:type="pct"/>
            <w:gridSpan w:val="6"/>
            <w:shd w:val="clear" w:color="auto" w:fill="D9D9D9" w:themeFill="background1" w:themeFillShade="D9"/>
          </w:tcPr>
          <w:p w14:paraId="08DFB336" w14:textId="30179804" w:rsidR="00AE288B" w:rsidRPr="00FF142F" w:rsidRDefault="00AE288B" w:rsidP="00AE288B">
            <w:pPr>
              <w:jc w:val="center"/>
              <w:rPr>
                <w:rFonts w:cstheme="minorHAnsi"/>
                <w:b/>
                <w:bCs/>
              </w:rPr>
            </w:pPr>
            <w:r>
              <w:rPr>
                <w:rFonts w:cstheme="minorHAnsi"/>
                <w:b/>
                <w:bCs/>
              </w:rPr>
              <w:t>Uwagi Uzasadnienie</w:t>
            </w:r>
          </w:p>
        </w:tc>
      </w:tr>
    </w:tbl>
    <w:p w14:paraId="4A485AB3" w14:textId="77777777" w:rsidR="00CA2841" w:rsidRPr="00486628" w:rsidRDefault="00CA2841" w:rsidP="008B766F">
      <w:pPr>
        <w:spacing w:after="0" w:line="240" w:lineRule="auto"/>
        <w:rPr>
          <w:rFonts w:cstheme="minorHAnsi"/>
        </w:rPr>
      </w:pPr>
    </w:p>
    <w:sectPr w:rsidR="00CA2841" w:rsidRPr="00486628" w:rsidSect="00B91BB7">
      <w:headerReference w:type="default" r:id="rId8"/>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71AD7B" w14:textId="77777777" w:rsidR="00FA02A2" w:rsidRDefault="00FA02A2" w:rsidP="00CA2841">
      <w:pPr>
        <w:spacing w:after="0" w:line="240" w:lineRule="auto"/>
      </w:pPr>
      <w:r>
        <w:separator/>
      </w:r>
    </w:p>
  </w:endnote>
  <w:endnote w:type="continuationSeparator" w:id="0">
    <w:p w14:paraId="2FA606A4" w14:textId="77777777" w:rsidR="00FA02A2" w:rsidRDefault="00FA02A2" w:rsidP="00CA28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Italic">
    <w:altName w:val="Calibri"/>
    <w:panose1 w:val="00000000000000000000"/>
    <w:charset w:val="00"/>
    <w:family w:val="swiss"/>
    <w:notTrueType/>
    <w:pitch w:val="default"/>
    <w:sig w:usb0="00000007" w:usb1="00000000" w:usb2="00000000" w:usb3="00000000" w:csb0="00000003"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F6A0BC" w14:textId="77777777" w:rsidR="00FA02A2" w:rsidRDefault="00FA02A2" w:rsidP="00CA2841">
      <w:pPr>
        <w:spacing w:after="0" w:line="240" w:lineRule="auto"/>
      </w:pPr>
      <w:r>
        <w:separator/>
      </w:r>
    </w:p>
  </w:footnote>
  <w:footnote w:type="continuationSeparator" w:id="0">
    <w:p w14:paraId="4FACA062" w14:textId="77777777" w:rsidR="00FA02A2" w:rsidRDefault="00FA02A2" w:rsidP="00CA284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475357" w14:textId="765F56EA" w:rsidR="00D30BD5" w:rsidRPr="003F5054" w:rsidRDefault="00D30BD5" w:rsidP="00D30BD5">
    <w:pPr>
      <w:pStyle w:val="Nagwek"/>
      <w:jc w:val="center"/>
      <w:rPr>
        <w:rFonts w:ascii="Times New Roman" w:hAnsi="Times New Roman" w:cs="Times New Roman"/>
      </w:rPr>
    </w:pPr>
    <w:r w:rsidRPr="003F5054">
      <w:rPr>
        <w:rFonts w:ascii="Times New Roman" w:hAnsi="Times New Roman" w:cs="Times New Roman"/>
      </w:rPr>
      <w:t xml:space="preserve">Zestawienie uwag zgłoszonych do projektu </w:t>
    </w:r>
    <w:r w:rsidRPr="00EC7D77">
      <w:rPr>
        <w:rFonts w:ascii="Times New Roman" w:hAnsi="Times New Roman" w:cs="Times New Roman"/>
      </w:rPr>
      <w:t xml:space="preserve">ustawy o zmianie ustawy – Prawo upadłościowe i innych ustaw </w:t>
    </w:r>
    <w:r>
      <w:rPr>
        <w:rFonts w:ascii="Times New Roman" w:hAnsi="Times New Roman" w:cs="Times New Roman"/>
      </w:rPr>
      <w:t>(UD 260).</w:t>
    </w:r>
  </w:p>
  <w:p w14:paraId="413A39B3" w14:textId="670D616A" w:rsidR="001E6779" w:rsidRDefault="001E677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1830D8"/>
    <w:multiLevelType w:val="hybridMultilevel"/>
    <w:tmpl w:val="0C4E67F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6AAB7227"/>
    <w:multiLevelType w:val="hybridMultilevel"/>
    <w:tmpl w:val="2B20F0E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194067857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71401921">
    <w:abstractNumId w:val="1"/>
  </w:num>
  <w:num w:numId="3" w16cid:durableId="5115323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2841"/>
    <w:rsid w:val="00002B9E"/>
    <w:rsid w:val="00010C51"/>
    <w:rsid w:val="0001263F"/>
    <w:rsid w:val="00015257"/>
    <w:rsid w:val="000160AA"/>
    <w:rsid w:val="0002559E"/>
    <w:rsid w:val="0002593F"/>
    <w:rsid w:val="00027238"/>
    <w:rsid w:val="00032902"/>
    <w:rsid w:val="00032CC2"/>
    <w:rsid w:val="00041B13"/>
    <w:rsid w:val="00047D6B"/>
    <w:rsid w:val="00051122"/>
    <w:rsid w:val="00053CD5"/>
    <w:rsid w:val="00057531"/>
    <w:rsid w:val="00060413"/>
    <w:rsid w:val="00061596"/>
    <w:rsid w:val="000704C5"/>
    <w:rsid w:val="000714AF"/>
    <w:rsid w:val="0007290A"/>
    <w:rsid w:val="00073751"/>
    <w:rsid w:val="00073C41"/>
    <w:rsid w:val="00076D75"/>
    <w:rsid w:val="000775D8"/>
    <w:rsid w:val="00080B72"/>
    <w:rsid w:val="00084AA2"/>
    <w:rsid w:val="000911AE"/>
    <w:rsid w:val="00094B8B"/>
    <w:rsid w:val="000B26FD"/>
    <w:rsid w:val="000B4C1D"/>
    <w:rsid w:val="000B5DF3"/>
    <w:rsid w:val="000C1B93"/>
    <w:rsid w:val="000C1D46"/>
    <w:rsid w:val="000D0561"/>
    <w:rsid w:val="000E1595"/>
    <w:rsid w:val="000E3702"/>
    <w:rsid w:val="000E55E9"/>
    <w:rsid w:val="000E7136"/>
    <w:rsid w:val="000F64E0"/>
    <w:rsid w:val="000F67F1"/>
    <w:rsid w:val="000F7BD7"/>
    <w:rsid w:val="00110ECB"/>
    <w:rsid w:val="001145B5"/>
    <w:rsid w:val="00116CD3"/>
    <w:rsid w:val="001321D7"/>
    <w:rsid w:val="00132389"/>
    <w:rsid w:val="00134EF7"/>
    <w:rsid w:val="001352EC"/>
    <w:rsid w:val="001405A6"/>
    <w:rsid w:val="00143468"/>
    <w:rsid w:val="00143971"/>
    <w:rsid w:val="0014461E"/>
    <w:rsid w:val="00146CCD"/>
    <w:rsid w:val="00147863"/>
    <w:rsid w:val="0015224A"/>
    <w:rsid w:val="001532FD"/>
    <w:rsid w:val="00153357"/>
    <w:rsid w:val="001535E3"/>
    <w:rsid w:val="00153FC2"/>
    <w:rsid w:val="00154B1A"/>
    <w:rsid w:val="00155445"/>
    <w:rsid w:val="00162007"/>
    <w:rsid w:val="0016380A"/>
    <w:rsid w:val="00165F44"/>
    <w:rsid w:val="00167B3F"/>
    <w:rsid w:val="0017030B"/>
    <w:rsid w:val="001769F3"/>
    <w:rsid w:val="00180508"/>
    <w:rsid w:val="00180C21"/>
    <w:rsid w:val="00182B9D"/>
    <w:rsid w:val="00187093"/>
    <w:rsid w:val="00191931"/>
    <w:rsid w:val="00194082"/>
    <w:rsid w:val="001943CC"/>
    <w:rsid w:val="0019568F"/>
    <w:rsid w:val="001A226E"/>
    <w:rsid w:val="001A3922"/>
    <w:rsid w:val="001A6CD5"/>
    <w:rsid w:val="001B4349"/>
    <w:rsid w:val="001B4854"/>
    <w:rsid w:val="001B734F"/>
    <w:rsid w:val="001B770C"/>
    <w:rsid w:val="001C26E8"/>
    <w:rsid w:val="001C4E12"/>
    <w:rsid w:val="001D6E5D"/>
    <w:rsid w:val="001E4824"/>
    <w:rsid w:val="001E60E7"/>
    <w:rsid w:val="001E6779"/>
    <w:rsid w:val="001F3087"/>
    <w:rsid w:val="001F4890"/>
    <w:rsid w:val="00200BF4"/>
    <w:rsid w:val="002022BA"/>
    <w:rsid w:val="0020358B"/>
    <w:rsid w:val="00205CCE"/>
    <w:rsid w:val="00205E64"/>
    <w:rsid w:val="002115F4"/>
    <w:rsid w:val="00217AB4"/>
    <w:rsid w:val="002206C0"/>
    <w:rsid w:val="002241E3"/>
    <w:rsid w:val="00231517"/>
    <w:rsid w:val="00232EC9"/>
    <w:rsid w:val="00233545"/>
    <w:rsid w:val="00234CA8"/>
    <w:rsid w:val="00236B45"/>
    <w:rsid w:val="00237E0B"/>
    <w:rsid w:val="002419EA"/>
    <w:rsid w:val="00250929"/>
    <w:rsid w:val="00252D23"/>
    <w:rsid w:val="00256CD7"/>
    <w:rsid w:val="00257016"/>
    <w:rsid w:val="002626F8"/>
    <w:rsid w:val="0026293C"/>
    <w:rsid w:val="00263028"/>
    <w:rsid w:val="002730A8"/>
    <w:rsid w:val="002731E8"/>
    <w:rsid w:val="0027403E"/>
    <w:rsid w:val="002932DD"/>
    <w:rsid w:val="002935CD"/>
    <w:rsid w:val="002A456A"/>
    <w:rsid w:val="002B3340"/>
    <w:rsid w:val="002C11C7"/>
    <w:rsid w:val="002C2EE0"/>
    <w:rsid w:val="002D01A7"/>
    <w:rsid w:val="002D549C"/>
    <w:rsid w:val="002D6204"/>
    <w:rsid w:val="002E6F26"/>
    <w:rsid w:val="002F26FE"/>
    <w:rsid w:val="002F3920"/>
    <w:rsid w:val="002F65B4"/>
    <w:rsid w:val="00300869"/>
    <w:rsid w:val="00302202"/>
    <w:rsid w:val="00302EA7"/>
    <w:rsid w:val="00307745"/>
    <w:rsid w:val="0031137B"/>
    <w:rsid w:val="00312E57"/>
    <w:rsid w:val="0032356C"/>
    <w:rsid w:val="00331CBE"/>
    <w:rsid w:val="00340EE1"/>
    <w:rsid w:val="00341D01"/>
    <w:rsid w:val="00343E6B"/>
    <w:rsid w:val="00347FA9"/>
    <w:rsid w:val="003501A1"/>
    <w:rsid w:val="00351962"/>
    <w:rsid w:val="00354E25"/>
    <w:rsid w:val="00356E3C"/>
    <w:rsid w:val="003609D3"/>
    <w:rsid w:val="00364C99"/>
    <w:rsid w:val="0036535A"/>
    <w:rsid w:val="00377B52"/>
    <w:rsid w:val="0038137F"/>
    <w:rsid w:val="00382C2F"/>
    <w:rsid w:val="00392749"/>
    <w:rsid w:val="00396A71"/>
    <w:rsid w:val="003A41DB"/>
    <w:rsid w:val="003A69E8"/>
    <w:rsid w:val="003B2F95"/>
    <w:rsid w:val="003B3876"/>
    <w:rsid w:val="003B596F"/>
    <w:rsid w:val="003B6028"/>
    <w:rsid w:val="003C42AE"/>
    <w:rsid w:val="003C74ED"/>
    <w:rsid w:val="003D125F"/>
    <w:rsid w:val="003D22E7"/>
    <w:rsid w:val="003D248D"/>
    <w:rsid w:val="003D3F9E"/>
    <w:rsid w:val="003E2E31"/>
    <w:rsid w:val="003F549A"/>
    <w:rsid w:val="003F7727"/>
    <w:rsid w:val="004000E8"/>
    <w:rsid w:val="0040010A"/>
    <w:rsid w:val="00406EA3"/>
    <w:rsid w:val="004073FC"/>
    <w:rsid w:val="00407766"/>
    <w:rsid w:val="00412724"/>
    <w:rsid w:val="004145E7"/>
    <w:rsid w:val="00423778"/>
    <w:rsid w:val="00423C49"/>
    <w:rsid w:val="00423DF6"/>
    <w:rsid w:val="0042568A"/>
    <w:rsid w:val="00426431"/>
    <w:rsid w:val="004325ED"/>
    <w:rsid w:val="004333DF"/>
    <w:rsid w:val="00435ABA"/>
    <w:rsid w:val="00435D45"/>
    <w:rsid w:val="004364DB"/>
    <w:rsid w:val="00437C86"/>
    <w:rsid w:val="004400AF"/>
    <w:rsid w:val="00443B5F"/>
    <w:rsid w:val="004443AD"/>
    <w:rsid w:val="00445EF8"/>
    <w:rsid w:val="0044675A"/>
    <w:rsid w:val="0045069F"/>
    <w:rsid w:val="0045634F"/>
    <w:rsid w:val="00462965"/>
    <w:rsid w:val="0046503C"/>
    <w:rsid w:val="00467F6A"/>
    <w:rsid w:val="00470E0A"/>
    <w:rsid w:val="0047279A"/>
    <w:rsid w:val="00477F3C"/>
    <w:rsid w:val="00481B88"/>
    <w:rsid w:val="0048491D"/>
    <w:rsid w:val="00486628"/>
    <w:rsid w:val="00496109"/>
    <w:rsid w:val="00496FB4"/>
    <w:rsid w:val="004A3EE1"/>
    <w:rsid w:val="004A663B"/>
    <w:rsid w:val="004B5C8F"/>
    <w:rsid w:val="004B6CC1"/>
    <w:rsid w:val="004C486F"/>
    <w:rsid w:val="004C5AEC"/>
    <w:rsid w:val="004D2699"/>
    <w:rsid w:val="004D6AE2"/>
    <w:rsid w:val="004F08B2"/>
    <w:rsid w:val="004F2D01"/>
    <w:rsid w:val="004F2D1D"/>
    <w:rsid w:val="004F4EE9"/>
    <w:rsid w:val="00500C5E"/>
    <w:rsid w:val="0050399B"/>
    <w:rsid w:val="00505E80"/>
    <w:rsid w:val="00506F73"/>
    <w:rsid w:val="00507783"/>
    <w:rsid w:val="005101D8"/>
    <w:rsid w:val="00511259"/>
    <w:rsid w:val="00512DF4"/>
    <w:rsid w:val="005159F2"/>
    <w:rsid w:val="00516AFC"/>
    <w:rsid w:val="00520F24"/>
    <w:rsid w:val="00523EE1"/>
    <w:rsid w:val="00525687"/>
    <w:rsid w:val="00526D7E"/>
    <w:rsid w:val="00527C1F"/>
    <w:rsid w:val="005405C5"/>
    <w:rsid w:val="00546679"/>
    <w:rsid w:val="00555743"/>
    <w:rsid w:val="00556488"/>
    <w:rsid w:val="00556660"/>
    <w:rsid w:val="00562643"/>
    <w:rsid w:val="00563D35"/>
    <w:rsid w:val="00567173"/>
    <w:rsid w:val="00567912"/>
    <w:rsid w:val="00570C4E"/>
    <w:rsid w:val="00571191"/>
    <w:rsid w:val="00575458"/>
    <w:rsid w:val="00576135"/>
    <w:rsid w:val="00592158"/>
    <w:rsid w:val="00595055"/>
    <w:rsid w:val="005A0F07"/>
    <w:rsid w:val="005A41CC"/>
    <w:rsid w:val="005A4E37"/>
    <w:rsid w:val="005B0948"/>
    <w:rsid w:val="005B1919"/>
    <w:rsid w:val="005B4E2F"/>
    <w:rsid w:val="005C0310"/>
    <w:rsid w:val="005C34CF"/>
    <w:rsid w:val="005D284F"/>
    <w:rsid w:val="005E0B95"/>
    <w:rsid w:val="005F7A15"/>
    <w:rsid w:val="006023F4"/>
    <w:rsid w:val="006047F7"/>
    <w:rsid w:val="00606C32"/>
    <w:rsid w:val="0061190D"/>
    <w:rsid w:val="0061291D"/>
    <w:rsid w:val="00612A03"/>
    <w:rsid w:val="00613450"/>
    <w:rsid w:val="00615D97"/>
    <w:rsid w:val="00621CC0"/>
    <w:rsid w:val="00624BCE"/>
    <w:rsid w:val="00625F82"/>
    <w:rsid w:val="00627622"/>
    <w:rsid w:val="00631223"/>
    <w:rsid w:val="00632E93"/>
    <w:rsid w:val="006341B9"/>
    <w:rsid w:val="006343F1"/>
    <w:rsid w:val="006354CB"/>
    <w:rsid w:val="00635955"/>
    <w:rsid w:val="00641A19"/>
    <w:rsid w:val="00641BC6"/>
    <w:rsid w:val="0064213B"/>
    <w:rsid w:val="006430E8"/>
    <w:rsid w:val="00646308"/>
    <w:rsid w:val="0064681C"/>
    <w:rsid w:val="00647F39"/>
    <w:rsid w:val="00654C2E"/>
    <w:rsid w:val="006551BD"/>
    <w:rsid w:val="006559A0"/>
    <w:rsid w:val="00655B36"/>
    <w:rsid w:val="006569E7"/>
    <w:rsid w:val="0065784C"/>
    <w:rsid w:val="006640AC"/>
    <w:rsid w:val="006733AA"/>
    <w:rsid w:val="00681F4E"/>
    <w:rsid w:val="006821D6"/>
    <w:rsid w:val="00683703"/>
    <w:rsid w:val="006870A3"/>
    <w:rsid w:val="006933E9"/>
    <w:rsid w:val="006938DF"/>
    <w:rsid w:val="00693AA5"/>
    <w:rsid w:val="006A48D1"/>
    <w:rsid w:val="006A7209"/>
    <w:rsid w:val="006A7A12"/>
    <w:rsid w:val="006B5D43"/>
    <w:rsid w:val="006C0B04"/>
    <w:rsid w:val="006C10C4"/>
    <w:rsid w:val="006C3E99"/>
    <w:rsid w:val="006C4CFC"/>
    <w:rsid w:val="006C5C3A"/>
    <w:rsid w:val="006D2F73"/>
    <w:rsid w:val="006E0FAE"/>
    <w:rsid w:val="006E2771"/>
    <w:rsid w:val="006E4752"/>
    <w:rsid w:val="006E4CAA"/>
    <w:rsid w:val="006E69D8"/>
    <w:rsid w:val="006F013F"/>
    <w:rsid w:val="006F1592"/>
    <w:rsid w:val="006F2585"/>
    <w:rsid w:val="006F5EDA"/>
    <w:rsid w:val="006F72D4"/>
    <w:rsid w:val="00701F52"/>
    <w:rsid w:val="00703009"/>
    <w:rsid w:val="00703610"/>
    <w:rsid w:val="00711F68"/>
    <w:rsid w:val="00715ADD"/>
    <w:rsid w:val="00721597"/>
    <w:rsid w:val="00724947"/>
    <w:rsid w:val="00726F2F"/>
    <w:rsid w:val="00731A8B"/>
    <w:rsid w:val="0073232F"/>
    <w:rsid w:val="00732362"/>
    <w:rsid w:val="007368C7"/>
    <w:rsid w:val="007415D6"/>
    <w:rsid w:val="0075301E"/>
    <w:rsid w:val="00755DA8"/>
    <w:rsid w:val="00756B21"/>
    <w:rsid w:val="007573FB"/>
    <w:rsid w:val="00762E53"/>
    <w:rsid w:val="00763F21"/>
    <w:rsid w:val="007641A3"/>
    <w:rsid w:val="00764284"/>
    <w:rsid w:val="007656B7"/>
    <w:rsid w:val="00772BC4"/>
    <w:rsid w:val="00773DAD"/>
    <w:rsid w:val="00782BC5"/>
    <w:rsid w:val="00784913"/>
    <w:rsid w:val="00785060"/>
    <w:rsid w:val="00786008"/>
    <w:rsid w:val="00792481"/>
    <w:rsid w:val="0079516B"/>
    <w:rsid w:val="007977AA"/>
    <w:rsid w:val="007A0DF4"/>
    <w:rsid w:val="007A1164"/>
    <w:rsid w:val="007A17C5"/>
    <w:rsid w:val="007A6D8F"/>
    <w:rsid w:val="007B04BA"/>
    <w:rsid w:val="007B2BD1"/>
    <w:rsid w:val="007B4D36"/>
    <w:rsid w:val="007C0048"/>
    <w:rsid w:val="007C5BCA"/>
    <w:rsid w:val="007C719A"/>
    <w:rsid w:val="007D4A8E"/>
    <w:rsid w:val="007D6F41"/>
    <w:rsid w:val="007E4001"/>
    <w:rsid w:val="007F2C57"/>
    <w:rsid w:val="007F524D"/>
    <w:rsid w:val="00800F21"/>
    <w:rsid w:val="00803EE9"/>
    <w:rsid w:val="008075D4"/>
    <w:rsid w:val="008129ED"/>
    <w:rsid w:val="008145F8"/>
    <w:rsid w:val="00815806"/>
    <w:rsid w:val="00823A7C"/>
    <w:rsid w:val="008244E3"/>
    <w:rsid w:val="00826995"/>
    <w:rsid w:val="0083087E"/>
    <w:rsid w:val="00830C75"/>
    <w:rsid w:val="00851C28"/>
    <w:rsid w:val="00856C85"/>
    <w:rsid w:val="00857E56"/>
    <w:rsid w:val="008602FC"/>
    <w:rsid w:val="0086576C"/>
    <w:rsid w:val="0087018D"/>
    <w:rsid w:val="00871A27"/>
    <w:rsid w:val="008832AD"/>
    <w:rsid w:val="008903E5"/>
    <w:rsid w:val="008916D8"/>
    <w:rsid w:val="00892DE6"/>
    <w:rsid w:val="008930B5"/>
    <w:rsid w:val="00894E5C"/>
    <w:rsid w:val="008A0054"/>
    <w:rsid w:val="008A2C67"/>
    <w:rsid w:val="008B0B5C"/>
    <w:rsid w:val="008B1756"/>
    <w:rsid w:val="008B1B0B"/>
    <w:rsid w:val="008B435C"/>
    <w:rsid w:val="008B4B87"/>
    <w:rsid w:val="008B766F"/>
    <w:rsid w:val="008C40E2"/>
    <w:rsid w:val="008C435D"/>
    <w:rsid w:val="008C7B4A"/>
    <w:rsid w:val="008D056A"/>
    <w:rsid w:val="008D0915"/>
    <w:rsid w:val="008D0DD1"/>
    <w:rsid w:val="008D457D"/>
    <w:rsid w:val="008E2F2C"/>
    <w:rsid w:val="008E5AA4"/>
    <w:rsid w:val="008E7E57"/>
    <w:rsid w:val="008F1B21"/>
    <w:rsid w:val="008F3476"/>
    <w:rsid w:val="008F49F3"/>
    <w:rsid w:val="0090574C"/>
    <w:rsid w:val="00906FF2"/>
    <w:rsid w:val="009102AD"/>
    <w:rsid w:val="00910357"/>
    <w:rsid w:val="009103D6"/>
    <w:rsid w:val="009152E1"/>
    <w:rsid w:val="009265BC"/>
    <w:rsid w:val="00930302"/>
    <w:rsid w:val="00931828"/>
    <w:rsid w:val="0093514E"/>
    <w:rsid w:val="00937CFF"/>
    <w:rsid w:val="00937F67"/>
    <w:rsid w:val="009403FF"/>
    <w:rsid w:val="00941761"/>
    <w:rsid w:val="00943662"/>
    <w:rsid w:val="00947CE0"/>
    <w:rsid w:val="0095022C"/>
    <w:rsid w:val="00951689"/>
    <w:rsid w:val="009566BF"/>
    <w:rsid w:val="00957692"/>
    <w:rsid w:val="009625BA"/>
    <w:rsid w:val="00970207"/>
    <w:rsid w:val="00970683"/>
    <w:rsid w:val="009757B6"/>
    <w:rsid w:val="00982D46"/>
    <w:rsid w:val="00982F1B"/>
    <w:rsid w:val="00982FB4"/>
    <w:rsid w:val="00983226"/>
    <w:rsid w:val="009837C2"/>
    <w:rsid w:val="00990226"/>
    <w:rsid w:val="00993BBE"/>
    <w:rsid w:val="009A349F"/>
    <w:rsid w:val="009B4681"/>
    <w:rsid w:val="009B5AD6"/>
    <w:rsid w:val="009C16FC"/>
    <w:rsid w:val="009C6FAA"/>
    <w:rsid w:val="009D0190"/>
    <w:rsid w:val="009D2B3A"/>
    <w:rsid w:val="009D69FD"/>
    <w:rsid w:val="009E22B0"/>
    <w:rsid w:val="009E504D"/>
    <w:rsid w:val="009E6DA1"/>
    <w:rsid w:val="009F09FD"/>
    <w:rsid w:val="009F0B6A"/>
    <w:rsid w:val="009F3DF3"/>
    <w:rsid w:val="00A006CC"/>
    <w:rsid w:val="00A00F27"/>
    <w:rsid w:val="00A05D40"/>
    <w:rsid w:val="00A0602B"/>
    <w:rsid w:val="00A0636F"/>
    <w:rsid w:val="00A11EE6"/>
    <w:rsid w:val="00A3002B"/>
    <w:rsid w:val="00A41215"/>
    <w:rsid w:val="00A43224"/>
    <w:rsid w:val="00A461A5"/>
    <w:rsid w:val="00A4715F"/>
    <w:rsid w:val="00A47309"/>
    <w:rsid w:val="00A52973"/>
    <w:rsid w:val="00A5659C"/>
    <w:rsid w:val="00A56B53"/>
    <w:rsid w:val="00A57122"/>
    <w:rsid w:val="00A610B1"/>
    <w:rsid w:val="00A6437F"/>
    <w:rsid w:val="00A64BDF"/>
    <w:rsid w:val="00A65555"/>
    <w:rsid w:val="00A65AF3"/>
    <w:rsid w:val="00A72701"/>
    <w:rsid w:val="00A84A71"/>
    <w:rsid w:val="00A91C7C"/>
    <w:rsid w:val="00A92F50"/>
    <w:rsid w:val="00A934AA"/>
    <w:rsid w:val="00A95626"/>
    <w:rsid w:val="00A97A86"/>
    <w:rsid w:val="00AA42B3"/>
    <w:rsid w:val="00AA645B"/>
    <w:rsid w:val="00AA7584"/>
    <w:rsid w:val="00AB7F77"/>
    <w:rsid w:val="00AC4E12"/>
    <w:rsid w:val="00AC5078"/>
    <w:rsid w:val="00AD3012"/>
    <w:rsid w:val="00AE1826"/>
    <w:rsid w:val="00AE288B"/>
    <w:rsid w:val="00AE36A4"/>
    <w:rsid w:val="00AE759A"/>
    <w:rsid w:val="00AF1CA2"/>
    <w:rsid w:val="00AF39A7"/>
    <w:rsid w:val="00AF427A"/>
    <w:rsid w:val="00B002B9"/>
    <w:rsid w:val="00B12B48"/>
    <w:rsid w:val="00B223A1"/>
    <w:rsid w:val="00B277E4"/>
    <w:rsid w:val="00B2792A"/>
    <w:rsid w:val="00B43E02"/>
    <w:rsid w:val="00B4683E"/>
    <w:rsid w:val="00B52988"/>
    <w:rsid w:val="00B53D6D"/>
    <w:rsid w:val="00B55C52"/>
    <w:rsid w:val="00B5636C"/>
    <w:rsid w:val="00B65541"/>
    <w:rsid w:val="00B72EE0"/>
    <w:rsid w:val="00B779AC"/>
    <w:rsid w:val="00B80B52"/>
    <w:rsid w:val="00B829F8"/>
    <w:rsid w:val="00B91BB7"/>
    <w:rsid w:val="00B91D17"/>
    <w:rsid w:val="00BA7E97"/>
    <w:rsid w:val="00BC0265"/>
    <w:rsid w:val="00BC32A6"/>
    <w:rsid w:val="00BC3668"/>
    <w:rsid w:val="00BC3815"/>
    <w:rsid w:val="00BC42F6"/>
    <w:rsid w:val="00BC45D4"/>
    <w:rsid w:val="00BC4FFC"/>
    <w:rsid w:val="00BC64D1"/>
    <w:rsid w:val="00BC752B"/>
    <w:rsid w:val="00BD1DBD"/>
    <w:rsid w:val="00BD6D9C"/>
    <w:rsid w:val="00BF2F13"/>
    <w:rsid w:val="00BF754D"/>
    <w:rsid w:val="00C00924"/>
    <w:rsid w:val="00C00CD1"/>
    <w:rsid w:val="00C015B5"/>
    <w:rsid w:val="00C02877"/>
    <w:rsid w:val="00C05C34"/>
    <w:rsid w:val="00C10504"/>
    <w:rsid w:val="00C16849"/>
    <w:rsid w:val="00C2577C"/>
    <w:rsid w:val="00C33A8D"/>
    <w:rsid w:val="00C375AB"/>
    <w:rsid w:val="00C4566E"/>
    <w:rsid w:val="00C47FA2"/>
    <w:rsid w:val="00C5039E"/>
    <w:rsid w:val="00C51759"/>
    <w:rsid w:val="00C527A4"/>
    <w:rsid w:val="00C54491"/>
    <w:rsid w:val="00C61F56"/>
    <w:rsid w:val="00C63950"/>
    <w:rsid w:val="00C71F4D"/>
    <w:rsid w:val="00C74CE9"/>
    <w:rsid w:val="00C775D8"/>
    <w:rsid w:val="00C82190"/>
    <w:rsid w:val="00C82E94"/>
    <w:rsid w:val="00C84D21"/>
    <w:rsid w:val="00C870EE"/>
    <w:rsid w:val="00C93278"/>
    <w:rsid w:val="00CA2841"/>
    <w:rsid w:val="00CA5067"/>
    <w:rsid w:val="00CA606A"/>
    <w:rsid w:val="00CB6F05"/>
    <w:rsid w:val="00CC346C"/>
    <w:rsid w:val="00CC3E30"/>
    <w:rsid w:val="00CC584C"/>
    <w:rsid w:val="00CC5D5D"/>
    <w:rsid w:val="00CC7F2E"/>
    <w:rsid w:val="00CD0584"/>
    <w:rsid w:val="00CD0B96"/>
    <w:rsid w:val="00CD3075"/>
    <w:rsid w:val="00CD3A3E"/>
    <w:rsid w:val="00CE04E3"/>
    <w:rsid w:val="00CE41DF"/>
    <w:rsid w:val="00CF206A"/>
    <w:rsid w:val="00D04E11"/>
    <w:rsid w:val="00D1140E"/>
    <w:rsid w:val="00D144BE"/>
    <w:rsid w:val="00D1586B"/>
    <w:rsid w:val="00D245AB"/>
    <w:rsid w:val="00D24B1F"/>
    <w:rsid w:val="00D24F2B"/>
    <w:rsid w:val="00D27DF6"/>
    <w:rsid w:val="00D30BD5"/>
    <w:rsid w:val="00D30E4E"/>
    <w:rsid w:val="00D30EB3"/>
    <w:rsid w:val="00D35962"/>
    <w:rsid w:val="00D37639"/>
    <w:rsid w:val="00D4635C"/>
    <w:rsid w:val="00D50DF1"/>
    <w:rsid w:val="00D51ABB"/>
    <w:rsid w:val="00D53B7F"/>
    <w:rsid w:val="00D56A2B"/>
    <w:rsid w:val="00D56A5D"/>
    <w:rsid w:val="00D57BAC"/>
    <w:rsid w:val="00D62375"/>
    <w:rsid w:val="00D6385C"/>
    <w:rsid w:val="00D71921"/>
    <w:rsid w:val="00D71F0A"/>
    <w:rsid w:val="00D74431"/>
    <w:rsid w:val="00D7758E"/>
    <w:rsid w:val="00D85338"/>
    <w:rsid w:val="00D93225"/>
    <w:rsid w:val="00D95F7A"/>
    <w:rsid w:val="00DB3F56"/>
    <w:rsid w:val="00DB6A26"/>
    <w:rsid w:val="00DB7D6A"/>
    <w:rsid w:val="00DC4CB0"/>
    <w:rsid w:val="00DD1D82"/>
    <w:rsid w:val="00DD3AEC"/>
    <w:rsid w:val="00DD75DC"/>
    <w:rsid w:val="00DD7D9F"/>
    <w:rsid w:val="00DE0423"/>
    <w:rsid w:val="00DE1C92"/>
    <w:rsid w:val="00DE7996"/>
    <w:rsid w:val="00DF17D7"/>
    <w:rsid w:val="00DF19B8"/>
    <w:rsid w:val="00E01E2E"/>
    <w:rsid w:val="00E06850"/>
    <w:rsid w:val="00E1666E"/>
    <w:rsid w:val="00E21AF1"/>
    <w:rsid w:val="00E225C0"/>
    <w:rsid w:val="00E32C1D"/>
    <w:rsid w:val="00E33927"/>
    <w:rsid w:val="00E35ABC"/>
    <w:rsid w:val="00E40E3D"/>
    <w:rsid w:val="00E42F48"/>
    <w:rsid w:val="00E44FBF"/>
    <w:rsid w:val="00E457E0"/>
    <w:rsid w:val="00E45908"/>
    <w:rsid w:val="00E51F25"/>
    <w:rsid w:val="00E564BD"/>
    <w:rsid w:val="00E566A4"/>
    <w:rsid w:val="00E6395A"/>
    <w:rsid w:val="00E66215"/>
    <w:rsid w:val="00E717FC"/>
    <w:rsid w:val="00E72257"/>
    <w:rsid w:val="00E72869"/>
    <w:rsid w:val="00E74BDF"/>
    <w:rsid w:val="00E773B5"/>
    <w:rsid w:val="00E81BC7"/>
    <w:rsid w:val="00E85F15"/>
    <w:rsid w:val="00E92CF7"/>
    <w:rsid w:val="00E939DA"/>
    <w:rsid w:val="00E95AB8"/>
    <w:rsid w:val="00EA0E56"/>
    <w:rsid w:val="00EA25EA"/>
    <w:rsid w:val="00EA27D1"/>
    <w:rsid w:val="00EA2C50"/>
    <w:rsid w:val="00EB034B"/>
    <w:rsid w:val="00EB1AF5"/>
    <w:rsid w:val="00EB31B4"/>
    <w:rsid w:val="00EB68A8"/>
    <w:rsid w:val="00EB7024"/>
    <w:rsid w:val="00EC1059"/>
    <w:rsid w:val="00EC499C"/>
    <w:rsid w:val="00EC4C43"/>
    <w:rsid w:val="00EC7756"/>
    <w:rsid w:val="00ED10C9"/>
    <w:rsid w:val="00ED61ED"/>
    <w:rsid w:val="00EE1E93"/>
    <w:rsid w:val="00EE63E6"/>
    <w:rsid w:val="00EE7F8A"/>
    <w:rsid w:val="00EF494C"/>
    <w:rsid w:val="00F0540A"/>
    <w:rsid w:val="00F05CA6"/>
    <w:rsid w:val="00F05DD5"/>
    <w:rsid w:val="00F104BC"/>
    <w:rsid w:val="00F16B2F"/>
    <w:rsid w:val="00F36A83"/>
    <w:rsid w:val="00F43870"/>
    <w:rsid w:val="00F457A7"/>
    <w:rsid w:val="00F4778C"/>
    <w:rsid w:val="00F501ED"/>
    <w:rsid w:val="00F571FC"/>
    <w:rsid w:val="00F6272A"/>
    <w:rsid w:val="00F66431"/>
    <w:rsid w:val="00F70232"/>
    <w:rsid w:val="00F726A4"/>
    <w:rsid w:val="00F76C87"/>
    <w:rsid w:val="00F8696E"/>
    <w:rsid w:val="00F901C7"/>
    <w:rsid w:val="00F92A39"/>
    <w:rsid w:val="00F962B3"/>
    <w:rsid w:val="00FA02A2"/>
    <w:rsid w:val="00FA35E0"/>
    <w:rsid w:val="00FA4250"/>
    <w:rsid w:val="00FA4A21"/>
    <w:rsid w:val="00FA7936"/>
    <w:rsid w:val="00FB2256"/>
    <w:rsid w:val="00FB43C4"/>
    <w:rsid w:val="00FB6BB4"/>
    <w:rsid w:val="00FB6BD9"/>
    <w:rsid w:val="00FC30D7"/>
    <w:rsid w:val="00FC3E5D"/>
    <w:rsid w:val="00FC7E2C"/>
    <w:rsid w:val="00FD7DCA"/>
    <w:rsid w:val="00FE5631"/>
    <w:rsid w:val="00FE584C"/>
    <w:rsid w:val="00FE7E38"/>
    <w:rsid w:val="00FF142F"/>
    <w:rsid w:val="00FF4B56"/>
    <w:rsid w:val="00FF5094"/>
    <w:rsid w:val="00FF6700"/>
    <w:rsid w:val="00FF7BE5"/>
    <w:rsid w:val="00FF7C0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543F60"/>
  <w15:chartTrackingRefBased/>
  <w15:docId w15:val="{6BE2EF6E-7A57-45BA-8729-04A92DBED8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D6F41"/>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basedOn w:val="Normalny"/>
    <w:link w:val="TekstprzypisudolnegoZnak"/>
    <w:uiPriority w:val="99"/>
    <w:semiHidden/>
    <w:unhideWhenUsed/>
    <w:rsid w:val="00CA2841"/>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CA2841"/>
    <w:rPr>
      <w:sz w:val="20"/>
      <w:szCs w:val="20"/>
    </w:rPr>
  </w:style>
  <w:style w:type="character" w:styleId="Odwoanieprzypisudolnego">
    <w:name w:val="footnote reference"/>
    <w:basedOn w:val="Domylnaczcionkaakapitu"/>
    <w:uiPriority w:val="99"/>
    <w:semiHidden/>
    <w:unhideWhenUsed/>
    <w:rsid w:val="00CA2841"/>
    <w:rPr>
      <w:vertAlign w:val="superscript"/>
    </w:rPr>
  </w:style>
  <w:style w:type="table" w:styleId="Tabela-Siatka">
    <w:name w:val="Table Grid"/>
    <w:basedOn w:val="Standardowy"/>
    <w:uiPriority w:val="39"/>
    <w:rsid w:val="00CA28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4F2D1D"/>
    <w:rPr>
      <w:sz w:val="16"/>
      <w:szCs w:val="16"/>
    </w:rPr>
  </w:style>
  <w:style w:type="paragraph" w:styleId="Tekstkomentarza">
    <w:name w:val="annotation text"/>
    <w:basedOn w:val="Normalny"/>
    <w:link w:val="TekstkomentarzaZnak"/>
    <w:uiPriority w:val="99"/>
    <w:unhideWhenUsed/>
    <w:rsid w:val="004F2D1D"/>
    <w:pPr>
      <w:spacing w:line="240" w:lineRule="auto"/>
    </w:pPr>
    <w:rPr>
      <w:sz w:val="20"/>
      <w:szCs w:val="20"/>
    </w:rPr>
  </w:style>
  <w:style w:type="character" w:customStyle="1" w:styleId="TekstkomentarzaZnak">
    <w:name w:val="Tekst komentarza Znak"/>
    <w:basedOn w:val="Domylnaczcionkaakapitu"/>
    <w:link w:val="Tekstkomentarza"/>
    <w:uiPriority w:val="99"/>
    <w:rsid w:val="004F2D1D"/>
    <w:rPr>
      <w:sz w:val="20"/>
      <w:szCs w:val="20"/>
    </w:rPr>
  </w:style>
  <w:style w:type="paragraph" w:styleId="Tematkomentarza">
    <w:name w:val="annotation subject"/>
    <w:basedOn w:val="Tekstkomentarza"/>
    <w:next w:val="Tekstkomentarza"/>
    <w:link w:val="TematkomentarzaZnak"/>
    <w:uiPriority w:val="99"/>
    <w:semiHidden/>
    <w:unhideWhenUsed/>
    <w:rsid w:val="004F2D1D"/>
    <w:rPr>
      <w:b/>
      <w:bCs/>
    </w:rPr>
  </w:style>
  <w:style w:type="character" w:customStyle="1" w:styleId="TematkomentarzaZnak">
    <w:name w:val="Temat komentarza Znak"/>
    <w:basedOn w:val="TekstkomentarzaZnak"/>
    <w:link w:val="Tematkomentarza"/>
    <w:uiPriority w:val="99"/>
    <w:semiHidden/>
    <w:rsid w:val="004F2D1D"/>
    <w:rPr>
      <w:b/>
      <w:bCs/>
      <w:sz w:val="20"/>
      <w:szCs w:val="20"/>
    </w:rPr>
  </w:style>
  <w:style w:type="paragraph" w:styleId="Nagwek">
    <w:name w:val="header"/>
    <w:basedOn w:val="Normalny"/>
    <w:link w:val="NagwekZnak"/>
    <w:uiPriority w:val="99"/>
    <w:unhideWhenUsed/>
    <w:rsid w:val="001E677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E6779"/>
  </w:style>
  <w:style w:type="paragraph" w:styleId="Stopka">
    <w:name w:val="footer"/>
    <w:basedOn w:val="Normalny"/>
    <w:link w:val="StopkaZnak"/>
    <w:uiPriority w:val="99"/>
    <w:unhideWhenUsed/>
    <w:rsid w:val="001E677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E6779"/>
  </w:style>
  <w:style w:type="paragraph" w:styleId="Akapitzlist">
    <w:name w:val="List Paragraph"/>
    <w:basedOn w:val="Normalny"/>
    <w:uiPriority w:val="34"/>
    <w:qFormat/>
    <w:rsid w:val="00506F73"/>
    <w:pPr>
      <w:spacing w:after="0" w:line="240" w:lineRule="auto"/>
      <w:ind w:left="720"/>
      <w:contextualSpacing/>
    </w:pPr>
    <w:rPr>
      <w:rFonts w:ascii="Times New Roman" w:eastAsia="Times New Roman" w:hAnsi="Times New Roman" w:cs="Times New Roman"/>
      <w:sz w:val="24"/>
      <w:szCs w:val="20"/>
      <w:lang w:eastAsia="pl-PL"/>
    </w:rPr>
  </w:style>
  <w:style w:type="character" w:styleId="Hipercze">
    <w:name w:val="Hyperlink"/>
    <w:basedOn w:val="Domylnaczcionkaakapitu"/>
    <w:uiPriority w:val="99"/>
    <w:unhideWhenUsed/>
    <w:rsid w:val="0048491D"/>
    <w:rPr>
      <w:color w:val="0563C1" w:themeColor="hyperlink"/>
      <w:u w:val="single"/>
    </w:rPr>
  </w:style>
  <w:style w:type="character" w:styleId="Nierozpoznanawzmianka">
    <w:name w:val="Unresolved Mention"/>
    <w:basedOn w:val="Domylnaczcionkaakapitu"/>
    <w:uiPriority w:val="99"/>
    <w:semiHidden/>
    <w:unhideWhenUsed/>
    <w:rsid w:val="0048491D"/>
    <w:rPr>
      <w:color w:val="605E5C"/>
      <w:shd w:val="clear" w:color="auto" w:fill="E1DFDD"/>
    </w:rPr>
  </w:style>
  <w:style w:type="paragraph" w:customStyle="1" w:styleId="Default">
    <w:name w:val="Default"/>
    <w:rsid w:val="00080B72"/>
    <w:pPr>
      <w:autoSpaceDE w:val="0"/>
      <w:autoSpaceDN w:val="0"/>
      <w:adjustRightInd w:val="0"/>
      <w:spacing w:after="0" w:line="240" w:lineRule="auto"/>
    </w:pPr>
    <w:rPr>
      <w:rFonts w:ascii="Times New Roman" w:hAnsi="Times New Roman" w:cs="Times New Roman"/>
      <w:color w:val="000000"/>
      <w:sz w:val="24"/>
      <w:szCs w:val="24"/>
    </w:rPr>
  </w:style>
  <w:style w:type="paragraph" w:styleId="Tekstprzypisukocowego">
    <w:name w:val="endnote text"/>
    <w:basedOn w:val="Normalny"/>
    <w:link w:val="TekstprzypisukocowegoZnak"/>
    <w:uiPriority w:val="99"/>
    <w:semiHidden/>
    <w:unhideWhenUsed/>
    <w:rsid w:val="00EC7756"/>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EC7756"/>
    <w:rPr>
      <w:sz w:val="20"/>
      <w:szCs w:val="20"/>
    </w:rPr>
  </w:style>
  <w:style w:type="character" w:styleId="Odwoanieprzypisukocowego">
    <w:name w:val="endnote reference"/>
    <w:basedOn w:val="Domylnaczcionkaakapitu"/>
    <w:uiPriority w:val="99"/>
    <w:semiHidden/>
    <w:unhideWhenUsed/>
    <w:rsid w:val="00EC775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468A9B-02CF-49B8-B19D-07AFA93A73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92</Pages>
  <Words>21185</Words>
  <Characters>127116</Characters>
  <Application>Microsoft Office Word</Application>
  <DocSecurity>0</DocSecurity>
  <Lines>1059</Lines>
  <Paragraphs>296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148005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Wójcikiewicz-Kawa Agata</dc:creator>
  <cp:keywords/>
  <dc:description/>
  <cp:lastModifiedBy>Autor</cp:lastModifiedBy>
  <cp:revision>2</cp:revision>
  <cp:lastPrinted>2026-03-10T10:16:00Z</cp:lastPrinted>
  <dcterms:created xsi:type="dcterms:W3CDTF">2026-05-22T11:12:00Z</dcterms:created>
  <dcterms:modified xsi:type="dcterms:W3CDTF">2026-05-22T11:12:00Z</dcterms:modified>
</cp:coreProperties>
</file>