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D6FEE" w14:textId="77777777" w:rsidR="00CA2841" w:rsidRDefault="00CA2841" w:rsidP="008B766F">
      <w:pPr>
        <w:spacing w:after="0" w:line="240" w:lineRule="auto"/>
        <w:rPr>
          <w:rFonts w:cstheme="minorHAnsi"/>
        </w:rPr>
      </w:pPr>
      <w:bookmarkStart w:id="0" w:name="_Hlk107398740"/>
    </w:p>
    <w:p w14:paraId="19BADD27" w14:textId="0317E88F" w:rsidR="008B73DA" w:rsidRPr="00310995" w:rsidRDefault="008B73DA" w:rsidP="008B73DA">
      <w:pPr>
        <w:jc w:val="right"/>
      </w:pPr>
      <w:r w:rsidRPr="00310995">
        <w:t xml:space="preserve">Warszawa, dnia </w:t>
      </w:r>
      <w:r>
        <w:t xml:space="preserve">15 maja 2026 </w:t>
      </w:r>
      <w:r w:rsidRPr="00310995">
        <w:t>r.</w:t>
      </w:r>
    </w:p>
    <w:p w14:paraId="30C2D0E6" w14:textId="73D53D67" w:rsidR="008B73DA" w:rsidRPr="00A5263A" w:rsidRDefault="008B73DA" w:rsidP="008B73DA">
      <w:pPr>
        <w:jc w:val="center"/>
        <w:rPr>
          <w:b/>
          <w:bCs/>
        </w:rPr>
      </w:pPr>
      <w:r w:rsidRPr="00A5263A">
        <w:rPr>
          <w:b/>
          <w:bCs/>
        </w:rPr>
        <w:t xml:space="preserve">Zestawienie nieuwzględnionych uwag zgłoszonych w ramach opiniowania projektu </w:t>
      </w:r>
      <w:r w:rsidR="00A5263A" w:rsidRPr="00A5263A">
        <w:rPr>
          <w:b/>
          <w:bCs/>
        </w:rPr>
        <w:t xml:space="preserve">ustawy o zmianie ustawy – Prawo upadłościowe, ustawy – Prawo restrukturyzacyjne oraz ustawy o Krajowym Rejestrze Zadłużonych (UD260). </w:t>
      </w:r>
    </w:p>
    <w:p w14:paraId="755FCBE1" w14:textId="77777777" w:rsidR="008B73DA" w:rsidRDefault="008B73DA" w:rsidP="008B766F">
      <w:pPr>
        <w:spacing w:after="0" w:line="240" w:lineRule="auto"/>
        <w:rPr>
          <w:rFonts w:cstheme="minorHAnsi"/>
        </w:rPr>
      </w:pPr>
    </w:p>
    <w:p w14:paraId="6BDB4F3B" w14:textId="77777777" w:rsidR="008B73DA" w:rsidRDefault="008B73DA" w:rsidP="008B766F">
      <w:pPr>
        <w:spacing w:after="0" w:line="240" w:lineRule="auto"/>
        <w:rPr>
          <w:rFonts w:cstheme="minorHAnsi"/>
        </w:rPr>
      </w:pPr>
    </w:p>
    <w:p w14:paraId="37B714F4" w14:textId="77777777" w:rsidR="008B73DA" w:rsidRPr="00486628" w:rsidRDefault="008B73DA" w:rsidP="008B766F">
      <w:pPr>
        <w:spacing w:after="0" w:line="240" w:lineRule="auto"/>
        <w:rPr>
          <w:rFonts w:cstheme="minorHAnsi"/>
        </w:rPr>
      </w:pPr>
    </w:p>
    <w:tbl>
      <w:tblPr>
        <w:tblStyle w:val="Tabela-Siatka"/>
        <w:tblpPr w:leftFromText="142" w:rightFromText="142" w:vertAnchor="text" w:horzAnchor="margin" w:tblpXSpec="center" w:tblpY="58"/>
        <w:tblW w:w="4996" w:type="pct"/>
        <w:tblLook w:val="04A0" w:firstRow="1" w:lastRow="0" w:firstColumn="1" w:lastColumn="0" w:noHBand="0" w:noVBand="1"/>
      </w:tblPr>
      <w:tblGrid>
        <w:gridCol w:w="487"/>
        <w:gridCol w:w="2146"/>
        <w:gridCol w:w="1817"/>
        <w:gridCol w:w="4361"/>
        <w:gridCol w:w="3158"/>
        <w:gridCol w:w="3407"/>
      </w:tblGrid>
      <w:tr w:rsidR="003B3876" w:rsidRPr="00486628" w14:paraId="47E9ED08" w14:textId="0857EBA1" w:rsidTr="00AC5078">
        <w:trPr>
          <w:trHeight w:val="551"/>
          <w:tblHeader/>
        </w:trPr>
        <w:tc>
          <w:tcPr>
            <w:tcW w:w="158" w:type="pct"/>
          </w:tcPr>
          <w:bookmarkEnd w:id="0"/>
          <w:p w14:paraId="115BF413" w14:textId="6257DDCF" w:rsidR="002935CD" w:rsidRPr="00486628" w:rsidRDefault="002935CD" w:rsidP="008B766F">
            <w:pPr>
              <w:jc w:val="center"/>
              <w:rPr>
                <w:rFonts w:cstheme="minorHAnsi"/>
                <w:b/>
                <w:bCs/>
              </w:rPr>
            </w:pPr>
            <w:r w:rsidRPr="00486628">
              <w:rPr>
                <w:rFonts w:cstheme="minorHAnsi"/>
                <w:b/>
                <w:bCs/>
              </w:rPr>
              <w:t>Lp.</w:t>
            </w:r>
          </w:p>
        </w:tc>
        <w:tc>
          <w:tcPr>
            <w:tcW w:w="698" w:type="pct"/>
          </w:tcPr>
          <w:p w14:paraId="0FAF4510" w14:textId="4FD6EB74" w:rsidR="002935CD" w:rsidRPr="00486628" w:rsidRDefault="002935CD" w:rsidP="008B766F">
            <w:pPr>
              <w:jc w:val="center"/>
              <w:rPr>
                <w:rFonts w:cstheme="minorHAnsi"/>
                <w:b/>
                <w:bCs/>
              </w:rPr>
            </w:pPr>
            <w:r w:rsidRPr="00486628">
              <w:rPr>
                <w:rFonts w:cstheme="minorHAnsi"/>
                <w:b/>
                <w:bCs/>
              </w:rPr>
              <w:t>Podmiot wnoszący uwagę</w:t>
            </w:r>
          </w:p>
        </w:tc>
        <w:tc>
          <w:tcPr>
            <w:tcW w:w="591" w:type="pct"/>
          </w:tcPr>
          <w:p w14:paraId="51F92737" w14:textId="3EE4B473" w:rsidR="002935CD" w:rsidRPr="00486628" w:rsidRDefault="002935CD" w:rsidP="008B766F">
            <w:pPr>
              <w:jc w:val="center"/>
              <w:rPr>
                <w:rFonts w:cstheme="minorHAnsi"/>
                <w:b/>
                <w:bCs/>
              </w:rPr>
            </w:pPr>
            <w:r w:rsidRPr="00486628">
              <w:rPr>
                <w:rFonts w:cstheme="minorHAnsi"/>
                <w:b/>
                <w:bCs/>
              </w:rPr>
              <w:t>Jednostka redakcyjna, do której wnoszona jest uwaga</w:t>
            </w:r>
          </w:p>
        </w:tc>
        <w:tc>
          <w:tcPr>
            <w:tcW w:w="1418" w:type="pct"/>
          </w:tcPr>
          <w:p w14:paraId="74AACE5A" w14:textId="0BDDBBD7" w:rsidR="002935CD" w:rsidRPr="00462965" w:rsidRDefault="002935CD" w:rsidP="00462965">
            <w:pPr>
              <w:jc w:val="both"/>
              <w:rPr>
                <w:rFonts w:cstheme="minorHAnsi"/>
                <w:b/>
                <w:bCs/>
              </w:rPr>
            </w:pPr>
            <w:r w:rsidRPr="00462965">
              <w:rPr>
                <w:rFonts w:cstheme="minorHAnsi"/>
                <w:b/>
                <w:bCs/>
              </w:rPr>
              <w:t>Treść uwagi</w:t>
            </w:r>
          </w:p>
        </w:tc>
        <w:tc>
          <w:tcPr>
            <w:tcW w:w="1027" w:type="pct"/>
          </w:tcPr>
          <w:p w14:paraId="7C9E6D74" w14:textId="6DD0C103" w:rsidR="002B3340" w:rsidRPr="00486628" w:rsidRDefault="002935CD" w:rsidP="002B3340">
            <w:pPr>
              <w:jc w:val="center"/>
              <w:rPr>
                <w:rFonts w:cstheme="minorHAnsi"/>
                <w:b/>
                <w:bCs/>
              </w:rPr>
            </w:pPr>
            <w:r w:rsidRPr="00486628">
              <w:rPr>
                <w:rFonts w:cstheme="minorHAnsi"/>
                <w:b/>
                <w:bCs/>
              </w:rPr>
              <w:t>Propozycja brzmienia przepisu</w:t>
            </w:r>
            <w:r w:rsidR="002B3340">
              <w:rPr>
                <w:rFonts w:cstheme="minorHAnsi"/>
                <w:b/>
                <w:bCs/>
              </w:rPr>
              <w:t xml:space="preserve"> zgłoszona wraz z uwagą</w:t>
            </w:r>
          </w:p>
        </w:tc>
        <w:tc>
          <w:tcPr>
            <w:tcW w:w="1108" w:type="pct"/>
          </w:tcPr>
          <w:p w14:paraId="2FF734EA" w14:textId="61FF084C" w:rsidR="002935CD" w:rsidRPr="007368C7" w:rsidRDefault="002B3340" w:rsidP="00BC45D4">
            <w:pPr>
              <w:jc w:val="both"/>
              <w:rPr>
                <w:rFonts w:cstheme="minorHAnsi"/>
                <w:b/>
                <w:bCs/>
              </w:rPr>
            </w:pPr>
            <w:r w:rsidRPr="007368C7">
              <w:rPr>
                <w:rFonts w:cstheme="minorHAnsi"/>
                <w:b/>
                <w:bCs/>
              </w:rPr>
              <w:t>Odpowiedź na uwagę</w:t>
            </w:r>
          </w:p>
        </w:tc>
      </w:tr>
      <w:tr w:rsidR="00FD7DCA" w:rsidRPr="004A3EE1" w14:paraId="00BD91A4" w14:textId="39B5BC0A" w:rsidTr="00DE0423">
        <w:tc>
          <w:tcPr>
            <w:tcW w:w="5000" w:type="pct"/>
            <w:gridSpan w:val="6"/>
            <w:shd w:val="clear" w:color="auto" w:fill="D9D9D9" w:themeFill="background1" w:themeFillShade="D9"/>
          </w:tcPr>
          <w:p w14:paraId="0BFBACF8" w14:textId="77E4F5A2" w:rsidR="00FD7DCA" w:rsidRPr="007368C7" w:rsidRDefault="0044675A" w:rsidP="001B4854">
            <w:pPr>
              <w:jc w:val="center"/>
              <w:rPr>
                <w:rFonts w:cstheme="minorHAnsi"/>
                <w:b/>
                <w:bCs/>
              </w:rPr>
            </w:pPr>
            <w:r w:rsidRPr="007368C7">
              <w:rPr>
                <w:rFonts w:cstheme="minorHAnsi"/>
                <w:b/>
                <w:bCs/>
              </w:rPr>
              <w:t>Uwagi ogólne</w:t>
            </w:r>
          </w:p>
        </w:tc>
      </w:tr>
      <w:tr w:rsidR="003B3876" w:rsidRPr="00486628" w14:paraId="3D9E8ECE" w14:textId="77777777" w:rsidTr="00AC5078">
        <w:tc>
          <w:tcPr>
            <w:tcW w:w="158" w:type="pct"/>
          </w:tcPr>
          <w:p w14:paraId="5EDE5E5D" w14:textId="63EC8B30" w:rsidR="00CC3E30" w:rsidRPr="00506F73" w:rsidRDefault="00460465" w:rsidP="00506F73">
            <w:pPr>
              <w:jc w:val="center"/>
              <w:rPr>
                <w:rFonts w:cstheme="minorHAnsi"/>
              </w:rPr>
            </w:pPr>
            <w:r>
              <w:rPr>
                <w:rFonts w:cstheme="minorHAnsi"/>
              </w:rPr>
              <w:t>1</w:t>
            </w:r>
          </w:p>
        </w:tc>
        <w:tc>
          <w:tcPr>
            <w:tcW w:w="698" w:type="pct"/>
          </w:tcPr>
          <w:p w14:paraId="13D6F64C" w14:textId="7951FA39" w:rsidR="00CC3E30" w:rsidRDefault="00BA7E97" w:rsidP="00506F73">
            <w:pPr>
              <w:jc w:val="both"/>
              <w:rPr>
                <w:rFonts w:cstheme="minorHAnsi"/>
              </w:rPr>
            </w:pPr>
            <w:r>
              <w:rPr>
                <w:rFonts w:cstheme="minorHAnsi"/>
              </w:rPr>
              <w:t xml:space="preserve">SA w Warszawie </w:t>
            </w:r>
          </w:p>
        </w:tc>
        <w:tc>
          <w:tcPr>
            <w:tcW w:w="591" w:type="pct"/>
          </w:tcPr>
          <w:p w14:paraId="38B3734A" w14:textId="0C6AC3D3" w:rsidR="00CC3E30" w:rsidRDefault="00CC3E30" w:rsidP="00506F73">
            <w:pPr>
              <w:jc w:val="both"/>
              <w:rPr>
                <w:rFonts w:cstheme="minorHAnsi"/>
              </w:rPr>
            </w:pPr>
          </w:p>
        </w:tc>
        <w:tc>
          <w:tcPr>
            <w:tcW w:w="1418" w:type="pct"/>
          </w:tcPr>
          <w:p w14:paraId="01E48046" w14:textId="51437AD8" w:rsidR="00BA7E97" w:rsidRPr="00462965" w:rsidRDefault="00782BC5" w:rsidP="00462965">
            <w:pPr>
              <w:jc w:val="both"/>
              <w:rPr>
                <w:rFonts w:cstheme="minorHAnsi"/>
              </w:rPr>
            </w:pPr>
            <w:r w:rsidRPr="00462965">
              <w:rPr>
                <w:rFonts w:cstheme="minorHAnsi"/>
              </w:rPr>
              <w:t>P</w:t>
            </w:r>
            <w:r w:rsidR="00BA7E97" w:rsidRPr="00462965">
              <w:rPr>
                <w:rFonts w:cstheme="minorHAnsi"/>
              </w:rPr>
              <w:t>roponowana nowelizacja, mając na uwadze cel wskazany w uzasadnieniu projektu, jest zdecydowanie zbyt fragmentaryczna i nie zawiera propozycji, które w istotnym zakresie realizowałyby postulat poprawy skuteczności postępowań dotyczących umorzenia długów osób fizycznych.</w:t>
            </w:r>
          </w:p>
          <w:p w14:paraId="20199EC4" w14:textId="11D70C99" w:rsidR="00BA7E97" w:rsidRPr="00462965" w:rsidRDefault="00BA7E97" w:rsidP="00462965">
            <w:pPr>
              <w:jc w:val="both"/>
              <w:rPr>
                <w:rFonts w:cstheme="minorHAnsi"/>
              </w:rPr>
            </w:pPr>
            <w:r w:rsidRPr="00462965">
              <w:rPr>
                <w:rFonts w:cstheme="minorHAnsi"/>
              </w:rPr>
              <w:t>Do takich propozycji należałoby zaliczyć przede wszystkim rezygnację z sądowego ogłoszenia upadłości przez sąd na rzecz powierzenia tej decyzji syndykowi analogicznie jak ma to miejsce w</w:t>
            </w:r>
            <w:r w:rsidR="00D24F2B" w:rsidRPr="00462965">
              <w:rPr>
                <w:rFonts w:cstheme="minorHAnsi"/>
              </w:rPr>
              <w:t> </w:t>
            </w:r>
            <w:r w:rsidRPr="00462965">
              <w:rPr>
                <w:rFonts w:cstheme="minorHAnsi"/>
              </w:rPr>
              <w:t>postępowaniu o zatwierdzenie układu. Uzasadnieniem tej propozycji jest fakt braku negatywnych przesłanek do ogłoszenia upadłości konsumenckiej. Skutki ogłoszenia upadłości zaś wynikałyby z obwieszczenia dokonywanego przez wybranego przez dłużnika doradcę restrukturyzacyjnego, który by pełnił funkcję syndyka. Doświadczenia</w:t>
            </w:r>
            <w:r w:rsidR="007C0048" w:rsidRPr="00462965">
              <w:rPr>
                <w:rFonts w:cstheme="minorHAnsi"/>
              </w:rPr>
              <w:t xml:space="preserve"> </w:t>
            </w:r>
            <w:r w:rsidRPr="00462965">
              <w:rPr>
                <w:rFonts w:cstheme="minorHAnsi"/>
              </w:rPr>
              <w:t xml:space="preserve">wynikające z zastosowania przepisów ustawy Prawo restrukturyzacyjne w zakresie Postępowania o zatwierdzenie układu wskazują na praktyczność tego rozwiązania i zasadniczo przyspieszają tok postępowania. </w:t>
            </w:r>
          </w:p>
          <w:p w14:paraId="575AA1C4" w14:textId="11EC81F9" w:rsidR="00CC3E30" w:rsidRPr="00462965" w:rsidRDefault="00BA7E97" w:rsidP="00462965">
            <w:pPr>
              <w:jc w:val="both"/>
              <w:rPr>
                <w:rFonts w:cstheme="minorHAnsi"/>
              </w:rPr>
            </w:pPr>
            <w:r w:rsidRPr="00462965">
              <w:rPr>
                <w:rFonts w:cstheme="minorHAnsi"/>
              </w:rPr>
              <w:lastRenderedPageBreak/>
              <w:t>Również trudno wskazać przeciwskazania do powierzenia syndykowi tworzenia samego planu spłaty wierzycieli w miejsce dotychczasowego projektu. Kontrola sądowa ograniczałaby się wówczas do rozpoznawania wyłącznie skarg ewentualnie wniesionych przez uczestników postępowania. Statystyka wskazuje, że w ogromnej liczbie postępowań treść projektu planu spłaty wierzycieli przygotowanego przez syndyka nie budzi wątpliwości uczestników postępowania i nie są zgłaszane żadne zastrzeżenia. Analogiczna sytuacja ma miejsce w przypadku postanowień o ustaleniu planu co do których nie są wnoszone zażalenia. Zatem zasadne jest przyjęcie rozwiązań jedynie w sytuacji, gdy w danym postępowaniu występują sporne kwestie.</w:t>
            </w:r>
          </w:p>
        </w:tc>
        <w:tc>
          <w:tcPr>
            <w:tcW w:w="1027" w:type="pct"/>
          </w:tcPr>
          <w:p w14:paraId="4AFCCBC5" w14:textId="77777777" w:rsidR="00CC3E30" w:rsidRPr="00506F73" w:rsidRDefault="00CC3E30" w:rsidP="00506F73">
            <w:pPr>
              <w:jc w:val="both"/>
              <w:rPr>
                <w:rFonts w:cstheme="minorHAnsi"/>
              </w:rPr>
            </w:pPr>
          </w:p>
        </w:tc>
        <w:tc>
          <w:tcPr>
            <w:tcW w:w="1108" w:type="pct"/>
          </w:tcPr>
          <w:p w14:paraId="35B38A63" w14:textId="77777777" w:rsidR="00CC3E30" w:rsidRPr="007368C7" w:rsidRDefault="00830C75" w:rsidP="00BC45D4">
            <w:pPr>
              <w:jc w:val="both"/>
              <w:rPr>
                <w:rFonts w:cstheme="minorHAnsi"/>
                <w:b/>
                <w:bCs/>
              </w:rPr>
            </w:pPr>
            <w:r w:rsidRPr="007368C7">
              <w:rPr>
                <w:rFonts w:cstheme="minorHAnsi"/>
                <w:b/>
                <w:bCs/>
              </w:rPr>
              <w:t xml:space="preserve">Uwaga poza zakresem projektu </w:t>
            </w:r>
          </w:p>
          <w:p w14:paraId="5F223029" w14:textId="560843E7" w:rsidR="0017030B" w:rsidRPr="007368C7" w:rsidRDefault="00E225C0" w:rsidP="00BC45D4">
            <w:pPr>
              <w:jc w:val="both"/>
              <w:rPr>
                <w:rFonts w:cstheme="minorHAnsi"/>
              </w:rPr>
            </w:pPr>
            <w:r w:rsidRPr="007368C7">
              <w:rPr>
                <w:rFonts w:cstheme="minorHAnsi"/>
              </w:rPr>
              <w:t xml:space="preserve">Ponadto wątpliwości budzi propozycja, by organ pozasądowy </w:t>
            </w:r>
            <w:r w:rsidR="00B55C52" w:rsidRPr="007368C7">
              <w:rPr>
                <w:rFonts w:cstheme="minorHAnsi"/>
              </w:rPr>
              <w:t>rozstrzygał o</w:t>
            </w:r>
            <w:r w:rsidRPr="007368C7">
              <w:rPr>
                <w:rFonts w:cstheme="minorHAnsi"/>
              </w:rPr>
              <w:t xml:space="preserve"> prawach majątkowych chronionych na poziomie konstytucyjnym. </w:t>
            </w:r>
          </w:p>
        </w:tc>
      </w:tr>
      <w:tr w:rsidR="00460465" w:rsidRPr="00486628" w14:paraId="74CA555A" w14:textId="77777777" w:rsidTr="00AC5078">
        <w:trPr>
          <w:gridAfter w:val="5"/>
          <w:wAfter w:w="4842" w:type="pct"/>
        </w:trPr>
        <w:tc>
          <w:tcPr>
            <w:tcW w:w="158" w:type="pct"/>
          </w:tcPr>
          <w:p w14:paraId="3EFB561F" w14:textId="75BF4235" w:rsidR="00460465" w:rsidRDefault="00460465" w:rsidP="00506F73">
            <w:pPr>
              <w:jc w:val="center"/>
              <w:rPr>
                <w:rFonts w:cstheme="minorHAnsi"/>
              </w:rPr>
            </w:pPr>
            <w:r>
              <w:rPr>
                <w:rFonts w:cstheme="minorHAnsi"/>
              </w:rPr>
              <w:t>8</w:t>
            </w:r>
          </w:p>
        </w:tc>
      </w:tr>
      <w:tr w:rsidR="0044675A" w:rsidRPr="004A3EE1" w14:paraId="65C4C78D" w14:textId="5832A9A8" w:rsidTr="00DE0423">
        <w:tc>
          <w:tcPr>
            <w:tcW w:w="5000" w:type="pct"/>
            <w:gridSpan w:val="6"/>
            <w:shd w:val="clear" w:color="auto" w:fill="D9D9D9" w:themeFill="background1" w:themeFillShade="D9"/>
          </w:tcPr>
          <w:p w14:paraId="2AA3656E" w14:textId="62446D91" w:rsidR="0044675A" w:rsidRPr="007368C7" w:rsidRDefault="0044675A" w:rsidP="00460465">
            <w:pPr>
              <w:jc w:val="center"/>
              <w:rPr>
                <w:rFonts w:cstheme="minorHAnsi"/>
                <w:b/>
                <w:bCs/>
              </w:rPr>
            </w:pPr>
            <w:r w:rsidRPr="007368C7">
              <w:rPr>
                <w:rFonts w:cstheme="minorHAnsi"/>
                <w:b/>
                <w:bCs/>
              </w:rPr>
              <w:t>Uwagi merytoryczne</w:t>
            </w:r>
          </w:p>
        </w:tc>
      </w:tr>
      <w:tr w:rsidR="003B3876" w:rsidRPr="00486628" w14:paraId="33BADF2F" w14:textId="5976E6CE" w:rsidTr="00AC5078">
        <w:tc>
          <w:tcPr>
            <w:tcW w:w="158" w:type="pct"/>
          </w:tcPr>
          <w:p w14:paraId="49286768" w14:textId="06D4C5B9" w:rsidR="00343E6B" w:rsidRPr="00486628" w:rsidRDefault="00467F6A" w:rsidP="00343E6B">
            <w:pPr>
              <w:jc w:val="center"/>
              <w:rPr>
                <w:rFonts w:cstheme="minorHAnsi"/>
              </w:rPr>
            </w:pPr>
            <w:r>
              <w:rPr>
                <w:rFonts w:cstheme="minorHAnsi"/>
              </w:rPr>
              <w:t>1</w:t>
            </w:r>
          </w:p>
        </w:tc>
        <w:tc>
          <w:tcPr>
            <w:tcW w:w="698" w:type="pct"/>
          </w:tcPr>
          <w:p w14:paraId="2E13CBF0" w14:textId="1A47553E" w:rsidR="00343E6B" w:rsidRPr="00486628" w:rsidRDefault="00467F6A" w:rsidP="00343E6B">
            <w:pPr>
              <w:jc w:val="both"/>
              <w:rPr>
                <w:rFonts w:cstheme="minorHAnsi"/>
              </w:rPr>
            </w:pPr>
            <w:r>
              <w:rPr>
                <w:rFonts w:cstheme="minorHAnsi"/>
              </w:rPr>
              <w:t xml:space="preserve">Prokurator Krajowy </w:t>
            </w:r>
          </w:p>
        </w:tc>
        <w:tc>
          <w:tcPr>
            <w:tcW w:w="591" w:type="pct"/>
          </w:tcPr>
          <w:p w14:paraId="488370C8" w14:textId="504E4F0A" w:rsidR="00343E6B" w:rsidRPr="00486628" w:rsidRDefault="005405C5" w:rsidP="00343E6B">
            <w:pPr>
              <w:jc w:val="both"/>
              <w:rPr>
                <w:rFonts w:cstheme="minorHAnsi"/>
              </w:rPr>
            </w:pPr>
            <w:r w:rsidRPr="003F549A">
              <w:rPr>
                <w:rFonts w:cstheme="minorHAnsi"/>
                <w:b/>
                <w:bCs/>
              </w:rPr>
              <w:t>Art. 1 pkt 1</w:t>
            </w:r>
            <w:r>
              <w:rPr>
                <w:rFonts w:cstheme="minorHAnsi"/>
              </w:rPr>
              <w:t xml:space="preserve"> (a</w:t>
            </w:r>
            <w:r w:rsidR="00467F6A" w:rsidRPr="00467F6A">
              <w:rPr>
                <w:rFonts w:cstheme="minorHAnsi"/>
              </w:rPr>
              <w:t>rt. 168 ust. 2a</w:t>
            </w:r>
            <w:r>
              <w:rPr>
                <w:rFonts w:cstheme="minorHAnsi"/>
              </w:rPr>
              <w:t xml:space="preserve"> P.U.)</w:t>
            </w:r>
          </w:p>
        </w:tc>
        <w:tc>
          <w:tcPr>
            <w:tcW w:w="1418" w:type="pct"/>
          </w:tcPr>
          <w:p w14:paraId="758A8424" w14:textId="0AAA1AEE" w:rsidR="00343E6B" w:rsidRPr="00462965" w:rsidRDefault="003D125F" w:rsidP="00462965">
            <w:pPr>
              <w:jc w:val="both"/>
              <w:rPr>
                <w:rFonts w:cstheme="minorHAnsi"/>
              </w:rPr>
            </w:pPr>
            <w:r w:rsidRPr="00462965">
              <w:rPr>
                <w:rFonts w:cstheme="minorHAnsi"/>
              </w:rPr>
              <w:t>Skoro zastępca syndyka samodzielnie sporządza sprawozdanie składane sędziemu komisarzowi na podstawie ust. 1 tego artykułu, dysponując w tym zakresie</w:t>
            </w:r>
            <w:r w:rsidR="003A69E8">
              <w:rPr>
                <w:rFonts w:cstheme="minorHAnsi"/>
              </w:rPr>
              <w:t xml:space="preserve"> </w:t>
            </w:r>
            <w:r w:rsidRPr="00462965">
              <w:rPr>
                <w:rFonts w:cstheme="minorHAnsi"/>
              </w:rPr>
              <w:t>merytoryczną autonomią (syndyk nie włącza go do swojego sprawozdania, a jedynie przekazuje sędziemu-komisarzowi to sprawozdanie wraz z</w:t>
            </w:r>
            <w:r w:rsidR="003A69E8">
              <w:rPr>
                <w:rFonts w:cstheme="minorHAnsi"/>
              </w:rPr>
              <w:t> </w:t>
            </w:r>
            <w:r w:rsidRPr="00462965">
              <w:rPr>
                <w:rFonts w:cstheme="minorHAnsi"/>
              </w:rPr>
              <w:t>własnym), celowe jest przewidzenie możliwości wysłuchania zastępcy syndyka przez sędziego komisarza</w:t>
            </w:r>
            <w:r w:rsidR="003A69E8">
              <w:rPr>
                <w:rFonts w:cstheme="minorHAnsi"/>
              </w:rPr>
              <w:t xml:space="preserve"> </w:t>
            </w:r>
            <w:r w:rsidRPr="00462965">
              <w:rPr>
                <w:rFonts w:cstheme="minorHAnsi"/>
              </w:rPr>
              <w:t>w związku z</w:t>
            </w:r>
            <w:r w:rsidR="003A69E8">
              <w:rPr>
                <w:rFonts w:cstheme="minorHAnsi"/>
              </w:rPr>
              <w:t> </w:t>
            </w:r>
            <w:r w:rsidRPr="00462965">
              <w:rPr>
                <w:rFonts w:cstheme="minorHAnsi"/>
              </w:rPr>
              <w:t>rozpoznawaniem obu tych sprawozdań.</w:t>
            </w:r>
          </w:p>
        </w:tc>
        <w:tc>
          <w:tcPr>
            <w:tcW w:w="1027" w:type="pct"/>
          </w:tcPr>
          <w:p w14:paraId="5DFC50F6" w14:textId="1964C0E9" w:rsidR="00343E6B" w:rsidRPr="00486628" w:rsidRDefault="00343E6B" w:rsidP="00343E6B">
            <w:pPr>
              <w:jc w:val="both"/>
              <w:rPr>
                <w:rFonts w:cstheme="minorHAnsi"/>
              </w:rPr>
            </w:pPr>
          </w:p>
        </w:tc>
        <w:tc>
          <w:tcPr>
            <w:tcW w:w="1108" w:type="pct"/>
          </w:tcPr>
          <w:p w14:paraId="41814F5E" w14:textId="7D421A18" w:rsidR="0048491D" w:rsidRPr="007368C7" w:rsidRDefault="0064213B" w:rsidP="00BC45D4">
            <w:pPr>
              <w:jc w:val="both"/>
              <w:rPr>
                <w:rFonts w:cstheme="minorHAnsi"/>
              </w:rPr>
            </w:pPr>
            <w:r w:rsidRPr="007368C7">
              <w:rPr>
                <w:rFonts w:cstheme="minorHAnsi"/>
                <w:b/>
                <w:bCs/>
              </w:rPr>
              <w:t>Uwaga nieuwzględniona</w:t>
            </w:r>
            <w:r w:rsidRPr="007368C7">
              <w:rPr>
                <w:rFonts w:cstheme="minorHAnsi"/>
              </w:rPr>
              <w:t xml:space="preserve"> Odpowiednie zastosowanie</w:t>
            </w:r>
            <w:r w:rsidR="00E717FC" w:rsidRPr="007368C7">
              <w:rPr>
                <w:rFonts w:cstheme="minorHAnsi"/>
              </w:rPr>
              <w:t xml:space="preserve"> </w:t>
            </w:r>
            <w:r w:rsidRPr="007368C7">
              <w:rPr>
                <w:rFonts w:cstheme="minorHAnsi"/>
              </w:rPr>
              <w:t>znajduje art. 159 ust. 3 P.U</w:t>
            </w:r>
            <w:r w:rsidR="004073FC" w:rsidRPr="007368C7">
              <w:rPr>
                <w:rFonts w:cstheme="minorHAnsi"/>
              </w:rPr>
              <w:t>.</w:t>
            </w:r>
          </w:p>
        </w:tc>
      </w:tr>
      <w:tr w:rsidR="003B3876" w:rsidRPr="00486628" w14:paraId="33C6860D" w14:textId="77777777" w:rsidTr="00AC5078">
        <w:tc>
          <w:tcPr>
            <w:tcW w:w="158" w:type="pct"/>
          </w:tcPr>
          <w:p w14:paraId="330F6E9B" w14:textId="2BB1F7B1" w:rsidR="0087018D" w:rsidRPr="00486628" w:rsidRDefault="00467F6A" w:rsidP="00343E6B">
            <w:pPr>
              <w:jc w:val="center"/>
              <w:rPr>
                <w:rFonts w:cstheme="minorHAnsi"/>
              </w:rPr>
            </w:pPr>
            <w:r>
              <w:rPr>
                <w:rFonts w:cstheme="minorHAnsi"/>
              </w:rPr>
              <w:t>2</w:t>
            </w:r>
          </w:p>
        </w:tc>
        <w:tc>
          <w:tcPr>
            <w:tcW w:w="698" w:type="pct"/>
          </w:tcPr>
          <w:p w14:paraId="7212FA8F" w14:textId="7C774667" w:rsidR="0087018D" w:rsidRDefault="00467F6A" w:rsidP="00343E6B">
            <w:pPr>
              <w:jc w:val="both"/>
              <w:rPr>
                <w:rFonts w:cstheme="minorHAnsi"/>
              </w:rPr>
            </w:pPr>
            <w:r>
              <w:rPr>
                <w:rFonts w:cstheme="minorHAnsi"/>
              </w:rPr>
              <w:t>Prokurator Krajowy</w:t>
            </w:r>
          </w:p>
        </w:tc>
        <w:tc>
          <w:tcPr>
            <w:tcW w:w="591" w:type="pct"/>
          </w:tcPr>
          <w:p w14:paraId="5D234060" w14:textId="5A3F7A93" w:rsidR="0087018D" w:rsidRDefault="00A91C7C" w:rsidP="00343E6B">
            <w:pPr>
              <w:jc w:val="both"/>
              <w:rPr>
                <w:rFonts w:cstheme="minorHAnsi"/>
              </w:rPr>
            </w:pPr>
            <w:r w:rsidRPr="003F549A">
              <w:rPr>
                <w:rFonts w:cstheme="minorHAnsi"/>
                <w:b/>
                <w:bCs/>
              </w:rPr>
              <w:t>Art. 1 pkt 1</w:t>
            </w:r>
            <w:r w:rsidRPr="00A91C7C">
              <w:rPr>
                <w:rFonts w:cstheme="minorHAnsi"/>
              </w:rPr>
              <w:t xml:space="preserve"> (art. 168 ust. 2a P.U.)</w:t>
            </w:r>
          </w:p>
        </w:tc>
        <w:tc>
          <w:tcPr>
            <w:tcW w:w="1418" w:type="pct"/>
          </w:tcPr>
          <w:p w14:paraId="2C69899A" w14:textId="37C90B04" w:rsidR="0087018D" w:rsidRPr="00462965" w:rsidRDefault="000704C5" w:rsidP="00462965">
            <w:pPr>
              <w:jc w:val="both"/>
              <w:rPr>
                <w:rFonts w:cstheme="minorHAnsi"/>
              </w:rPr>
            </w:pPr>
            <w:r w:rsidRPr="00462965">
              <w:rPr>
                <w:rFonts w:cstheme="minorHAnsi"/>
              </w:rPr>
              <w:t xml:space="preserve">Przyjęta konstrukcja przepisu będzie rodzić wątpliwości, czy wysłuchanie przez sędziego-komisarza wskazanych w jego treści osób </w:t>
            </w:r>
            <w:r w:rsidRPr="00462965">
              <w:rPr>
                <w:rFonts w:cstheme="minorHAnsi"/>
              </w:rPr>
              <w:lastRenderedPageBreak/>
              <w:t>(syndyk, upadły, członkowie rady wierzycieli) w</w:t>
            </w:r>
            <w:r w:rsidR="00A934AA">
              <w:rPr>
                <w:rFonts w:cstheme="minorHAnsi"/>
              </w:rPr>
              <w:t> </w:t>
            </w:r>
            <w:r w:rsidRPr="00462965">
              <w:rPr>
                <w:rFonts w:cstheme="minorHAnsi"/>
              </w:rPr>
              <w:t>związku z rozpoznawaniem sprawozdań ma być co do zasady powinnością sędziego-komisarza (co może rodzić oczekiwanie wysłuchania ze strony np. upadłego lub członków rady wierzycieli), a więc czy przepis ma kreować tzw. względną obligatoryjność wysłuchania, czy też będzie to w pełni uznaniowa decyzja sędziego-komisarza, a przepis ma jedynie legitymizować możliwość wezwania przez sędziego-komisarza wskazanych w przepisie osób w celu ich wysłuchania</w:t>
            </w:r>
          </w:p>
        </w:tc>
        <w:tc>
          <w:tcPr>
            <w:tcW w:w="1027" w:type="pct"/>
          </w:tcPr>
          <w:p w14:paraId="78246CCD" w14:textId="07BF4ACA" w:rsidR="00A91C7C" w:rsidRDefault="00A91C7C" w:rsidP="000704C5">
            <w:pPr>
              <w:jc w:val="both"/>
              <w:rPr>
                <w:rFonts w:cstheme="minorHAnsi"/>
              </w:rPr>
            </w:pPr>
            <w:r w:rsidRPr="00A91C7C">
              <w:rPr>
                <w:rFonts w:cstheme="minorHAnsi"/>
              </w:rPr>
              <w:lastRenderedPageBreak/>
              <w:t>art. 168 ust. 2a P.U.</w:t>
            </w:r>
          </w:p>
          <w:p w14:paraId="2046D282" w14:textId="38731554" w:rsidR="000704C5" w:rsidRDefault="000704C5" w:rsidP="00A934AA">
            <w:pPr>
              <w:jc w:val="both"/>
              <w:rPr>
                <w:rFonts w:cstheme="minorHAnsi"/>
              </w:rPr>
            </w:pPr>
            <w:r w:rsidRPr="000704C5">
              <w:rPr>
                <w:rFonts w:cstheme="minorHAnsi"/>
              </w:rPr>
              <w:t>„Sprawozdania, o których mowa w ust. 1, 2 i 4, rozpoznaje sędzia-</w:t>
            </w:r>
            <w:r w:rsidRPr="000704C5">
              <w:rPr>
                <w:rFonts w:cstheme="minorHAnsi"/>
              </w:rPr>
              <w:lastRenderedPageBreak/>
              <w:t>komisarz po</w:t>
            </w:r>
            <w:r w:rsidR="00A91C7C">
              <w:rPr>
                <w:rFonts w:cstheme="minorHAnsi"/>
              </w:rPr>
              <w:t xml:space="preserve"> </w:t>
            </w:r>
            <w:r w:rsidRPr="000704C5">
              <w:rPr>
                <w:rFonts w:cstheme="minorHAnsi"/>
              </w:rPr>
              <w:t>wysłuchaniu</w:t>
            </w:r>
            <w:r w:rsidR="00A934AA">
              <w:rPr>
                <w:rFonts w:cstheme="minorHAnsi"/>
              </w:rPr>
              <w:t xml:space="preserve"> </w:t>
            </w:r>
            <w:r w:rsidRPr="000704C5">
              <w:rPr>
                <w:rFonts w:cstheme="minorHAnsi"/>
              </w:rPr>
              <w:t>syndyka, upadłego i członków rady wierzycieli, chyba że</w:t>
            </w:r>
            <w:r w:rsidR="00A91C7C">
              <w:rPr>
                <w:rFonts w:cstheme="minorHAnsi"/>
              </w:rPr>
              <w:t xml:space="preserve"> </w:t>
            </w:r>
            <w:r w:rsidRPr="000704C5">
              <w:rPr>
                <w:rFonts w:cstheme="minorHAnsi"/>
              </w:rPr>
              <w:t>przeprowadzenie takiego</w:t>
            </w:r>
            <w:r w:rsidR="00A91C7C">
              <w:rPr>
                <w:rFonts w:cstheme="minorHAnsi"/>
              </w:rPr>
              <w:t xml:space="preserve"> </w:t>
            </w:r>
            <w:r w:rsidRPr="000704C5">
              <w:rPr>
                <w:rFonts w:cstheme="minorHAnsi"/>
              </w:rPr>
              <w:t>wysłuchania nie jest niezbędne albo możliwe.”.</w:t>
            </w:r>
          </w:p>
          <w:p w14:paraId="51CB8E12" w14:textId="0F6B5654" w:rsidR="00DE7996" w:rsidRDefault="00DE7996" w:rsidP="000704C5">
            <w:pPr>
              <w:jc w:val="both"/>
              <w:rPr>
                <w:rFonts w:cstheme="minorHAnsi"/>
              </w:rPr>
            </w:pPr>
            <w:r>
              <w:rPr>
                <w:rFonts w:cstheme="minorHAnsi"/>
              </w:rPr>
              <w:t>ewentualnie</w:t>
            </w:r>
            <w:r w:rsidR="000704C5">
              <w:rPr>
                <w:rFonts w:cstheme="minorHAnsi"/>
              </w:rPr>
              <w:t xml:space="preserve"> </w:t>
            </w:r>
          </w:p>
          <w:p w14:paraId="67D0B3E8" w14:textId="4981CEA2" w:rsidR="00DE7996" w:rsidRPr="00486628" w:rsidRDefault="00DE7996" w:rsidP="00DE7996">
            <w:pPr>
              <w:jc w:val="both"/>
              <w:rPr>
                <w:rFonts w:cstheme="minorHAnsi"/>
              </w:rPr>
            </w:pPr>
            <w:r w:rsidRPr="00DE7996">
              <w:rPr>
                <w:rFonts w:cstheme="minorHAnsi"/>
              </w:rPr>
              <w:t>„W związku z rozpoznawaniem sprawozdań, o których mowa w ust. 1, 2 i 4, sędzia</w:t>
            </w:r>
            <w:r>
              <w:rPr>
                <w:rFonts w:cstheme="minorHAnsi"/>
              </w:rPr>
              <w:t xml:space="preserve"> </w:t>
            </w:r>
            <w:r w:rsidRPr="00DE7996">
              <w:rPr>
                <w:rFonts w:cstheme="minorHAnsi"/>
              </w:rPr>
              <w:t>komisarz</w:t>
            </w:r>
            <w:r>
              <w:rPr>
                <w:rFonts w:cstheme="minorHAnsi"/>
              </w:rPr>
              <w:t xml:space="preserve"> </w:t>
            </w:r>
            <w:r w:rsidRPr="00DE7996">
              <w:rPr>
                <w:rFonts w:cstheme="minorHAnsi"/>
              </w:rPr>
              <w:t>może wezwać syndyka, upadłego i członków rady wierzycieli w celu ich</w:t>
            </w:r>
            <w:r w:rsidR="00A91C7C">
              <w:rPr>
                <w:rFonts w:cstheme="minorHAnsi"/>
              </w:rPr>
              <w:t xml:space="preserve"> w</w:t>
            </w:r>
            <w:r w:rsidRPr="00DE7996">
              <w:rPr>
                <w:rFonts w:cstheme="minorHAnsi"/>
              </w:rPr>
              <w:t>ysłuchania</w:t>
            </w:r>
            <w:r>
              <w:rPr>
                <w:rFonts w:cstheme="minorHAnsi"/>
              </w:rPr>
              <w:t>”</w:t>
            </w:r>
            <w:r w:rsidR="00A934AA">
              <w:rPr>
                <w:rFonts w:cstheme="minorHAnsi"/>
              </w:rPr>
              <w:t>.</w:t>
            </w:r>
          </w:p>
        </w:tc>
        <w:tc>
          <w:tcPr>
            <w:tcW w:w="1108" w:type="pct"/>
          </w:tcPr>
          <w:p w14:paraId="1D720277" w14:textId="77777777" w:rsidR="005B4E2F" w:rsidRPr="007368C7" w:rsidRDefault="00094B8B" w:rsidP="00BC45D4">
            <w:pPr>
              <w:jc w:val="both"/>
              <w:rPr>
                <w:rFonts w:cstheme="minorHAnsi"/>
                <w:b/>
                <w:bCs/>
              </w:rPr>
            </w:pPr>
            <w:r w:rsidRPr="007368C7">
              <w:rPr>
                <w:rFonts w:cstheme="minorHAnsi"/>
                <w:b/>
                <w:bCs/>
              </w:rPr>
              <w:lastRenderedPageBreak/>
              <w:t xml:space="preserve">Uwaga nieuwzględniona </w:t>
            </w:r>
          </w:p>
          <w:p w14:paraId="60271A0B" w14:textId="40DAA817" w:rsidR="00423C49" w:rsidRPr="007368C7" w:rsidRDefault="005B4E2F" w:rsidP="00BC45D4">
            <w:pPr>
              <w:jc w:val="both"/>
              <w:rPr>
                <w:rFonts w:cstheme="minorHAnsi"/>
              </w:rPr>
            </w:pPr>
            <w:r w:rsidRPr="007368C7">
              <w:rPr>
                <w:rFonts w:cstheme="minorHAnsi"/>
              </w:rPr>
              <w:t>I</w:t>
            </w:r>
            <w:r w:rsidR="00094B8B" w:rsidRPr="007368C7">
              <w:rPr>
                <w:rFonts w:cstheme="minorHAnsi"/>
              </w:rPr>
              <w:t>ntencją</w:t>
            </w:r>
            <w:r w:rsidRPr="007368C7">
              <w:rPr>
                <w:rFonts w:cstheme="minorHAnsi"/>
              </w:rPr>
              <w:t xml:space="preserve"> projektu</w:t>
            </w:r>
            <w:r w:rsidR="00094B8B" w:rsidRPr="007368C7">
              <w:rPr>
                <w:rFonts w:cstheme="minorHAnsi"/>
              </w:rPr>
              <w:t xml:space="preserve"> jest</w:t>
            </w:r>
            <w:r w:rsidR="00A934AA" w:rsidRPr="007368C7">
              <w:rPr>
                <w:rFonts w:cstheme="minorHAnsi"/>
              </w:rPr>
              <w:t xml:space="preserve"> </w:t>
            </w:r>
            <w:r w:rsidR="00094B8B" w:rsidRPr="007368C7">
              <w:rPr>
                <w:rFonts w:cstheme="minorHAnsi"/>
              </w:rPr>
              <w:t>pozostawienie sędziemu</w:t>
            </w:r>
            <w:r w:rsidR="00A934AA" w:rsidRPr="007368C7">
              <w:rPr>
                <w:rFonts w:cstheme="minorHAnsi"/>
              </w:rPr>
              <w:t xml:space="preserve"> </w:t>
            </w:r>
            <w:r w:rsidR="00094B8B" w:rsidRPr="007368C7">
              <w:rPr>
                <w:rFonts w:cstheme="minorHAnsi"/>
              </w:rPr>
              <w:lastRenderedPageBreak/>
              <w:t>komisarzowi</w:t>
            </w:r>
            <w:r w:rsidRPr="007368C7">
              <w:rPr>
                <w:rFonts w:cstheme="minorHAnsi"/>
              </w:rPr>
              <w:t xml:space="preserve"> swobody orzeczniczej </w:t>
            </w:r>
            <w:r w:rsidR="00094B8B" w:rsidRPr="007368C7">
              <w:rPr>
                <w:rFonts w:cstheme="minorHAnsi"/>
              </w:rPr>
              <w:t>w ramach nadzoru</w:t>
            </w:r>
            <w:r w:rsidRPr="007368C7">
              <w:rPr>
                <w:rFonts w:cstheme="minorHAnsi"/>
              </w:rPr>
              <w:t xml:space="preserve">. </w:t>
            </w:r>
          </w:p>
          <w:p w14:paraId="4C92B8C0" w14:textId="0D59CFB3" w:rsidR="00153FC2" w:rsidRPr="007368C7" w:rsidRDefault="005B4E2F" w:rsidP="00BC45D4">
            <w:pPr>
              <w:jc w:val="both"/>
              <w:rPr>
                <w:rFonts w:cstheme="minorHAnsi"/>
              </w:rPr>
            </w:pPr>
            <w:r w:rsidRPr="007368C7">
              <w:rPr>
                <w:rFonts w:cstheme="minorHAnsi"/>
              </w:rPr>
              <w:t xml:space="preserve">Ponadto wskazać należy, że </w:t>
            </w:r>
            <w:r w:rsidR="00930302" w:rsidRPr="007368C7">
              <w:rPr>
                <w:rFonts w:cstheme="minorHAnsi"/>
              </w:rPr>
              <w:t>instytucja wysłuchania</w:t>
            </w:r>
            <w:r w:rsidR="00A934AA" w:rsidRPr="007368C7">
              <w:rPr>
                <w:rFonts w:cstheme="minorHAnsi"/>
              </w:rPr>
              <w:t xml:space="preserve"> </w:t>
            </w:r>
            <w:r w:rsidR="00930302" w:rsidRPr="007368C7">
              <w:rPr>
                <w:rFonts w:cstheme="minorHAnsi"/>
              </w:rPr>
              <w:t>uregulowana została w a</w:t>
            </w:r>
            <w:r w:rsidR="00094B8B" w:rsidRPr="007368C7">
              <w:rPr>
                <w:rFonts w:cstheme="minorHAnsi"/>
              </w:rPr>
              <w:t xml:space="preserve">rt. 217 </w:t>
            </w:r>
            <w:r w:rsidRPr="007368C7">
              <w:rPr>
                <w:rFonts w:cstheme="minorHAnsi"/>
              </w:rPr>
              <w:t>P.U</w:t>
            </w:r>
            <w:r w:rsidR="00094B8B" w:rsidRPr="007368C7">
              <w:rPr>
                <w:rFonts w:cstheme="minorHAnsi"/>
              </w:rPr>
              <w:t>.</w:t>
            </w:r>
          </w:p>
        </w:tc>
      </w:tr>
      <w:tr w:rsidR="003B3876" w:rsidRPr="00486628" w14:paraId="6D686AC3" w14:textId="78161C7F" w:rsidTr="00AC5078">
        <w:tc>
          <w:tcPr>
            <w:tcW w:w="158" w:type="pct"/>
          </w:tcPr>
          <w:p w14:paraId="26D40726" w14:textId="2EC78A02" w:rsidR="00343E6B" w:rsidRPr="00486628" w:rsidRDefault="00460465" w:rsidP="00343E6B">
            <w:pPr>
              <w:jc w:val="center"/>
              <w:rPr>
                <w:rFonts w:cstheme="minorHAnsi"/>
              </w:rPr>
            </w:pPr>
            <w:r>
              <w:rPr>
                <w:rFonts w:cstheme="minorHAnsi"/>
              </w:rPr>
              <w:lastRenderedPageBreak/>
              <w:t>3</w:t>
            </w:r>
          </w:p>
        </w:tc>
        <w:tc>
          <w:tcPr>
            <w:tcW w:w="698" w:type="pct"/>
          </w:tcPr>
          <w:p w14:paraId="2F230410" w14:textId="523C9976" w:rsidR="00343E6B" w:rsidRPr="00486628" w:rsidRDefault="00467F6A" w:rsidP="00343E6B">
            <w:pPr>
              <w:jc w:val="both"/>
              <w:rPr>
                <w:rFonts w:cstheme="minorHAnsi"/>
              </w:rPr>
            </w:pPr>
            <w:r>
              <w:rPr>
                <w:rFonts w:cstheme="minorHAnsi"/>
              </w:rPr>
              <w:t>Prokurator Krajowy</w:t>
            </w:r>
          </w:p>
        </w:tc>
        <w:tc>
          <w:tcPr>
            <w:tcW w:w="591" w:type="pct"/>
          </w:tcPr>
          <w:p w14:paraId="6D5FA9AF" w14:textId="2037C178" w:rsidR="00343E6B" w:rsidRPr="00486628" w:rsidRDefault="00711F68" w:rsidP="00343E6B">
            <w:pPr>
              <w:jc w:val="both"/>
              <w:rPr>
                <w:rFonts w:cstheme="minorHAnsi"/>
              </w:rPr>
            </w:pPr>
            <w:r w:rsidRPr="003F549A">
              <w:rPr>
                <w:rFonts w:cstheme="minorHAnsi"/>
                <w:b/>
                <w:bCs/>
              </w:rPr>
              <w:t xml:space="preserve">Art. 1 pkt. 3 </w:t>
            </w:r>
            <w:r w:rsidR="00937F67" w:rsidRPr="003F549A">
              <w:rPr>
                <w:rFonts w:cstheme="minorHAnsi"/>
                <w:b/>
                <w:bCs/>
              </w:rPr>
              <w:t>i art. 2 pkt. 2</w:t>
            </w:r>
            <w:r w:rsidR="00937F67">
              <w:rPr>
                <w:rFonts w:cstheme="minorHAnsi"/>
              </w:rPr>
              <w:t xml:space="preserve"> </w:t>
            </w:r>
            <w:r>
              <w:rPr>
                <w:rFonts w:cstheme="minorHAnsi"/>
              </w:rPr>
              <w:t>(</w:t>
            </w:r>
            <w:r w:rsidR="00467F6A" w:rsidRPr="00467F6A">
              <w:rPr>
                <w:rFonts w:cstheme="minorHAnsi"/>
              </w:rPr>
              <w:t>art. 221 ust. 1a</w:t>
            </w:r>
            <w:r>
              <w:rPr>
                <w:rFonts w:cstheme="minorHAnsi"/>
              </w:rPr>
              <w:t xml:space="preserve"> P.U.</w:t>
            </w:r>
            <w:r w:rsidR="00937F67">
              <w:rPr>
                <w:rFonts w:cstheme="minorHAnsi"/>
              </w:rPr>
              <w:t xml:space="preserve"> oraz art. 199 ust. 1a P.R.</w:t>
            </w:r>
            <w:r>
              <w:rPr>
                <w:rFonts w:cstheme="minorHAnsi"/>
              </w:rPr>
              <w:t>).</w:t>
            </w:r>
          </w:p>
        </w:tc>
        <w:tc>
          <w:tcPr>
            <w:tcW w:w="1418" w:type="pct"/>
          </w:tcPr>
          <w:p w14:paraId="09FD908B" w14:textId="164F11E8" w:rsidR="00343E6B" w:rsidRPr="00462965" w:rsidRDefault="00DE7996" w:rsidP="00462965">
            <w:pPr>
              <w:jc w:val="both"/>
              <w:rPr>
                <w:rFonts w:cstheme="minorHAnsi"/>
              </w:rPr>
            </w:pPr>
            <w:r w:rsidRPr="00462965">
              <w:rPr>
                <w:rFonts w:cstheme="minorHAnsi"/>
              </w:rPr>
              <w:t>Przepis ten przewiduje dokonywanie obwieszczenia w Krajowym Rejestrze</w:t>
            </w:r>
            <w:r w:rsidR="00711F68" w:rsidRPr="00462965">
              <w:rPr>
                <w:rFonts w:cstheme="minorHAnsi"/>
              </w:rPr>
              <w:t xml:space="preserve"> </w:t>
            </w:r>
            <w:r w:rsidRPr="00462965">
              <w:rPr>
                <w:rFonts w:cstheme="minorHAnsi"/>
              </w:rPr>
              <w:t>Zadłużonych mocą decyzji asystenta sędziego albo pracownika sekretariatu, których kompetencje w tym zakresie mają zostać zrównane z tymi, które przysługują sądowi, sędziemu-komisarzowi,</w:t>
            </w:r>
            <w:r w:rsidR="00711F68" w:rsidRPr="00462965">
              <w:rPr>
                <w:rFonts w:cstheme="minorHAnsi"/>
              </w:rPr>
              <w:t xml:space="preserve"> </w:t>
            </w:r>
            <w:r w:rsidRPr="00462965">
              <w:rPr>
                <w:rFonts w:cstheme="minorHAnsi"/>
              </w:rPr>
              <w:t>referendarzowi sądowemu i</w:t>
            </w:r>
            <w:r w:rsidR="00D6385C" w:rsidRPr="00462965">
              <w:rPr>
                <w:rFonts w:cstheme="minorHAnsi"/>
              </w:rPr>
              <w:t xml:space="preserve"> </w:t>
            </w:r>
            <w:r w:rsidRPr="00462965">
              <w:rPr>
                <w:rFonts w:cstheme="minorHAnsi"/>
              </w:rPr>
              <w:t xml:space="preserve">przewodniczącemu. Ze względu na wagę konsekwencji obwieszczenia informacji w KRZ (m.in. związanych z biegiem terminów procesowych), wywierających skutek erga </w:t>
            </w:r>
            <w:proofErr w:type="spellStart"/>
            <w:r w:rsidRPr="00462965">
              <w:rPr>
                <w:rFonts w:cstheme="minorHAnsi"/>
              </w:rPr>
              <w:t>omnes</w:t>
            </w:r>
            <w:proofErr w:type="spellEnd"/>
            <w:r w:rsidRPr="00462965">
              <w:rPr>
                <w:rFonts w:cstheme="minorHAnsi"/>
              </w:rPr>
              <w:t xml:space="preserve">, jak również fakt, że obwieszczaniu nie podlegają wyłącznie orzeczenia, ale również inne dokumenty oraz informacje, które wymagają przed ich obwieszczeniem </w:t>
            </w:r>
            <w:r w:rsidR="001769F3" w:rsidRPr="00462965">
              <w:rPr>
                <w:rFonts w:cstheme="minorHAnsi"/>
              </w:rPr>
              <w:t>stosownego zredagowania</w:t>
            </w:r>
            <w:r w:rsidRPr="00462965">
              <w:rPr>
                <w:rFonts w:cstheme="minorHAnsi"/>
              </w:rPr>
              <w:t>, wysoce celowe jest powierzenie kompetencji w tym zakresie</w:t>
            </w:r>
            <w:r w:rsidR="001769F3" w:rsidRPr="00462965">
              <w:rPr>
                <w:rFonts w:cstheme="minorHAnsi"/>
              </w:rPr>
              <w:t xml:space="preserve"> </w:t>
            </w:r>
            <w:r w:rsidRPr="00462965">
              <w:rPr>
                <w:rFonts w:cstheme="minorHAnsi"/>
              </w:rPr>
              <w:t>wyłącznie organom sądowym i</w:t>
            </w:r>
            <w:r w:rsidR="00FA4250">
              <w:rPr>
                <w:rFonts w:cstheme="minorHAnsi"/>
              </w:rPr>
              <w:t> </w:t>
            </w:r>
            <w:r w:rsidRPr="00462965">
              <w:rPr>
                <w:rFonts w:cstheme="minorHAnsi"/>
              </w:rPr>
              <w:t>osobom uprawnionym do podejmowania decyzji</w:t>
            </w:r>
            <w:r w:rsidR="001769F3" w:rsidRPr="00462965">
              <w:rPr>
                <w:rFonts w:cstheme="minorHAnsi"/>
              </w:rPr>
              <w:t xml:space="preserve"> merytorycznych, które dokonując takich </w:t>
            </w:r>
            <w:proofErr w:type="spellStart"/>
            <w:r w:rsidR="001769F3" w:rsidRPr="00462965">
              <w:rPr>
                <w:rFonts w:cstheme="minorHAnsi"/>
              </w:rPr>
              <w:t>obwieszczeń</w:t>
            </w:r>
            <w:proofErr w:type="spellEnd"/>
            <w:r w:rsidR="001769F3" w:rsidRPr="00462965">
              <w:rPr>
                <w:rFonts w:cstheme="minorHAnsi"/>
              </w:rPr>
              <w:t>, ponoszą równocześnie</w:t>
            </w:r>
            <w:r w:rsidR="00FA4250">
              <w:rPr>
                <w:rFonts w:cstheme="minorHAnsi"/>
              </w:rPr>
              <w:t xml:space="preserve"> </w:t>
            </w:r>
            <w:r w:rsidR="001769F3" w:rsidRPr="00462965">
              <w:rPr>
                <w:rFonts w:cstheme="minorHAnsi"/>
              </w:rPr>
              <w:lastRenderedPageBreak/>
              <w:t xml:space="preserve">odpowiedzialność za prawidłowość wykonania tej czynności. Trudno jest podzielić wyrażony w uzasadnieniu projektu pogląd, że dokonywanie </w:t>
            </w:r>
            <w:proofErr w:type="spellStart"/>
            <w:r w:rsidR="001769F3" w:rsidRPr="00462965">
              <w:rPr>
                <w:rFonts w:cstheme="minorHAnsi"/>
              </w:rPr>
              <w:t>obwieszczeń</w:t>
            </w:r>
            <w:proofErr w:type="spellEnd"/>
            <w:r w:rsidR="001769F3" w:rsidRPr="00462965">
              <w:rPr>
                <w:rFonts w:cstheme="minorHAnsi"/>
              </w:rPr>
              <w:t>, również w systemie teleinformatycznym, stanowi czynność techniczną. Dokonanie</w:t>
            </w:r>
            <w:r w:rsidR="00711F68" w:rsidRPr="00462965">
              <w:rPr>
                <w:rFonts w:cstheme="minorHAnsi"/>
              </w:rPr>
              <w:t xml:space="preserve"> </w:t>
            </w:r>
            <w:r w:rsidR="001769F3" w:rsidRPr="00462965">
              <w:rPr>
                <w:rFonts w:cstheme="minorHAnsi"/>
              </w:rPr>
              <w:t>obwieszczenia w rozumieniu tych przepisów Prawa upadłościowego, w których posłużono się tym określeniem, ma charakter aktu stosowania prawa.</w:t>
            </w:r>
          </w:p>
        </w:tc>
        <w:tc>
          <w:tcPr>
            <w:tcW w:w="1027" w:type="pct"/>
          </w:tcPr>
          <w:p w14:paraId="5F9EE29C" w14:textId="77777777" w:rsidR="00343E6B" w:rsidRPr="00486628" w:rsidRDefault="00343E6B" w:rsidP="00343E6B">
            <w:pPr>
              <w:jc w:val="both"/>
              <w:rPr>
                <w:rFonts w:cstheme="minorHAnsi"/>
              </w:rPr>
            </w:pPr>
          </w:p>
        </w:tc>
        <w:tc>
          <w:tcPr>
            <w:tcW w:w="1108" w:type="pct"/>
          </w:tcPr>
          <w:p w14:paraId="3ADB9A1C" w14:textId="77777777" w:rsidR="00EE63E6" w:rsidRPr="007368C7" w:rsidRDefault="009265BC" w:rsidP="00BC45D4">
            <w:pPr>
              <w:jc w:val="both"/>
              <w:rPr>
                <w:rFonts w:cstheme="minorHAnsi"/>
                <w:b/>
                <w:bCs/>
              </w:rPr>
            </w:pPr>
            <w:r w:rsidRPr="007368C7">
              <w:rPr>
                <w:rFonts w:cstheme="minorHAnsi"/>
                <w:b/>
                <w:bCs/>
              </w:rPr>
              <w:t xml:space="preserve">Uwaga nieuwzględniona </w:t>
            </w:r>
          </w:p>
          <w:p w14:paraId="52468339" w14:textId="6EE6E9B3" w:rsidR="00343E6B" w:rsidRPr="007368C7" w:rsidRDefault="00EE63E6" w:rsidP="00BC45D4">
            <w:pPr>
              <w:jc w:val="both"/>
              <w:rPr>
                <w:rFonts w:cstheme="minorHAnsi"/>
              </w:rPr>
            </w:pPr>
            <w:r w:rsidRPr="007368C7">
              <w:rPr>
                <w:rFonts w:cstheme="minorHAnsi"/>
              </w:rPr>
              <w:t>Odróżnić należy techniczną czynność odnotowania daty prawomocności od stwierdzenia prawomocności orzeczenia (w drodze postanowienia, na wniosek strony). Projekt stanowi usankcjonowanie praktyki już funkcjonującej w sądach (art. 219 ust. 4 P.U.).</w:t>
            </w:r>
          </w:p>
          <w:p w14:paraId="035033BE" w14:textId="431A084B" w:rsidR="009265BC" w:rsidRPr="007368C7" w:rsidRDefault="009265BC" w:rsidP="00BC45D4">
            <w:pPr>
              <w:jc w:val="both"/>
              <w:rPr>
                <w:rFonts w:cstheme="minorHAnsi"/>
              </w:rPr>
            </w:pPr>
            <w:r w:rsidRPr="007368C7">
              <w:rPr>
                <w:rFonts w:cstheme="minorHAnsi"/>
              </w:rPr>
              <w:t>Zmiana jest istotna z punktu widzenia sprawności postępowania. Treść obwieszczenia</w:t>
            </w:r>
            <w:r w:rsidR="00EE63E6" w:rsidRPr="007368C7">
              <w:rPr>
                <w:rFonts w:cstheme="minorHAnsi"/>
              </w:rPr>
              <w:t xml:space="preserve"> generuje się</w:t>
            </w:r>
            <w:r w:rsidRPr="007368C7">
              <w:rPr>
                <w:rFonts w:cstheme="minorHAnsi"/>
              </w:rPr>
              <w:t xml:space="preserve"> </w:t>
            </w:r>
            <w:r w:rsidR="00EE63E6" w:rsidRPr="007368C7">
              <w:rPr>
                <w:rFonts w:cstheme="minorHAnsi"/>
              </w:rPr>
              <w:t xml:space="preserve">automatycznie w systemie teleinformatycznym obsługującym postępowanie sądowe. </w:t>
            </w:r>
          </w:p>
        </w:tc>
      </w:tr>
      <w:tr w:rsidR="003B3876" w:rsidRPr="00486628" w14:paraId="02F565B5" w14:textId="1B3B3893" w:rsidTr="00AC5078">
        <w:tc>
          <w:tcPr>
            <w:tcW w:w="158" w:type="pct"/>
          </w:tcPr>
          <w:p w14:paraId="1FA96A4C" w14:textId="5E38BC99" w:rsidR="00343E6B" w:rsidRPr="00486628" w:rsidRDefault="00460465" w:rsidP="00343E6B">
            <w:pPr>
              <w:jc w:val="center"/>
              <w:rPr>
                <w:rFonts w:cstheme="minorHAnsi"/>
              </w:rPr>
            </w:pPr>
            <w:r>
              <w:rPr>
                <w:rFonts w:cstheme="minorHAnsi"/>
              </w:rPr>
              <w:t>4</w:t>
            </w:r>
          </w:p>
        </w:tc>
        <w:tc>
          <w:tcPr>
            <w:tcW w:w="698" w:type="pct"/>
          </w:tcPr>
          <w:p w14:paraId="415FACCB" w14:textId="7A6625CA" w:rsidR="00343E6B" w:rsidRPr="00486628" w:rsidRDefault="00F92A39" w:rsidP="00343E6B">
            <w:pPr>
              <w:jc w:val="both"/>
              <w:rPr>
                <w:rFonts w:cstheme="minorHAnsi"/>
              </w:rPr>
            </w:pPr>
            <w:r>
              <w:rPr>
                <w:rFonts w:cstheme="minorHAnsi"/>
              </w:rPr>
              <w:t xml:space="preserve">Prokurat Krajowy </w:t>
            </w:r>
          </w:p>
        </w:tc>
        <w:tc>
          <w:tcPr>
            <w:tcW w:w="591" w:type="pct"/>
          </w:tcPr>
          <w:p w14:paraId="0E74B0A8" w14:textId="49E89197" w:rsidR="00343E6B" w:rsidRPr="00486628" w:rsidRDefault="00010C51" w:rsidP="00343E6B">
            <w:pPr>
              <w:jc w:val="both"/>
              <w:rPr>
                <w:rFonts w:cstheme="minorHAnsi"/>
              </w:rPr>
            </w:pPr>
            <w:r w:rsidRPr="003F549A">
              <w:rPr>
                <w:rFonts w:cstheme="minorHAnsi"/>
                <w:b/>
                <w:bCs/>
              </w:rPr>
              <w:t>Art. 1 pkt 5 i 7</w:t>
            </w:r>
            <w:r w:rsidR="00C00CD1" w:rsidRPr="003F549A">
              <w:rPr>
                <w:rFonts w:cstheme="minorHAnsi"/>
                <w:b/>
                <w:bCs/>
              </w:rPr>
              <w:t>, oraz pkt 17 i 18</w:t>
            </w:r>
            <w:r>
              <w:rPr>
                <w:rFonts w:cstheme="minorHAnsi"/>
              </w:rPr>
              <w:t xml:space="preserve"> (u</w:t>
            </w:r>
            <w:r w:rsidR="00F05DD5" w:rsidRPr="00F05DD5">
              <w:rPr>
                <w:rFonts w:cstheme="minorHAnsi"/>
              </w:rPr>
              <w:t>chylenie art. 370b</w:t>
            </w:r>
            <w:r w:rsidR="00654C2E">
              <w:rPr>
                <w:rFonts w:cstheme="minorHAnsi"/>
              </w:rPr>
              <w:t xml:space="preserve"> i zmiana </w:t>
            </w:r>
            <w:r>
              <w:rPr>
                <w:rFonts w:cstheme="minorHAnsi"/>
              </w:rPr>
              <w:t xml:space="preserve">art. </w:t>
            </w:r>
            <w:r w:rsidR="00654C2E">
              <w:rPr>
                <w:rFonts w:cstheme="minorHAnsi"/>
              </w:rPr>
              <w:t>370d</w:t>
            </w:r>
            <w:r>
              <w:rPr>
                <w:rFonts w:cstheme="minorHAnsi"/>
              </w:rPr>
              <w:t>.</w:t>
            </w:r>
            <w:r w:rsidR="00C00CD1">
              <w:rPr>
                <w:rFonts w:cstheme="minorHAnsi"/>
              </w:rPr>
              <w:t xml:space="preserve"> oraz art. 491</w:t>
            </w:r>
            <w:r w:rsidR="00C00CD1">
              <w:rPr>
                <w:rFonts w:cstheme="minorHAnsi"/>
                <w:vertAlign w:val="superscript"/>
              </w:rPr>
              <w:t xml:space="preserve">18 </w:t>
            </w:r>
            <w:r w:rsidR="00C00CD1">
              <w:rPr>
                <w:rFonts w:cstheme="minorHAnsi"/>
              </w:rPr>
              <w:t>i art. 491</w:t>
            </w:r>
            <w:r w:rsidR="00C00CD1">
              <w:rPr>
                <w:rFonts w:cstheme="minorHAnsi"/>
                <w:vertAlign w:val="superscript"/>
              </w:rPr>
              <w:t>19</w:t>
            </w:r>
            <w:r w:rsidR="00AA42B3">
              <w:rPr>
                <w:rFonts w:cstheme="minorHAnsi"/>
                <w:vertAlign w:val="superscript"/>
              </w:rPr>
              <w:t xml:space="preserve"> </w:t>
            </w:r>
            <w:r w:rsidR="00AA42B3">
              <w:rPr>
                <w:rFonts w:cstheme="minorHAnsi"/>
              </w:rPr>
              <w:t>P.U.</w:t>
            </w:r>
            <w:r>
              <w:rPr>
                <w:rFonts w:cstheme="minorHAnsi"/>
              </w:rPr>
              <w:t>)</w:t>
            </w:r>
          </w:p>
        </w:tc>
        <w:tc>
          <w:tcPr>
            <w:tcW w:w="1418" w:type="pct"/>
          </w:tcPr>
          <w:p w14:paraId="355E9E38" w14:textId="4023A758" w:rsidR="00F05DD5" w:rsidRPr="00462965" w:rsidRDefault="00F05DD5" w:rsidP="00462965">
            <w:pPr>
              <w:jc w:val="both"/>
              <w:rPr>
                <w:rFonts w:cstheme="minorHAnsi"/>
              </w:rPr>
            </w:pPr>
            <w:r w:rsidRPr="00462965">
              <w:rPr>
                <w:rFonts w:cstheme="minorHAnsi"/>
              </w:rPr>
              <w:t>Zmianę tę należy ocenić krytycznie. W</w:t>
            </w:r>
            <w:r w:rsidR="00010C51" w:rsidRPr="00462965">
              <w:rPr>
                <w:rFonts w:cstheme="minorHAnsi"/>
              </w:rPr>
              <w:t> </w:t>
            </w:r>
            <w:r w:rsidRPr="00462965">
              <w:rPr>
                <w:rFonts w:cstheme="minorHAnsi"/>
              </w:rPr>
              <w:t xml:space="preserve">uzasadnieniu jako w praktyce </w:t>
            </w:r>
            <w:r w:rsidR="00654C2E" w:rsidRPr="00462965">
              <w:rPr>
                <w:rFonts w:cstheme="minorHAnsi"/>
              </w:rPr>
              <w:t>jedyny argument</w:t>
            </w:r>
            <w:r w:rsidRPr="00462965">
              <w:rPr>
                <w:rFonts w:cstheme="minorHAnsi"/>
              </w:rPr>
              <w:t xml:space="preserve"> powołano, że „postępowanie upadłościowe co do zasady ma charakter</w:t>
            </w:r>
            <w:r w:rsidR="00654C2E" w:rsidRPr="00462965">
              <w:rPr>
                <w:rFonts w:cstheme="minorHAnsi"/>
              </w:rPr>
              <w:t xml:space="preserve"> </w:t>
            </w:r>
            <w:r w:rsidRPr="00462965">
              <w:rPr>
                <w:rFonts w:cstheme="minorHAnsi"/>
              </w:rPr>
              <w:t>wykonawczy, a w postępowaniach wykonawczych (analogicznie w postępowaniu</w:t>
            </w:r>
            <w:r w:rsidR="00654C2E" w:rsidRPr="00462965">
              <w:rPr>
                <w:rFonts w:cstheme="minorHAnsi"/>
              </w:rPr>
              <w:t xml:space="preserve"> </w:t>
            </w:r>
            <w:r w:rsidRPr="00462965">
              <w:rPr>
                <w:rFonts w:cstheme="minorHAnsi"/>
              </w:rPr>
              <w:t>egzekucyjnym)</w:t>
            </w:r>
            <w:r w:rsidR="00D6385C" w:rsidRPr="00462965">
              <w:rPr>
                <w:rFonts w:cstheme="minorHAnsi"/>
              </w:rPr>
              <w:t xml:space="preserve"> </w:t>
            </w:r>
            <w:r w:rsidRPr="00462965">
              <w:rPr>
                <w:rFonts w:cstheme="minorHAnsi"/>
              </w:rPr>
              <w:t>nadzwyczajny środek zaskarżenia w postaci skargi kasacyjnej nie</w:t>
            </w:r>
            <w:r w:rsidR="00654C2E" w:rsidRPr="00462965">
              <w:rPr>
                <w:rFonts w:cstheme="minorHAnsi"/>
              </w:rPr>
              <w:t xml:space="preserve"> </w:t>
            </w:r>
            <w:r w:rsidRPr="00462965">
              <w:rPr>
                <w:rFonts w:cstheme="minorHAnsi"/>
              </w:rPr>
              <w:t>występuje”, w związku z czym proponowane uchylenie podstawy do wniesienia takiej</w:t>
            </w:r>
            <w:r w:rsidR="00654C2E" w:rsidRPr="00462965">
              <w:rPr>
                <w:rFonts w:cstheme="minorHAnsi"/>
              </w:rPr>
              <w:t xml:space="preserve"> </w:t>
            </w:r>
            <w:r w:rsidRPr="00462965">
              <w:rPr>
                <w:rFonts w:cstheme="minorHAnsi"/>
              </w:rPr>
              <w:t>skargi zapewni „spójność systemową”. Argument ten jest nieprzekonujący i nie</w:t>
            </w:r>
            <w:r w:rsidR="00654C2E" w:rsidRPr="00462965">
              <w:rPr>
                <w:rFonts w:cstheme="minorHAnsi"/>
              </w:rPr>
              <w:t xml:space="preserve"> </w:t>
            </w:r>
            <w:r w:rsidRPr="00462965">
              <w:rPr>
                <w:rFonts w:cstheme="minorHAnsi"/>
              </w:rPr>
              <w:t>wytrzymuje krytyki w zestawieniu z racjami, które leżały u podstaw wprowadzenia</w:t>
            </w:r>
            <w:r w:rsidR="00654C2E" w:rsidRPr="00462965">
              <w:rPr>
                <w:rFonts w:cstheme="minorHAnsi"/>
              </w:rPr>
              <w:t xml:space="preserve"> </w:t>
            </w:r>
            <w:r w:rsidRPr="00462965">
              <w:rPr>
                <w:rFonts w:cstheme="minorHAnsi"/>
              </w:rPr>
              <w:t>możliwości wniesienia skargi kasacyjnej od postanowień sądu drugiej instancji</w:t>
            </w:r>
            <w:r w:rsidR="00654C2E" w:rsidRPr="00462965">
              <w:rPr>
                <w:rFonts w:cstheme="minorHAnsi"/>
              </w:rPr>
              <w:t xml:space="preserve"> </w:t>
            </w:r>
            <w:r w:rsidRPr="00462965">
              <w:rPr>
                <w:rFonts w:cstheme="minorHAnsi"/>
              </w:rPr>
              <w:t>wskazanych w uchylanym przepisie, co nastąpiło ustawą z dnia 15 maja 2015 r. -</w:t>
            </w:r>
          </w:p>
          <w:p w14:paraId="2DA9C665" w14:textId="5FC29D1C" w:rsidR="00343E6B" w:rsidRPr="00462965" w:rsidRDefault="00F05DD5" w:rsidP="00462965">
            <w:pPr>
              <w:jc w:val="both"/>
              <w:rPr>
                <w:rFonts w:cstheme="minorHAnsi"/>
              </w:rPr>
            </w:pPr>
            <w:r w:rsidRPr="00462965">
              <w:rPr>
                <w:rFonts w:cstheme="minorHAnsi"/>
              </w:rPr>
              <w:t>Prawo restrukturyzacyjne (Dz. U. poz. 978), zmieniająca Prawo upadłościowe z dniem 1 stycznia 2016 r. Racje te</w:t>
            </w:r>
            <w:r w:rsidR="00654C2E" w:rsidRPr="00462965">
              <w:rPr>
                <w:rFonts w:cstheme="minorHAnsi"/>
              </w:rPr>
              <w:t xml:space="preserve"> </w:t>
            </w:r>
            <w:r w:rsidRPr="00462965">
              <w:rPr>
                <w:rFonts w:cstheme="minorHAnsi"/>
              </w:rPr>
              <w:t xml:space="preserve">trafnie wyrażono w piśmiennictwie w następujący sposób: „z uwagi na </w:t>
            </w:r>
            <w:r w:rsidR="00654C2E" w:rsidRPr="00462965">
              <w:rPr>
                <w:rFonts w:cstheme="minorHAnsi"/>
              </w:rPr>
              <w:t>wyjątkową doniosłość</w:t>
            </w:r>
            <w:r w:rsidRPr="00462965">
              <w:rPr>
                <w:rFonts w:cstheme="minorHAnsi"/>
              </w:rPr>
              <w:t xml:space="preserve"> prawną i ekonomiczną oddłużenia przedsiębiorcy jednoosobowego,</w:t>
            </w:r>
            <w:r w:rsidR="00654C2E" w:rsidRPr="00462965">
              <w:rPr>
                <w:rFonts w:cstheme="minorHAnsi"/>
              </w:rPr>
              <w:t xml:space="preserve"> </w:t>
            </w:r>
            <w:r w:rsidRPr="00462965">
              <w:rPr>
                <w:rFonts w:cstheme="minorHAnsi"/>
              </w:rPr>
              <w:t xml:space="preserve">co w praktyce oznacza </w:t>
            </w:r>
            <w:r w:rsidRPr="00462965">
              <w:rPr>
                <w:rFonts w:cstheme="minorHAnsi"/>
              </w:rPr>
              <w:lastRenderedPageBreak/>
              <w:t>wywłaszczenie wierzycieli z ich praw i przeniesienie na nich</w:t>
            </w:r>
            <w:r w:rsidR="00654C2E" w:rsidRPr="00462965">
              <w:rPr>
                <w:rFonts w:cstheme="minorHAnsi"/>
              </w:rPr>
              <w:t xml:space="preserve"> </w:t>
            </w:r>
            <w:r w:rsidRPr="00462965">
              <w:rPr>
                <w:rFonts w:cstheme="minorHAnsi"/>
              </w:rPr>
              <w:t>ciężaru finansowego oddłużenia, ustawodawca przewidział możliwość wniesienia</w:t>
            </w:r>
            <w:r w:rsidR="00654C2E" w:rsidRPr="00462965">
              <w:rPr>
                <w:rFonts w:cstheme="minorHAnsi"/>
              </w:rPr>
              <w:t xml:space="preserve"> </w:t>
            </w:r>
            <w:r w:rsidRPr="00462965">
              <w:rPr>
                <w:rFonts w:cstheme="minorHAnsi"/>
              </w:rPr>
              <w:t>skargi kasacyjnej od postanowienia sądu drugiej instancji o ustaleniu planu spłaty</w:t>
            </w:r>
            <w:r w:rsidR="00654C2E" w:rsidRPr="00462965">
              <w:rPr>
                <w:rFonts w:cstheme="minorHAnsi"/>
              </w:rPr>
              <w:t xml:space="preserve"> </w:t>
            </w:r>
            <w:r w:rsidRPr="00462965">
              <w:rPr>
                <w:rFonts w:cstheme="minorHAnsi"/>
              </w:rPr>
              <w:t>wierzycieli bądź postanowienia o umorzeniu zobowiązań bez jego ustalenia, bądź</w:t>
            </w:r>
            <w:r w:rsidR="00654C2E" w:rsidRPr="00462965">
              <w:rPr>
                <w:rFonts w:cstheme="minorHAnsi"/>
              </w:rPr>
              <w:t xml:space="preserve"> </w:t>
            </w:r>
            <w:r w:rsidRPr="00462965">
              <w:rPr>
                <w:rFonts w:cstheme="minorHAnsi"/>
              </w:rPr>
              <w:t xml:space="preserve">postanowienia o warunkowym umorzeniu zobowiązań” </w:t>
            </w:r>
          </w:p>
        </w:tc>
        <w:tc>
          <w:tcPr>
            <w:tcW w:w="1027" w:type="pct"/>
          </w:tcPr>
          <w:p w14:paraId="652CCE5B" w14:textId="77777777" w:rsidR="00343E6B" w:rsidRPr="00486628" w:rsidRDefault="00343E6B" w:rsidP="00343E6B">
            <w:pPr>
              <w:jc w:val="both"/>
              <w:rPr>
                <w:rFonts w:cstheme="minorHAnsi"/>
              </w:rPr>
            </w:pPr>
          </w:p>
        </w:tc>
        <w:tc>
          <w:tcPr>
            <w:tcW w:w="1108" w:type="pct"/>
          </w:tcPr>
          <w:p w14:paraId="6E7C99E2" w14:textId="5FADF550" w:rsidR="00EE63E6" w:rsidRPr="007368C7" w:rsidRDefault="00EE63E6" w:rsidP="00BC45D4">
            <w:pPr>
              <w:jc w:val="both"/>
              <w:rPr>
                <w:rFonts w:cstheme="minorHAnsi"/>
                <w:b/>
                <w:bCs/>
              </w:rPr>
            </w:pPr>
            <w:r w:rsidRPr="007368C7">
              <w:rPr>
                <w:rFonts w:cstheme="minorHAnsi"/>
                <w:b/>
                <w:bCs/>
              </w:rPr>
              <w:t>Uwaga nieuwzględniona</w:t>
            </w:r>
          </w:p>
          <w:p w14:paraId="03A60153" w14:textId="7E7D3D3B" w:rsidR="00343E6B" w:rsidRPr="007368C7" w:rsidRDefault="00EE63E6" w:rsidP="00BC45D4">
            <w:pPr>
              <w:jc w:val="both"/>
              <w:rPr>
                <w:rFonts w:cstheme="minorHAnsi"/>
              </w:rPr>
            </w:pPr>
            <w:r w:rsidRPr="007368C7">
              <w:rPr>
                <w:rFonts w:cstheme="minorHAnsi"/>
              </w:rPr>
              <w:t>W zakresie zniesienie skargi kasacyjnej – po pierwsze, w postępowaniach tych skarga ma znikome zastosowanie w praktyce.  Ponadto, biorąc pod uwagę ustawowe przesłanki umorzenia zobowiązań oraz ustalenia lub zmiany planu spłaty wierzycieli, wskazać należy, że ogniskują się one przede wszystkim wokół materii dotyczącej ustaleń faktycznych (w zakresie możliwości zarobkowych upadłego i jego sytuacji osobistej, przyczyn powstania stanu niewypłacalności, stopnia winy w dorowadzeniu do stanu niewypłacalności, a także co do przesłanek humanitaryzmu i słuszności), a nie sfery interpretacji przepisów prawa. Kwestia ustaleń faktycznych nie mieści się w zakresie kontroli kasacyjnej sprawowanej przez Sąd Najwyższy</w:t>
            </w:r>
            <w:r w:rsidR="008C40E2" w:rsidRPr="007368C7">
              <w:rPr>
                <w:rFonts w:cstheme="minorHAnsi"/>
              </w:rPr>
              <w:t>.</w:t>
            </w:r>
          </w:p>
          <w:p w14:paraId="49F61846" w14:textId="1BDB3869" w:rsidR="008C40E2" w:rsidRPr="007368C7" w:rsidRDefault="008C40E2" w:rsidP="00BC45D4">
            <w:pPr>
              <w:jc w:val="both"/>
              <w:rPr>
                <w:rFonts w:cstheme="minorHAnsi"/>
              </w:rPr>
            </w:pPr>
            <w:r w:rsidRPr="007368C7">
              <w:rPr>
                <w:rFonts w:cstheme="minorHAnsi"/>
              </w:rPr>
              <w:lastRenderedPageBreak/>
              <w:t>Problematyka zapewnienia spójności orzeczniczej w sprawach dotyczących oddłużenia jest gwarantowana instytucją pytań prawnych do Sądu Najwyższego.</w:t>
            </w:r>
          </w:p>
        </w:tc>
      </w:tr>
      <w:tr w:rsidR="003B3876" w:rsidRPr="00486628" w14:paraId="68B858D8" w14:textId="0FA4F099" w:rsidTr="00AC5078">
        <w:tc>
          <w:tcPr>
            <w:tcW w:w="158" w:type="pct"/>
          </w:tcPr>
          <w:p w14:paraId="3ACA2E91" w14:textId="67F8282A" w:rsidR="00343E6B" w:rsidRPr="00486628" w:rsidRDefault="00460465" w:rsidP="00343E6B">
            <w:pPr>
              <w:jc w:val="center"/>
              <w:rPr>
                <w:rFonts w:cstheme="minorHAnsi"/>
              </w:rPr>
            </w:pPr>
            <w:r>
              <w:rPr>
                <w:rFonts w:cstheme="minorHAnsi"/>
              </w:rPr>
              <w:lastRenderedPageBreak/>
              <w:t>5</w:t>
            </w:r>
          </w:p>
        </w:tc>
        <w:tc>
          <w:tcPr>
            <w:tcW w:w="698" w:type="pct"/>
          </w:tcPr>
          <w:p w14:paraId="796945F1" w14:textId="2A34066E" w:rsidR="00343E6B" w:rsidRPr="00486628" w:rsidRDefault="008D0DD1" w:rsidP="00343E6B">
            <w:pPr>
              <w:jc w:val="both"/>
              <w:rPr>
                <w:rFonts w:cstheme="minorHAnsi"/>
              </w:rPr>
            </w:pPr>
            <w:r>
              <w:rPr>
                <w:rFonts w:cstheme="minorHAnsi"/>
              </w:rPr>
              <w:t xml:space="preserve">Prokurator Krajowy </w:t>
            </w:r>
          </w:p>
        </w:tc>
        <w:tc>
          <w:tcPr>
            <w:tcW w:w="591" w:type="pct"/>
          </w:tcPr>
          <w:p w14:paraId="56AD2383" w14:textId="54C2F871" w:rsidR="00343E6B" w:rsidRPr="00486628" w:rsidRDefault="009D2B3A" w:rsidP="00343E6B">
            <w:pPr>
              <w:jc w:val="both"/>
              <w:rPr>
                <w:rFonts w:cstheme="minorHAnsi"/>
              </w:rPr>
            </w:pPr>
            <w:r w:rsidRPr="003F549A">
              <w:rPr>
                <w:rFonts w:cstheme="minorHAnsi"/>
                <w:b/>
                <w:bCs/>
              </w:rPr>
              <w:t>Art. 1 pkt. 9</w:t>
            </w:r>
            <w:r w:rsidR="00937F67" w:rsidRPr="003F549A">
              <w:rPr>
                <w:rFonts w:cstheme="minorHAnsi"/>
                <w:b/>
                <w:bCs/>
              </w:rPr>
              <w:t xml:space="preserve"> i pkt. 20</w:t>
            </w:r>
            <w:r>
              <w:rPr>
                <w:rFonts w:cstheme="minorHAnsi"/>
              </w:rPr>
              <w:t xml:space="preserve"> (a</w:t>
            </w:r>
            <w:r w:rsidR="008D0DD1">
              <w:rPr>
                <w:rFonts w:cstheme="minorHAnsi"/>
              </w:rPr>
              <w:t xml:space="preserve">rt. </w:t>
            </w:r>
            <w:r w:rsidR="008D0DD1" w:rsidRPr="008D0DD1">
              <w:rPr>
                <w:rFonts w:cstheme="minorHAnsi"/>
              </w:rPr>
              <w:t>370f ust. 1</w:t>
            </w:r>
            <w:r w:rsidR="00937F67">
              <w:rPr>
                <w:rFonts w:cstheme="minorHAnsi"/>
              </w:rPr>
              <w:t xml:space="preserve"> i art. 491</w:t>
            </w:r>
            <w:r w:rsidR="00937F67">
              <w:rPr>
                <w:rFonts w:cstheme="minorHAnsi"/>
                <w:vertAlign w:val="superscript"/>
              </w:rPr>
              <w:t>21</w:t>
            </w:r>
            <w:r>
              <w:rPr>
                <w:rFonts w:cstheme="minorHAnsi"/>
              </w:rPr>
              <w:t xml:space="preserve"> P.U.). </w:t>
            </w:r>
          </w:p>
        </w:tc>
        <w:tc>
          <w:tcPr>
            <w:tcW w:w="1418" w:type="pct"/>
          </w:tcPr>
          <w:p w14:paraId="4B384742" w14:textId="437EE49F" w:rsidR="00343E6B" w:rsidRPr="00462965" w:rsidRDefault="008D0DD1" w:rsidP="00462965">
            <w:pPr>
              <w:jc w:val="both"/>
              <w:rPr>
                <w:rFonts w:cstheme="minorHAnsi"/>
              </w:rPr>
            </w:pPr>
            <w:r w:rsidRPr="00462965">
              <w:rPr>
                <w:rFonts w:cstheme="minorHAnsi"/>
              </w:rPr>
              <w:t>Projektowane brzmienie radykalnie przemodeluje obecnie obowiązujący</w:t>
            </w:r>
            <w:r w:rsidR="00C00CD1" w:rsidRPr="00462965">
              <w:rPr>
                <w:rFonts w:cstheme="minorHAnsi"/>
              </w:rPr>
              <w:t xml:space="preserve"> </w:t>
            </w:r>
            <w:r w:rsidRPr="00462965">
              <w:rPr>
                <w:rFonts w:cstheme="minorHAnsi"/>
              </w:rPr>
              <w:t>przepis, w szczególności poprzez eliminację z jego treści podstawy do wydania przez</w:t>
            </w:r>
            <w:r w:rsidR="00C00CD1" w:rsidRPr="00462965">
              <w:rPr>
                <w:rFonts w:cstheme="minorHAnsi"/>
              </w:rPr>
              <w:t xml:space="preserve"> </w:t>
            </w:r>
            <w:r w:rsidRPr="00462965">
              <w:rPr>
                <w:rFonts w:cstheme="minorHAnsi"/>
              </w:rPr>
              <w:t>sąd postanowienia o stwierdzeniu wykonania planu spłaty i umorzeniu zobowiązań</w:t>
            </w:r>
            <w:r w:rsidR="006733AA" w:rsidRPr="00462965">
              <w:rPr>
                <w:rFonts w:cstheme="minorHAnsi"/>
              </w:rPr>
              <w:t xml:space="preserve"> </w:t>
            </w:r>
            <w:r w:rsidRPr="00462965">
              <w:rPr>
                <w:rFonts w:cstheme="minorHAnsi"/>
              </w:rPr>
              <w:t>upadłego, o których mowa w art. 369 ust. 1, niewykonanych w wyniku realizacji planu</w:t>
            </w:r>
            <w:r w:rsidR="006733AA" w:rsidRPr="00462965">
              <w:rPr>
                <w:rFonts w:cstheme="minorHAnsi"/>
              </w:rPr>
              <w:t xml:space="preserve"> </w:t>
            </w:r>
            <w:r w:rsidRPr="00462965">
              <w:rPr>
                <w:rFonts w:cstheme="minorHAnsi"/>
              </w:rPr>
              <w:t>spłaty wierzycieli. Uzasadnienie projektu należycie nie wyjaśnia, czy projektodawcy</w:t>
            </w:r>
            <w:r w:rsidR="006733AA" w:rsidRPr="00462965">
              <w:rPr>
                <w:rFonts w:cstheme="minorHAnsi"/>
              </w:rPr>
              <w:t xml:space="preserve"> </w:t>
            </w:r>
            <w:r w:rsidRPr="00462965">
              <w:rPr>
                <w:rFonts w:cstheme="minorHAnsi"/>
              </w:rPr>
              <w:t>przewidują zniesienie potrzeby wydawania takiego postanowienia, w szczególności</w:t>
            </w:r>
            <w:r w:rsidR="006733AA" w:rsidRPr="00462965">
              <w:rPr>
                <w:rFonts w:cstheme="minorHAnsi"/>
              </w:rPr>
              <w:t xml:space="preserve"> </w:t>
            </w:r>
            <w:r w:rsidRPr="00462965">
              <w:rPr>
                <w:rFonts w:cstheme="minorHAnsi"/>
              </w:rPr>
              <w:t>w zakresie odnoszącym się do stwierdzenia wykonania planu spłaty (w odniesieniu do</w:t>
            </w:r>
            <w:r w:rsidR="006733AA" w:rsidRPr="00462965">
              <w:rPr>
                <w:rFonts w:cstheme="minorHAnsi"/>
              </w:rPr>
              <w:t xml:space="preserve"> </w:t>
            </w:r>
            <w:r w:rsidRPr="00462965">
              <w:rPr>
                <w:rFonts w:cstheme="minorHAnsi"/>
              </w:rPr>
              <w:t>umorzenia zobowiązań upadłego powołano się na: „przyjęcie zasady, że do umorzenia</w:t>
            </w:r>
            <w:r w:rsidR="006733AA" w:rsidRPr="00462965">
              <w:rPr>
                <w:rFonts w:cstheme="minorHAnsi"/>
              </w:rPr>
              <w:t xml:space="preserve"> </w:t>
            </w:r>
            <w:r w:rsidRPr="00462965">
              <w:rPr>
                <w:rFonts w:cstheme="minorHAnsi"/>
              </w:rPr>
              <w:t>zobowiązań upadłego dochodzi z mocy prawa po upływie 3 miesięcy od zakończenia</w:t>
            </w:r>
            <w:r w:rsidR="00C00CD1" w:rsidRPr="00462965">
              <w:rPr>
                <w:rFonts w:cstheme="minorHAnsi"/>
              </w:rPr>
              <w:t xml:space="preserve"> </w:t>
            </w:r>
            <w:r w:rsidRPr="00462965">
              <w:rPr>
                <w:rFonts w:cstheme="minorHAnsi"/>
              </w:rPr>
              <w:t>realizacji planu spłaty wierzycieli, pod warunkiem, że plan spłaty wierzycieli nie</w:t>
            </w:r>
            <w:r w:rsidR="00C00CD1" w:rsidRPr="00462965">
              <w:rPr>
                <w:rFonts w:cstheme="minorHAnsi"/>
              </w:rPr>
              <w:t xml:space="preserve"> </w:t>
            </w:r>
            <w:r w:rsidRPr="00462965">
              <w:rPr>
                <w:rFonts w:cstheme="minorHAnsi"/>
              </w:rPr>
              <w:t>został przez sąd uchylony ani zmieniony”), a jeżeli odpowiedź na to pytanie jest</w:t>
            </w:r>
            <w:r w:rsidR="00C00CD1" w:rsidRPr="00462965">
              <w:rPr>
                <w:rFonts w:cstheme="minorHAnsi"/>
              </w:rPr>
              <w:t xml:space="preserve"> </w:t>
            </w:r>
            <w:r w:rsidRPr="00462965">
              <w:rPr>
                <w:rFonts w:cstheme="minorHAnsi"/>
              </w:rPr>
              <w:t>pozytywna, jaki właściwie istotny cel poza redukcją czynności sądu w ten sposób</w:t>
            </w:r>
            <w:r w:rsidR="00C00CD1" w:rsidRPr="00462965">
              <w:rPr>
                <w:rFonts w:cstheme="minorHAnsi"/>
              </w:rPr>
              <w:t xml:space="preserve"> </w:t>
            </w:r>
            <w:r w:rsidRPr="00462965">
              <w:rPr>
                <w:rFonts w:cstheme="minorHAnsi"/>
              </w:rPr>
              <w:t xml:space="preserve">zostanie osiągnięty. Bez wątpienia zrodzi się bowiem ryzyko skutku przeciwnego, </w:t>
            </w:r>
            <w:r w:rsidRPr="00462965">
              <w:rPr>
                <w:rFonts w:cstheme="minorHAnsi"/>
              </w:rPr>
              <w:lastRenderedPageBreak/>
              <w:t xml:space="preserve">a mianowicie radykalnego osłabienia ochrony interesów wierzycieli, poprzez pozbawienie możliwości zaskarżenia orzeczenia sądu stwierdzającego wykonanie przez upadłego planu spłaty, wymaganego przez aktualny stan prawny, którego prawidłowość, skoro opiera się ono na konieczności ustalenia, że upadły wykonał obowiązki określone w planie spłaty wierzycieli, powinna podlegać możliwości kontroli instancyjnej. Zmiana ta, pomimo dostrzeżenia faktu, że jej negatywne, wskazane powyżej konsekwencje starano się substytuować możliwościami wnoszenia przez wierzycieli zażaleń na postanowienia w przedmiocie wniosków o uchylenie planu spłaty wierzycieli oraz w przedmiocie zmiany planu spłaty wierzycieli, wydawane na podstawie art. 370d ust. 1 i la oraz na postanowienie o uchyleniu planu spłaty wierzycieli, wydawane na podstawie art. 370e ust. 1, może wzbudzać zasadnicze wątpliwości natury konstytucyjnej. Prowadzić bowiem będzie </w:t>
            </w:r>
            <w:r w:rsidR="00823A7C" w:rsidRPr="00462965">
              <w:rPr>
                <w:rFonts w:cstheme="minorHAnsi"/>
              </w:rPr>
              <w:t>do faktycznego</w:t>
            </w:r>
            <w:r w:rsidRPr="00462965">
              <w:rPr>
                <w:rFonts w:cstheme="minorHAnsi"/>
              </w:rPr>
              <w:t xml:space="preserve"> ograniczenia prawa do sądu, sprowadzając się do ukształtowania</w:t>
            </w:r>
            <w:r w:rsidR="00C00CD1" w:rsidRPr="00462965">
              <w:rPr>
                <w:rFonts w:cstheme="minorHAnsi"/>
              </w:rPr>
              <w:t xml:space="preserve"> </w:t>
            </w:r>
            <w:r w:rsidRPr="00462965">
              <w:rPr>
                <w:rFonts w:cstheme="minorHAnsi"/>
              </w:rPr>
              <w:t xml:space="preserve">normatywnej konstrukcji wywierającej </w:t>
            </w:r>
            <w:r w:rsidRPr="00462965">
              <w:rPr>
                <w:rFonts w:cstheme="minorHAnsi"/>
                <w:i/>
                <w:iCs/>
              </w:rPr>
              <w:t xml:space="preserve">ex lege </w:t>
            </w:r>
            <w:r w:rsidRPr="00462965">
              <w:rPr>
                <w:rFonts w:cstheme="minorHAnsi"/>
              </w:rPr>
              <w:t>skutek konstytutywny godzący w przysługujące wierzycielom prawa majątkowe, bez możliwości zainicjowania przez</w:t>
            </w:r>
            <w:r w:rsidR="00823A7C" w:rsidRPr="00462965">
              <w:rPr>
                <w:rFonts w:cstheme="minorHAnsi"/>
              </w:rPr>
              <w:t xml:space="preserve"> </w:t>
            </w:r>
            <w:r w:rsidRPr="00462965">
              <w:rPr>
                <w:rFonts w:cstheme="minorHAnsi"/>
              </w:rPr>
              <w:t>wierzycieli efektywnej kontroli instancyjnej rozstrzygnięć sądowych, z których te</w:t>
            </w:r>
            <w:r w:rsidR="00823A7C" w:rsidRPr="00462965">
              <w:rPr>
                <w:rFonts w:cstheme="minorHAnsi"/>
              </w:rPr>
              <w:t xml:space="preserve"> </w:t>
            </w:r>
            <w:r w:rsidRPr="00462965">
              <w:rPr>
                <w:rFonts w:cstheme="minorHAnsi"/>
              </w:rPr>
              <w:t>negatywne konsekwencje dla nich będą wynikać</w:t>
            </w:r>
            <w:r w:rsidR="00C00CD1" w:rsidRPr="00462965">
              <w:rPr>
                <w:rFonts w:cstheme="minorHAnsi"/>
              </w:rPr>
              <w:t>.</w:t>
            </w:r>
          </w:p>
        </w:tc>
        <w:tc>
          <w:tcPr>
            <w:tcW w:w="1027" w:type="pct"/>
          </w:tcPr>
          <w:p w14:paraId="491293AE" w14:textId="77777777" w:rsidR="00343E6B" w:rsidRPr="00486628" w:rsidRDefault="00343E6B" w:rsidP="00343E6B">
            <w:pPr>
              <w:jc w:val="both"/>
              <w:rPr>
                <w:rFonts w:cstheme="minorHAnsi"/>
              </w:rPr>
            </w:pPr>
          </w:p>
        </w:tc>
        <w:tc>
          <w:tcPr>
            <w:tcW w:w="1108" w:type="pct"/>
          </w:tcPr>
          <w:p w14:paraId="63DE2ACE" w14:textId="77777777" w:rsidR="00146CCD" w:rsidRPr="007368C7" w:rsidRDefault="00EE7F8A" w:rsidP="00BC45D4">
            <w:pPr>
              <w:jc w:val="both"/>
              <w:rPr>
                <w:rFonts w:cstheme="minorHAnsi"/>
                <w:b/>
                <w:bCs/>
              </w:rPr>
            </w:pPr>
            <w:r w:rsidRPr="007368C7">
              <w:rPr>
                <w:rFonts w:cstheme="minorHAnsi"/>
                <w:b/>
                <w:bCs/>
              </w:rPr>
              <w:t>Uwaga nieuwzględniona</w:t>
            </w:r>
          </w:p>
          <w:p w14:paraId="2C41E357" w14:textId="6028F2F1" w:rsidR="00A84A71" w:rsidRPr="007368C7" w:rsidRDefault="00146CCD" w:rsidP="00BC45D4">
            <w:pPr>
              <w:jc w:val="both"/>
              <w:rPr>
                <w:rFonts w:cstheme="minorHAnsi"/>
              </w:rPr>
            </w:pPr>
            <w:r w:rsidRPr="007368C7">
              <w:rPr>
                <w:rFonts w:cstheme="minorHAnsi"/>
              </w:rPr>
              <w:t>Intencj</w:t>
            </w:r>
            <w:r w:rsidR="00A84A71" w:rsidRPr="007368C7">
              <w:rPr>
                <w:rFonts w:cstheme="minorHAnsi"/>
              </w:rPr>
              <w:t>ą</w:t>
            </w:r>
            <w:r w:rsidRPr="007368C7">
              <w:rPr>
                <w:rFonts w:cstheme="minorHAnsi"/>
              </w:rPr>
              <w:t xml:space="preserve"> wprowadzanej regulacji jest umorzenie </w:t>
            </w:r>
            <w:r w:rsidR="00EE7F8A" w:rsidRPr="007368C7">
              <w:rPr>
                <w:rFonts w:cstheme="minorHAnsi"/>
              </w:rPr>
              <w:t>z mocy prawa</w:t>
            </w:r>
            <w:r w:rsidR="0050399B" w:rsidRPr="007368C7">
              <w:rPr>
                <w:rFonts w:cstheme="minorHAnsi"/>
              </w:rPr>
              <w:t xml:space="preserve"> (ip</w:t>
            </w:r>
            <w:r w:rsidR="00A84A71" w:rsidRPr="007368C7">
              <w:rPr>
                <w:rFonts w:cstheme="minorHAnsi"/>
              </w:rPr>
              <w:t>s</w:t>
            </w:r>
            <w:r w:rsidR="0050399B" w:rsidRPr="007368C7">
              <w:rPr>
                <w:rFonts w:cstheme="minorHAnsi"/>
              </w:rPr>
              <w:t>o iure)</w:t>
            </w:r>
            <w:r w:rsidR="00EE7F8A" w:rsidRPr="007368C7">
              <w:rPr>
                <w:rFonts w:cstheme="minorHAnsi"/>
              </w:rPr>
              <w:t>.</w:t>
            </w:r>
            <w:r w:rsidRPr="007368C7">
              <w:rPr>
                <w:rFonts w:cstheme="minorHAnsi"/>
              </w:rPr>
              <w:t xml:space="preserve"> </w:t>
            </w:r>
          </w:p>
          <w:p w14:paraId="45AEDD75" w14:textId="203F0224" w:rsidR="00343E6B" w:rsidRPr="007368C7" w:rsidRDefault="00146CCD" w:rsidP="00BC45D4">
            <w:pPr>
              <w:jc w:val="both"/>
              <w:rPr>
                <w:rFonts w:cstheme="minorHAnsi"/>
              </w:rPr>
            </w:pPr>
            <w:r w:rsidRPr="007368C7">
              <w:rPr>
                <w:rFonts w:cstheme="minorHAnsi"/>
              </w:rPr>
              <w:t xml:space="preserve">Postanowienie </w:t>
            </w:r>
            <w:r w:rsidR="00217AB4" w:rsidRPr="007368C7">
              <w:rPr>
                <w:rFonts w:cstheme="minorHAnsi"/>
              </w:rPr>
              <w:t>może zostać wydane</w:t>
            </w:r>
            <w:r w:rsidR="00A84A71" w:rsidRPr="007368C7">
              <w:rPr>
                <w:rFonts w:cstheme="minorHAnsi"/>
              </w:rPr>
              <w:t>,</w:t>
            </w:r>
            <w:r w:rsidR="00217AB4" w:rsidRPr="007368C7">
              <w:rPr>
                <w:rFonts w:cstheme="minorHAnsi"/>
              </w:rPr>
              <w:t xml:space="preserve"> jednakże jego charakter pozostaje deklaratoryjny. </w:t>
            </w:r>
          </w:p>
        </w:tc>
      </w:tr>
      <w:tr w:rsidR="003B3876" w:rsidRPr="00486628" w14:paraId="24851AE9" w14:textId="35629CCF" w:rsidTr="00AC5078">
        <w:tc>
          <w:tcPr>
            <w:tcW w:w="158" w:type="pct"/>
          </w:tcPr>
          <w:p w14:paraId="7DE649B9" w14:textId="3A452EFB" w:rsidR="00343E6B" w:rsidRPr="00486628" w:rsidRDefault="00460465" w:rsidP="00343E6B">
            <w:pPr>
              <w:jc w:val="center"/>
              <w:rPr>
                <w:rFonts w:cstheme="minorHAnsi"/>
              </w:rPr>
            </w:pPr>
            <w:r>
              <w:rPr>
                <w:rFonts w:cstheme="minorHAnsi"/>
              </w:rPr>
              <w:t>6</w:t>
            </w:r>
          </w:p>
        </w:tc>
        <w:tc>
          <w:tcPr>
            <w:tcW w:w="698" w:type="pct"/>
          </w:tcPr>
          <w:p w14:paraId="06A7411C" w14:textId="5080FCEB" w:rsidR="00343E6B" w:rsidRPr="00486628" w:rsidRDefault="0073232F" w:rsidP="00343E6B">
            <w:pPr>
              <w:jc w:val="both"/>
              <w:rPr>
                <w:rFonts w:cstheme="minorHAnsi"/>
              </w:rPr>
            </w:pPr>
            <w:r w:rsidRPr="0073232F">
              <w:rPr>
                <w:rFonts w:cstheme="minorHAnsi"/>
              </w:rPr>
              <w:t>Prokuratoria Generalna</w:t>
            </w:r>
          </w:p>
        </w:tc>
        <w:tc>
          <w:tcPr>
            <w:tcW w:w="591" w:type="pct"/>
          </w:tcPr>
          <w:p w14:paraId="59798F3C" w14:textId="4B4096F2" w:rsidR="00343E6B" w:rsidRPr="002B3340" w:rsidRDefault="00A11EE6" w:rsidP="00343E6B">
            <w:pPr>
              <w:jc w:val="both"/>
              <w:rPr>
                <w:rFonts w:cstheme="minorHAnsi"/>
                <w:lang w:val="en-GB"/>
              </w:rPr>
            </w:pPr>
            <w:r w:rsidRPr="002B3340">
              <w:rPr>
                <w:rFonts w:cstheme="minorHAnsi"/>
                <w:b/>
                <w:bCs/>
                <w:lang w:val="en-GB"/>
              </w:rPr>
              <w:t>A</w:t>
            </w:r>
            <w:r w:rsidR="00DB7D6A" w:rsidRPr="002B3340">
              <w:rPr>
                <w:rFonts w:cstheme="minorHAnsi"/>
                <w:b/>
                <w:bCs/>
                <w:lang w:val="en-GB"/>
              </w:rPr>
              <w:t xml:space="preserve">rt. 1 </w:t>
            </w:r>
            <w:proofErr w:type="spellStart"/>
            <w:r w:rsidR="00DB7D6A" w:rsidRPr="002B3340">
              <w:rPr>
                <w:rFonts w:cstheme="minorHAnsi"/>
                <w:b/>
                <w:bCs/>
                <w:lang w:val="en-GB"/>
              </w:rPr>
              <w:t>pkt</w:t>
            </w:r>
            <w:proofErr w:type="spellEnd"/>
            <w:r w:rsidR="00DB7D6A" w:rsidRPr="002B3340">
              <w:rPr>
                <w:rFonts w:cstheme="minorHAnsi"/>
                <w:b/>
                <w:bCs/>
                <w:lang w:val="en-GB"/>
              </w:rPr>
              <w:t xml:space="preserve"> 7 lit. f</w:t>
            </w:r>
            <w:r w:rsidRPr="002B3340">
              <w:rPr>
                <w:rFonts w:cstheme="minorHAnsi"/>
                <w:b/>
                <w:bCs/>
                <w:lang w:val="en-GB"/>
              </w:rPr>
              <w:t xml:space="preserve"> </w:t>
            </w:r>
            <w:r w:rsidRPr="002B3340">
              <w:rPr>
                <w:rFonts w:cstheme="minorHAnsi"/>
                <w:lang w:val="en-GB"/>
              </w:rPr>
              <w:t>(370d ust.4a)</w:t>
            </w:r>
          </w:p>
        </w:tc>
        <w:tc>
          <w:tcPr>
            <w:tcW w:w="1418" w:type="pct"/>
          </w:tcPr>
          <w:p w14:paraId="2778D640" w14:textId="502A7CE4" w:rsidR="00343E6B" w:rsidRPr="00462965" w:rsidRDefault="00A11EE6" w:rsidP="00462965">
            <w:pPr>
              <w:jc w:val="both"/>
              <w:rPr>
                <w:rFonts w:cstheme="minorHAnsi"/>
              </w:rPr>
            </w:pPr>
            <w:r w:rsidRPr="00462965">
              <w:rPr>
                <w:rFonts w:cstheme="minorHAnsi"/>
              </w:rPr>
              <w:t>N</w:t>
            </w:r>
            <w:r w:rsidR="00DB7D6A" w:rsidRPr="00462965">
              <w:rPr>
                <w:rFonts w:cstheme="minorHAnsi"/>
              </w:rPr>
              <w:t>ależy uzupełnić o odesłanie do projektowanego art. 370d ust. 2a Prawa upadłościowego</w:t>
            </w:r>
            <w:r w:rsidR="001E60E7">
              <w:rPr>
                <w:rFonts w:cstheme="minorHAnsi"/>
              </w:rPr>
              <w:t>.</w:t>
            </w:r>
          </w:p>
        </w:tc>
        <w:tc>
          <w:tcPr>
            <w:tcW w:w="1027" w:type="pct"/>
          </w:tcPr>
          <w:p w14:paraId="61C02CD7" w14:textId="77777777" w:rsidR="00343E6B" w:rsidRPr="00486628" w:rsidRDefault="00343E6B" w:rsidP="00343E6B">
            <w:pPr>
              <w:jc w:val="both"/>
              <w:rPr>
                <w:rFonts w:cstheme="minorHAnsi"/>
              </w:rPr>
            </w:pPr>
          </w:p>
        </w:tc>
        <w:tc>
          <w:tcPr>
            <w:tcW w:w="1108" w:type="pct"/>
          </w:tcPr>
          <w:p w14:paraId="5C11DA01" w14:textId="264EBAAC" w:rsidR="00343E6B" w:rsidRPr="007368C7" w:rsidRDefault="00567912" w:rsidP="00BC45D4">
            <w:pPr>
              <w:jc w:val="both"/>
              <w:rPr>
                <w:rFonts w:cstheme="minorHAnsi"/>
              </w:rPr>
            </w:pPr>
            <w:r w:rsidRPr="007368C7">
              <w:rPr>
                <w:rFonts w:cstheme="minorHAnsi"/>
                <w:b/>
                <w:bCs/>
              </w:rPr>
              <w:t>Uwaga nieuwzględniona</w:t>
            </w:r>
          </w:p>
          <w:p w14:paraId="232670AA" w14:textId="2E79D838" w:rsidR="00567912" w:rsidRPr="007368C7" w:rsidRDefault="00567912" w:rsidP="00BC45D4">
            <w:pPr>
              <w:jc w:val="both"/>
              <w:rPr>
                <w:rFonts w:cstheme="minorHAnsi"/>
              </w:rPr>
            </w:pPr>
            <w:r w:rsidRPr="007368C7">
              <w:rPr>
                <w:rFonts w:cstheme="minorHAnsi"/>
              </w:rPr>
              <w:t>Ust. 2a także stanowi zmianę planu spłaty wierzy</w:t>
            </w:r>
            <w:r w:rsidR="007C5BCA" w:rsidRPr="007368C7">
              <w:rPr>
                <w:rFonts w:cstheme="minorHAnsi"/>
              </w:rPr>
              <w:t>cieli</w:t>
            </w:r>
            <w:r w:rsidRPr="007368C7">
              <w:rPr>
                <w:rFonts w:cstheme="minorHAnsi"/>
              </w:rPr>
              <w:t xml:space="preserve">. </w:t>
            </w:r>
          </w:p>
        </w:tc>
      </w:tr>
      <w:tr w:rsidR="003B3876" w:rsidRPr="00486628" w14:paraId="446D7351" w14:textId="77777777" w:rsidTr="00AC5078">
        <w:tc>
          <w:tcPr>
            <w:tcW w:w="158" w:type="pct"/>
          </w:tcPr>
          <w:p w14:paraId="3B8DAE25" w14:textId="07667B10" w:rsidR="005F7A15" w:rsidRPr="00486628" w:rsidRDefault="00460465" w:rsidP="005F7A15">
            <w:pPr>
              <w:jc w:val="center"/>
              <w:rPr>
                <w:rFonts w:cstheme="minorHAnsi"/>
              </w:rPr>
            </w:pPr>
            <w:r>
              <w:rPr>
                <w:rFonts w:cstheme="minorHAnsi"/>
              </w:rPr>
              <w:lastRenderedPageBreak/>
              <w:t>7</w:t>
            </w:r>
          </w:p>
        </w:tc>
        <w:tc>
          <w:tcPr>
            <w:tcW w:w="698" w:type="pct"/>
          </w:tcPr>
          <w:p w14:paraId="455EA792" w14:textId="691B5DA9" w:rsidR="005F7A15" w:rsidRPr="00506F73" w:rsidRDefault="0073232F" w:rsidP="005F7A15">
            <w:pPr>
              <w:jc w:val="both"/>
              <w:rPr>
                <w:rFonts w:ascii="Calibri" w:hAnsi="Calibri" w:cs="Calibri"/>
              </w:rPr>
            </w:pPr>
            <w:r w:rsidRPr="0073232F">
              <w:rPr>
                <w:rFonts w:ascii="Calibri" w:hAnsi="Calibri" w:cs="Calibri"/>
              </w:rPr>
              <w:t>Prokuratoria Generalna</w:t>
            </w:r>
          </w:p>
        </w:tc>
        <w:tc>
          <w:tcPr>
            <w:tcW w:w="591" w:type="pct"/>
          </w:tcPr>
          <w:p w14:paraId="5B4F559E" w14:textId="542C66C2" w:rsidR="005F7A15" w:rsidRPr="002B3340" w:rsidRDefault="00DB7D6A" w:rsidP="005F7A15">
            <w:pPr>
              <w:jc w:val="both"/>
              <w:rPr>
                <w:rFonts w:ascii="Calibri" w:hAnsi="Calibri" w:cs="Calibri"/>
                <w:bCs/>
                <w:lang w:val="en-GB"/>
              </w:rPr>
            </w:pPr>
            <w:r w:rsidRPr="002B3340">
              <w:rPr>
                <w:rFonts w:ascii="Calibri" w:hAnsi="Calibri" w:cs="Calibri"/>
                <w:b/>
                <w:lang w:val="en-GB"/>
              </w:rPr>
              <w:t xml:space="preserve">Art. </w:t>
            </w:r>
            <w:r w:rsidR="00525687" w:rsidRPr="002B3340">
              <w:rPr>
                <w:rFonts w:ascii="Calibri" w:hAnsi="Calibri" w:cs="Calibri"/>
                <w:b/>
                <w:lang w:val="en-GB"/>
              </w:rPr>
              <w:t xml:space="preserve">1 </w:t>
            </w:r>
            <w:proofErr w:type="spellStart"/>
            <w:r w:rsidR="00525687" w:rsidRPr="002B3340">
              <w:rPr>
                <w:rFonts w:ascii="Calibri" w:hAnsi="Calibri" w:cs="Calibri"/>
                <w:b/>
                <w:lang w:val="en-GB"/>
              </w:rPr>
              <w:t>pkt</w:t>
            </w:r>
            <w:proofErr w:type="spellEnd"/>
            <w:r w:rsidR="00525687" w:rsidRPr="002B3340">
              <w:rPr>
                <w:rFonts w:ascii="Calibri" w:hAnsi="Calibri" w:cs="Calibri"/>
                <w:b/>
                <w:lang w:val="en-GB"/>
              </w:rPr>
              <w:t xml:space="preserve"> 8</w:t>
            </w:r>
            <w:r w:rsidRPr="002B3340">
              <w:rPr>
                <w:rFonts w:ascii="Calibri" w:hAnsi="Calibri" w:cs="Calibri"/>
                <w:b/>
                <w:lang w:val="en-GB"/>
              </w:rPr>
              <w:t xml:space="preserve"> lit b</w:t>
            </w:r>
            <w:r w:rsidR="00525687" w:rsidRPr="002B3340">
              <w:rPr>
                <w:rFonts w:ascii="Calibri" w:hAnsi="Calibri" w:cs="Calibri"/>
                <w:bCs/>
                <w:lang w:val="en-GB"/>
              </w:rPr>
              <w:t xml:space="preserve"> (</w:t>
            </w:r>
            <w:r w:rsidR="008916D8" w:rsidRPr="002B3340">
              <w:rPr>
                <w:rFonts w:ascii="Calibri" w:hAnsi="Calibri" w:cs="Calibri"/>
                <w:bCs/>
                <w:lang w:val="en-GB"/>
              </w:rPr>
              <w:t xml:space="preserve">art. </w:t>
            </w:r>
            <w:r w:rsidRPr="002B3340">
              <w:rPr>
                <w:rFonts w:ascii="Calibri" w:hAnsi="Calibri" w:cs="Calibri"/>
                <w:bCs/>
                <w:lang w:val="en-GB"/>
              </w:rPr>
              <w:t xml:space="preserve">370e </w:t>
            </w:r>
            <w:proofErr w:type="spellStart"/>
            <w:r w:rsidRPr="002B3340">
              <w:rPr>
                <w:rFonts w:ascii="Calibri" w:hAnsi="Calibri" w:cs="Calibri"/>
                <w:bCs/>
                <w:lang w:val="en-GB"/>
              </w:rPr>
              <w:t>ust</w:t>
            </w:r>
            <w:proofErr w:type="spellEnd"/>
            <w:r w:rsidRPr="002B3340">
              <w:rPr>
                <w:rFonts w:ascii="Calibri" w:hAnsi="Calibri" w:cs="Calibri"/>
                <w:bCs/>
                <w:lang w:val="en-GB"/>
              </w:rPr>
              <w:t xml:space="preserve">. 2 </w:t>
            </w:r>
            <w:proofErr w:type="spellStart"/>
            <w:r w:rsidRPr="002B3340">
              <w:rPr>
                <w:rFonts w:ascii="Calibri" w:hAnsi="Calibri" w:cs="Calibri"/>
                <w:bCs/>
                <w:lang w:val="en-GB"/>
              </w:rPr>
              <w:t>pkt</w:t>
            </w:r>
            <w:proofErr w:type="spellEnd"/>
            <w:r w:rsidRPr="002B3340">
              <w:rPr>
                <w:rFonts w:ascii="Calibri" w:hAnsi="Calibri" w:cs="Calibri"/>
                <w:bCs/>
                <w:lang w:val="en-GB"/>
              </w:rPr>
              <w:t xml:space="preserve"> 1 P</w:t>
            </w:r>
            <w:r w:rsidR="00525687" w:rsidRPr="002B3340">
              <w:rPr>
                <w:rFonts w:ascii="Calibri" w:hAnsi="Calibri" w:cs="Calibri"/>
                <w:bCs/>
                <w:lang w:val="en-GB"/>
              </w:rPr>
              <w:t xml:space="preserve">.U.) </w:t>
            </w:r>
          </w:p>
        </w:tc>
        <w:tc>
          <w:tcPr>
            <w:tcW w:w="1418" w:type="pct"/>
          </w:tcPr>
          <w:p w14:paraId="0D94767A" w14:textId="772C4180" w:rsidR="005F7A15" w:rsidRPr="00462965" w:rsidRDefault="00DB7D6A" w:rsidP="00462965">
            <w:pPr>
              <w:jc w:val="both"/>
              <w:rPr>
                <w:rFonts w:cstheme="minorHAnsi"/>
                <w:b/>
              </w:rPr>
            </w:pPr>
            <w:r w:rsidRPr="00462965">
              <w:rPr>
                <w:rFonts w:eastAsia="Times New Roman" w:cstheme="minorHAnsi"/>
              </w:rPr>
              <w:t>Uchylenie art. 370e ust. 2 pkt 1 Pu bez zapewnienia adekwatnej sankcji za nieterminowe złożenie sprawozdania (nie przewiduje takiej sankcji art. 1 pkt 7 lit. d projektu) wydaje się iść za daleko. Sprawozdanie nie tylko stanowi źródło informacji dla wierzycieli, ale także – przykładowo – jest podstawą stosowania normy z art. 370e ust. 2 pkt 2 Pu. Wydaje się, że dla osiągnięcia celów projektodawcy wystarczające byłoby złagodzenie obecnej sankcji np. poprzez zastąpienie obowiązku możliwością jej stosowania z uwzględnieniem przyczyn, dla których sprawozdanie nie zostało złożone</w:t>
            </w:r>
            <w:r w:rsidR="00437C86">
              <w:rPr>
                <w:rFonts w:eastAsia="Times New Roman" w:cstheme="minorHAnsi"/>
              </w:rPr>
              <w:t>.</w:t>
            </w:r>
          </w:p>
        </w:tc>
        <w:tc>
          <w:tcPr>
            <w:tcW w:w="1027" w:type="pct"/>
          </w:tcPr>
          <w:p w14:paraId="1391E543" w14:textId="20EC8A3E" w:rsidR="005F7A15" w:rsidRPr="00506F73" w:rsidRDefault="005F7A15" w:rsidP="005F7A15">
            <w:pPr>
              <w:jc w:val="both"/>
              <w:rPr>
                <w:rFonts w:ascii="Calibri" w:hAnsi="Calibri" w:cs="Calibri"/>
              </w:rPr>
            </w:pPr>
          </w:p>
        </w:tc>
        <w:tc>
          <w:tcPr>
            <w:tcW w:w="1108" w:type="pct"/>
          </w:tcPr>
          <w:p w14:paraId="0660A01D" w14:textId="77777777" w:rsidR="005F7A15" w:rsidRPr="007368C7" w:rsidRDefault="00567912" w:rsidP="00BC45D4">
            <w:pPr>
              <w:jc w:val="both"/>
              <w:rPr>
                <w:rFonts w:cstheme="minorHAnsi"/>
                <w:b/>
                <w:bCs/>
              </w:rPr>
            </w:pPr>
            <w:r w:rsidRPr="007368C7">
              <w:rPr>
                <w:rFonts w:cstheme="minorHAnsi"/>
                <w:b/>
                <w:bCs/>
              </w:rPr>
              <w:t>Uwaga nieuwzględniona</w:t>
            </w:r>
          </w:p>
          <w:p w14:paraId="5F1504FE" w14:textId="081F2DEB" w:rsidR="007C5BCA" w:rsidRPr="007368C7" w:rsidRDefault="007C5BCA" w:rsidP="00BC45D4">
            <w:pPr>
              <w:jc w:val="both"/>
              <w:rPr>
                <w:rFonts w:cstheme="minorHAnsi"/>
              </w:rPr>
            </w:pPr>
            <w:r w:rsidRPr="007368C7">
              <w:rPr>
                <w:rFonts w:cstheme="minorHAnsi"/>
              </w:rPr>
              <w:t>Rozwiązanie jest konsekwencją przyjętej koncepcji</w:t>
            </w:r>
            <w:r w:rsidR="00FB6BB4" w:rsidRPr="007368C7">
              <w:rPr>
                <w:rFonts w:cstheme="minorHAnsi"/>
              </w:rPr>
              <w:t>. Plan spłaty wierzycieli realizuje przede wszystkim prywatny interes majątkowy wierzycieli, tj. zmierza do zaspokojenia przysługujących im roszczeń, wcześniej ustalonych co do zasady i wysokości przez sąd upadłościowy. Pierwiastek publiczny rozumiany jako interes ogólnospołeczny na tym etapie postępowania nie pełni funkcji wiodącej. W związku z tym nadzór państwa nad prawidłowością wykonywania planu spłaty wierzycieli powinien mieć miejsce tylko wtedy, gdy żądają tego interesariusze. To właśnie wierzyciele mają najlepszą wiedzę na temat tego, czy przysługujące im roszczenia są spłacane przez dłużnika czy też zaprzestano realizacji planu spłaty wierzycieli. Rolą sądu nie jest realizacja z urzędu ochrony interesów wierzycieli w zakresie prawidłowej realizacji obowiązków płatniczych ciążących na ich dłużnikach.</w:t>
            </w:r>
          </w:p>
        </w:tc>
      </w:tr>
      <w:tr w:rsidR="003B3876" w:rsidRPr="00486628" w14:paraId="1BE5DF9A" w14:textId="14BCFDD5" w:rsidTr="00AC5078">
        <w:tc>
          <w:tcPr>
            <w:tcW w:w="158" w:type="pct"/>
          </w:tcPr>
          <w:p w14:paraId="21661837" w14:textId="540E6C59" w:rsidR="005F7A15" w:rsidRPr="00486628" w:rsidRDefault="00460465" w:rsidP="005F7A15">
            <w:pPr>
              <w:jc w:val="center"/>
              <w:rPr>
                <w:rFonts w:cstheme="minorHAnsi"/>
              </w:rPr>
            </w:pPr>
            <w:r>
              <w:rPr>
                <w:rFonts w:cstheme="minorHAnsi"/>
              </w:rPr>
              <w:t>8</w:t>
            </w:r>
          </w:p>
        </w:tc>
        <w:tc>
          <w:tcPr>
            <w:tcW w:w="698" w:type="pct"/>
          </w:tcPr>
          <w:p w14:paraId="64BBB8F7" w14:textId="530BEBD4" w:rsidR="005F7A15" w:rsidRPr="00506F73" w:rsidRDefault="0073232F" w:rsidP="005F7A15">
            <w:pPr>
              <w:jc w:val="both"/>
              <w:rPr>
                <w:rFonts w:ascii="Calibri" w:hAnsi="Calibri" w:cs="Calibri"/>
              </w:rPr>
            </w:pPr>
            <w:r w:rsidRPr="0073232F">
              <w:rPr>
                <w:rFonts w:ascii="Calibri" w:hAnsi="Calibri" w:cs="Calibri"/>
              </w:rPr>
              <w:t>Prokuratoria Generalna</w:t>
            </w:r>
          </w:p>
        </w:tc>
        <w:tc>
          <w:tcPr>
            <w:tcW w:w="591" w:type="pct"/>
          </w:tcPr>
          <w:p w14:paraId="10B3C469" w14:textId="53BB9AEC" w:rsidR="005F7A15" w:rsidRPr="002B3340" w:rsidRDefault="00681F4E" w:rsidP="005F7A15">
            <w:pPr>
              <w:jc w:val="both"/>
              <w:rPr>
                <w:rFonts w:ascii="Calibri" w:hAnsi="Calibri" w:cs="Calibri"/>
                <w:lang w:val="en-GB"/>
              </w:rPr>
            </w:pPr>
            <w:r w:rsidRPr="002B3340">
              <w:rPr>
                <w:rFonts w:ascii="Calibri" w:hAnsi="Calibri" w:cs="Calibri"/>
                <w:b/>
                <w:bCs/>
                <w:lang w:val="en-GB"/>
              </w:rPr>
              <w:t xml:space="preserve">art. 1 </w:t>
            </w:r>
            <w:proofErr w:type="spellStart"/>
            <w:r w:rsidRPr="002B3340">
              <w:rPr>
                <w:rFonts w:ascii="Calibri" w:hAnsi="Calibri" w:cs="Calibri"/>
                <w:b/>
                <w:bCs/>
                <w:lang w:val="en-GB"/>
              </w:rPr>
              <w:t>pkt</w:t>
            </w:r>
            <w:proofErr w:type="spellEnd"/>
            <w:r w:rsidRPr="002B3340">
              <w:rPr>
                <w:rFonts w:ascii="Calibri" w:hAnsi="Calibri" w:cs="Calibri"/>
                <w:b/>
                <w:bCs/>
                <w:lang w:val="en-GB"/>
              </w:rPr>
              <w:t xml:space="preserve"> 9 lit. a</w:t>
            </w:r>
            <w:r w:rsidR="00AF427A" w:rsidRPr="002B3340">
              <w:rPr>
                <w:rFonts w:ascii="Calibri" w:hAnsi="Calibri" w:cs="Calibri"/>
                <w:b/>
                <w:bCs/>
                <w:lang w:val="en-GB"/>
              </w:rPr>
              <w:t xml:space="preserve"> </w:t>
            </w:r>
            <w:r w:rsidR="00AF427A" w:rsidRPr="002B3340">
              <w:rPr>
                <w:rFonts w:ascii="Calibri" w:hAnsi="Calibri" w:cs="Calibri"/>
                <w:lang w:val="en-GB"/>
              </w:rPr>
              <w:t xml:space="preserve">(art. 370f </w:t>
            </w:r>
            <w:proofErr w:type="spellStart"/>
            <w:r w:rsidR="00AF427A" w:rsidRPr="002B3340">
              <w:rPr>
                <w:rFonts w:ascii="Calibri" w:hAnsi="Calibri" w:cs="Calibri"/>
                <w:lang w:val="en-GB"/>
              </w:rPr>
              <w:t>ust</w:t>
            </w:r>
            <w:proofErr w:type="spellEnd"/>
            <w:r w:rsidR="00AF427A" w:rsidRPr="002B3340">
              <w:rPr>
                <w:rFonts w:ascii="Calibri" w:hAnsi="Calibri" w:cs="Calibri"/>
                <w:lang w:val="en-GB"/>
              </w:rPr>
              <w:t>. 1 P.U.)</w:t>
            </w:r>
          </w:p>
        </w:tc>
        <w:tc>
          <w:tcPr>
            <w:tcW w:w="1418" w:type="pct"/>
          </w:tcPr>
          <w:p w14:paraId="5B829A1A" w14:textId="550D9FC2" w:rsidR="005F7A15" w:rsidRPr="00462965" w:rsidRDefault="00681F4E" w:rsidP="00462965">
            <w:pPr>
              <w:jc w:val="both"/>
              <w:rPr>
                <w:rFonts w:cstheme="minorHAnsi"/>
              </w:rPr>
            </w:pPr>
            <w:r w:rsidRPr="00462965">
              <w:rPr>
                <w:rFonts w:cstheme="minorHAnsi"/>
              </w:rPr>
              <w:t xml:space="preserve">Sformułowanie użyte w art. 1 pkt 9 lit. a projektu wskazujące, że określone wnioski powinny być złożone „w terminie trzech miesięcy od upływu okresu, na który został ustalony plan spłaty wierzycieli” jest o tyle </w:t>
            </w:r>
            <w:r w:rsidRPr="00462965">
              <w:rPr>
                <w:rFonts w:cstheme="minorHAnsi"/>
              </w:rPr>
              <w:lastRenderedPageBreak/>
              <w:t>niewłaściwe, że regulacja ta powinna uwzględniać także te wnioski, które zostały złożone przed upływem okresu, na który został ustalony plan spłaty wierzycieli. Rozwiązanie, do którego odnosi się uwaga jest powielane w innych miejscach projektu</w:t>
            </w:r>
            <w:r w:rsidR="00AF427A" w:rsidRPr="00462965">
              <w:rPr>
                <w:rFonts w:cstheme="minorHAnsi"/>
              </w:rPr>
              <w:t>.</w:t>
            </w:r>
          </w:p>
        </w:tc>
        <w:tc>
          <w:tcPr>
            <w:tcW w:w="1027" w:type="pct"/>
          </w:tcPr>
          <w:p w14:paraId="3C5ECCDC" w14:textId="77777777" w:rsidR="005F7A15" w:rsidRPr="00506F73" w:rsidRDefault="005F7A15" w:rsidP="005F7A15">
            <w:pPr>
              <w:jc w:val="both"/>
              <w:rPr>
                <w:rFonts w:ascii="Calibri" w:hAnsi="Calibri" w:cs="Calibri"/>
              </w:rPr>
            </w:pPr>
          </w:p>
        </w:tc>
        <w:tc>
          <w:tcPr>
            <w:tcW w:w="1108" w:type="pct"/>
          </w:tcPr>
          <w:p w14:paraId="2587AA0F" w14:textId="77777777" w:rsidR="005F7A15" w:rsidRPr="007368C7" w:rsidRDefault="00032CC2" w:rsidP="00BC45D4">
            <w:pPr>
              <w:jc w:val="both"/>
              <w:rPr>
                <w:rFonts w:cstheme="minorHAnsi"/>
                <w:b/>
                <w:bCs/>
              </w:rPr>
            </w:pPr>
            <w:r w:rsidRPr="007368C7">
              <w:rPr>
                <w:rFonts w:cstheme="minorHAnsi"/>
                <w:b/>
                <w:bCs/>
              </w:rPr>
              <w:t>Uwaga nieuwzględniona</w:t>
            </w:r>
          </w:p>
          <w:p w14:paraId="31628037" w14:textId="355C2390" w:rsidR="00032CC2" w:rsidRPr="007368C7" w:rsidRDefault="00FC30D7" w:rsidP="00BC45D4">
            <w:pPr>
              <w:jc w:val="both"/>
              <w:rPr>
                <w:rFonts w:cstheme="minorHAnsi"/>
              </w:rPr>
            </w:pPr>
            <w:r w:rsidRPr="007368C7">
              <w:rPr>
                <w:rFonts w:cstheme="minorHAnsi"/>
              </w:rPr>
              <w:t>Podniesione zagadnienie dotyczy interpretacji przepisów prawa</w:t>
            </w:r>
            <w:r w:rsidR="00E1666E" w:rsidRPr="007368C7">
              <w:rPr>
                <w:rFonts w:cstheme="minorHAnsi"/>
              </w:rPr>
              <w:t xml:space="preserve">, przepis wskazuje jedynie termin maksymalny do złożenia wniosku. </w:t>
            </w:r>
            <w:r w:rsidR="00E1666E" w:rsidRPr="007368C7">
              <w:rPr>
                <w:rFonts w:cstheme="minorHAnsi"/>
              </w:rPr>
              <w:lastRenderedPageBreak/>
              <w:t>Nie budzi wątpliwości,</w:t>
            </w:r>
            <w:r w:rsidR="004C486F" w:rsidRPr="007368C7">
              <w:rPr>
                <w:rFonts w:cstheme="minorHAnsi"/>
              </w:rPr>
              <w:t xml:space="preserve"> że wierzyciele mają możliwość wnoszenia do sądu o zmianę lub uchylenie planu spłaty nie tylko w okresie realizacji planu, ale również w ciągu dodatkowych trzech miesięcy od upływu okresu, na który plan ustalono.</w:t>
            </w:r>
          </w:p>
        </w:tc>
      </w:tr>
      <w:tr w:rsidR="00FF142F" w:rsidRPr="00486628" w14:paraId="63FC44A4" w14:textId="77777777" w:rsidTr="00AC5078">
        <w:tc>
          <w:tcPr>
            <w:tcW w:w="158" w:type="pct"/>
          </w:tcPr>
          <w:p w14:paraId="1C631774" w14:textId="5DB0D483" w:rsidR="00B12B48" w:rsidRDefault="00460465" w:rsidP="005F7A15">
            <w:pPr>
              <w:jc w:val="center"/>
              <w:rPr>
                <w:rFonts w:cstheme="minorHAnsi"/>
              </w:rPr>
            </w:pPr>
            <w:r>
              <w:rPr>
                <w:rFonts w:cstheme="minorHAnsi"/>
              </w:rPr>
              <w:lastRenderedPageBreak/>
              <w:t>9</w:t>
            </w:r>
          </w:p>
        </w:tc>
        <w:tc>
          <w:tcPr>
            <w:tcW w:w="698" w:type="pct"/>
          </w:tcPr>
          <w:p w14:paraId="208779D6" w14:textId="5BF8C777" w:rsidR="00B12B48" w:rsidRPr="00506F73" w:rsidRDefault="0073232F" w:rsidP="0073232F">
            <w:pPr>
              <w:rPr>
                <w:rFonts w:ascii="Calibri" w:hAnsi="Calibri" w:cs="Calibri"/>
              </w:rPr>
            </w:pPr>
            <w:r>
              <w:rPr>
                <w:rFonts w:ascii="Calibri" w:hAnsi="Calibri" w:cs="Calibri"/>
              </w:rPr>
              <w:t>S</w:t>
            </w:r>
            <w:r w:rsidR="006E69D8">
              <w:rPr>
                <w:rFonts w:ascii="Calibri" w:hAnsi="Calibri" w:cs="Calibri"/>
              </w:rPr>
              <w:t>ąd Apelacyjny</w:t>
            </w:r>
            <w:r>
              <w:rPr>
                <w:rFonts w:ascii="Calibri" w:hAnsi="Calibri" w:cs="Calibri"/>
              </w:rPr>
              <w:t xml:space="preserve"> w Katowicach </w:t>
            </w:r>
          </w:p>
        </w:tc>
        <w:tc>
          <w:tcPr>
            <w:tcW w:w="591" w:type="pct"/>
          </w:tcPr>
          <w:p w14:paraId="0859BF2B" w14:textId="13CCE6CE" w:rsidR="00B12B48" w:rsidRPr="00681F4E" w:rsidRDefault="006E69D8" w:rsidP="005F7A15">
            <w:pPr>
              <w:jc w:val="both"/>
              <w:rPr>
                <w:rFonts w:ascii="Calibri" w:hAnsi="Calibri" w:cs="Calibri"/>
              </w:rPr>
            </w:pPr>
            <w:r w:rsidRPr="006E69D8">
              <w:rPr>
                <w:rFonts w:ascii="Calibri" w:hAnsi="Calibri" w:cs="Calibri"/>
                <w:b/>
                <w:bCs/>
              </w:rPr>
              <w:t>Art. 1 pkt 17</w:t>
            </w:r>
            <w:r>
              <w:rPr>
                <w:rFonts w:ascii="Calibri" w:hAnsi="Calibri" w:cs="Calibri"/>
              </w:rPr>
              <w:t xml:space="preserve"> (art. </w:t>
            </w:r>
            <w:r w:rsidR="0073232F" w:rsidRPr="0073232F">
              <w:rPr>
                <w:rFonts w:ascii="Calibri" w:hAnsi="Calibri" w:cs="Calibri"/>
              </w:rPr>
              <w:t>491</w:t>
            </w:r>
            <w:r w:rsidR="0073232F">
              <w:rPr>
                <w:rFonts w:ascii="Calibri" w:hAnsi="Calibri" w:cs="Calibri"/>
                <w:vertAlign w:val="superscript"/>
              </w:rPr>
              <w:t>18</w:t>
            </w:r>
            <w:r w:rsidR="0073232F" w:rsidRPr="0073232F">
              <w:rPr>
                <w:rFonts w:ascii="Calibri" w:hAnsi="Calibri" w:cs="Calibri"/>
              </w:rPr>
              <w:t xml:space="preserve"> ust. 3</w:t>
            </w:r>
            <w:r>
              <w:rPr>
                <w:rFonts w:ascii="Calibri" w:hAnsi="Calibri" w:cs="Calibri"/>
              </w:rPr>
              <w:t xml:space="preserve"> P.U.)</w:t>
            </w:r>
          </w:p>
        </w:tc>
        <w:tc>
          <w:tcPr>
            <w:tcW w:w="1418" w:type="pct"/>
          </w:tcPr>
          <w:p w14:paraId="3DD414AC" w14:textId="695DA9E5" w:rsidR="0073232F" w:rsidRPr="00462965" w:rsidRDefault="0073232F" w:rsidP="00462965">
            <w:pPr>
              <w:jc w:val="both"/>
              <w:rPr>
                <w:rFonts w:cstheme="minorHAnsi"/>
              </w:rPr>
            </w:pPr>
            <w:r w:rsidRPr="00462965">
              <w:rPr>
                <w:rFonts w:cstheme="minorHAnsi"/>
              </w:rPr>
              <w:t>Ostanie zdanie tego przepisu, że „Sąd nie bada treści i formy dokumentów,</w:t>
            </w:r>
            <w:r w:rsidR="006E69D8" w:rsidRPr="00462965">
              <w:rPr>
                <w:rFonts w:cstheme="minorHAnsi"/>
              </w:rPr>
              <w:t xml:space="preserve"> </w:t>
            </w:r>
            <w:r w:rsidRPr="00462965">
              <w:rPr>
                <w:rFonts w:cstheme="minorHAnsi"/>
              </w:rPr>
              <w:t>o których mowa w zdaniu pierwszym i drugim” rodzi wątpliwości, czy sąd powinien kontrolować sam</w:t>
            </w:r>
            <w:r w:rsidR="006E69D8" w:rsidRPr="00462965">
              <w:rPr>
                <w:rFonts w:cstheme="minorHAnsi"/>
              </w:rPr>
              <w:t xml:space="preserve"> </w:t>
            </w:r>
            <w:r w:rsidRPr="00462965">
              <w:rPr>
                <w:rFonts w:cstheme="minorHAnsi"/>
              </w:rPr>
              <w:t>fakt składania sprawozdań przez dłużnika i wzywać dłużnika do ich złożenia gdy ten nie wykonuje tego</w:t>
            </w:r>
            <w:r w:rsidR="006E69D8" w:rsidRPr="00462965">
              <w:rPr>
                <w:rFonts w:cstheme="minorHAnsi"/>
              </w:rPr>
              <w:t xml:space="preserve"> </w:t>
            </w:r>
            <w:r w:rsidRPr="00462965">
              <w:rPr>
                <w:rFonts w:cstheme="minorHAnsi"/>
              </w:rPr>
              <w:t>obowiązku. Czy też sąd w ogóle nie kontroluje czy sprawozdania wpływają do akt, tak jak nie bada ich</w:t>
            </w:r>
            <w:r w:rsidR="006E69D8" w:rsidRPr="00462965">
              <w:rPr>
                <w:rFonts w:cstheme="minorHAnsi"/>
              </w:rPr>
              <w:t xml:space="preserve"> </w:t>
            </w:r>
            <w:r w:rsidRPr="00462965">
              <w:rPr>
                <w:rFonts w:cstheme="minorHAnsi"/>
              </w:rPr>
              <w:t>formy i treści dokumentów.</w:t>
            </w:r>
          </w:p>
          <w:p w14:paraId="76077F7A" w14:textId="78D4D008" w:rsidR="00B12B48" w:rsidRPr="00462965" w:rsidRDefault="0073232F" w:rsidP="00462965">
            <w:pPr>
              <w:jc w:val="both"/>
              <w:rPr>
                <w:rFonts w:cstheme="minorHAnsi"/>
              </w:rPr>
            </w:pPr>
            <w:r w:rsidRPr="00462965">
              <w:rPr>
                <w:rFonts w:cstheme="minorHAnsi"/>
              </w:rPr>
              <w:t>W ocenie sędziów sąd nie powinien w ogóle kontrolować, czy sprawozdania wpływają, czy też</w:t>
            </w:r>
            <w:r w:rsidR="006E69D8" w:rsidRPr="00462965">
              <w:rPr>
                <w:rFonts w:cstheme="minorHAnsi"/>
              </w:rPr>
              <w:t xml:space="preserve"> </w:t>
            </w:r>
            <w:r w:rsidRPr="00462965">
              <w:rPr>
                <w:rFonts w:cstheme="minorHAnsi"/>
              </w:rPr>
              <w:t>nie. Tymczasem z zapisu, że „Sąd nie bada treści i formy dokumentów, o których mowa w zdaniu</w:t>
            </w:r>
            <w:r w:rsidR="005A0F07" w:rsidRPr="00462965">
              <w:rPr>
                <w:rFonts w:cstheme="minorHAnsi"/>
              </w:rPr>
              <w:t xml:space="preserve"> </w:t>
            </w:r>
            <w:r w:rsidRPr="00462965">
              <w:rPr>
                <w:rFonts w:cstheme="minorHAnsi"/>
              </w:rPr>
              <w:t>pierwszym i drugim”, można wywodzić, że sam fakt składania sprawozdań przez dłużnika nadal</w:t>
            </w:r>
            <w:r w:rsidR="005A0F07" w:rsidRPr="00462965">
              <w:rPr>
                <w:rFonts w:cstheme="minorHAnsi"/>
              </w:rPr>
              <w:t xml:space="preserve"> </w:t>
            </w:r>
            <w:r w:rsidRPr="00462965">
              <w:rPr>
                <w:rFonts w:cstheme="minorHAnsi"/>
              </w:rPr>
              <w:t>pozostaje pod kontrolą sądu. A jeśli tak, to nadal będzie ciążył na sądzie obowiązek badania co roku</w:t>
            </w:r>
            <w:r w:rsidR="00BC3815" w:rsidRPr="00462965">
              <w:rPr>
                <w:rFonts w:cstheme="minorHAnsi"/>
              </w:rPr>
              <w:t xml:space="preserve"> </w:t>
            </w:r>
            <w:r w:rsidRPr="00462965">
              <w:rPr>
                <w:rFonts w:cstheme="minorHAnsi"/>
              </w:rPr>
              <w:t>setek spraw celem ustalenia, czy sprawozdania są składane przez dłużników, a jeśli nie są, do wzywania</w:t>
            </w:r>
            <w:r w:rsidR="00BC3815" w:rsidRPr="00462965">
              <w:rPr>
                <w:rFonts w:cstheme="minorHAnsi"/>
              </w:rPr>
              <w:t xml:space="preserve"> </w:t>
            </w:r>
            <w:r w:rsidRPr="00462965">
              <w:rPr>
                <w:rFonts w:cstheme="minorHAnsi"/>
              </w:rPr>
              <w:t>do ich złożenia bez konieczności następczego badania ich pod względem treści i formy.</w:t>
            </w:r>
          </w:p>
        </w:tc>
        <w:tc>
          <w:tcPr>
            <w:tcW w:w="1027" w:type="pct"/>
          </w:tcPr>
          <w:p w14:paraId="18B267A1" w14:textId="77777777" w:rsidR="00B12B48" w:rsidRPr="00506F73" w:rsidRDefault="00B12B48" w:rsidP="005F7A15">
            <w:pPr>
              <w:jc w:val="both"/>
              <w:rPr>
                <w:rFonts w:ascii="Calibri" w:hAnsi="Calibri" w:cs="Calibri"/>
              </w:rPr>
            </w:pPr>
          </w:p>
        </w:tc>
        <w:tc>
          <w:tcPr>
            <w:tcW w:w="1108" w:type="pct"/>
          </w:tcPr>
          <w:p w14:paraId="60986D0A" w14:textId="77777777" w:rsidR="00B12B48" w:rsidRPr="007368C7" w:rsidRDefault="00032CC2" w:rsidP="00BC45D4">
            <w:pPr>
              <w:jc w:val="both"/>
              <w:rPr>
                <w:rFonts w:cstheme="minorHAnsi"/>
                <w:b/>
                <w:bCs/>
              </w:rPr>
            </w:pPr>
            <w:r w:rsidRPr="007368C7">
              <w:rPr>
                <w:rFonts w:cstheme="minorHAnsi"/>
                <w:b/>
                <w:bCs/>
              </w:rPr>
              <w:t xml:space="preserve">Uwaga </w:t>
            </w:r>
            <w:r w:rsidR="003C42AE" w:rsidRPr="007368C7">
              <w:rPr>
                <w:rFonts w:cstheme="minorHAnsi"/>
                <w:b/>
                <w:bCs/>
              </w:rPr>
              <w:t>nieuwzględniona</w:t>
            </w:r>
          </w:p>
          <w:p w14:paraId="0F3E4C28" w14:textId="77090F5C" w:rsidR="004000E8" w:rsidRPr="007368C7" w:rsidRDefault="004000E8" w:rsidP="00BC45D4">
            <w:pPr>
              <w:jc w:val="both"/>
              <w:rPr>
                <w:rFonts w:cstheme="minorHAnsi"/>
              </w:rPr>
            </w:pPr>
            <w:r w:rsidRPr="007368C7">
              <w:rPr>
                <w:rFonts w:cstheme="minorHAnsi"/>
              </w:rPr>
              <w:t>Wskazanie w projektowym przepisie wprost, że składanie sprawozdań i dokumentów, o których mowa powyżej, nie podlega nadzorowi sądu</w:t>
            </w:r>
            <w:r w:rsidR="00526D7E" w:rsidRPr="007368C7">
              <w:rPr>
                <w:rFonts w:cstheme="minorHAnsi"/>
              </w:rPr>
              <w:t xml:space="preserve"> </w:t>
            </w:r>
            <w:r w:rsidRPr="007368C7">
              <w:rPr>
                <w:rFonts w:cstheme="minorHAnsi"/>
              </w:rPr>
              <w:t xml:space="preserve">oznacza, że złożenie tych dokumentów nie podlega także kontroli formalnej na gruncie przepisów postępowania cywilnego, co odzwierciedla uzasadnienie do projektu. </w:t>
            </w:r>
          </w:p>
        </w:tc>
      </w:tr>
      <w:tr w:rsidR="00B43E02" w:rsidRPr="00486628" w14:paraId="262A22D1" w14:textId="77777777" w:rsidTr="00AC5078">
        <w:tc>
          <w:tcPr>
            <w:tcW w:w="158" w:type="pct"/>
          </w:tcPr>
          <w:p w14:paraId="1BDA8A8B" w14:textId="22C51F3B" w:rsidR="00B43E02" w:rsidRDefault="00460465" w:rsidP="005F7A15">
            <w:pPr>
              <w:jc w:val="center"/>
              <w:rPr>
                <w:rFonts w:cstheme="minorHAnsi"/>
              </w:rPr>
            </w:pPr>
            <w:r>
              <w:rPr>
                <w:rFonts w:cstheme="minorHAnsi"/>
              </w:rPr>
              <w:t>10</w:t>
            </w:r>
          </w:p>
        </w:tc>
        <w:tc>
          <w:tcPr>
            <w:tcW w:w="698" w:type="pct"/>
          </w:tcPr>
          <w:p w14:paraId="2A01C5C6" w14:textId="2F7B7902" w:rsidR="00B43E02" w:rsidRDefault="00B43E02" w:rsidP="0073232F">
            <w:pPr>
              <w:rPr>
                <w:rFonts w:ascii="Calibri" w:hAnsi="Calibri" w:cs="Calibri"/>
              </w:rPr>
            </w:pPr>
            <w:r>
              <w:rPr>
                <w:rFonts w:ascii="Calibri" w:hAnsi="Calibri" w:cs="Calibri"/>
              </w:rPr>
              <w:t>S</w:t>
            </w:r>
            <w:r w:rsidR="00351962">
              <w:rPr>
                <w:rFonts w:ascii="Calibri" w:hAnsi="Calibri" w:cs="Calibri"/>
              </w:rPr>
              <w:t>ąd Apelacyjny</w:t>
            </w:r>
            <w:r>
              <w:rPr>
                <w:rFonts w:ascii="Calibri" w:hAnsi="Calibri" w:cs="Calibri"/>
              </w:rPr>
              <w:t xml:space="preserve"> w Poznaniu </w:t>
            </w:r>
          </w:p>
        </w:tc>
        <w:tc>
          <w:tcPr>
            <w:tcW w:w="591" w:type="pct"/>
          </w:tcPr>
          <w:p w14:paraId="210CF727" w14:textId="4B3C4F00" w:rsidR="00B43E02" w:rsidRPr="003B3876" w:rsidRDefault="00351962" w:rsidP="003B3876">
            <w:pPr>
              <w:jc w:val="both"/>
              <w:rPr>
                <w:rFonts w:ascii="Calibri" w:hAnsi="Calibri" w:cs="Calibri"/>
              </w:rPr>
            </w:pPr>
            <w:r>
              <w:rPr>
                <w:rFonts w:ascii="Calibri" w:hAnsi="Calibri" w:cs="Calibri"/>
                <w:b/>
                <w:bCs/>
              </w:rPr>
              <w:t xml:space="preserve">Art. 1 pkt. 1 </w:t>
            </w:r>
            <w:r>
              <w:rPr>
                <w:rFonts w:ascii="Calibri" w:hAnsi="Calibri" w:cs="Calibri"/>
              </w:rPr>
              <w:t>(</w:t>
            </w:r>
            <w:r w:rsidR="00DD7D9F">
              <w:rPr>
                <w:rFonts w:ascii="Calibri" w:hAnsi="Calibri" w:cs="Calibri"/>
              </w:rPr>
              <w:t>a</w:t>
            </w:r>
            <w:r w:rsidR="00B43E02">
              <w:rPr>
                <w:rFonts w:ascii="Calibri" w:hAnsi="Calibri" w:cs="Calibri"/>
              </w:rPr>
              <w:t xml:space="preserve">rt. </w:t>
            </w:r>
            <w:r w:rsidR="00B43E02" w:rsidRPr="00B43E02">
              <w:rPr>
                <w:rFonts w:ascii="Calibri" w:hAnsi="Calibri" w:cs="Calibri"/>
              </w:rPr>
              <w:t xml:space="preserve">168 ust. 2a </w:t>
            </w:r>
            <w:r w:rsidR="00DD7D9F">
              <w:rPr>
                <w:rFonts w:ascii="Calibri" w:hAnsi="Calibri" w:cs="Calibri"/>
              </w:rPr>
              <w:t>P.U.)</w:t>
            </w:r>
          </w:p>
        </w:tc>
        <w:tc>
          <w:tcPr>
            <w:tcW w:w="1418" w:type="pct"/>
          </w:tcPr>
          <w:p w14:paraId="09724BD1" w14:textId="55D2D1F4" w:rsidR="00B43E02" w:rsidRPr="00462965" w:rsidRDefault="00B43E02" w:rsidP="00462965">
            <w:pPr>
              <w:jc w:val="both"/>
              <w:rPr>
                <w:rFonts w:cstheme="minorHAnsi"/>
              </w:rPr>
            </w:pPr>
            <w:r w:rsidRPr="00462965">
              <w:rPr>
                <w:rFonts w:cstheme="minorHAnsi"/>
              </w:rPr>
              <w:t xml:space="preserve">Powyższa regulacja powinna </w:t>
            </w:r>
            <w:r w:rsidR="00351962" w:rsidRPr="00462965">
              <w:rPr>
                <w:rFonts w:cstheme="minorHAnsi"/>
              </w:rPr>
              <w:t>brzmieć sprawozdania</w:t>
            </w:r>
            <w:r w:rsidRPr="00462965">
              <w:rPr>
                <w:rFonts w:cstheme="minorHAnsi"/>
              </w:rPr>
              <w:t>, o których</w:t>
            </w:r>
            <w:r w:rsidR="0016380A" w:rsidRPr="00462965">
              <w:rPr>
                <w:rFonts w:cstheme="minorHAnsi"/>
              </w:rPr>
              <w:t xml:space="preserve"> </w:t>
            </w:r>
            <w:r w:rsidRPr="00462965">
              <w:rPr>
                <w:rFonts w:cstheme="minorHAnsi"/>
              </w:rPr>
              <w:t>mowa w ust. 1, 2 i 4, rozpoznaje sędzia-komisarz po wysłuchaniu w miarę potrzeby i możliwości syndyka,</w:t>
            </w:r>
            <w:r w:rsidR="0016380A" w:rsidRPr="00462965">
              <w:rPr>
                <w:rFonts w:cstheme="minorHAnsi"/>
              </w:rPr>
              <w:t xml:space="preserve"> </w:t>
            </w:r>
            <w:r w:rsidRPr="00462965">
              <w:rPr>
                <w:rFonts w:cstheme="minorHAnsi"/>
              </w:rPr>
              <w:t xml:space="preserve">upadłego </w:t>
            </w:r>
            <w:r w:rsidRPr="00462965">
              <w:rPr>
                <w:rFonts w:cstheme="minorHAnsi"/>
              </w:rPr>
              <w:lastRenderedPageBreak/>
              <w:t>i członków rady wierzycieli” można zmodyfikować do treści „sprawozdania, o których mowa</w:t>
            </w:r>
            <w:r w:rsidR="0016380A" w:rsidRPr="00462965">
              <w:rPr>
                <w:rFonts w:cstheme="minorHAnsi"/>
              </w:rPr>
              <w:t xml:space="preserve"> </w:t>
            </w:r>
            <w:r w:rsidRPr="00462965">
              <w:rPr>
                <w:rFonts w:cstheme="minorHAnsi"/>
              </w:rPr>
              <w:t>w ust. 1, 2 i 4, rozpoznaje sędzia-komisarz po wysłuchaniu, w razie uznania tego za konieczne, syndyka,</w:t>
            </w:r>
            <w:r w:rsidR="0016380A" w:rsidRPr="00462965">
              <w:rPr>
                <w:rFonts w:cstheme="minorHAnsi"/>
              </w:rPr>
              <w:t xml:space="preserve"> </w:t>
            </w:r>
            <w:r w:rsidRPr="00462965">
              <w:rPr>
                <w:rFonts w:cstheme="minorHAnsi"/>
              </w:rPr>
              <w:t>upadłego i członków rady wierzycieli”. Celem wskazanej zmiany jest wyeliminowanie możliwości</w:t>
            </w:r>
            <w:r w:rsidR="0016380A" w:rsidRPr="00462965">
              <w:rPr>
                <w:rFonts w:cstheme="minorHAnsi"/>
              </w:rPr>
              <w:t xml:space="preserve"> </w:t>
            </w:r>
            <w:r w:rsidRPr="00462965">
              <w:rPr>
                <w:rFonts w:cstheme="minorHAnsi"/>
              </w:rPr>
              <w:t>przypisywania komukolwiek poza sędzią - komisarzem prawa do decydowania, kiedy strony postępowania</w:t>
            </w:r>
            <w:r w:rsidR="0016380A" w:rsidRPr="00462965">
              <w:rPr>
                <w:rFonts w:cstheme="minorHAnsi"/>
              </w:rPr>
              <w:t xml:space="preserve"> </w:t>
            </w:r>
            <w:r w:rsidRPr="00462965">
              <w:rPr>
                <w:rFonts w:cstheme="minorHAnsi"/>
              </w:rPr>
              <w:t>mają zostać wysłuchane w ramach postępowania dotyczącego analizy przedkładanych przez syndyka</w:t>
            </w:r>
            <w:r w:rsidR="0016380A" w:rsidRPr="00462965">
              <w:rPr>
                <w:rFonts w:cstheme="minorHAnsi"/>
              </w:rPr>
              <w:t xml:space="preserve"> </w:t>
            </w:r>
            <w:r w:rsidRPr="00462965">
              <w:rPr>
                <w:rFonts w:cstheme="minorHAnsi"/>
              </w:rPr>
              <w:t>sprawozdań. Stwierdzenie, że sprawozdania rozpoznaje sędzia - komisarz po wysłuchaniu w miarę</w:t>
            </w:r>
            <w:r w:rsidR="0016380A" w:rsidRPr="00462965">
              <w:rPr>
                <w:rFonts w:cstheme="minorHAnsi"/>
              </w:rPr>
              <w:t xml:space="preserve"> </w:t>
            </w:r>
            <w:r w:rsidRPr="00462965">
              <w:rPr>
                <w:rFonts w:cstheme="minorHAnsi"/>
              </w:rPr>
              <w:t>potrzeby i możliwości syndyka, upadłego i członków rady wierzycieli rodzi wątpliwości interpretacyjne</w:t>
            </w:r>
            <w:r w:rsidR="0016380A" w:rsidRPr="00462965">
              <w:rPr>
                <w:rFonts w:cstheme="minorHAnsi"/>
              </w:rPr>
              <w:t xml:space="preserve"> </w:t>
            </w:r>
            <w:r w:rsidRPr="00462965">
              <w:rPr>
                <w:rFonts w:cstheme="minorHAnsi"/>
              </w:rPr>
              <w:t>w zakresie tego, czy winni oni zostać każdorazowo przesłuchani, jeżeli będzie taka możliwość, czy też mogą</w:t>
            </w:r>
            <w:r w:rsidR="006341B9">
              <w:rPr>
                <w:rFonts w:cstheme="minorHAnsi"/>
              </w:rPr>
              <w:t xml:space="preserve"> </w:t>
            </w:r>
            <w:r w:rsidRPr="00462965">
              <w:rPr>
                <w:rFonts w:cstheme="minorHAnsi"/>
              </w:rPr>
              <w:t>oni zostać przesłuchani, jeśli sędzia - komisarz uzna, iż jest to niezbędne dla podjęcia prawidłowej decyzji</w:t>
            </w:r>
            <w:r w:rsidR="0016380A" w:rsidRPr="00462965">
              <w:rPr>
                <w:rFonts w:cstheme="minorHAnsi"/>
              </w:rPr>
              <w:t xml:space="preserve"> </w:t>
            </w:r>
            <w:r w:rsidRPr="00462965">
              <w:rPr>
                <w:rFonts w:cstheme="minorHAnsi"/>
              </w:rPr>
              <w:t>merytorycznej w zakresie przedłożonego mu sprawozdania. Sądzę, że proponowana korekta pozwoli na</w:t>
            </w:r>
            <w:r w:rsidR="0016380A" w:rsidRPr="00462965">
              <w:rPr>
                <w:rFonts w:cstheme="minorHAnsi"/>
              </w:rPr>
              <w:t xml:space="preserve"> </w:t>
            </w:r>
            <w:r w:rsidRPr="00462965">
              <w:rPr>
                <w:rFonts w:cstheme="minorHAnsi"/>
              </w:rPr>
              <w:t>wyeliminowanie możliwych wątpliwości interpretacyjnych.</w:t>
            </w:r>
          </w:p>
        </w:tc>
        <w:tc>
          <w:tcPr>
            <w:tcW w:w="1027" w:type="pct"/>
          </w:tcPr>
          <w:p w14:paraId="00D350B2" w14:textId="77777777" w:rsidR="00B43E02" w:rsidRPr="00CC7F2E" w:rsidRDefault="00B43E02" w:rsidP="00CC7F2E">
            <w:pPr>
              <w:jc w:val="both"/>
              <w:rPr>
                <w:rFonts w:ascii="Calibri" w:hAnsi="Calibri" w:cs="Calibri"/>
              </w:rPr>
            </w:pPr>
          </w:p>
        </w:tc>
        <w:tc>
          <w:tcPr>
            <w:tcW w:w="1108" w:type="pct"/>
          </w:tcPr>
          <w:p w14:paraId="7CEA2F90" w14:textId="37C51634" w:rsidR="00B43E02" w:rsidRPr="007368C7" w:rsidRDefault="00481B88" w:rsidP="00BC45D4">
            <w:pPr>
              <w:jc w:val="both"/>
              <w:rPr>
                <w:rFonts w:cstheme="minorHAnsi"/>
                <w:b/>
                <w:bCs/>
              </w:rPr>
            </w:pPr>
            <w:r w:rsidRPr="007368C7">
              <w:rPr>
                <w:rFonts w:cstheme="minorHAnsi"/>
                <w:b/>
                <w:bCs/>
              </w:rPr>
              <w:t xml:space="preserve">Uwaga </w:t>
            </w:r>
            <w:r w:rsidR="0015224A" w:rsidRPr="007368C7">
              <w:rPr>
                <w:rFonts w:cstheme="minorHAnsi"/>
                <w:b/>
                <w:bCs/>
              </w:rPr>
              <w:t xml:space="preserve">nieuwzględniona </w:t>
            </w:r>
          </w:p>
          <w:p w14:paraId="22760438" w14:textId="77777777" w:rsidR="00526D7E" w:rsidRPr="007368C7" w:rsidRDefault="0015224A" w:rsidP="00BC45D4">
            <w:pPr>
              <w:jc w:val="both"/>
              <w:rPr>
                <w:rFonts w:cstheme="minorHAnsi"/>
              </w:rPr>
            </w:pPr>
            <w:r w:rsidRPr="007368C7">
              <w:rPr>
                <w:rFonts w:cstheme="minorHAnsi"/>
              </w:rPr>
              <w:t xml:space="preserve">Intencją projektu jest pozostawienie sędziemu </w:t>
            </w:r>
            <w:r w:rsidRPr="007368C7">
              <w:rPr>
                <w:rFonts w:cstheme="minorHAnsi"/>
              </w:rPr>
              <w:lastRenderedPageBreak/>
              <w:t xml:space="preserve">komisarzowi swobody orzeczniczej w ramach nadzoru. </w:t>
            </w:r>
          </w:p>
          <w:p w14:paraId="45CB5FE1" w14:textId="0E3F0380" w:rsidR="00C33A8D" w:rsidRPr="007368C7" w:rsidRDefault="0015224A" w:rsidP="00BC45D4">
            <w:pPr>
              <w:jc w:val="both"/>
              <w:rPr>
                <w:rFonts w:cstheme="minorHAnsi"/>
              </w:rPr>
            </w:pPr>
            <w:r w:rsidRPr="007368C7">
              <w:rPr>
                <w:rFonts w:cstheme="minorHAnsi"/>
              </w:rPr>
              <w:t xml:space="preserve">Ponadto wskazać należy, że instytucja wysłuchania uregulowana została w art. 217 P.U. </w:t>
            </w:r>
            <w:r w:rsidR="00147863" w:rsidRPr="007368C7">
              <w:rPr>
                <w:rFonts w:cstheme="minorHAnsi"/>
              </w:rPr>
              <w:t xml:space="preserve">Językowo sformułowanie jest tożsame. </w:t>
            </w:r>
          </w:p>
        </w:tc>
      </w:tr>
      <w:tr w:rsidR="00B43E02" w:rsidRPr="00486628" w14:paraId="03B9DE5C" w14:textId="77777777" w:rsidTr="00AC5078">
        <w:tc>
          <w:tcPr>
            <w:tcW w:w="158" w:type="pct"/>
          </w:tcPr>
          <w:p w14:paraId="671C96B9" w14:textId="75B943DC" w:rsidR="00B43E02" w:rsidRDefault="005C4914" w:rsidP="005F7A15">
            <w:pPr>
              <w:jc w:val="center"/>
              <w:rPr>
                <w:rFonts w:cstheme="minorHAnsi"/>
              </w:rPr>
            </w:pPr>
            <w:r>
              <w:rPr>
                <w:rFonts w:cstheme="minorHAnsi"/>
              </w:rPr>
              <w:lastRenderedPageBreak/>
              <w:t>11</w:t>
            </w:r>
            <w:r w:rsidR="00B43E02">
              <w:rPr>
                <w:rFonts w:cstheme="minorHAnsi"/>
              </w:rPr>
              <w:t xml:space="preserve"> </w:t>
            </w:r>
          </w:p>
        </w:tc>
        <w:tc>
          <w:tcPr>
            <w:tcW w:w="698" w:type="pct"/>
          </w:tcPr>
          <w:p w14:paraId="4ECF3802" w14:textId="305CC985" w:rsidR="00B43E02" w:rsidRDefault="00B43E02" w:rsidP="0073232F">
            <w:pPr>
              <w:rPr>
                <w:rFonts w:ascii="Calibri" w:hAnsi="Calibri" w:cs="Calibri"/>
              </w:rPr>
            </w:pPr>
            <w:r>
              <w:rPr>
                <w:rFonts w:ascii="Calibri" w:hAnsi="Calibri" w:cs="Calibri"/>
              </w:rPr>
              <w:t>S</w:t>
            </w:r>
            <w:r w:rsidR="00F962B3">
              <w:rPr>
                <w:rFonts w:ascii="Calibri" w:hAnsi="Calibri" w:cs="Calibri"/>
              </w:rPr>
              <w:t>ąd Apelacyjny</w:t>
            </w:r>
            <w:r>
              <w:rPr>
                <w:rFonts w:ascii="Calibri" w:hAnsi="Calibri" w:cs="Calibri"/>
              </w:rPr>
              <w:t xml:space="preserve"> w Poznaniu </w:t>
            </w:r>
          </w:p>
        </w:tc>
        <w:tc>
          <w:tcPr>
            <w:tcW w:w="591" w:type="pct"/>
          </w:tcPr>
          <w:p w14:paraId="7EA487C7" w14:textId="1DDC308E" w:rsidR="00B43E02" w:rsidRDefault="00F962B3" w:rsidP="003B3876">
            <w:pPr>
              <w:jc w:val="both"/>
              <w:rPr>
                <w:rFonts w:ascii="Calibri" w:hAnsi="Calibri" w:cs="Calibri"/>
              </w:rPr>
            </w:pPr>
            <w:r w:rsidRPr="00F962B3">
              <w:rPr>
                <w:rFonts w:ascii="Calibri" w:hAnsi="Calibri" w:cs="Calibri"/>
                <w:b/>
                <w:bCs/>
              </w:rPr>
              <w:t>Art. 1 pkt. 2-3</w:t>
            </w:r>
            <w:r>
              <w:rPr>
                <w:rFonts w:ascii="Calibri" w:hAnsi="Calibri" w:cs="Calibri"/>
              </w:rPr>
              <w:t xml:space="preserve"> (</w:t>
            </w:r>
            <w:r w:rsidR="00B43E02" w:rsidRPr="00B43E02">
              <w:rPr>
                <w:rFonts w:ascii="Calibri" w:hAnsi="Calibri" w:cs="Calibri"/>
              </w:rPr>
              <w:t xml:space="preserve">art. 219 oraz 221 </w:t>
            </w:r>
            <w:r>
              <w:rPr>
                <w:rFonts w:ascii="Calibri" w:hAnsi="Calibri" w:cs="Calibri"/>
              </w:rPr>
              <w:t>P.U.)</w:t>
            </w:r>
          </w:p>
        </w:tc>
        <w:tc>
          <w:tcPr>
            <w:tcW w:w="1418" w:type="pct"/>
          </w:tcPr>
          <w:p w14:paraId="08F9E272" w14:textId="3CE80AAB" w:rsidR="00B43E02" w:rsidRPr="00462965" w:rsidRDefault="00B43E02" w:rsidP="00462965">
            <w:pPr>
              <w:jc w:val="both"/>
              <w:rPr>
                <w:rFonts w:cstheme="minorHAnsi"/>
              </w:rPr>
            </w:pPr>
            <w:r w:rsidRPr="00462965">
              <w:rPr>
                <w:rFonts w:cstheme="minorHAnsi"/>
              </w:rPr>
              <w:t xml:space="preserve">Przepisy art. 219 oraz 221 </w:t>
            </w:r>
            <w:r w:rsidR="00BC64D1">
              <w:rPr>
                <w:rFonts w:cstheme="minorHAnsi"/>
              </w:rPr>
              <w:t>P</w:t>
            </w:r>
            <w:r w:rsidRPr="00462965">
              <w:rPr>
                <w:rFonts w:cstheme="minorHAnsi"/>
              </w:rPr>
              <w:t>.</w:t>
            </w:r>
            <w:r w:rsidR="00BC64D1">
              <w:rPr>
                <w:rFonts w:cstheme="minorHAnsi"/>
              </w:rPr>
              <w:t>U</w:t>
            </w:r>
            <w:r w:rsidRPr="00462965">
              <w:rPr>
                <w:rFonts w:cstheme="minorHAnsi"/>
              </w:rPr>
              <w:t>. w zakresie w jakim dająca uprawnienia większej ilości osób do ujawnienia</w:t>
            </w:r>
            <w:r w:rsidR="00F962B3" w:rsidRPr="00462965">
              <w:rPr>
                <w:rFonts w:cstheme="minorHAnsi"/>
              </w:rPr>
              <w:t xml:space="preserve"> </w:t>
            </w:r>
            <w:r w:rsidRPr="00462965">
              <w:rPr>
                <w:rFonts w:cstheme="minorHAnsi"/>
              </w:rPr>
              <w:t>informacji o prawomocności orzeczenia oraz dokonania obwieszczenia pozwoli na przyspieszenie</w:t>
            </w:r>
            <w:r w:rsidR="008B1B0B">
              <w:rPr>
                <w:rFonts w:cstheme="minorHAnsi"/>
              </w:rPr>
              <w:t xml:space="preserve"> </w:t>
            </w:r>
            <w:r w:rsidRPr="00462965">
              <w:rPr>
                <w:rFonts w:cstheme="minorHAnsi"/>
              </w:rPr>
              <w:t>stwierdzenia prawomocności orzeczeń. Niemniej jednak w</w:t>
            </w:r>
            <w:r w:rsidR="00BC64D1">
              <w:rPr>
                <w:rFonts w:cstheme="minorHAnsi"/>
              </w:rPr>
              <w:t> </w:t>
            </w:r>
            <w:r w:rsidRPr="00462965">
              <w:rPr>
                <w:rFonts w:cstheme="minorHAnsi"/>
              </w:rPr>
              <w:t>przypadku postępowań dotyczących</w:t>
            </w:r>
            <w:r w:rsidR="00F962B3" w:rsidRPr="00462965">
              <w:rPr>
                <w:rFonts w:cstheme="minorHAnsi"/>
              </w:rPr>
              <w:t xml:space="preserve"> </w:t>
            </w:r>
            <w:r w:rsidRPr="00462965">
              <w:rPr>
                <w:rFonts w:cstheme="minorHAnsi"/>
              </w:rPr>
              <w:t xml:space="preserve">ogłoszenia upadłości osoby fizycznej </w:t>
            </w:r>
            <w:r w:rsidRPr="00462965">
              <w:rPr>
                <w:rFonts w:cstheme="minorHAnsi"/>
              </w:rPr>
              <w:lastRenderedPageBreak/>
              <w:t>nieprowadzącej działalności gospodarczej zauważyć trzeba, że</w:t>
            </w:r>
            <w:r w:rsidR="00F962B3" w:rsidRPr="00462965">
              <w:rPr>
                <w:rFonts w:cstheme="minorHAnsi"/>
              </w:rPr>
              <w:t xml:space="preserve"> </w:t>
            </w:r>
            <w:r w:rsidRPr="00462965">
              <w:rPr>
                <w:rFonts w:cstheme="minorHAnsi"/>
              </w:rPr>
              <w:t xml:space="preserve">szczególnie w sprawach </w:t>
            </w:r>
            <w:proofErr w:type="spellStart"/>
            <w:r w:rsidRPr="00462965">
              <w:rPr>
                <w:rFonts w:cstheme="minorHAnsi"/>
              </w:rPr>
              <w:t>GUp</w:t>
            </w:r>
            <w:proofErr w:type="spellEnd"/>
            <w:r w:rsidRPr="00462965">
              <w:rPr>
                <w:rFonts w:cstheme="minorHAnsi"/>
              </w:rPr>
              <w:t>-k-</w:t>
            </w:r>
            <w:proofErr w:type="spellStart"/>
            <w:r w:rsidRPr="00462965">
              <w:rPr>
                <w:rFonts w:cstheme="minorHAnsi"/>
              </w:rPr>
              <w:t>upr</w:t>
            </w:r>
            <w:proofErr w:type="spellEnd"/>
            <w:r w:rsidRPr="00462965">
              <w:rPr>
                <w:rFonts w:cstheme="minorHAnsi"/>
              </w:rPr>
              <w:t xml:space="preserve"> stwierdzenie prawomocności nie jest jedyną czynnością, którą należy</w:t>
            </w:r>
            <w:r w:rsidR="00F962B3" w:rsidRPr="00462965">
              <w:rPr>
                <w:rFonts w:cstheme="minorHAnsi"/>
              </w:rPr>
              <w:t xml:space="preserve"> </w:t>
            </w:r>
            <w:r w:rsidRPr="00462965">
              <w:rPr>
                <w:rFonts w:cstheme="minorHAnsi"/>
              </w:rPr>
              <w:t xml:space="preserve">przedsięwziąć w celu kompleksowego rozpoznania sprawy. Niejednokrotnie bowiem zaraz po uprawomocnieniu orzeczenia w przedmiocie ustalenia planu spłaty orzecznik wydaje zarządzenie o zarejestrowaniu sprawy w repertorium </w:t>
            </w:r>
            <w:proofErr w:type="spellStart"/>
            <w:r w:rsidRPr="00462965">
              <w:rPr>
                <w:rFonts w:cstheme="minorHAnsi"/>
              </w:rPr>
              <w:t>GUu</w:t>
            </w:r>
            <w:proofErr w:type="spellEnd"/>
            <w:r w:rsidRPr="00462965">
              <w:rPr>
                <w:rFonts w:cstheme="minorHAnsi"/>
              </w:rPr>
              <w:t xml:space="preserve"> oraz wydaje zarządzenie o wypłacie wynagrodzenia syndyka i przekazanie odpisu prawomocnego postanowienia do wydziału egzekucyjnego. Tym samym osoba, która dokonuje prawomocności i obwieszczenia postanowienia o ustaleniu planu spłaty winna również mieć kompetencje do wypłacenia syndykowi wynagrodzenia, rejestracji sprawy w innym repertorium oraz przekazania odpisu prawomocnego postanowienia do właściwego wydziału. W</w:t>
            </w:r>
            <w:r w:rsidR="00BC64D1">
              <w:rPr>
                <w:rFonts w:cstheme="minorHAnsi"/>
              </w:rPr>
              <w:t> </w:t>
            </w:r>
            <w:r w:rsidRPr="00462965">
              <w:rPr>
                <w:rFonts w:cstheme="minorHAnsi"/>
              </w:rPr>
              <w:t>przeciwnym razie zachodzi realne niebezpieczeństwo, że orzecznik widząc, że postanowienie jest prawomocne pozostanie w</w:t>
            </w:r>
            <w:r w:rsidR="00BC64D1">
              <w:rPr>
                <w:rFonts w:cstheme="minorHAnsi"/>
              </w:rPr>
              <w:t> </w:t>
            </w:r>
            <w:r w:rsidRPr="00462965">
              <w:rPr>
                <w:rFonts w:cstheme="minorHAnsi"/>
              </w:rPr>
              <w:t>błędnym przekonaniu, iż w sprawie zostały wydane wszelkie dalsze niezbędne dyspozycje celem jego zakończenia. Bardzo często się bowiem zdarza, że w Systemie KRZ znajduje się wiele dokumentów</w:t>
            </w:r>
            <w:r w:rsidR="00F66431" w:rsidRPr="00462965">
              <w:rPr>
                <w:rFonts w:cstheme="minorHAnsi"/>
              </w:rPr>
              <w:t xml:space="preserve"> </w:t>
            </w:r>
            <w:r w:rsidRPr="00462965">
              <w:rPr>
                <w:rFonts w:cstheme="minorHAnsi"/>
              </w:rPr>
              <w:t>kierowanych przez strony, pomiędzy którymi łatwo może umknąć fakt, iż chociażby nie zarejestrowano</w:t>
            </w:r>
            <w:r w:rsidR="00F66431" w:rsidRPr="00462965">
              <w:rPr>
                <w:rFonts w:cstheme="minorHAnsi"/>
              </w:rPr>
              <w:t xml:space="preserve"> </w:t>
            </w:r>
            <w:r w:rsidRPr="00462965">
              <w:rPr>
                <w:rFonts w:cstheme="minorHAnsi"/>
              </w:rPr>
              <w:t xml:space="preserve">sprawy w repertorium </w:t>
            </w:r>
            <w:proofErr w:type="spellStart"/>
            <w:r w:rsidRPr="00462965">
              <w:rPr>
                <w:rFonts w:cstheme="minorHAnsi"/>
              </w:rPr>
              <w:t>GUu</w:t>
            </w:r>
            <w:proofErr w:type="spellEnd"/>
            <w:r w:rsidRPr="00462965">
              <w:rPr>
                <w:rFonts w:cstheme="minorHAnsi"/>
              </w:rPr>
              <w:t>. Wychwycenie tego uchybienia na dalszym etapie może nie być możliwe</w:t>
            </w:r>
            <w:r w:rsidR="001B770C" w:rsidRPr="00462965">
              <w:rPr>
                <w:rFonts w:cstheme="minorHAnsi"/>
              </w:rPr>
              <w:t xml:space="preserve"> </w:t>
            </w:r>
            <w:r w:rsidRPr="00462965">
              <w:rPr>
                <w:rFonts w:cstheme="minorHAnsi"/>
              </w:rPr>
              <w:t xml:space="preserve">chociażby z uwagi na ilość spraw zakreślonych w Systemie KRZ znajdujących się </w:t>
            </w:r>
            <w:r w:rsidRPr="00462965">
              <w:rPr>
                <w:rFonts w:cstheme="minorHAnsi"/>
              </w:rPr>
              <w:lastRenderedPageBreak/>
              <w:t xml:space="preserve">w </w:t>
            </w:r>
            <w:proofErr w:type="spellStart"/>
            <w:r w:rsidRPr="00462965">
              <w:rPr>
                <w:rFonts w:cstheme="minorHAnsi"/>
              </w:rPr>
              <w:t>decernacie</w:t>
            </w:r>
            <w:proofErr w:type="spellEnd"/>
            <w:r w:rsidRPr="00462965">
              <w:rPr>
                <w:rFonts w:cstheme="minorHAnsi"/>
              </w:rPr>
              <w:t xml:space="preserve"> każdego</w:t>
            </w:r>
            <w:r w:rsidR="001B770C" w:rsidRPr="00462965">
              <w:rPr>
                <w:rFonts w:cstheme="minorHAnsi"/>
              </w:rPr>
              <w:t xml:space="preserve"> </w:t>
            </w:r>
            <w:r w:rsidRPr="00462965">
              <w:rPr>
                <w:rFonts w:cstheme="minorHAnsi"/>
              </w:rPr>
              <w:t>referendarza sądowego, a to referendarze sądowi są przede wszystkim odpowiedzialni za podejmowanie</w:t>
            </w:r>
            <w:r w:rsidR="001B770C" w:rsidRPr="00462965">
              <w:rPr>
                <w:rFonts w:cstheme="minorHAnsi"/>
              </w:rPr>
              <w:t xml:space="preserve"> </w:t>
            </w:r>
            <w:r w:rsidRPr="00462965">
              <w:rPr>
                <w:rFonts w:cstheme="minorHAnsi"/>
              </w:rPr>
              <w:t>wszystkich decyzji w sprawach zakreślonych</w:t>
            </w:r>
            <w:r w:rsidR="001B770C" w:rsidRPr="00462965">
              <w:rPr>
                <w:rFonts w:cstheme="minorHAnsi"/>
              </w:rPr>
              <w:t>.</w:t>
            </w:r>
          </w:p>
        </w:tc>
        <w:tc>
          <w:tcPr>
            <w:tcW w:w="1027" w:type="pct"/>
          </w:tcPr>
          <w:p w14:paraId="7570DA58" w14:textId="77777777" w:rsidR="00B43E02" w:rsidRPr="00CC7F2E" w:rsidRDefault="00B43E02" w:rsidP="00CC7F2E">
            <w:pPr>
              <w:jc w:val="both"/>
              <w:rPr>
                <w:rFonts w:ascii="Calibri" w:hAnsi="Calibri" w:cs="Calibri"/>
              </w:rPr>
            </w:pPr>
          </w:p>
        </w:tc>
        <w:tc>
          <w:tcPr>
            <w:tcW w:w="1108" w:type="pct"/>
          </w:tcPr>
          <w:p w14:paraId="4EF24693" w14:textId="77777777" w:rsidR="00B43E02" w:rsidRPr="007368C7" w:rsidRDefault="00147863" w:rsidP="00BC45D4">
            <w:pPr>
              <w:jc w:val="both"/>
              <w:rPr>
                <w:rFonts w:cstheme="minorHAnsi"/>
                <w:b/>
                <w:bCs/>
              </w:rPr>
            </w:pPr>
            <w:r w:rsidRPr="007368C7">
              <w:rPr>
                <w:rFonts w:cstheme="minorHAnsi"/>
                <w:b/>
                <w:bCs/>
              </w:rPr>
              <w:t>Uwaga nieuwzględniona</w:t>
            </w:r>
          </w:p>
          <w:p w14:paraId="39D3D737" w14:textId="77777777" w:rsidR="00147863" w:rsidRPr="007368C7" w:rsidRDefault="00556660" w:rsidP="00BC45D4">
            <w:pPr>
              <w:jc w:val="both"/>
              <w:rPr>
                <w:rFonts w:cstheme="minorHAnsi"/>
              </w:rPr>
            </w:pPr>
            <w:r w:rsidRPr="007368C7">
              <w:rPr>
                <w:rFonts w:cstheme="minorHAnsi"/>
              </w:rPr>
              <w:t xml:space="preserve">Odróżnić należy techniczną czynność odnotowania daty prawomocności od stwierdzenia prawomocności orzeczenia (w drodze postanowienia, na wniosek strony). Projekt stanowi usankcjonowanie praktyki już </w:t>
            </w:r>
            <w:r w:rsidRPr="007368C7">
              <w:rPr>
                <w:rFonts w:cstheme="minorHAnsi"/>
              </w:rPr>
              <w:lastRenderedPageBreak/>
              <w:t>funkcjonującej w sądach (art. 219 ust. 4 P.U.).</w:t>
            </w:r>
          </w:p>
          <w:p w14:paraId="0575653F" w14:textId="56F2986E" w:rsidR="00556660" w:rsidRPr="007368C7" w:rsidRDefault="00556660" w:rsidP="00BC45D4">
            <w:pPr>
              <w:jc w:val="both"/>
              <w:rPr>
                <w:rFonts w:cstheme="minorHAnsi"/>
              </w:rPr>
            </w:pPr>
            <w:r w:rsidRPr="007368C7">
              <w:rPr>
                <w:rFonts w:cstheme="minorHAnsi"/>
              </w:rPr>
              <w:t>Problematyka dotyczy organizacji pracy konkretnych wydziałów.</w:t>
            </w:r>
          </w:p>
        </w:tc>
      </w:tr>
      <w:tr w:rsidR="00F66431" w:rsidRPr="00486628" w14:paraId="65A150EC" w14:textId="77777777" w:rsidTr="00AC5078">
        <w:tc>
          <w:tcPr>
            <w:tcW w:w="158" w:type="pct"/>
          </w:tcPr>
          <w:p w14:paraId="0F75E588" w14:textId="23243FAE" w:rsidR="00F66431" w:rsidRDefault="005C4914" w:rsidP="005F7A15">
            <w:pPr>
              <w:jc w:val="center"/>
              <w:rPr>
                <w:rFonts w:cstheme="minorHAnsi"/>
              </w:rPr>
            </w:pPr>
            <w:r>
              <w:rPr>
                <w:rFonts w:cstheme="minorHAnsi"/>
              </w:rPr>
              <w:lastRenderedPageBreak/>
              <w:t>12</w:t>
            </w:r>
          </w:p>
        </w:tc>
        <w:tc>
          <w:tcPr>
            <w:tcW w:w="698" w:type="pct"/>
          </w:tcPr>
          <w:p w14:paraId="38F35C5C" w14:textId="4612B94E" w:rsidR="00F66431" w:rsidRDefault="003E2E31" w:rsidP="0073232F">
            <w:pPr>
              <w:rPr>
                <w:rFonts w:ascii="Calibri" w:hAnsi="Calibri" w:cs="Calibri"/>
              </w:rPr>
            </w:pPr>
            <w:r>
              <w:rPr>
                <w:rFonts w:ascii="Calibri" w:hAnsi="Calibri" w:cs="Calibri"/>
              </w:rPr>
              <w:t>S</w:t>
            </w:r>
            <w:r w:rsidR="00EC499C">
              <w:rPr>
                <w:rFonts w:ascii="Calibri" w:hAnsi="Calibri" w:cs="Calibri"/>
              </w:rPr>
              <w:t xml:space="preserve">ąd Apelacyjny </w:t>
            </w:r>
            <w:r>
              <w:rPr>
                <w:rFonts w:ascii="Calibri" w:hAnsi="Calibri" w:cs="Calibri"/>
              </w:rPr>
              <w:t xml:space="preserve">w Poznaniu </w:t>
            </w:r>
          </w:p>
        </w:tc>
        <w:tc>
          <w:tcPr>
            <w:tcW w:w="591" w:type="pct"/>
          </w:tcPr>
          <w:p w14:paraId="6B2B19F9" w14:textId="05622471" w:rsidR="00F66431" w:rsidRPr="00B43E02" w:rsidRDefault="00EC499C" w:rsidP="003B3876">
            <w:pPr>
              <w:jc w:val="both"/>
              <w:rPr>
                <w:rFonts w:ascii="Calibri" w:hAnsi="Calibri" w:cs="Calibri"/>
              </w:rPr>
            </w:pPr>
            <w:r w:rsidRPr="00EC499C">
              <w:rPr>
                <w:rFonts w:ascii="Calibri" w:hAnsi="Calibri" w:cs="Calibri"/>
                <w:b/>
                <w:bCs/>
              </w:rPr>
              <w:t>Art. 1 pkt. 6 i 17</w:t>
            </w:r>
            <w:r>
              <w:rPr>
                <w:rFonts w:ascii="Calibri" w:hAnsi="Calibri" w:cs="Calibri"/>
              </w:rPr>
              <w:t xml:space="preserve"> </w:t>
            </w:r>
            <w:r w:rsidR="00F6272A">
              <w:rPr>
                <w:rFonts w:ascii="Calibri" w:hAnsi="Calibri" w:cs="Calibri"/>
              </w:rPr>
              <w:t xml:space="preserve">(art. </w:t>
            </w:r>
            <w:r w:rsidR="003E2E31" w:rsidRPr="003E2E31">
              <w:rPr>
                <w:rFonts w:ascii="Calibri" w:hAnsi="Calibri" w:cs="Calibri"/>
              </w:rPr>
              <w:t>370c ust. 4 oraz art. 491</w:t>
            </w:r>
            <w:r w:rsidR="00F6272A">
              <w:rPr>
                <w:rFonts w:ascii="Calibri" w:hAnsi="Calibri" w:cs="Calibri"/>
                <w:vertAlign w:val="superscript"/>
              </w:rPr>
              <w:t>1</w:t>
            </w:r>
            <w:r w:rsidR="00C82E94">
              <w:rPr>
                <w:rFonts w:ascii="Calibri" w:hAnsi="Calibri" w:cs="Calibri"/>
                <w:vertAlign w:val="superscript"/>
              </w:rPr>
              <w:t>8</w:t>
            </w:r>
            <w:r w:rsidR="003E2E31" w:rsidRPr="003E2E31">
              <w:rPr>
                <w:rFonts w:ascii="Calibri" w:hAnsi="Calibri" w:cs="Calibri"/>
              </w:rPr>
              <w:t xml:space="preserve"> ust. 3</w:t>
            </w:r>
            <w:r w:rsidR="003E2E31">
              <w:rPr>
                <w:rFonts w:ascii="Calibri" w:hAnsi="Calibri" w:cs="Calibri"/>
              </w:rPr>
              <w:t xml:space="preserve"> P.U.</w:t>
            </w:r>
            <w:r w:rsidR="00C82E94">
              <w:rPr>
                <w:rFonts w:ascii="Calibri" w:hAnsi="Calibri" w:cs="Calibri"/>
              </w:rPr>
              <w:t>)</w:t>
            </w:r>
          </w:p>
        </w:tc>
        <w:tc>
          <w:tcPr>
            <w:tcW w:w="1418" w:type="pct"/>
          </w:tcPr>
          <w:p w14:paraId="36159A9D" w14:textId="3085C4BF" w:rsidR="003E2E31" w:rsidRPr="00462965" w:rsidRDefault="003E2E31" w:rsidP="00462965">
            <w:pPr>
              <w:jc w:val="both"/>
              <w:rPr>
                <w:rFonts w:cstheme="minorHAnsi"/>
              </w:rPr>
            </w:pPr>
            <w:r w:rsidRPr="00462965">
              <w:rPr>
                <w:rFonts w:cstheme="minorHAnsi"/>
              </w:rPr>
              <w:t xml:space="preserve">Podkreślenia wymaga, że ustawodawcy całkowicie umknęła w tym przypadku dyspozycja art. 216a </w:t>
            </w:r>
            <w:proofErr w:type="spellStart"/>
            <w:r w:rsidRPr="00462965">
              <w:rPr>
                <w:rFonts w:cstheme="minorHAnsi"/>
              </w:rPr>
              <w:t>p.u</w:t>
            </w:r>
            <w:proofErr w:type="spellEnd"/>
            <w:r w:rsidRPr="00462965">
              <w:rPr>
                <w:rFonts w:cstheme="minorHAnsi"/>
              </w:rPr>
              <w:t>. stanowiącym, że w postępowaniu upadłościowym</w:t>
            </w:r>
            <w:r w:rsidR="00C82E94" w:rsidRPr="00462965">
              <w:rPr>
                <w:rFonts w:cstheme="minorHAnsi"/>
              </w:rPr>
              <w:t xml:space="preserve"> </w:t>
            </w:r>
            <w:r w:rsidRPr="00462965">
              <w:rPr>
                <w:rFonts w:cstheme="minorHAnsi"/>
              </w:rPr>
              <w:t>pisma i dokumenty wnosi się wyłącznie za pośrednictwem</w:t>
            </w:r>
            <w:r w:rsidR="00C82E94" w:rsidRPr="00462965">
              <w:rPr>
                <w:rFonts w:cstheme="minorHAnsi"/>
              </w:rPr>
              <w:t> </w:t>
            </w:r>
            <w:r w:rsidRPr="00462965">
              <w:rPr>
                <w:rFonts w:cstheme="minorHAnsi"/>
              </w:rPr>
              <w:t>systemu</w:t>
            </w:r>
            <w:r w:rsidR="00C82E94" w:rsidRPr="00462965">
              <w:rPr>
                <w:rFonts w:cstheme="minorHAnsi"/>
              </w:rPr>
              <w:t> t</w:t>
            </w:r>
            <w:r w:rsidRPr="00462965">
              <w:rPr>
                <w:rFonts w:cstheme="minorHAnsi"/>
              </w:rPr>
              <w:t>eleinformatycznego. Skoro sąd nie</w:t>
            </w:r>
            <w:r w:rsidR="00C82E94" w:rsidRPr="00462965">
              <w:rPr>
                <w:rFonts w:cstheme="minorHAnsi"/>
              </w:rPr>
              <w:t xml:space="preserve"> </w:t>
            </w:r>
            <w:r w:rsidRPr="00462965">
              <w:rPr>
                <w:rFonts w:cstheme="minorHAnsi"/>
              </w:rPr>
              <w:t>będzie badał treści i formy dokumentów w postaci sprawozdania z sytuacji majątkowej i zawodowej</w:t>
            </w:r>
            <w:r w:rsidR="00C82E94" w:rsidRPr="00462965">
              <w:rPr>
                <w:rFonts w:cstheme="minorHAnsi"/>
              </w:rPr>
              <w:t xml:space="preserve"> </w:t>
            </w:r>
            <w:r w:rsidRPr="00462965">
              <w:rPr>
                <w:rFonts w:cstheme="minorHAnsi"/>
              </w:rPr>
              <w:t>dłużnika za poprzedni rok kalendarzowy musi to zrobić wierzyciel, albowiem wyłącznie na jego wniosek</w:t>
            </w:r>
            <w:r w:rsidR="00C82E94" w:rsidRPr="00462965">
              <w:rPr>
                <w:rFonts w:cstheme="minorHAnsi"/>
              </w:rPr>
              <w:t xml:space="preserve"> </w:t>
            </w:r>
            <w:r w:rsidRPr="00462965">
              <w:rPr>
                <w:rFonts w:cstheme="minorHAnsi"/>
              </w:rPr>
              <w:t>bądź wniosek dłużnika może dojść do zmiany lub uchylenia planu spłaty. Nietrudno jednak wyobrazić</w:t>
            </w:r>
            <w:r w:rsidR="00C82E94" w:rsidRPr="00462965">
              <w:rPr>
                <w:rFonts w:cstheme="minorHAnsi"/>
              </w:rPr>
              <w:t xml:space="preserve"> </w:t>
            </w:r>
            <w:r w:rsidRPr="00462965">
              <w:rPr>
                <w:rFonts w:cstheme="minorHAnsi"/>
              </w:rPr>
              <w:t>sobie sytuację, w której sprawozdanie upadłego zostanie przez niego przedłożone w formie tradycyjnej</w:t>
            </w:r>
            <w:r w:rsidR="00C82E94" w:rsidRPr="00462965">
              <w:rPr>
                <w:rFonts w:cstheme="minorHAnsi"/>
              </w:rPr>
              <w:t xml:space="preserve"> </w:t>
            </w:r>
            <w:r w:rsidRPr="00462965">
              <w:rPr>
                <w:rFonts w:cstheme="minorHAnsi"/>
              </w:rPr>
              <w:t>z pominięciem Systemu KRZ, chociażby z uwagi na podeszły wiek i brak sprawności z korzystania</w:t>
            </w:r>
            <w:r w:rsidR="00C82E94" w:rsidRPr="00462965">
              <w:rPr>
                <w:rFonts w:cstheme="minorHAnsi"/>
              </w:rPr>
              <w:t xml:space="preserve"> </w:t>
            </w:r>
            <w:r w:rsidRPr="00462965">
              <w:rPr>
                <w:rFonts w:cstheme="minorHAnsi"/>
              </w:rPr>
              <w:t>z systemów teleinformatycznych lub wykluczenie cyfrowe, i taki dokument nie zostanie umieszczony</w:t>
            </w:r>
            <w:r w:rsidR="00C82E94" w:rsidRPr="00462965">
              <w:rPr>
                <w:rFonts w:cstheme="minorHAnsi"/>
              </w:rPr>
              <w:t xml:space="preserve"> </w:t>
            </w:r>
            <w:r w:rsidRPr="00462965">
              <w:rPr>
                <w:rFonts w:cstheme="minorHAnsi"/>
              </w:rPr>
              <w:t>w systemie teleinformatycznym. W zaistniałej sytuacji ze sprawozdaniem nie będzie mógł się zapoznać</w:t>
            </w:r>
          </w:p>
          <w:p w14:paraId="08B1EF08" w14:textId="426B7AC2" w:rsidR="003E2E31" w:rsidRPr="00462965" w:rsidRDefault="003E2E31" w:rsidP="00462965">
            <w:pPr>
              <w:jc w:val="both"/>
              <w:rPr>
                <w:rFonts w:cstheme="minorHAnsi"/>
              </w:rPr>
            </w:pPr>
            <w:r w:rsidRPr="00462965">
              <w:rPr>
                <w:rFonts w:cstheme="minorHAnsi"/>
              </w:rPr>
              <w:t>wierzyciel, który akta postępowania może analizować wyłącznie poprzez System KRZ, w następstwie czego</w:t>
            </w:r>
            <w:r w:rsidR="00C82E94" w:rsidRPr="00462965">
              <w:rPr>
                <w:rFonts w:cstheme="minorHAnsi"/>
              </w:rPr>
              <w:t xml:space="preserve"> </w:t>
            </w:r>
            <w:r w:rsidRPr="00462965">
              <w:rPr>
                <w:rFonts w:cstheme="minorHAnsi"/>
              </w:rPr>
              <w:t>może on wystąpić z wnioskiem o uchylenie planu spłaty. Taki wniosek będzie inicjował następnie całą</w:t>
            </w:r>
            <w:r w:rsidR="00C82E94" w:rsidRPr="00462965">
              <w:rPr>
                <w:rFonts w:cstheme="minorHAnsi"/>
              </w:rPr>
              <w:t xml:space="preserve"> </w:t>
            </w:r>
            <w:r w:rsidRPr="00462965">
              <w:rPr>
                <w:rFonts w:cstheme="minorHAnsi"/>
              </w:rPr>
              <w:t xml:space="preserve">procedurę związaną z uchyleniem planu spłaty, tj. konieczność rejestracji takiej sprawy, </w:t>
            </w:r>
            <w:r w:rsidRPr="00462965">
              <w:rPr>
                <w:rFonts w:cstheme="minorHAnsi"/>
              </w:rPr>
              <w:lastRenderedPageBreak/>
              <w:t>doręczenie</w:t>
            </w:r>
            <w:r w:rsidR="00C82E94" w:rsidRPr="00462965">
              <w:rPr>
                <w:rFonts w:cstheme="minorHAnsi"/>
              </w:rPr>
              <w:t xml:space="preserve"> </w:t>
            </w:r>
            <w:r w:rsidRPr="00462965">
              <w:rPr>
                <w:rFonts w:cstheme="minorHAnsi"/>
              </w:rPr>
              <w:t>odpisów wniosku, wyznaczenie terminu rozprawy i wezwanie na nią dłużnika oraz jego wysłuchanie.</w:t>
            </w:r>
          </w:p>
          <w:p w14:paraId="7F18116E" w14:textId="366EEB01" w:rsidR="003E2E31" w:rsidRPr="00462965" w:rsidRDefault="003E2E31" w:rsidP="00462965">
            <w:pPr>
              <w:jc w:val="both"/>
              <w:rPr>
                <w:rFonts w:cstheme="minorHAnsi"/>
              </w:rPr>
            </w:pPr>
            <w:r w:rsidRPr="00462965">
              <w:rPr>
                <w:rFonts w:cstheme="minorHAnsi"/>
              </w:rPr>
              <w:t>Jednocześnie w przypadku, w którym sąd upadłościowy uzna, że dłużnik w rzeczywistości wykonuje plan</w:t>
            </w:r>
            <w:r w:rsidR="00C82E94" w:rsidRPr="00462965">
              <w:rPr>
                <w:rFonts w:cstheme="minorHAnsi"/>
              </w:rPr>
              <w:t xml:space="preserve"> </w:t>
            </w:r>
            <w:r w:rsidRPr="00462965">
              <w:rPr>
                <w:rFonts w:cstheme="minorHAnsi"/>
              </w:rPr>
              <w:t>spłaty i nie jest zasadnym jego uchylenie, to sprawozdanie z wykonania planu spłaty wciąż nie znajdzie się</w:t>
            </w:r>
          </w:p>
          <w:p w14:paraId="6F905C84" w14:textId="6D7B82CB" w:rsidR="00F66431" w:rsidRPr="00462965" w:rsidRDefault="003E2E31" w:rsidP="00462965">
            <w:pPr>
              <w:jc w:val="both"/>
              <w:rPr>
                <w:rFonts w:cstheme="minorHAnsi"/>
              </w:rPr>
            </w:pPr>
            <w:r w:rsidRPr="00462965">
              <w:rPr>
                <w:rFonts w:cstheme="minorHAnsi"/>
              </w:rPr>
              <w:t>w Systemie KRZ, albowiem istnieje one wyłącznie w formie tradycyjnej, a więc wierzyciel wciąż nie będzie</w:t>
            </w:r>
            <w:r w:rsidR="00C82E94" w:rsidRPr="00462965">
              <w:rPr>
                <w:rFonts w:cstheme="minorHAnsi"/>
              </w:rPr>
              <w:t xml:space="preserve"> </w:t>
            </w:r>
            <w:r w:rsidRPr="00462965">
              <w:rPr>
                <w:rFonts w:cstheme="minorHAnsi"/>
              </w:rPr>
              <w:t>miał do niego dostępu, co rodzi obawy że w kolejnych latach ponownie zainicjuje procedurę związaną z uchyleniem planu spłaty wierzycieli (w sytuacji, w której dłużnik wciąż będzie składał sprawozdanie ze</w:t>
            </w:r>
            <w:r w:rsidR="00C82E94" w:rsidRPr="00462965">
              <w:rPr>
                <w:rFonts w:cstheme="minorHAnsi"/>
              </w:rPr>
              <w:t xml:space="preserve"> </w:t>
            </w:r>
            <w:r w:rsidRPr="00462965">
              <w:rPr>
                <w:rFonts w:cstheme="minorHAnsi"/>
              </w:rPr>
              <w:t>swojej sytuacji majątkowej w formie „papierowej”). W mojej ocenie w niniejszej sprawie konieczna jest</w:t>
            </w:r>
            <w:r w:rsidR="00C82E94" w:rsidRPr="00462965">
              <w:rPr>
                <w:rFonts w:cstheme="minorHAnsi"/>
              </w:rPr>
              <w:t xml:space="preserve"> </w:t>
            </w:r>
            <w:r w:rsidRPr="00462965">
              <w:rPr>
                <w:rFonts w:cstheme="minorHAnsi"/>
              </w:rPr>
              <w:t>nowelizacja art. 216a i następne w taki sposób, by możliwym było składanie przez dłużników sprawozdań</w:t>
            </w:r>
            <w:r w:rsidR="00C82E94" w:rsidRPr="00462965">
              <w:rPr>
                <w:rFonts w:cstheme="minorHAnsi"/>
              </w:rPr>
              <w:t xml:space="preserve"> </w:t>
            </w:r>
            <w:r w:rsidRPr="00462965">
              <w:rPr>
                <w:rFonts w:cstheme="minorHAnsi"/>
              </w:rPr>
              <w:t>określonych w art. 370c ust. 4 w formie tradycyjnej i następnie wprowadzanie tych dokumentów do</w:t>
            </w:r>
            <w:r w:rsidR="00C82E94" w:rsidRPr="00462965">
              <w:rPr>
                <w:rFonts w:cstheme="minorHAnsi"/>
              </w:rPr>
              <w:t xml:space="preserve"> </w:t>
            </w:r>
            <w:r w:rsidRPr="00462965">
              <w:rPr>
                <w:rFonts w:cstheme="minorHAnsi"/>
              </w:rPr>
              <w:t>Systemu KRZ przez pracownika Biura Podawczego</w:t>
            </w:r>
            <w:r w:rsidR="00C82E94" w:rsidRPr="00462965">
              <w:rPr>
                <w:rFonts w:cstheme="minorHAnsi"/>
              </w:rPr>
              <w:t>.</w:t>
            </w:r>
          </w:p>
        </w:tc>
        <w:tc>
          <w:tcPr>
            <w:tcW w:w="1027" w:type="pct"/>
          </w:tcPr>
          <w:p w14:paraId="103A25EC" w14:textId="77777777" w:rsidR="00F66431" w:rsidRPr="00CC7F2E" w:rsidRDefault="00F66431" w:rsidP="00CC7F2E">
            <w:pPr>
              <w:jc w:val="both"/>
              <w:rPr>
                <w:rFonts w:ascii="Calibri" w:hAnsi="Calibri" w:cs="Calibri"/>
              </w:rPr>
            </w:pPr>
          </w:p>
        </w:tc>
        <w:tc>
          <w:tcPr>
            <w:tcW w:w="1108" w:type="pct"/>
          </w:tcPr>
          <w:p w14:paraId="5E354585" w14:textId="55C771D6" w:rsidR="00693AA5" w:rsidRPr="007368C7" w:rsidRDefault="00756B21" w:rsidP="00BC45D4">
            <w:pPr>
              <w:jc w:val="both"/>
              <w:rPr>
                <w:rFonts w:cstheme="minorHAnsi"/>
                <w:b/>
                <w:bCs/>
              </w:rPr>
            </w:pPr>
            <w:r w:rsidRPr="007368C7">
              <w:rPr>
                <w:rFonts w:cstheme="minorHAnsi"/>
                <w:b/>
                <w:bCs/>
              </w:rPr>
              <w:t>Uwaga</w:t>
            </w:r>
            <w:r w:rsidR="00784913" w:rsidRPr="007368C7">
              <w:rPr>
                <w:rFonts w:cstheme="minorHAnsi"/>
                <w:b/>
                <w:bCs/>
              </w:rPr>
              <w:t xml:space="preserve"> nie</w:t>
            </w:r>
            <w:r w:rsidRPr="007368C7">
              <w:rPr>
                <w:rFonts w:cstheme="minorHAnsi"/>
                <w:b/>
                <w:bCs/>
              </w:rPr>
              <w:t xml:space="preserve">uwzględniona </w:t>
            </w:r>
          </w:p>
          <w:p w14:paraId="43E94F5D" w14:textId="424A18CE" w:rsidR="00784913" w:rsidRPr="007368C7" w:rsidRDefault="00784913" w:rsidP="00784913">
            <w:pPr>
              <w:jc w:val="both"/>
              <w:rPr>
                <w:rFonts w:cstheme="minorHAnsi"/>
              </w:rPr>
            </w:pPr>
            <w:r w:rsidRPr="007368C7">
              <w:rPr>
                <w:rFonts w:cstheme="minorHAnsi"/>
              </w:rPr>
              <w:t>W ocenie projektodawcy możliwość składania pism poza systemem powinna być przewidziana jedynie w wyjątkowych wypadkach.</w:t>
            </w:r>
          </w:p>
          <w:p w14:paraId="68967B59" w14:textId="77777777" w:rsidR="00784913" w:rsidRPr="007368C7" w:rsidRDefault="00784913" w:rsidP="00784913">
            <w:pPr>
              <w:jc w:val="both"/>
              <w:rPr>
                <w:rFonts w:cstheme="minorHAnsi"/>
              </w:rPr>
            </w:pPr>
            <w:r w:rsidRPr="007368C7">
              <w:rPr>
                <w:rFonts w:cstheme="minorHAnsi"/>
              </w:rPr>
              <w:t>Wprowadzenie takiej zmiany spowoduje poza tym poważne skutki w zakresie biurowości sądowej w wydziałach upadłościowych.</w:t>
            </w:r>
          </w:p>
          <w:p w14:paraId="56B17E5B" w14:textId="2A69A39A" w:rsidR="00784913" w:rsidRPr="007368C7" w:rsidRDefault="00784913" w:rsidP="00784913">
            <w:pPr>
              <w:jc w:val="both"/>
              <w:rPr>
                <w:rFonts w:cstheme="minorHAnsi"/>
              </w:rPr>
            </w:pPr>
            <w:r w:rsidRPr="007368C7">
              <w:rPr>
                <w:rFonts w:cstheme="minorHAnsi"/>
              </w:rPr>
              <w:t>Należy wskazać, że treść wagi jest sprzeczne z ogólnymi celami przyjętymi przez MS - cyfryzacji wymiaru sprawiedliwości.</w:t>
            </w:r>
          </w:p>
          <w:p w14:paraId="72495746" w14:textId="77777777" w:rsidR="00784913" w:rsidRPr="007368C7" w:rsidRDefault="00784913" w:rsidP="00784913">
            <w:pPr>
              <w:jc w:val="both"/>
              <w:rPr>
                <w:rFonts w:cstheme="minorHAnsi"/>
              </w:rPr>
            </w:pPr>
            <w:r w:rsidRPr="007368C7">
              <w:rPr>
                <w:rFonts w:cstheme="minorHAnsi"/>
              </w:rPr>
              <w:t xml:space="preserve">Niemożność odejścia od papieru i brak cyfryzacji postępowań sądowych wskazywana jest jako jeden z czynników wydłużających tempo rozpatrywania spraw </w:t>
            </w:r>
          </w:p>
          <w:p w14:paraId="0CA8DA50" w14:textId="77777777" w:rsidR="00784913" w:rsidRPr="007368C7" w:rsidRDefault="00784913" w:rsidP="00BC45D4">
            <w:pPr>
              <w:jc w:val="both"/>
              <w:rPr>
                <w:rFonts w:cstheme="minorHAnsi"/>
                <w:b/>
                <w:bCs/>
              </w:rPr>
            </w:pPr>
          </w:p>
          <w:p w14:paraId="21CD8CDA" w14:textId="4A52FD75" w:rsidR="008D457D" w:rsidRPr="007368C7" w:rsidRDefault="008D457D" w:rsidP="00784913">
            <w:pPr>
              <w:jc w:val="both"/>
              <w:rPr>
                <w:rFonts w:cstheme="minorHAnsi"/>
              </w:rPr>
            </w:pPr>
          </w:p>
        </w:tc>
      </w:tr>
      <w:tr w:rsidR="003E2E31" w:rsidRPr="00486628" w14:paraId="4E5C4E0D" w14:textId="77777777" w:rsidTr="00AC5078">
        <w:tc>
          <w:tcPr>
            <w:tcW w:w="158" w:type="pct"/>
          </w:tcPr>
          <w:p w14:paraId="3417D1B2" w14:textId="5D2333CC" w:rsidR="003E2E31" w:rsidRDefault="005C4914" w:rsidP="005F7A15">
            <w:pPr>
              <w:jc w:val="center"/>
              <w:rPr>
                <w:rFonts w:cstheme="minorHAnsi"/>
              </w:rPr>
            </w:pPr>
            <w:r>
              <w:rPr>
                <w:rFonts w:cstheme="minorHAnsi"/>
              </w:rPr>
              <w:t>13</w:t>
            </w:r>
          </w:p>
        </w:tc>
        <w:tc>
          <w:tcPr>
            <w:tcW w:w="698" w:type="pct"/>
          </w:tcPr>
          <w:p w14:paraId="10D47169" w14:textId="4838607E" w:rsidR="003E2E31" w:rsidRDefault="003E2E31" w:rsidP="0073232F">
            <w:pPr>
              <w:rPr>
                <w:rFonts w:ascii="Calibri" w:hAnsi="Calibri" w:cs="Calibri"/>
              </w:rPr>
            </w:pPr>
            <w:r>
              <w:rPr>
                <w:rFonts w:ascii="Calibri" w:hAnsi="Calibri" w:cs="Calibri"/>
              </w:rPr>
              <w:t>S</w:t>
            </w:r>
            <w:r w:rsidR="00C82E94">
              <w:rPr>
                <w:rFonts w:ascii="Calibri" w:hAnsi="Calibri" w:cs="Calibri"/>
              </w:rPr>
              <w:t xml:space="preserve">ąd Apelacyjny </w:t>
            </w:r>
            <w:r>
              <w:rPr>
                <w:rFonts w:ascii="Calibri" w:hAnsi="Calibri" w:cs="Calibri"/>
              </w:rPr>
              <w:t xml:space="preserve">w Poznaniu </w:t>
            </w:r>
          </w:p>
        </w:tc>
        <w:tc>
          <w:tcPr>
            <w:tcW w:w="591" w:type="pct"/>
          </w:tcPr>
          <w:p w14:paraId="410F7128" w14:textId="77777777" w:rsidR="003E2E31" w:rsidRPr="003E2E31" w:rsidRDefault="003E2E31" w:rsidP="003B3876">
            <w:pPr>
              <w:jc w:val="both"/>
              <w:rPr>
                <w:rFonts w:ascii="Calibri" w:hAnsi="Calibri" w:cs="Calibri"/>
              </w:rPr>
            </w:pPr>
          </w:p>
        </w:tc>
        <w:tc>
          <w:tcPr>
            <w:tcW w:w="1418" w:type="pct"/>
          </w:tcPr>
          <w:p w14:paraId="0874E539" w14:textId="18030AB8" w:rsidR="003E2E31" w:rsidRPr="00462965" w:rsidRDefault="003E2E31" w:rsidP="00462965">
            <w:pPr>
              <w:jc w:val="both"/>
              <w:rPr>
                <w:rFonts w:cstheme="minorHAnsi"/>
              </w:rPr>
            </w:pPr>
            <w:r w:rsidRPr="00462965">
              <w:rPr>
                <w:rFonts w:cstheme="minorHAnsi"/>
              </w:rPr>
              <w:t>Odnosząc się do obwieszczenia informacji o dacie, w której zobowiązania upadłego powstałe przed</w:t>
            </w:r>
            <w:r w:rsidR="00C82E94" w:rsidRPr="00462965">
              <w:rPr>
                <w:rFonts w:cstheme="minorHAnsi"/>
              </w:rPr>
              <w:t xml:space="preserve"> </w:t>
            </w:r>
            <w:r w:rsidRPr="00462965">
              <w:rPr>
                <w:rFonts w:cstheme="minorHAnsi"/>
              </w:rPr>
              <w:t>dniem ogłoszenia upadłości i niewykonane w wyniku wykonania planu spłaty wierzycieli uległy umorzeniu</w:t>
            </w:r>
            <w:r w:rsidR="00C82E94" w:rsidRPr="00462965">
              <w:rPr>
                <w:rFonts w:cstheme="minorHAnsi"/>
              </w:rPr>
              <w:t xml:space="preserve"> </w:t>
            </w:r>
            <w:r w:rsidRPr="00462965">
              <w:rPr>
                <w:rFonts w:cstheme="minorHAnsi"/>
              </w:rPr>
              <w:t>z mocy prawa zasadne wydaje się wprowadzenie przepisu analogicznego do projektowanej zmiany art.</w:t>
            </w:r>
            <w:r w:rsidR="00C82E94" w:rsidRPr="00462965">
              <w:rPr>
                <w:rFonts w:cstheme="minorHAnsi"/>
              </w:rPr>
              <w:t xml:space="preserve"> </w:t>
            </w:r>
            <w:r w:rsidRPr="00462965">
              <w:rPr>
                <w:rFonts w:cstheme="minorHAnsi"/>
              </w:rPr>
              <w:t xml:space="preserve">219 ust. 4 oraz 221 ust. 1a </w:t>
            </w:r>
            <w:r w:rsidR="001352EC">
              <w:rPr>
                <w:rFonts w:cstheme="minorHAnsi"/>
              </w:rPr>
              <w:t>P</w:t>
            </w:r>
            <w:r w:rsidRPr="00462965">
              <w:rPr>
                <w:rFonts w:cstheme="minorHAnsi"/>
              </w:rPr>
              <w:t>.</w:t>
            </w:r>
            <w:r w:rsidR="001352EC">
              <w:rPr>
                <w:rFonts w:cstheme="minorHAnsi"/>
              </w:rPr>
              <w:t>U</w:t>
            </w:r>
            <w:r w:rsidRPr="00462965">
              <w:rPr>
                <w:rFonts w:cstheme="minorHAnsi"/>
              </w:rPr>
              <w:t>., tak by, w przypadkach gdy nie został złożony wniosek o uchylenie planu</w:t>
            </w:r>
            <w:r w:rsidR="00C82E94" w:rsidRPr="00462965">
              <w:rPr>
                <w:rFonts w:cstheme="minorHAnsi"/>
              </w:rPr>
              <w:t xml:space="preserve"> </w:t>
            </w:r>
            <w:r w:rsidRPr="00462965">
              <w:rPr>
                <w:rFonts w:cstheme="minorHAnsi"/>
              </w:rPr>
              <w:t xml:space="preserve">spłaty, stosownego </w:t>
            </w:r>
            <w:r w:rsidRPr="00462965">
              <w:rPr>
                <w:rFonts w:cstheme="minorHAnsi"/>
              </w:rPr>
              <w:lastRenderedPageBreak/>
              <w:t>obwieszczenia poza orzecznikami mógł dokonać również asystent sędziego oraz</w:t>
            </w:r>
            <w:r w:rsidR="00C82E94" w:rsidRPr="00462965">
              <w:rPr>
                <w:rFonts w:cstheme="minorHAnsi"/>
              </w:rPr>
              <w:t xml:space="preserve"> </w:t>
            </w:r>
            <w:r w:rsidRPr="00462965">
              <w:rPr>
                <w:rFonts w:cstheme="minorHAnsi"/>
              </w:rPr>
              <w:t>pracownik sekretariatu. Podkreślenia bowiem wymaga, że przedmiotowe obwieszczenie ma charakter</w:t>
            </w:r>
            <w:r w:rsidR="00C82E94" w:rsidRPr="00462965">
              <w:rPr>
                <w:rFonts w:cstheme="minorHAnsi"/>
              </w:rPr>
              <w:t xml:space="preserve"> </w:t>
            </w:r>
            <w:r w:rsidRPr="00462965">
              <w:rPr>
                <w:rFonts w:cstheme="minorHAnsi"/>
              </w:rPr>
              <w:t>techniczny i mając na uwadze aktualne i znaczne obciążenie sędziów i referendarzy sądowych zasadnym</w:t>
            </w:r>
            <w:r w:rsidR="00C82E94" w:rsidRPr="00462965">
              <w:rPr>
                <w:rFonts w:cstheme="minorHAnsi"/>
              </w:rPr>
              <w:t xml:space="preserve"> </w:t>
            </w:r>
            <w:r w:rsidRPr="00462965">
              <w:rPr>
                <w:rFonts w:cstheme="minorHAnsi"/>
              </w:rPr>
              <w:t xml:space="preserve">wydaje się przyznanie kompetencji do wydania obwieszczenia o dacie, w której zobowiązania </w:t>
            </w:r>
            <w:r w:rsidR="00C82E94" w:rsidRPr="00462965">
              <w:rPr>
                <w:rFonts w:cstheme="minorHAnsi"/>
              </w:rPr>
              <w:t>upadłego powstałe</w:t>
            </w:r>
            <w:r w:rsidRPr="00462965">
              <w:rPr>
                <w:rFonts w:cstheme="minorHAnsi"/>
              </w:rPr>
              <w:t xml:space="preserve"> przed dniem ogłoszenia upadłości i niewykonane w wyniku wykonania planu spłaty wierzycieli</w:t>
            </w:r>
            <w:r w:rsidR="00567173" w:rsidRPr="00462965">
              <w:rPr>
                <w:rFonts w:cstheme="minorHAnsi"/>
              </w:rPr>
              <w:t xml:space="preserve"> </w:t>
            </w:r>
            <w:r w:rsidRPr="00462965">
              <w:rPr>
                <w:rFonts w:cstheme="minorHAnsi"/>
              </w:rPr>
              <w:t>uległy umorzeniu z mocy prawa asystentom sędziów oraz pracownikom sekretariatu, szczególnie, że</w:t>
            </w:r>
            <w:r w:rsidR="00520F24">
              <w:rPr>
                <w:rFonts w:cstheme="minorHAnsi"/>
              </w:rPr>
              <w:t xml:space="preserve"> </w:t>
            </w:r>
            <w:r w:rsidRPr="00462965">
              <w:rPr>
                <w:rFonts w:cstheme="minorHAnsi"/>
              </w:rPr>
              <w:t>przedmiotowe obwieszczenie nie będzie poprzedzone wydaniem odpowiedniego postanowienia, jak ma</w:t>
            </w:r>
            <w:r w:rsidR="00C82E94" w:rsidRPr="00462965">
              <w:rPr>
                <w:rFonts w:cstheme="minorHAnsi"/>
              </w:rPr>
              <w:t xml:space="preserve"> </w:t>
            </w:r>
            <w:r w:rsidRPr="00462965">
              <w:rPr>
                <w:rFonts w:cstheme="minorHAnsi"/>
              </w:rPr>
              <w:t>to miejsce w chwili obecnej</w:t>
            </w:r>
            <w:r w:rsidR="00520F24">
              <w:rPr>
                <w:rFonts w:cstheme="minorHAnsi"/>
              </w:rPr>
              <w:t>.</w:t>
            </w:r>
          </w:p>
        </w:tc>
        <w:tc>
          <w:tcPr>
            <w:tcW w:w="1027" w:type="pct"/>
          </w:tcPr>
          <w:p w14:paraId="078A7F72" w14:textId="77777777" w:rsidR="003E2E31" w:rsidRPr="00CC7F2E" w:rsidRDefault="003E2E31" w:rsidP="00CC7F2E">
            <w:pPr>
              <w:jc w:val="both"/>
              <w:rPr>
                <w:rFonts w:ascii="Calibri" w:hAnsi="Calibri" w:cs="Calibri"/>
              </w:rPr>
            </w:pPr>
          </w:p>
        </w:tc>
        <w:tc>
          <w:tcPr>
            <w:tcW w:w="1108" w:type="pct"/>
          </w:tcPr>
          <w:p w14:paraId="6FAA7319" w14:textId="77777777" w:rsidR="003E2E31" w:rsidRPr="007368C7" w:rsidRDefault="00693AA5" w:rsidP="00BC45D4">
            <w:pPr>
              <w:jc w:val="both"/>
              <w:rPr>
                <w:rFonts w:cstheme="minorHAnsi"/>
                <w:b/>
                <w:bCs/>
              </w:rPr>
            </w:pPr>
            <w:r w:rsidRPr="007368C7">
              <w:rPr>
                <w:rFonts w:cstheme="minorHAnsi"/>
                <w:b/>
                <w:bCs/>
              </w:rPr>
              <w:t>Uwaga nieuwzględniona</w:t>
            </w:r>
          </w:p>
          <w:p w14:paraId="6747F3AE" w14:textId="129CB96A" w:rsidR="00693AA5" w:rsidRPr="007368C7" w:rsidRDefault="00D7758E" w:rsidP="00BC45D4">
            <w:pPr>
              <w:jc w:val="both"/>
              <w:rPr>
                <w:rFonts w:cstheme="minorHAnsi"/>
              </w:rPr>
            </w:pPr>
            <w:r w:rsidRPr="007368C7">
              <w:rPr>
                <w:rFonts w:cstheme="minorHAnsi"/>
              </w:rPr>
              <w:t>Przepis art. 219 i 221 P.U. mają zastosowanie na podstawie art. 491</w:t>
            </w:r>
            <w:r w:rsidRPr="007368C7">
              <w:rPr>
                <w:rFonts w:cstheme="minorHAnsi"/>
                <w:vertAlign w:val="superscript"/>
              </w:rPr>
              <w:t>2</w:t>
            </w:r>
            <w:r w:rsidRPr="007368C7">
              <w:rPr>
                <w:rFonts w:cstheme="minorHAnsi"/>
              </w:rPr>
              <w:t xml:space="preserve"> ust. 1 P.U.</w:t>
            </w:r>
          </w:p>
        </w:tc>
      </w:tr>
      <w:tr w:rsidR="00B002B9" w:rsidRPr="00486628" w14:paraId="0A42B486" w14:textId="77777777" w:rsidTr="00AC5078">
        <w:tc>
          <w:tcPr>
            <w:tcW w:w="158" w:type="pct"/>
          </w:tcPr>
          <w:p w14:paraId="3A5A3DA6" w14:textId="4177E3ED" w:rsidR="00B002B9" w:rsidRDefault="00E02562" w:rsidP="005F7A15">
            <w:pPr>
              <w:jc w:val="center"/>
              <w:rPr>
                <w:rFonts w:cstheme="minorHAnsi"/>
              </w:rPr>
            </w:pPr>
            <w:r>
              <w:rPr>
                <w:rFonts w:cstheme="minorHAnsi"/>
              </w:rPr>
              <w:t>14</w:t>
            </w:r>
          </w:p>
        </w:tc>
        <w:tc>
          <w:tcPr>
            <w:tcW w:w="698" w:type="pct"/>
          </w:tcPr>
          <w:p w14:paraId="32FBD4C2" w14:textId="177AEF2C" w:rsidR="00B002B9" w:rsidRPr="00F901C7" w:rsidRDefault="00B002B9" w:rsidP="0073232F">
            <w:pPr>
              <w:rPr>
                <w:rFonts w:ascii="Calibri" w:hAnsi="Calibri" w:cs="Calibri"/>
              </w:rPr>
            </w:pPr>
            <w:r>
              <w:rPr>
                <w:rFonts w:ascii="Calibri" w:hAnsi="Calibri" w:cs="Calibri"/>
              </w:rPr>
              <w:t>S</w:t>
            </w:r>
            <w:r w:rsidR="002F3920">
              <w:rPr>
                <w:rFonts w:ascii="Calibri" w:hAnsi="Calibri" w:cs="Calibri"/>
              </w:rPr>
              <w:t>ąd Najwyższy</w:t>
            </w:r>
          </w:p>
        </w:tc>
        <w:tc>
          <w:tcPr>
            <w:tcW w:w="591" w:type="pct"/>
          </w:tcPr>
          <w:p w14:paraId="021DECF3" w14:textId="350859EC" w:rsidR="00B002B9" w:rsidRPr="00B002B9" w:rsidRDefault="002F26FE" w:rsidP="00F901C7">
            <w:pPr>
              <w:rPr>
                <w:rFonts w:ascii="Calibri" w:hAnsi="Calibri" w:cs="Calibri"/>
              </w:rPr>
            </w:pPr>
            <w:r w:rsidRPr="002F26FE">
              <w:rPr>
                <w:rFonts w:ascii="Calibri" w:hAnsi="Calibri" w:cs="Calibri"/>
                <w:b/>
                <w:bCs/>
              </w:rPr>
              <w:t>Art. 1 pkt 9 i 20</w:t>
            </w:r>
            <w:r>
              <w:rPr>
                <w:rFonts w:ascii="Calibri" w:hAnsi="Calibri" w:cs="Calibri"/>
              </w:rPr>
              <w:t xml:space="preserve"> (</w:t>
            </w:r>
            <w:r w:rsidR="00B002B9" w:rsidRPr="00B002B9">
              <w:rPr>
                <w:rFonts w:ascii="Calibri" w:hAnsi="Calibri" w:cs="Calibri"/>
              </w:rPr>
              <w:t>art. 370f</w:t>
            </w:r>
            <w:r w:rsidR="00B002B9">
              <w:rPr>
                <w:rFonts w:ascii="Calibri" w:hAnsi="Calibri" w:cs="Calibri"/>
              </w:rPr>
              <w:t xml:space="preserve"> oraz 491</w:t>
            </w:r>
            <w:r w:rsidR="00B002B9">
              <w:rPr>
                <w:rFonts w:ascii="Calibri" w:hAnsi="Calibri" w:cs="Calibri"/>
                <w:vertAlign w:val="superscript"/>
              </w:rPr>
              <w:t>21</w:t>
            </w:r>
            <w:r w:rsidR="00B002B9">
              <w:rPr>
                <w:rFonts w:ascii="Calibri" w:hAnsi="Calibri" w:cs="Calibri"/>
              </w:rPr>
              <w:t xml:space="preserve"> P.U.</w:t>
            </w:r>
            <w:r>
              <w:rPr>
                <w:rFonts w:ascii="Calibri" w:hAnsi="Calibri" w:cs="Calibri"/>
              </w:rPr>
              <w:t>)</w:t>
            </w:r>
          </w:p>
        </w:tc>
        <w:tc>
          <w:tcPr>
            <w:tcW w:w="1418" w:type="pct"/>
          </w:tcPr>
          <w:p w14:paraId="5117CAEB" w14:textId="06EF1EC0" w:rsidR="00B002B9" w:rsidRPr="00462965" w:rsidRDefault="00B002B9"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Ujawnianie numeru PESEL oraz NIP upadłego w publicznie dostępnym rejestrze może prowadzić do nadmiernej ingerencji w sferę prywatności. Cele identyfikacyjne mogłyby zostać osiągnięte przy zastosowaniu mniej inwazyjnych środków, takich jak data urodzenia lub ograniczony dostęp warstwowy.</w:t>
            </w:r>
          </w:p>
        </w:tc>
        <w:tc>
          <w:tcPr>
            <w:tcW w:w="1027" w:type="pct"/>
          </w:tcPr>
          <w:p w14:paraId="18D06C66" w14:textId="77777777" w:rsidR="00B002B9" w:rsidRPr="00CC7F2E" w:rsidRDefault="00B002B9" w:rsidP="00CC7F2E">
            <w:pPr>
              <w:jc w:val="both"/>
              <w:rPr>
                <w:rFonts w:ascii="Calibri" w:hAnsi="Calibri" w:cs="Calibri"/>
              </w:rPr>
            </w:pPr>
          </w:p>
        </w:tc>
        <w:tc>
          <w:tcPr>
            <w:tcW w:w="1108" w:type="pct"/>
          </w:tcPr>
          <w:p w14:paraId="1C9A8397" w14:textId="77777777" w:rsidR="00B002B9" w:rsidRPr="007368C7" w:rsidRDefault="00205E64" w:rsidP="00BC45D4">
            <w:pPr>
              <w:jc w:val="both"/>
              <w:rPr>
                <w:rFonts w:cstheme="minorHAnsi"/>
                <w:b/>
                <w:bCs/>
              </w:rPr>
            </w:pPr>
            <w:r w:rsidRPr="007368C7">
              <w:rPr>
                <w:rFonts w:cstheme="minorHAnsi"/>
                <w:b/>
                <w:bCs/>
              </w:rPr>
              <w:t>Uwaga nieuwzględniona</w:t>
            </w:r>
          </w:p>
          <w:p w14:paraId="0EDB3310" w14:textId="6906399A" w:rsidR="00205E64" w:rsidRPr="007368C7" w:rsidRDefault="000160AA" w:rsidP="00BC45D4">
            <w:pPr>
              <w:jc w:val="both"/>
              <w:rPr>
                <w:rFonts w:cstheme="minorHAnsi"/>
              </w:rPr>
            </w:pPr>
            <w:r w:rsidRPr="007368C7">
              <w:rPr>
                <w:rFonts w:cstheme="minorHAnsi"/>
              </w:rPr>
              <w:t>P</w:t>
            </w:r>
            <w:r w:rsidR="00205E64" w:rsidRPr="007368C7">
              <w:rPr>
                <w:rFonts w:cstheme="minorHAnsi"/>
              </w:rPr>
              <w:t>rzepis odzwierciedla treść sentencji postanowienia o ogłoszeniu upadłości – por. art. 51 ust. 1 pkt 1 P.U. i art. 5 ust. 1 pkt 5 ustawy z dnia 6 grudnia 2018 r. o Krajowym Rejestrze Zadłużonych.</w:t>
            </w:r>
            <w:r w:rsidRPr="007368C7">
              <w:rPr>
                <w:rFonts w:cstheme="minorHAnsi"/>
              </w:rPr>
              <w:t xml:space="preserve"> Dane, które mają zostać ujawniane w Rejestrze muszą w sposób jednoznaczny identyfikować dłużnika, a jednocześnie pozwalać na stosunkowo łatwe wyszukiwanie. W związku z powyższym niezbędne jest ujawnianie w Rejestrze numerów Powszechnego Elektronicznego </w:t>
            </w:r>
            <w:r w:rsidRPr="007368C7">
              <w:rPr>
                <w:rFonts w:cstheme="minorHAnsi"/>
              </w:rPr>
              <w:lastRenderedPageBreak/>
              <w:t>Systemu Ewidencji Ludności (numery PESEL). Numer PESEL stanowi „krajowy numer identyfikacyjny" w rozumieniu art. 87 rozporządzenia Parlamentu Europejskiego i Rady (UE) nr 2016/679 z dnia 27 kwietnia 2016 r. w sprawie ochrony osób fizycznych w związku z przetwarzaniem danych osobowych i w sprawie swobodnego przepływu takich danych oraz uchylenia dyrektywy 95/46/WE (ogólne rozporządzenie o ochronie danych) (Dz. Urz. UE L 119 z 04.05.2016, str. 1), co do którego to „krajowego numeru identyfikacyjnego" powołany przepis cytowanego rozporządzenia wprowadza dla państw członkowskich wymaganie, by jego przetwarzanie odbywało się z</w:t>
            </w:r>
            <w:r w:rsidR="006354CB" w:rsidRPr="007368C7">
              <w:rPr>
                <w:rFonts w:cstheme="minorHAnsi"/>
              </w:rPr>
              <w:t> </w:t>
            </w:r>
            <w:r w:rsidRPr="007368C7">
              <w:rPr>
                <w:rFonts w:cstheme="minorHAnsi"/>
              </w:rPr>
              <w:t>zachowaniem odpowiednich zabezpieczeń praw i wolności osoby, której dane dotyczą. Ujawnianie numeru PESEL w Krajowym Rejestrze Zadłużonych jest niezbędne dla</w:t>
            </w:r>
            <w:r w:rsidR="006354CB" w:rsidRPr="007368C7">
              <w:rPr>
                <w:rFonts w:cstheme="minorHAnsi"/>
              </w:rPr>
              <w:t xml:space="preserve"> </w:t>
            </w:r>
            <w:r w:rsidRPr="007368C7">
              <w:rPr>
                <w:rFonts w:cstheme="minorHAnsi"/>
              </w:rPr>
              <w:t>zagwarantowania rzetelności informacji udostępnianych za pośrednictwem Rejestru gdyż jest to – w odniesieniu do osób fizycznych – jedyny pewny i wiarygodny sposób identyfikacji danej osoby.</w:t>
            </w:r>
            <w:r w:rsidR="00205E64" w:rsidRPr="007368C7">
              <w:rPr>
                <w:rFonts w:cstheme="minorHAnsi"/>
              </w:rPr>
              <w:t xml:space="preserve"> Ponadto z</w:t>
            </w:r>
            <w:r w:rsidRPr="007368C7">
              <w:rPr>
                <w:rFonts w:cstheme="minorHAnsi"/>
              </w:rPr>
              <w:t xml:space="preserve"> </w:t>
            </w:r>
            <w:r w:rsidR="00205E64" w:rsidRPr="007368C7">
              <w:rPr>
                <w:rFonts w:cstheme="minorHAnsi"/>
              </w:rPr>
              <w:t xml:space="preserve">godnie z art. </w:t>
            </w:r>
            <w:r w:rsidR="00205E64" w:rsidRPr="007368C7">
              <w:rPr>
                <w:rFonts w:cstheme="minorHAnsi"/>
              </w:rPr>
              <w:lastRenderedPageBreak/>
              <w:t>11 ustawy   z dnia 6 grudnia 2018 r. o Krajowym Rejestrze Zadłużonych, numer PESEL nie jest ujawniany „na zawsze” (por. art. 11 ustawy z dnia</w:t>
            </w:r>
            <w:r w:rsidR="006354CB" w:rsidRPr="007368C7">
              <w:rPr>
                <w:rFonts w:cstheme="minorHAnsi"/>
              </w:rPr>
              <w:t xml:space="preserve"> </w:t>
            </w:r>
            <w:r w:rsidR="00205E64" w:rsidRPr="007368C7">
              <w:rPr>
                <w:rFonts w:cstheme="minorHAnsi"/>
              </w:rPr>
              <w:t>6 grudnia 2018 r. o Krajowym Rejestrze Zadłużonych).</w:t>
            </w:r>
          </w:p>
        </w:tc>
      </w:tr>
      <w:tr w:rsidR="001943CC" w:rsidRPr="00486628" w14:paraId="4491D575" w14:textId="77777777" w:rsidTr="00AC5078">
        <w:tc>
          <w:tcPr>
            <w:tcW w:w="158" w:type="pct"/>
          </w:tcPr>
          <w:p w14:paraId="72477562" w14:textId="2D82714E" w:rsidR="001943CC" w:rsidRDefault="00E02562" w:rsidP="005F7A15">
            <w:pPr>
              <w:jc w:val="center"/>
              <w:rPr>
                <w:rFonts w:cstheme="minorHAnsi"/>
              </w:rPr>
            </w:pPr>
            <w:r>
              <w:rPr>
                <w:rFonts w:cstheme="minorHAnsi"/>
              </w:rPr>
              <w:lastRenderedPageBreak/>
              <w:t>15</w:t>
            </w:r>
          </w:p>
        </w:tc>
        <w:tc>
          <w:tcPr>
            <w:tcW w:w="698" w:type="pct"/>
          </w:tcPr>
          <w:p w14:paraId="3A6F16E1" w14:textId="7DC1775B" w:rsidR="001943CC" w:rsidRDefault="001943CC" w:rsidP="0073232F">
            <w:pPr>
              <w:rPr>
                <w:rFonts w:ascii="Calibri" w:hAnsi="Calibri" w:cs="Calibri"/>
              </w:rPr>
            </w:pPr>
            <w:r>
              <w:rPr>
                <w:rFonts w:ascii="Calibri" w:hAnsi="Calibri" w:cs="Calibri"/>
              </w:rPr>
              <w:t>S</w:t>
            </w:r>
            <w:r w:rsidR="002F3920">
              <w:rPr>
                <w:rFonts w:ascii="Calibri" w:hAnsi="Calibri" w:cs="Calibri"/>
              </w:rPr>
              <w:t>ąd Apelacyjny we</w:t>
            </w:r>
            <w:r w:rsidR="00800F21">
              <w:rPr>
                <w:rFonts w:ascii="Calibri" w:hAnsi="Calibri" w:cs="Calibri"/>
              </w:rPr>
              <w:t xml:space="preserve"> Wrocławiu </w:t>
            </w:r>
          </w:p>
        </w:tc>
        <w:tc>
          <w:tcPr>
            <w:tcW w:w="591" w:type="pct"/>
          </w:tcPr>
          <w:p w14:paraId="52CD8D54" w14:textId="059904DC" w:rsidR="001943CC" w:rsidRPr="00B002B9" w:rsidRDefault="002F26FE" w:rsidP="00F901C7">
            <w:pPr>
              <w:rPr>
                <w:rFonts w:ascii="Calibri" w:hAnsi="Calibri" w:cs="Calibri"/>
              </w:rPr>
            </w:pPr>
            <w:r w:rsidRPr="002F26FE">
              <w:rPr>
                <w:rFonts w:ascii="Calibri" w:hAnsi="Calibri" w:cs="Calibri"/>
                <w:b/>
                <w:bCs/>
              </w:rPr>
              <w:t>Ar. 1 pkt. 1</w:t>
            </w:r>
            <w:r>
              <w:rPr>
                <w:rFonts w:ascii="Calibri" w:hAnsi="Calibri" w:cs="Calibri"/>
              </w:rPr>
              <w:t xml:space="preserve"> (a</w:t>
            </w:r>
            <w:r w:rsidR="001943CC">
              <w:rPr>
                <w:rFonts w:ascii="Calibri" w:hAnsi="Calibri" w:cs="Calibri"/>
              </w:rPr>
              <w:t xml:space="preserve">rt. </w:t>
            </w:r>
            <w:r w:rsidR="001943CC" w:rsidRPr="001943CC">
              <w:rPr>
                <w:rFonts w:ascii="Calibri" w:hAnsi="Calibri" w:cs="Calibri"/>
              </w:rPr>
              <w:t>168 ust. 2a P.U.</w:t>
            </w:r>
            <w:r w:rsidR="00BD1DBD">
              <w:rPr>
                <w:rFonts w:ascii="Calibri" w:hAnsi="Calibri" w:cs="Calibri"/>
              </w:rPr>
              <w:t>)</w:t>
            </w:r>
          </w:p>
        </w:tc>
        <w:tc>
          <w:tcPr>
            <w:tcW w:w="1418" w:type="pct"/>
          </w:tcPr>
          <w:p w14:paraId="32B4C461" w14:textId="77777777" w:rsidR="000B26FD" w:rsidRPr="00462965" w:rsidRDefault="000B26F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Projektowana zmiana zakłada niejako powrót do modelu rozpoznawania sprawozdań przez</w:t>
            </w:r>
          </w:p>
          <w:p w14:paraId="00F87E40" w14:textId="081D3A21" w:rsidR="000B26FD" w:rsidRPr="00462965" w:rsidRDefault="000B26F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sędziego-komisarza sprzed grudnia 2021 r., jednocześnie pozostawiając wierzycielom</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możliwość wnoszenia zarzutów uczestnikom postępowania. W konsekwencji projektowany</w:t>
            </w:r>
          </w:p>
          <w:p w14:paraId="32B3B652" w14:textId="22A22266" w:rsidR="001943CC" w:rsidRPr="00462965" w:rsidRDefault="000B26FD"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przepis doprowadzi do znacznego obciążenia sądów upadłościowych, konieczności</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rozpoznawania co trzymiesięcznych</w:t>
            </w:r>
            <w:r w:rsidR="002F26FE" w:rsidRPr="00462965">
              <w:rPr>
                <w:rFonts w:asciiTheme="minorHAnsi" w:hAnsiTheme="minorHAnsi" w:cstheme="minorHAnsi"/>
                <w:sz w:val="22"/>
                <w:szCs w:val="22"/>
              </w:rPr>
              <w:t xml:space="preserve"> s</w:t>
            </w:r>
            <w:r w:rsidRPr="00462965">
              <w:rPr>
                <w:rFonts w:asciiTheme="minorHAnsi" w:hAnsiTheme="minorHAnsi" w:cstheme="minorHAnsi"/>
                <w:sz w:val="22"/>
                <w:szCs w:val="22"/>
              </w:rPr>
              <w:t>prawozdań w postępowaniach</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upadłościowych</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prowadzonych wobec przedsiębiorców oraz tzw. postępowaniach upadłościowych</w:t>
            </w:r>
            <w:r w:rsidR="002F26FE" w:rsidRPr="00462965">
              <w:rPr>
                <w:rFonts w:asciiTheme="minorHAnsi" w:hAnsiTheme="minorHAnsi" w:cstheme="minorHAnsi"/>
                <w:sz w:val="22"/>
                <w:szCs w:val="22"/>
              </w:rPr>
              <w:t xml:space="preserve"> </w:t>
            </w:r>
            <w:r w:rsidRPr="00462965">
              <w:rPr>
                <w:rFonts w:asciiTheme="minorHAnsi" w:hAnsiTheme="minorHAnsi" w:cstheme="minorHAnsi"/>
                <w:sz w:val="22"/>
                <w:szCs w:val="22"/>
              </w:rPr>
              <w:t>konsumenckich komisarskich, prowadzonych na podstawie art. 491</w:t>
            </w:r>
            <w:r w:rsidRPr="00462965">
              <w:rPr>
                <w:rFonts w:asciiTheme="minorHAnsi" w:hAnsiTheme="minorHAnsi" w:cstheme="minorHAnsi"/>
                <w:sz w:val="22"/>
                <w:szCs w:val="22"/>
                <w:vertAlign w:val="superscript"/>
              </w:rPr>
              <w:t>1</w:t>
            </w:r>
            <w:r w:rsidRPr="00462965">
              <w:rPr>
                <w:rFonts w:asciiTheme="minorHAnsi" w:hAnsiTheme="minorHAnsi" w:cstheme="minorHAnsi"/>
                <w:sz w:val="22"/>
                <w:szCs w:val="22"/>
              </w:rPr>
              <w:t xml:space="preserve"> ust. 2 P.U.</w:t>
            </w:r>
          </w:p>
        </w:tc>
        <w:tc>
          <w:tcPr>
            <w:tcW w:w="1027" w:type="pct"/>
          </w:tcPr>
          <w:p w14:paraId="3366235C" w14:textId="77777777" w:rsidR="001943CC" w:rsidRPr="00CC7F2E" w:rsidRDefault="001943CC" w:rsidP="00CC7F2E">
            <w:pPr>
              <w:jc w:val="both"/>
              <w:rPr>
                <w:rFonts w:ascii="Calibri" w:hAnsi="Calibri" w:cs="Calibri"/>
              </w:rPr>
            </w:pPr>
          </w:p>
        </w:tc>
        <w:tc>
          <w:tcPr>
            <w:tcW w:w="1108" w:type="pct"/>
          </w:tcPr>
          <w:p w14:paraId="43DBA353" w14:textId="77777777" w:rsidR="001943CC" w:rsidRPr="007368C7" w:rsidRDefault="00B5636C" w:rsidP="00BC45D4">
            <w:pPr>
              <w:jc w:val="both"/>
              <w:rPr>
                <w:rFonts w:cstheme="minorHAnsi"/>
                <w:b/>
                <w:bCs/>
              </w:rPr>
            </w:pPr>
            <w:r w:rsidRPr="007368C7">
              <w:rPr>
                <w:rFonts w:cstheme="minorHAnsi"/>
                <w:b/>
                <w:bCs/>
              </w:rPr>
              <w:t>Uwaga nieuwzględniona</w:t>
            </w:r>
          </w:p>
          <w:p w14:paraId="70674368" w14:textId="1AF58E45" w:rsidR="00FF6700" w:rsidRPr="007368C7" w:rsidRDefault="00FF6700" w:rsidP="00BC45D4">
            <w:pPr>
              <w:jc w:val="both"/>
              <w:rPr>
                <w:rFonts w:cstheme="minorHAnsi"/>
              </w:rPr>
            </w:pPr>
            <w:r w:rsidRPr="007368C7">
              <w:rPr>
                <w:rFonts w:cstheme="minorHAnsi"/>
              </w:rPr>
              <w:t>Mając na uwadze konieczność ochrony interesów drobnych wierzycieli w całym procesie upadłościowym ze szczególnym uwzględnieniem sytuacji umorzenia zobowiązań upadłego, jak i ustalenia lub zmiany planu spłaty poszczególnych wierzycieli, istnieje konieczność wzmocnienia nadzoru sędziego-komisarza nad toczącymi się</w:t>
            </w:r>
            <w:r w:rsidR="00D30EB3" w:rsidRPr="007368C7">
              <w:rPr>
                <w:rFonts w:cstheme="minorHAnsi"/>
              </w:rPr>
              <w:t xml:space="preserve"> </w:t>
            </w:r>
            <w:r w:rsidRPr="007368C7">
              <w:rPr>
                <w:rFonts w:cstheme="minorHAnsi"/>
              </w:rPr>
              <w:t>postępowaniami</w:t>
            </w:r>
            <w:r w:rsidR="00D30EB3" w:rsidRPr="007368C7">
              <w:rPr>
                <w:rFonts w:cstheme="minorHAnsi"/>
              </w:rPr>
              <w:t xml:space="preserve"> </w:t>
            </w:r>
            <w:r w:rsidRPr="007368C7">
              <w:rPr>
                <w:rFonts w:cstheme="minorHAnsi"/>
              </w:rPr>
              <w:t>upadłościowymi.</w:t>
            </w:r>
          </w:p>
        </w:tc>
      </w:tr>
      <w:tr w:rsidR="00627622" w:rsidRPr="00486628" w14:paraId="094BB4D0" w14:textId="77777777" w:rsidTr="00AC5078">
        <w:tc>
          <w:tcPr>
            <w:tcW w:w="158" w:type="pct"/>
          </w:tcPr>
          <w:p w14:paraId="10FBC553" w14:textId="6C1E2FE0" w:rsidR="00627622" w:rsidRDefault="00E02562" w:rsidP="005F7A15">
            <w:pPr>
              <w:jc w:val="center"/>
              <w:rPr>
                <w:rFonts w:cstheme="minorHAnsi"/>
              </w:rPr>
            </w:pPr>
            <w:r>
              <w:rPr>
                <w:rFonts w:cstheme="minorHAnsi"/>
              </w:rPr>
              <w:t>1</w:t>
            </w:r>
            <w:r w:rsidR="00627622">
              <w:rPr>
                <w:rFonts w:cstheme="minorHAnsi"/>
              </w:rPr>
              <w:t>6</w:t>
            </w:r>
          </w:p>
        </w:tc>
        <w:tc>
          <w:tcPr>
            <w:tcW w:w="698" w:type="pct"/>
          </w:tcPr>
          <w:p w14:paraId="25CDCDA8" w14:textId="164F1532" w:rsidR="00627622" w:rsidRDefault="00627622" w:rsidP="0073232F">
            <w:pPr>
              <w:rPr>
                <w:rFonts w:ascii="Calibri" w:hAnsi="Calibri" w:cs="Calibri"/>
              </w:rPr>
            </w:pPr>
            <w:r>
              <w:rPr>
                <w:rFonts w:ascii="Calibri" w:hAnsi="Calibri" w:cs="Calibri"/>
              </w:rPr>
              <w:t>S</w:t>
            </w:r>
            <w:r w:rsidR="00060413">
              <w:rPr>
                <w:rFonts w:ascii="Calibri" w:hAnsi="Calibri" w:cs="Calibri"/>
              </w:rPr>
              <w:t xml:space="preserve">ąd Apelacyjny </w:t>
            </w:r>
            <w:r>
              <w:rPr>
                <w:rFonts w:ascii="Calibri" w:hAnsi="Calibri" w:cs="Calibri"/>
              </w:rPr>
              <w:t xml:space="preserve">we Wrocławiu </w:t>
            </w:r>
          </w:p>
        </w:tc>
        <w:tc>
          <w:tcPr>
            <w:tcW w:w="591" w:type="pct"/>
          </w:tcPr>
          <w:p w14:paraId="63576AF7" w14:textId="0761BE5C" w:rsidR="00627622" w:rsidRPr="00800F21" w:rsidRDefault="00231517" w:rsidP="00F901C7">
            <w:pPr>
              <w:rPr>
                <w:rFonts w:ascii="Calibri" w:hAnsi="Calibri" w:cs="Calibri"/>
              </w:rPr>
            </w:pPr>
            <w:r w:rsidRPr="00231517">
              <w:rPr>
                <w:rFonts w:ascii="Calibri" w:hAnsi="Calibri" w:cs="Calibri"/>
                <w:b/>
                <w:bCs/>
              </w:rPr>
              <w:t>Art. 1 pkt 10</w:t>
            </w:r>
            <w:r>
              <w:rPr>
                <w:rFonts w:ascii="Calibri" w:hAnsi="Calibri" w:cs="Calibri"/>
              </w:rPr>
              <w:t xml:space="preserve"> (</w:t>
            </w:r>
            <w:r w:rsidR="00627622" w:rsidRPr="00627622">
              <w:rPr>
                <w:rFonts w:ascii="Calibri" w:hAnsi="Calibri" w:cs="Calibri"/>
              </w:rPr>
              <w:t>art. 491</w:t>
            </w:r>
            <w:r w:rsidR="0061291D">
              <w:rPr>
                <w:rFonts w:ascii="Calibri" w:hAnsi="Calibri" w:cs="Calibri"/>
                <w:vertAlign w:val="superscript"/>
              </w:rPr>
              <w:t>2</w:t>
            </w:r>
            <w:r w:rsidR="00627622" w:rsidRPr="00627622">
              <w:rPr>
                <w:rFonts w:ascii="Calibri" w:hAnsi="Calibri" w:cs="Calibri"/>
              </w:rPr>
              <w:t xml:space="preserve"> ust. 3 P.U.</w:t>
            </w:r>
            <w:r>
              <w:rPr>
                <w:rFonts w:ascii="Calibri" w:hAnsi="Calibri" w:cs="Calibri"/>
              </w:rPr>
              <w:t>)</w:t>
            </w:r>
          </w:p>
        </w:tc>
        <w:tc>
          <w:tcPr>
            <w:tcW w:w="1418" w:type="pct"/>
          </w:tcPr>
          <w:p w14:paraId="7FCC8D0E" w14:textId="58A3DC03" w:rsidR="00627622" w:rsidRPr="00462965" w:rsidRDefault="00231517"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 xml:space="preserve">W </w:t>
            </w:r>
            <w:r w:rsidR="00627622" w:rsidRPr="00462965">
              <w:rPr>
                <w:rFonts w:asciiTheme="minorHAnsi" w:hAnsiTheme="minorHAnsi" w:cstheme="minorHAnsi"/>
                <w:sz w:val="22"/>
                <w:szCs w:val="22"/>
              </w:rPr>
              <w:t>ramach uzasadniania projektu wskazano, że rezygnacja z obowiązku składania sprawozdań</w:t>
            </w:r>
          </w:p>
          <w:p w14:paraId="654C51B0" w14:textId="77777777"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z wykonania planu spłat przez upadłych jest m.in. „konsekwencją tego, że dłużnicy, będąc</w:t>
            </w:r>
          </w:p>
          <w:p w14:paraId="3B557325" w14:textId="403B87DE"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osobami faktycznie wykluczonymi cyfrowo, nie potrafią złożyć sprawozdania przez system</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teleinformatyczny do obsługi postępowania sądowego”.</w:t>
            </w:r>
            <w:r w:rsidR="00DD75DC" w:rsidRPr="00462965">
              <w:rPr>
                <w:rFonts w:asciiTheme="minorHAnsi" w:hAnsiTheme="minorHAnsi" w:cstheme="minorHAnsi"/>
                <w:sz w:val="22"/>
                <w:szCs w:val="22"/>
              </w:rPr>
              <w:t xml:space="preserve"> </w:t>
            </w:r>
            <w:r w:rsidRPr="00462965">
              <w:rPr>
                <w:rFonts w:asciiTheme="minorHAnsi" w:hAnsiTheme="minorHAnsi" w:cstheme="minorHAnsi"/>
                <w:sz w:val="22"/>
                <w:szCs w:val="22"/>
              </w:rPr>
              <w:t>Powyższe okoliczności powinny być nie tylko uwzględnione w ramach projektowanych</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przepisów dotyczących rezygnacji składania sprawozdań, a w normach dotyczących</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 xml:space="preserve">obligatoryjnego korzystania z </w:t>
            </w:r>
            <w:r w:rsidRPr="00462965">
              <w:rPr>
                <w:rFonts w:asciiTheme="minorHAnsi" w:hAnsiTheme="minorHAnsi" w:cstheme="minorHAnsi"/>
                <w:sz w:val="22"/>
                <w:szCs w:val="22"/>
              </w:rPr>
              <w:lastRenderedPageBreak/>
              <w:t>systemu teleinformatycznego do obsługi postępowania</w:t>
            </w:r>
            <w:r w:rsidR="00DD75DC" w:rsidRPr="00462965">
              <w:rPr>
                <w:rFonts w:asciiTheme="minorHAnsi" w:hAnsiTheme="minorHAnsi" w:cstheme="minorHAnsi"/>
                <w:sz w:val="22"/>
                <w:szCs w:val="22"/>
              </w:rPr>
              <w:t xml:space="preserve"> </w:t>
            </w:r>
            <w:r w:rsidRPr="00462965">
              <w:rPr>
                <w:rFonts w:asciiTheme="minorHAnsi" w:hAnsiTheme="minorHAnsi" w:cstheme="minorHAnsi"/>
                <w:sz w:val="22"/>
                <w:szCs w:val="22"/>
              </w:rPr>
              <w:t>sądowego.</w:t>
            </w:r>
          </w:p>
          <w:p w14:paraId="1A783A3A" w14:textId="375923A8"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literaturze od momentu wejścia przepisów rekomendowane jest wyraźne objęcie osób</w:t>
            </w:r>
            <w:r w:rsidR="00F501ED">
              <w:rPr>
                <w:rFonts w:asciiTheme="minorHAnsi" w:hAnsiTheme="minorHAnsi" w:cstheme="minorHAnsi"/>
                <w:sz w:val="22"/>
                <w:szCs w:val="22"/>
              </w:rPr>
              <w:t xml:space="preserve"> </w:t>
            </w:r>
            <w:r w:rsidRPr="00462965">
              <w:rPr>
                <w:rFonts w:asciiTheme="minorHAnsi" w:hAnsiTheme="minorHAnsi" w:cstheme="minorHAnsi"/>
                <w:sz w:val="22"/>
                <w:szCs w:val="22"/>
              </w:rPr>
              <w:t>fizycznych nieprowadzących działalności gospodarczej wyłączeniem, o którym mowa</w:t>
            </w:r>
            <w:r w:rsidR="00F501ED">
              <w:rPr>
                <w:rFonts w:asciiTheme="minorHAnsi" w:hAnsiTheme="minorHAnsi" w:cstheme="minorHAnsi"/>
                <w:sz w:val="22"/>
                <w:szCs w:val="22"/>
              </w:rPr>
              <w:t xml:space="preserve"> </w:t>
            </w:r>
            <w:r w:rsidRPr="00462965">
              <w:rPr>
                <w:rFonts w:asciiTheme="minorHAnsi" w:hAnsiTheme="minorHAnsi" w:cstheme="minorHAnsi"/>
                <w:sz w:val="22"/>
                <w:szCs w:val="22"/>
              </w:rPr>
              <w:t>w art. 216aa P.U. nie tylko w zakresie postępowania o ogłoszenie upadłości, ale również</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w zakresie właściwego postępowania upadłościowego. Obecne brzmienie art. 49</w:t>
            </w:r>
            <w:r w:rsidR="00E939DA">
              <w:rPr>
                <w:rFonts w:asciiTheme="minorHAnsi" w:hAnsiTheme="minorHAnsi" w:cstheme="minorHAnsi"/>
                <w:sz w:val="22"/>
                <w:szCs w:val="22"/>
              </w:rPr>
              <w:t>1</w:t>
            </w:r>
            <w:r w:rsidR="001F3087"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3 P.U.</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budzi liczne wątpliwości interpretacyjne w zakresie objęcia nią tylko osób fizycznych na etapie</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postępowania o ogłoszenie upadłości</w:t>
            </w:r>
            <w:r w:rsidR="00A0602B">
              <w:rPr>
                <w:rFonts w:asciiTheme="minorHAnsi" w:hAnsiTheme="minorHAnsi" w:cstheme="minorHAnsi"/>
                <w:sz w:val="22"/>
                <w:szCs w:val="22"/>
              </w:rPr>
              <w:t>.</w:t>
            </w:r>
          </w:p>
          <w:p w14:paraId="2BAF63C4" w14:textId="79CA4D34" w:rsidR="00627622" w:rsidRPr="00462965" w:rsidRDefault="00627622"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W tym celu rekomendowane jest sprecyzowanie odesłania zawartego w art. 491</w:t>
            </w:r>
            <w:r w:rsidR="001F3087"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3 P.U.</w:t>
            </w:r>
            <w:r w:rsidR="001F3087" w:rsidRPr="00462965">
              <w:rPr>
                <w:rFonts w:asciiTheme="minorHAnsi" w:hAnsiTheme="minorHAnsi" w:cstheme="minorHAnsi"/>
                <w:sz w:val="22"/>
                <w:szCs w:val="22"/>
              </w:rPr>
              <w:t xml:space="preserve"> </w:t>
            </w:r>
            <w:r w:rsidRPr="00462965">
              <w:rPr>
                <w:rFonts w:asciiTheme="minorHAnsi" w:hAnsiTheme="minorHAnsi" w:cstheme="minorHAnsi"/>
                <w:sz w:val="22"/>
                <w:szCs w:val="22"/>
              </w:rPr>
              <w:t>i wyraźne wskazanie na odpowiednie korzystanie z art. 216aa P.U. w art. 491</w:t>
            </w:r>
            <w:r w:rsidR="001F3087" w:rsidRPr="00462965">
              <w:rPr>
                <w:rFonts w:asciiTheme="minorHAnsi" w:hAnsiTheme="minorHAnsi" w:cstheme="minorHAnsi"/>
                <w:sz w:val="22"/>
                <w:szCs w:val="22"/>
                <w:vertAlign w:val="superscript"/>
              </w:rPr>
              <w:t>2</w:t>
            </w:r>
            <w:r w:rsidRPr="00462965">
              <w:rPr>
                <w:rFonts w:asciiTheme="minorHAnsi" w:hAnsiTheme="minorHAnsi" w:cstheme="minorHAnsi"/>
                <w:sz w:val="22"/>
                <w:szCs w:val="22"/>
              </w:rPr>
              <w:t xml:space="preserve"> ust. 1 P.U.</w:t>
            </w:r>
          </w:p>
        </w:tc>
        <w:tc>
          <w:tcPr>
            <w:tcW w:w="1027" w:type="pct"/>
          </w:tcPr>
          <w:p w14:paraId="02932E79" w14:textId="77777777" w:rsidR="00627622" w:rsidRPr="00CC7F2E" w:rsidRDefault="00627622" w:rsidP="00CC7F2E">
            <w:pPr>
              <w:jc w:val="both"/>
              <w:rPr>
                <w:rFonts w:ascii="Calibri" w:hAnsi="Calibri" w:cs="Calibri"/>
              </w:rPr>
            </w:pPr>
          </w:p>
        </w:tc>
        <w:tc>
          <w:tcPr>
            <w:tcW w:w="1108" w:type="pct"/>
          </w:tcPr>
          <w:p w14:paraId="0EEE6FED" w14:textId="15C76C7C" w:rsidR="002626F8" w:rsidRPr="007368C7" w:rsidRDefault="00F726A4" w:rsidP="00BC45D4">
            <w:pPr>
              <w:jc w:val="both"/>
              <w:rPr>
                <w:rFonts w:cstheme="minorHAnsi"/>
                <w:b/>
                <w:bCs/>
              </w:rPr>
            </w:pPr>
            <w:r w:rsidRPr="007368C7">
              <w:rPr>
                <w:rFonts w:cstheme="minorHAnsi"/>
                <w:b/>
                <w:bCs/>
              </w:rPr>
              <w:t xml:space="preserve">Uwaga </w:t>
            </w:r>
            <w:r w:rsidR="00153357" w:rsidRPr="007368C7">
              <w:rPr>
                <w:rFonts w:cstheme="minorHAnsi"/>
                <w:b/>
                <w:bCs/>
              </w:rPr>
              <w:t>nie</w:t>
            </w:r>
            <w:r w:rsidR="002626F8" w:rsidRPr="007368C7">
              <w:rPr>
                <w:rFonts w:cstheme="minorHAnsi"/>
                <w:b/>
                <w:bCs/>
              </w:rPr>
              <w:t>uwzględniona:</w:t>
            </w:r>
            <w:r w:rsidR="00756B21" w:rsidRPr="007368C7">
              <w:rPr>
                <w:rFonts w:cstheme="minorHAnsi"/>
                <w:b/>
                <w:bCs/>
              </w:rPr>
              <w:t xml:space="preserve"> </w:t>
            </w:r>
          </w:p>
          <w:p w14:paraId="026F7B01" w14:textId="77777777" w:rsidR="00153357" w:rsidRPr="007368C7" w:rsidRDefault="00153357" w:rsidP="00BC45D4">
            <w:pPr>
              <w:jc w:val="both"/>
              <w:rPr>
                <w:rFonts w:cstheme="minorHAnsi"/>
                <w:b/>
                <w:bCs/>
              </w:rPr>
            </w:pPr>
          </w:p>
          <w:p w14:paraId="012D5206" w14:textId="47FE7B7D" w:rsidR="00153357" w:rsidRPr="007368C7" w:rsidRDefault="00153357" w:rsidP="00153357">
            <w:pPr>
              <w:jc w:val="both"/>
              <w:rPr>
                <w:rFonts w:cstheme="minorHAnsi"/>
              </w:rPr>
            </w:pPr>
            <w:r w:rsidRPr="007368C7">
              <w:rPr>
                <w:rFonts w:cstheme="minorHAnsi"/>
              </w:rPr>
              <w:t>W ocenie projektodawcy możliwość składania pism poza systemem powinna być przewidziana jedynie w wyjątkowych wypadkach.</w:t>
            </w:r>
          </w:p>
          <w:p w14:paraId="42B06F0B" w14:textId="77777777" w:rsidR="00153357" w:rsidRPr="007368C7" w:rsidRDefault="00153357" w:rsidP="00153357">
            <w:pPr>
              <w:jc w:val="both"/>
              <w:rPr>
                <w:rFonts w:cstheme="minorHAnsi"/>
              </w:rPr>
            </w:pPr>
            <w:r w:rsidRPr="007368C7">
              <w:rPr>
                <w:rFonts w:cstheme="minorHAnsi"/>
              </w:rPr>
              <w:t>Wprowadzenie takiej zmiany spowoduje poza tym poważne skutki w zakresie biurowości sądowej w wydziałach upadłościowych.</w:t>
            </w:r>
          </w:p>
          <w:p w14:paraId="080CBEA1" w14:textId="7549107A" w:rsidR="00153357" w:rsidRPr="007368C7" w:rsidRDefault="00153357" w:rsidP="00153357">
            <w:pPr>
              <w:jc w:val="both"/>
              <w:rPr>
                <w:rFonts w:cstheme="minorHAnsi"/>
              </w:rPr>
            </w:pPr>
            <w:r w:rsidRPr="007368C7">
              <w:rPr>
                <w:rFonts w:cstheme="minorHAnsi"/>
              </w:rPr>
              <w:t xml:space="preserve">Należy wskazać, że jest to sprzeczne z ogólnymi celami przyjętymi przez </w:t>
            </w:r>
            <w:r w:rsidRPr="007368C7">
              <w:rPr>
                <w:rFonts w:cstheme="minorHAnsi"/>
              </w:rPr>
              <w:lastRenderedPageBreak/>
              <w:t>MS -cyfryzacji wymiaru sprawiedliwości.</w:t>
            </w:r>
          </w:p>
          <w:p w14:paraId="636A8A62" w14:textId="7B7C45E9" w:rsidR="00756B21" w:rsidRPr="007368C7" w:rsidRDefault="00153357" w:rsidP="00BC45D4">
            <w:pPr>
              <w:jc w:val="both"/>
              <w:rPr>
                <w:rFonts w:cstheme="minorHAnsi"/>
              </w:rPr>
            </w:pPr>
            <w:r w:rsidRPr="007368C7">
              <w:rPr>
                <w:rFonts w:cstheme="minorHAnsi"/>
              </w:rPr>
              <w:t>Niemożność odejścia od papieru i brak cyfryzacji postępowań sądowych wskazywana jest jako jeden z czynników wydłużających tempo rozpatrywania spraw.</w:t>
            </w:r>
          </w:p>
        </w:tc>
      </w:tr>
      <w:tr w:rsidR="005B1919" w:rsidRPr="00486628" w14:paraId="3EB79577" w14:textId="77777777" w:rsidTr="00AC5078">
        <w:tc>
          <w:tcPr>
            <w:tcW w:w="158" w:type="pct"/>
          </w:tcPr>
          <w:p w14:paraId="73276AD4" w14:textId="0DA6E457" w:rsidR="005B1919" w:rsidRDefault="00E02562" w:rsidP="005F7A15">
            <w:pPr>
              <w:jc w:val="center"/>
              <w:rPr>
                <w:rFonts w:cstheme="minorHAnsi"/>
              </w:rPr>
            </w:pPr>
            <w:r>
              <w:rPr>
                <w:rFonts w:cstheme="minorHAnsi"/>
              </w:rPr>
              <w:lastRenderedPageBreak/>
              <w:t>17</w:t>
            </w:r>
            <w:r w:rsidR="005B1919">
              <w:rPr>
                <w:rFonts w:cstheme="minorHAnsi"/>
              </w:rPr>
              <w:t xml:space="preserve"> </w:t>
            </w:r>
          </w:p>
        </w:tc>
        <w:tc>
          <w:tcPr>
            <w:tcW w:w="698" w:type="pct"/>
          </w:tcPr>
          <w:p w14:paraId="4A3A456B" w14:textId="24D1ACBD" w:rsidR="005B1919" w:rsidRDefault="005B1919" w:rsidP="0073232F">
            <w:pPr>
              <w:rPr>
                <w:rFonts w:ascii="Calibri" w:hAnsi="Calibri" w:cs="Calibri"/>
              </w:rPr>
            </w:pPr>
            <w:r>
              <w:rPr>
                <w:rFonts w:ascii="Calibri" w:hAnsi="Calibri" w:cs="Calibri"/>
              </w:rPr>
              <w:t>SA we Wrocław</w:t>
            </w:r>
            <w:r w:rsidR="009A349F">
              <w:rPr>
                <w:rFonts w:ascii="Calibri" w:hAnsi="Calibri" w:cs="Calibri"/>
              </w:rPr>
              <w:t xml:space="preserve">iu </w:t>
            </w:r>
          </w:p>
        </w:tc>
        <w:tc>
          <w:tcPr>
            <w:tcW w:w="591" w:type="pct"/>
          </w:tcPr>
          <w:p w14:paraId="38860432" w14:textId="40EC67EE" w:rsidR="005B1919" w:rsidRPr="002B3340" w:rsidRDefault="00B4683E" w:rsidP="00F901C7">
            <w:pPr>
              <w:rPr>
                <w:rFonts w:ascii="Calibri" w:hAnsi="Calibri" w:cs="Calibri"/>
                <w:lang w:val="en-GB"/>
              </w:rPr>
            </w:pPr>
            <w:r w:rsidRPr="002B3340">
              <w:rPr>
                <w:rFonts w:ascii="Calibri" w:hAnsi="Calibri" w:cs="Calibri"/>
                <w:b/>
                <w:bCs/>
                <w:lang w:val="en-GB"/>
              </w:rPr>
              <w:t>Art. 1 pkt. 15</w:t>
            </w:r>
            <w:r w:rsidRPr="002B3340">
              <w:rPr>
                <w:rFonts w:ascii="Calibri" w:hAnsi="Calibri" w:cs="Calibri"/>
                <w:lang w:val="en-GB"/>
              </w:rPr>
              <w:t xml:space="preserve"> (a</w:t>
            </w:r>
            <w:r w:rsidR="009A349F" w:rsidRPr="002B3340">
              <w:rPr>
                <w:rFonts w:ascii="Calibri" w:hAnsi="Calibri" w:cs="Calibri"/>
                <w:lang w:val="en-GB"/>
              </w:rPr>
              <w:t>rt. 491</w:t>
            </w:r>
            <w:r w:rsidR="009A349F" w:rsidRPr="002B3340">
              <w:rPr>
                <w:rFonts w:ascii="Calibri" w:hAnsi="Calibri" w:cs="Calibri"/>
                <w:vertAlign w:val="superscript"/>
                <w:lang w:val="en-GB"/>
              </w:rPr>
              <w:t>15-16</w:t>
            </w:r>
            <w:r w:rsidR="009A349F" w:rsidRPr="002B3340">
              <w:rPr>
                <w:rFonts w:ascii="Calibri" w:hAnsi="Calibri" w:cs="Calibri"/>
                <w:lang w:val="en-GB"/>
              </w:rPr>
              <w:t xml:space="preserve"> </w:t>
            </w:r>
            <w:r w:rsidRPr="002B3340">
              <w:rPr>
                <w:rFonts w:ascii="Calibri" w:hAnsi="Calibri" w:cs="Calibri"/>
                <w:lang w:val="en-GB"/>
              </w:rPr>
              <w:t>P.U.)</w:t>
            </w:r>
          </w:p>
        </w:tc>
        <w:tc>
          <w:tcPr>
            <w:tcW w:w="1418" w:type="pct"/>
          </w:tcPr>
          <w:p w14:paraId="085BC257" w14:textId="194397C6" w:rsidR="005B1919" w:rsidRPr="00462965" w:rsidRDefault="00B4683E" w:rsidP="00462965">
            <w:pPr>
              <w:pStyle w:val="Default"/>
              <w:jc w:val="both"/>
              <w:rPr>
                <w:rFonts w:asciiTheme="minorHAnsi" w:hAnsiTheme="minorHAnsi" w:cstheme="minorHAnsi"/>
                <w:sz w:val="22"/>
                <w:szCs w:val="22"/>
              </w:rPr>
            </w:pPr>
            <w:r w:rsidRPr="00462965">
              <w:rPr>
                <w:rFonts w:asciiTheme="minorHAnsi" w:hAnsiTheme="minorHAnsi" w:cstheme="minorHAnsi"/>
                <w:sz w:val="22"/>
                <w:szCs w:val="22"/>
              </w:rPr>
              <w:t>N</w:t>
            </w:r>
            <w:r w:rsidR="009A349F" w:rsidRPr="00462965">
              <w:rPr>
                <w:rFonts w:asciiTheme="minorHAnsi" w:hAnsiTheme="minorHAnsi" w:cstheme="minorHAnsi"/>
                <w:sz w:val="22"/>
                <w:szCs w:val="22"/>
              </w:rPr>
              <w:t>ależałoby rozważyć odciążenie Sądów dość</w:t>
            </w:r>
            <w:r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rozbudowanymi</w:t>
            </w:r>
            <w:r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uzasadnieniami wydawanych orzeczeń i dać uprawnienie do złożenia wniosku</w:t>
            </w:r>
            <w:r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o sporządzenie uzasadnienia orzeczenia przez samego upadłego (bez obowiązku jego opłacenia)</w:t>
            </w:r>
            <w:r w:rsidR="000B4C1D" w:rsidRPr="00462965">
              <w:rPr>
                <w:rFonts w:asciiTheme="minorHAnsi" w:hAnsiTheme="minorHAnsi" w:cstheme="minorHAnsi"/>
                <w:sz w:val="22"/>
                <w:szCs w:val="22"/>
              </w:rPr>
              <w:t xml:space="preserve"> </w:t>
            </w:r>
            <w:r w:rsidR="009A349F" w:rsidRPr="00462965">
              <w:rPr>
                <w:rFonts w:asciiTheme="minorHAnsi" w:hAnsiTheme="minorHAnsi" w:cstheme="minorHAnsi"/>
                <w:sz w:val="22"/>
                <w:szCs w:val="22"/>
              </w:rPr>
              <w:t>a wierzycielom (za pobraniem opłaty).</w:t>
            </w:r>
          </w:p>
        </w:tc>
        <w:tc>
          <w:tcPr>
            <w:tcW w:w="1027" w:type="pct"/>
          </w:tcPr>
          <w:p w14:paraId="433B44B8" w14:textId="77777777" w:rsidR="005B1919" w:rsidRPr="00CC7F2E" w:rsidRDefault="005B1919" w:rsidP="00CC7F2E">
            <w:pPr>
              <w:jc w:val="both"/>
              <w:rPr>
                <w:rFonts w:ascii="Calibri" w:hAnsi="Calibri" w:cs="Calibri"/>
              </w:rPr>
            </w:pPr>
          </w:p>
        </w:tc>
        <w:tc>
          <w:tcPr>
            <w:tcW w:w="1108" w:type="pct"/>
          </w:tcPr>
          <w:p w14:paraId="72E4C348" w14:textId="3E54DCF4" w:rsidR="005B1919" w:rsidRPr="007368C7" w:rsidRDefault="009102AD" w:rsidP="00BC45D4">
            <w:pPr>
              <w:jc w:val="both"/>
              <w:rPr>
                <w:rFonts w:cstheme="minorHAnsi"/>
                <w:b/>
                <w:bCs/>
              </w:rPr>
            </w:pPr>
            <w:r w:rsidRPr="007368C7">
              <w:rPr>
                <w:rFonts w:cstheme="minorHAnsi"/>
                <w:b/>
                <w:bCs/>
              </w:rPr>
              <w:t>Uwaga</w:t>
            </w:r>
            <w:r w:rsidR="00233545" w:rsidRPr="007368C7">
              <w:rPr>
                <w:rFonts w:cstheme="minorHAnsi"/>
                <w:b/>
                <w:bCs/>
              </w:rPr>
              <w:t xml:space="preserve"> </w:t>
            </w:r>
            <w:r w:rsidR="00BC0265" w:rsidRPr="007368C7">
              <w:rPr>
                <w:rFonts w:cstheme="minorHAnsi"/>
                <w:b/>
                <w:bCs/>
              </w:rPr>
              <w:t>nie</w:t>
            </w:r>
            <w:r w:rsidRPr="007368C7">
              <w:rPr>
                <w:rFonts w:cstheme="minorHAnsi"/>
                <w:b/>
                <w:bCs/>
              </w:rPr>
              <w:t>uwzględniona</w:t>
            </w:r>
          </w:p>
          <w:p w14:paraId="2261FB4A" w14:textId="6DD8ECD5" w:rsidR="00BC45D4" w:rsidRPr="007368C7" w:rsidRDefault="00BC0265" w:rsidP="00BC45D4">
            <w:pPr>
              <w:jc w:val="both"/>
              <w:rPr>
                <w:rFonts w:cstheme="minorHAnsi"/>
              </w:rPr>
            </w:pPr>
            <w:r w:rsidRPr="007368C7">
              <w:rPr>
                <w:rFonts w:cstheme="minorHAnsi"/>
              </w:rPr>
              <w:t>Wątpliwości może budzić, przyjęcie zasady, że</w:t>
            </w:r>
            <w:r w:rsidR="00BC45D4" w:rsidRPr="007368C7">
              <w:rPr>
                <w:rFonts w:cstheme="minorHAnsi"/>
              </w:rPr>
              <w:t xml:space="preserve"> sąd nie będzie uzasadniał z urzędu ani postanowienia o ogłoszeniu (bądź nie) upadłości, ani o ustaleniu (bądź nie) planu spłaty. Uzasadnienie z urzędu, szczególnie w przypadku postanowień o ogłoszeniu upadłości czy jej odmowie, ułatwia zrozumienie przesłanek niewypłacalności.</w:t>
            </w:r>
          </w:p>
          <w:p w14:paraId="23F21276" w14:textId="77777777" w:rsidR="00BC45D4" w:rsidRPr="007368C7" w:rsidRDefault="00BC45D4" w:rsidP="00BC45D4">
            <w:pPr>
              <w:jc w:val="both"/>
              <w:rPr>
                <w:rFonts w:cstheme="minorHAnsi"/>
              </w:rPr>
            </w:pPr>
            <w:r w:rsidRPr="007368C7">
              <w:rPr>
                <w:rFonts w:cstheme="minorHAnsi"/>
              </w:rPr>
              <w:t xml:space="preserve">Obowiązek ten ma na celu wyeliminowanie sytuacji, w których strony nie znają motywów rozstrzygnięcia. </w:t>
            </w:r>
          </w:p>
          <w:p w14:paraId="18BB04C6" w14:textId="19DB8F0D" w:rsidR="00BC45D4" w:rsidRPr="007368C7" w:rsidRDefault="00BC45D4" w:rsidP="00BC45D4">
            <w:pPr>
              <w:jc w:val="both"/>
              <w:rPr>
                <w:rFonts w:cstheme="minorHAnsi"/>
              </w:rPr>
            </w:pPr>
            <w:r w:rsidRPr="007368C7">
              <w:rPr>
                <w:rFonts w:cstheme="minorHAnsi"/>
              </w:rPr>
              <w:lastRenderedPageBreak/>
              <w:t>Należy wziąć pod uwagę, że choć sporządzenie uzasadnienia z urzędu może wydawać się dodatkowym obciążeniem, w dłuższej perspektywie przyspiesza postępowanie, eliminując wnioski o uzasadnienie, co jest niezwykle ważne w postępowaniach upadłościowych i restrukturyzacyjnych.</w:t>
            </w:r>
          </w:p>
          <w:p w14:paraId="53C81AC3" w14:textId="170B9B26" w:rsidR="009102AD" w:rsidRPr="007368C7" w:rsidRDefault="00BC45D4" w:rsidP="00BC45D4">
            <w:pPr>
              <w:jc w:val="both"/>
              <w:rPr>
                <w:rFonts w:cstheme="minorHAnsi"/>
              </w:rPr>
            </w:pPr>
            <w:r w:rsidRPr="007368C7">
              <w:rPr>
                <w:rFonts w:cstheme="minorHAnsi"/>
              </w:rPr>
              <w:t>Poza tym trzeba zwrócić uwagę, że postępowania upadłościowe i restrukturyzacyjne mają specyficzny charakter, często z dużą liczbą uczestników i skomplikowaną sytuacją faktyczną. W sprawach, gdzie dochodzi do głębokiej ingerencji w majątek dłużnika, uzasadnienie z urzędu zwiększa transparentność działań sądu.</w:t>
            </w:r>
          </w:p>
        </w:tc>
      </w:tr>
      <w:tr w:rsidR="00073C41" w:rsidRPr="00486628" w14:paraId="5FE92FB1" w14:textId="77777777" w:rsidTr="00AC5078">
        <w:tc>
          <w:tcPr>
            <w:tcW w:w="158" w:type="pct"/>
          </w:tcPr>
          <w:p w14:paraId="546AA2F3" w14:textId="385E897E" w:rsidR="00073C41" w:rsidRDefault="008B73DA" w:rsidP="00AE288B">
            <w:pPr>
              <w:jc w:val="center"/>
              <w:rPr>
                <w:rFonts w:cstheme="minorHAnsi"/>
              </w:rPr>
            </w:pPr>
            <w:r>
              <w:rPr>
                <w:rFonts w:cstheme="minorHAnsi"/>
              </w:rPr>
              <w:lastRenderedPageBreak/>
              <w:t>18</w:t>
            </w:r>
          </w:p>
        </w:tc>
        <w:tc>
          <w:tcPr>
            <w:tcW w:w="698" w:type="pct"/>
          </w:tcPr>
          <w:p w14:paraId="19FA2D68" w14:textId="0458720D" w:rsidR="00073C41" w:rsidRDefault="008C435D" w:rsidP="00AE288B">
            <w:pPr>
              <w:rPr>
                <w:rFonts w:ascii="Calibri" w:hAnsi="Calibri" w:cs="Calibri"/>
              </w:rPr>
            </w:pPr>
            <w:r>
              <w:rPr>
                <w:rFonts w:ascii="Calibri" w:hAnsi="Calibri" w:cs="Calibri"/>
              </w:rPr>
              <w:t xml:space="preserve">Rada Legislacyjna </w:t>
            </w:r>
          </w:p>
        </w:tc>
        <w:tc>
          <w:tcPr>
            <w:tcW w:w="591" w:type="pct"/>
          </w:tcPr>
          <w:p w14:paraId="2DAC9C30" w14:textId="73CB8D32" w:rsidR="00073C41" w:rsidRDefault="00302EA7" w:rsidP="00AE288B">
            <w:pPr>
              <w:rPr>
                <w:rFonts w:ascii="Calibri" w:eastAsia="Times New Roman" w:hAnsi="Calibri" w:cs="Times New Roman"/>
                <w:lang w:eastAsia="pl-PL"/>
              </w:rPr>
            </w:pPr>
            <w:r w:rsidRPr="00302EA7">
              <w:rPr>
                <w:rFonts w:ascii="Calibri" w:eastAsia="Times New Roman" w:hAnsi="Calibri" w:cs="Times New Roman"/>
                <w:b/>
                <w:bCs/>
                <w:lang w:eastAsia="pl-PL"/>
              </w:rPr>
              <w:t>Art. 1 pkt 1</w:t>
            </w:r>
            <w:r>
              <w:rPr>
                <w:rFonts w:ascii="Calibri" w:eastAsia="Times New Roman" w:hAnsi="Calibri" w:cs="Times New Roman"/>
                <w:b/>
                <w:bCs/>
                <w:lang w:eastAsia="pl-PL"/>
              </w:rPr>
              <w:t>5</w:t>
            </w:r>
            <w:r w:rsidRPr="00302EA7">
              <w:rPr>
                <w:rFonts w:ascii="Calibri" w:eastAsia="Times New Roman" w:hAnsi="Calibri" w:cs="Times New Roman"/>
                <w:b/>
                <w:bCs/>
                <w:lang w:eastAsia="pl-PL"/>
              </w:rPr>
              <w:t xml:space="preserve"> lit. a</w:t>
            </w:r>
            <w:r w:rsidRPr="00302EA7">
              <w:rPr>
                <w:rFonts w:ascii="Calibri" w:eastAsia="Times New Roman" w:hAnsi="Calibri" w:cs="Times New Roman"/>
                <w:lang w:eastAsia="pl-PL"/>
              </w:rPr>
              <w:t xml:space="preserve"> (</w:t>
            </w:r>
            <w:r>
              <w:rPr>
                <w:rFonts w:ascii="Calibri" w:eastAsia="Times New Roman" w:hAnsi="Calibri" w:cs="Times New Roman"/>
                <w:lang w:eastAsia="pl-PL"/>
              </w:rPr>
              <w:t xml:space="preserve">zmiana w zakresie </w:t>
            </w:r>
            <w:r w:rsidRPr="00302EA7">
              <w:rPr>
                <w:rFonts w:ascii="Calibri" w:eastAsia="Times New Roman" w:hAnsi="Calibri" w:cs="Times New Roman"/>
                <w:lang w:eastAsia="pl-PL"/>
              </w:rPr>
              <w:t>art. 491</w:t>
            </w:r>
            <w:r>
              <w:rPr>
                <w:rFonts w:ascii="Calibri" w:eastAsia="Times New Roman" w:hAnsi="Calibri" w:cs="Times New Roman"/>
                <w:vertAlign w:val="superscript"/>
                <w:lang w:eastAsia="pl-PL"/>
              </w:rPr>
              <w:t>9</w:t>
            </w:r>
            <w:r w:rsidRPr="00302EA7">
              <w:rPr>
                <w:rFonts w:ascii="Calibri" w:eastAsia="Times New Roman" w:hAnsi="Calibri" w:cs="Times New Roman"/>
                <w:lang w:eastAsia="pl-PL"/>
              </w:rPr>
              <w:t xml:space="preserve"> P.U.)</w:t>
            </w:r>
          </w:p>
        </w:tc>
        <w:tc>
          <w:tcPr>
            <w:tcW w:w="1418" w:type="pct"/>
          </w:tcPr>
          <w:p w14:paraId="51F0BA1F" w14:textId="6370C3E4" w:rsidR="00073C41" w:rsidRDefault="008C435D" w:rsidP="00E72257">
            <w:pPr>
              <w:jc w:val="both"/>
            </w:pPr>
            <w:r w:rsidRPr="008C435D">
              <w:t xml:space="preserve">Należy zauważyć, że akceptacja tej zmiany w istocie rzeczy byłaby zaprzeczeniem przyjętego przez projektodawcę modelu, opartego na ryczałtowym i automatycznym (z mocy ustawy) ustalaniu wynagrodzenia syndyka, i w konsekwencji zwiększałaby koszty społeczne (w tym finansowe) funkcjonowania systemu tzw. upadłości konsumenckiej. Proponowana zmiana stanowi powrót „do punktu wyjścia” i spowoduje, że stan prawny po nowelizacji nie będzie się istotnie różnił od stanu obecnego. Nowelizacja nie spowoduje więc przyspieszenia postępowań i nie odciąży sądów upadłościowych. Wręcz przeciwnie, </w:t>
            </w:r>
            <w:r w:rsidRPr="008C435D">
              <w:lastRenderedPageBreak/>
              <w:t>można założyć pewne utrudnienie i skomplikowanie procedury, skoro o ewentualnym obniżeniu wynagrodzenia będzie orzekał sąd w orzeczeniu kończącym postępowanie w sprawie. Orzeczeniem kończącym postępowanie jest przykładowo postanowienie o ustaleniu planu spłaty wierzycieli wydawane na podstawie projektu przygotowanego przez syndyka. Mało efektywne jest jednoczesne ustalanie obniżenia wynagrodzenia i planu spłaty, skoro nadwyżka środków ponad obniżone wynagrodzenie powinna być przekazana do podziału w ramach planu spłaty wierzycieli. Jednak skoro jednocześnie postanowienie w przedmiocie wynagrodzenia jest zaskarżalne, to oznacza to, że nie jest możliwe wydanie go jednocześnie z postanowieniem o ustaleniu planu spłaty wierzycieli. Pokazuje to, że być może projektowana zmiana realizuje jakieś określone założenia teoretyczne, ale w żaden sposób nie uwzględnia praktyki orzekania w sprawach ustalenia planu spłaty wierzycieli.</w:t>
            </w:r>
          </w:p>
        </w:tc>
        <w:tc>
          <w:tcPr>
            <w:tcW w:w="1027" w:type="pct"/>
          </w:tcPr>
          <w:p w14:paraId="1B212B8E" w14:textId="77777777" w:rsidR="00073C41" w:rsidRPr="00724947" w:rsidRDefault="00073C41" w:rsidP="00AE288B">
            <w:pPr>
              <w:jc w:val="both"/>
              <w:rPr>
                <w:rFonts w:ascii="Calibri" w:hAnsi="Calibri" w:cs="Calibri"/>
              </w:rPr>
            </w:pPr>
          </w:p>
        </w:tc>
        <w:tc>
          <w:tcPr>
            <w:tcW w:w="1108" w:type="pct"/>
          </w:tcPr>
          <w:p w14:paraId="79F1A3E8" w14:textId="77777777" w:rsidR="00073C41" w:rsidRPr="00302EA7" w:rsidRDefault="00302EA7" w:rsidP="00073C41">
            <w:pPr>
              <w:autoSpaceDE w:val="0"/>
              <w:autoSpaceDN w:val="0"/>
              <w:adjustRightInd w:val="0"/>
              <w:jc w:val="both"/>
              <w:rPr>
                <w:rFonts w:cstheme="minorHAnsi"/>
                <w:b/>
                <w:bCs/>
              </w:rPr>
            </w:pPr>
            <w:r w:rsidRPr="00302EA7">
              <w:rPr>
                <w:rFonts w:cstheme="minorHAnsi"/>
                <w:b/>
                <w:bCs/>
              </w:rPr>
              <w:t xml:space="preserve">Uwaga nie uwzględniona </w:t>
            </w:r>
          </w:p>
          <w:p w14:paraId="550605C2" w14:textId="77777777" w:rsidR="00302EA7" w:rsidRPr="00302EA7" w:rsidRDefault="00302EA7" w:rsidP="00073C41">
            <w:pPr>
              <w:autoSpaceDE w:val="0"/>
              <w:autoSpaceDN w:val="0"/>
              <w:adjustRightInd w:val="0"/>
              <w:jc w:val="both"/>
              <w:rPr>
                <w:rFonts w:cstheme="minorHAnsi"/>
              </w:rPr>
            </w:pPr>
          </w:p>
          <w:p w14:paraId="76D69F00" w14:textId="3DD07FDF" w:rsidR="00302EA7" w:rsidRPr="00302EA7" w:rsidRDefault="008B73DA" w:rsidP="00302EA7">
            <w:pPr>
              <w:autoSpaceDE w:val="0"/>
              <w:autoSpaceDN w:val="0"/>
              <w:adjustRightInd w:val="0"/>
              <w:jc w:val="both"/>
              <w:rPr>
                <w:rFonts w:cstheme="minorHAnsi"/>
              </w:rPr>
            </w:pPr>
            <w:r>
              <w:rPr>
                <w:rFonts w:cstheme="minorHAnsi"/>
              </w:rPr>
              <w:t>P</w:t>
            </w:r>
            <w:r w:rsidR="00302EA7" w:rsidRPr="00302EA7">
              <w:rPr>
                <w:rFonts w:cstheme="minorHAnsi"/>
              </w:rPr>
              <w:t xml:space="preserve">rzedmiotowy projekt ustawy przewiduje, że co do zasady wynagrodzenie syndyka w postępowaniu upadłościowym wobec osób fizycznych nieprowadzących działalności gospodarczej wynosić będzie równowartość jednego przeciętnego miesięcznego wynagrodzenia w sektorze przedsiębiorstw bez wypłat nagród z zysku w trzecim kwartale roku </w:t>
            </w:r>
            <w:r w:rsidR="00302EA7" w:rsidRPr="00302EA7">
              <w:rPr>
                <w:rFonts w:cstheme="minorHAnsi"/>
              </w:rPr>
              <w:lastRenderedPageBreak/>
              <w:t>poprzedniego, ogłoszonego przez Prezesa Głównego Urzędu Statystycznego (art. 491</w:t>
            </w:r>
            <w:r w:rsidR="00302EA7" w:rsidRPr="00302EA7">
              <w:rPr>
                <w:rFonts w:cstheme="minorHAnsi"/>
                <w:vertAlign w:val="superscript"/>
              </w:rPr>
              <w:t>9</w:t>
            </w:r>
            <w:r w:rsidR="00302EA7" w:rsidRPr="00302EA7">
              <w:rPr>
                <w:rFonts w:cstheme="minorHAnsi"/>
              </w:rPr>
              <w:t xml:space="preserve"> ust. 2 P.U.). </w:t>
            </w:r>
          </w:p>
          <w:p w14:paraId="229ECCDF" w14:textId="77777777" w:rsidR="00302EA7" w:rsidRPr="00302EA7" w:rsidRDefault="00302EA7" w:rsidP="00302EA7">
            <w:pPr>
              <w:autoSpaceDE w:val="0"/>
              <w:autoSpaceDN w:val="0"/>
              <w:adjustRightInd w:val="0"/>
              <w:jc w:val="both"/>
              <w:rPr>
                <w:rFonts w:cstheme="minorHAnsi"/>
              </w:rPr>
            </w:pPr>
            <w:r w:rsidRPr="00302EA7">
              <w:rPr>
                <w:rFonts w:cstheme="minorHAnsi"/>
              </w:rPr>
              <w:t>W projekcie ustawy wprowadzono dwa wyjątki od ww. zasady ustalania wynagrodzenia syndyka. Po pierwsze w przypadku gdy wysokość wynagrodzenia syndyka byłaby rażąco wygórowana w stosunku do nakładu jego pracy, wynikającego z przebiegu prowadzonego postępowania, w szczególności w razie umorzenia postępowania na wczesnym etapie, sąd w orzeczeniu kończącym postępowanie w sprawie będzie mógł z urzędu obniżyć wynagrodzenie, do wysokości nie niższej niż jedna czwarta wyżej określonego wynagrodzenia (art. 491</w:t>
            </w:r>
            <w:r w:rsidRPr="00302EA7">
              <w:rPr>
                <w:rFonts w:cstheme="minorHAnsi"/>
                <w:vertAlign w:val="superscript"/>
              </w:rPr>
              <w:t xml:space="preserve">9 </w:t>
            </w:r>
            <w:r w:rsidRPr="00302EA7">
              <w:rPr>
                <w:rFonts w:cstheme="minorHAnsi"/>
              </w:rPr>
              <w:t xml:space="preserve">ust. 3 P.U.). Po drugie, gdy jest to uzasadnione istotnie zwiększonym nakładem pracy syndyka skutkującym wzrostem funduszów masy upadłości, w szczególności wskutek podjęcia przez syndyka czynności związanych z dochodzeniem przekazania do masy upadłości tego, co wskutek czynności dłużnika bezskutecznych wobec masy upadłości lub wierzycieli ubyło z majątku upadłego lub do niego nie weszło, </w:t>
            </w:r>
            <w:r w:rsidRPr="00302EA7">
              <w:rPr>
                <w:rFonts w:cstheme="minorHAnsi"/>
              </w:rPr>
              <w:lastRenderedPageBreak/>
              <w:t>sąd może na wniosek syndyka ustalić jego wynagrodzenie w wysokości do czterokrotności przeciętnego miesięcznego wynagrodzenia. (art. 491</w:t>
            </w:r>
            <w:r w:rsidRPr="00302EA7">
              <w:rPr>
                <w:rFonts w:cstheme="minorHAnsi"/>
                <w:vertAlign w:val="superscript"/>
              </w:rPr>
              <w:t>9</w:t>
            </w:r>
            <w:r w:rsidRPr="00302EA7">
              <w:rPr>
                <w:rFonts w:cstheme="minorHAnsi"/>
              </w:rPr>
              <w:t xml:space="preserve"> ust. 3a P.U.).</w:t>
            </w:r>
          </w:p>
          <w:p w14:paraId="412642E1" w14:textId="77777777" w:rsidR="00302EA7" w:rsidRPr="00302EA7" w:rsidRDefault="00302EA7" w:rsidP="00302EA7">
            <w:pPr>
              <w:autoSpaceDE w:val="0"/>
              <w:autoSpaceDN w:val="0"/>
              <w:adjustRightInd w:val="0"/>
              <w:jc w:val="both"/>
              <w:rPr>
                <w:rFonts w:cstheme="minorHAnsi"/>
              </w:rPr>
            </w:pPr>
            <w:r w:rsidRPr="00302EA7">
              <w:rPr>
                <w:rFonts w:cstheme="minorHAnsi"/>
              </w:rPr>
              <w:t xml:space="preserve">Przedmiotowa zmiana ww. przepisu wynika zatem z konieczności uwzględnienia sytuacji, gdy konsumenckie postępowania upadłościowe będą wiązały się z mniejszym nakładem pracy syndyka, niż w przypadku standardowo prowadzonego postępowania upadłościowego osób fizycznych nieprowadzących działalności gospodarczej. Kwota ryczałtowego wynagrodzenia syndyka brutto (która w 2025 r. wynosiłaby 10.887,24 zł). powinna być zdecydowanie niższa między innymi w przypadku </w:t>
            </w:r>
            <w:proofErr w:type="spellStart"/>
            <w:r w:rsidRPr="00302EA7">
              <w:rPr>
                <w:rFonts w:cstheme="minorHAnsi"/>
              </w:rPr>
              <w:t>bezmasowych</w:t>
            </w:r>
            <w:proofErr w:type="spellEnd"/>
            <w:r w:rsidRPr="00302EA7">
              <w:rPr>
                <w:rFonts w:cstheme="minorHAnsi"/>
              </w:rPr>
              <w:t>, niewielkich postępowaniach upadłościowych, które nie generują zbyt wielu czynności po stronie syndyka. Zaprojektowane przepisy realizują zatem zasadę sprawiedliwego wynagradzania za przeprowadzone działania, nie generując przy tym nadmiernych kosztów postępowania.</w:t>
            </w:r>
          </w:p>
          <w:p w14:paraId="73E09098" w14:textId="72B91BD1" w:rsidR="00302EA7" w:rsidRPr="00302EA7" w:rsidRDefault="00302EA7" w:rsidP="00302EA7">
            <w:pPr>
              <w:autoSpaceDE w:val="0"/>
              <w:autoSpaceDN w:val="0"/>
              <w:adjustRightInd w:val="0"/>
              <w:jc w:val="both"/>
              <w:rPr>
                <w:rFonts w:cstheme="minorHAnsi"/>
              </w:rPr>
            </w:pPr>
            <w:r w:rsidRPr="00302EA7">
              <w:rPr>
                <w:rFonts w:cstheme="minorHAnsi"/>
              </w:rPr>
              <w:t>Należy podkreślić, że przedmiotowa zmiana art. 491</w:t>
            </w:r>
            <w:r w:rsidRPr="00302EA7">
              <w:rPr>
                <w:rFonts w:cstheme="minorHAnsi"/>
                <w:vertAlign w:val="superscript"/>
              </w:rPr>
              <w:t>9</w:t>
            </w:r>
            <w:r w:rsidRPr="00302EA7">
              <w:rPr>
                <w:rFonts w:cstheme="minorHAnsi"/>
              </w:rPr>
              <w:t xml:space="preserve"> ust. 3 P.U., umożliwiająca sądowi obniżenie </w:t>
            </w:r>
            <w:r w:rsidRPr="00302EA7">
              <w:rPr>
                <w:rFonts w:cstheme="minorHAnsi"/>
              </w:rPr>
              <w:lastRenderedPageBreak/>
              <w:t xml:space="preserve">ryczałtowego wynagrodzenia syndyka, została wprowadzona skutek krytycznych uwag zgłoszonych zarówno przez sądy powszechne jak i też Stowarzyszenie Sędziów </w:t>
            </w:r>
            <w:proofErr w:type="spellStart"/>
            <w:r w:rsidRPr="00302EA7">
              <w:rPr>
                <w:rFonts w:cstheme="minorHAnsi"/>
              </w:rPr>
              <w:t>Insolwencyjnych</w:t>
            </w:r>
            <w:proofErr w:type="spellEnd"/>
            <w:r w:rsidRPr="00302EA7">
              <w:rPr>
                <w:rFonts w:cstheme="minorHAnsi"/>
              </w:rPr>
              <w:t xml:space="preserve">, a więc praktyków orzekających w sprawach upadłościowych. W podnoszonych przez przedstawiciel środowiska sędziowskiego uwagach (między innymi przewodniczącego VII Wydziału Gospodarczego Sądu Rejonowego w Koszalinie oraz członków Stowarzyszenia Sędziów </w:t>
            </w:r>
            <w:proofErr w:type="spellStart"/>
            <w:r w:rsidRPr="00302EA7">
              <w:rPr>
                <w:rFonts w:cstheme="minorHAnsi"/>
              </w:rPr>
              <w:t>Insolwencyjnych</w:t>
            </w:r>
            <w:proofErr w:type="spellEnd"/>
            <w:r w:rsidRPr="00302EA7">
              <w:rPr>
                <w:rFonts w:cstheme="minorHAnsi"/>
              </w:rPr>
              <w:t xml:space="preserve"> ) skazywano między innymi, że „</w:t>
            </w:r>
            <w:r w:rsidRPr="00302EA7">
              <w:rPr>
                <w:rFonts w:cstheme="minorHAnsi"/>
                <w:i/>
                <w:iCs/>
              </w:rPr>
              <w:t xml:space="preserve">w sytuacji, gdy większość postępowań upadłościowych konsumenckich to postępowania </w:t>
            </w:r>
            <w:proofErr w:type="spellStart"/>
            <w:r w:rsidRPr="00302EA7">
              <w:rPr>
                <w:rFonts w:cstheme="minorHAnsi"/>
                <w:i/>
                <w:iCs/>
              </w:rPr>
              <w:t>bezmasowe</w:t>
            </w:r>
            <w:proofErr w:type="spellEnd"/>
            <w:r w:rsidRPr="00302EA7">
              <w:rPr>
                <w:rFonts w:cstheme="minorHAnsi"/>
                <w:i/>
                <w:iCs/>
              </w:rPr>
              <w:t xml:space="preserve"> lub o niewielkich wpływach, samo wynagrodzenie syndyka w kwocie przewyższającej 10.000 zł brutto stanowiłoby ogromny czynnik kosztowo twórczy, wykładany przez Skarb Państwa. W bardzo wielu postępowaniach wierzyciele nie zgłaszają swoich wierzytelności lub kwoty zgłaszane są bagatelne (kilkaset złotych, kilka-kilkanaście tysięcy złotych). Nie można zapominać, iż koszty postępowania, w tym zaliczkowane przez Skarb Państwa, muszą być całości w </w:t>
            </w:r>
            <w:r w:rsidRPr="00302EA7">
              <w:rPr>
                <w:rFonts w:cstheme="minorHAnsi"/>
                <w:i/>
                <w:iCs/>
              </w:rPr>
              <w:lastRenderedPageBreak/>
              <w:t>ramach planu spłaty spłacone przez upadłego (art. 491</w:t>
            </w:r>
            <w:r>
              <w:rPr>
                <w:rFonts w:cstheme="minorHAnsi"/>
                <w:i/>
                <w:iCs/>
                <w:vertAlign w:val="superscript"/>
              </w:rPr>
              <w:t>15</w:t>
            </w:r>
            <w:r w:rsidRPr="00302EA7">
              <w:rPr>
                <w:rFonts w:cstheme="minorHAnsi"/>
                <w:i/>
                <w:iCs/>
              </w:rPr>
              <w:t xml:space="preserve"> ust. 2 pr. upadł.). Kwota ryczałtowego wynagrodzenia syndyka brutto powinna być zdecydowanie niższa, przy </w:t>
            </w:r>
            <w:proofErr w:type="spellStart"/>
            <w:r w:rsidRPr="00302EA7">
              <w:rPr>
                <w:rFonts w:cstheme="minorHAnsi"/>
                <w:i/>
                <w:iCs/>
              </w:rPr>
              <w:t>bezmasowych</w:t>
            </w:r>
            <w:proofErr w:type="spellEnd"/>
            <w:r w:rsidRPr="00302EA7">
              <w:rPr>
                <w:rFonts w:cstheme="minorHAnsi"/>
                <w:i/>
                <w:iCs/>
              </w:rPr>
              <w:t>, niewielkich postępowaniach, których jest większość</w:t>
            </w:r>
            <w:r w:rsidRPr="00302EA7">
              <w:rPr>
                <w:rFonts w:cstheme="minorHAnsi"/>
              </w:rPr>
              <w:t>.”.</w:t>
            </w:r>
          </w:p>
          <w:p w14:paraId="62909677" w14:textId="4D655B1D" w:rsidR="00302EA7" w:rsidRPr="00302EA7" w:rsidRDefault="00302EA7" w:rsidP="00073C41">
            <w:pPr>
              <w:autoSpaceDE w:val="0"/>
              <w:autoSpaceDN w:val="0"/>
              <w:adjustRightInd w:val="0"/>
              <w:jc w:val="both"/>
              <w:rPr>
                <w:rFonts w:cstheme="minorHAnsi"/>
              </w:rPr>
            </w:pPr>
          </w:p>
        </w:tc>
      </w:tr>
    </w:tbl>
    <w:p w14:paraId="4A485AB3" w14:textId="77777777" w:rsidR="00CA2841" w:rsidRPr="00486628" w:rsidRDefault="00CA2841" w:rsidP="008B766F">
      <w:pPr>
        <w:spacing w:after="0" w:line="240" w:lineRule="auto"/>
        <w:rPr>
          <w:rFonts w:cstheme="minorHAnsi"/>
        </w:rPr>
      </w:pPr>
    </w:p>
    <w:sectPr w:rsidR="00CA2841" w:rsidRPr="00486628" w:rsidSect="00B91BB7">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56312" w14:textId="77777777" w:rsidR="00D05B5B" w:rsidRDefault="00D05B5B" w:rsidP="00CA2841">
      <w:pPr>
        <w:spacing w:after="0" w:line="240" w:lineRule="auto"/>
      </w:pPr>
      <w:r>
        <w:separator/>
      </w:r>
    </w:p>
  </w:endnote>
  <w:endnote w:type="continuationSeparator" w:id="0">
    <w:p w14:paraId="5916E35E" w14:textId="77777777" w:rsidR="00D05B5B" w:rsidRDefault="00D05B5B" w:rsidP="00CA2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D481E" w14:textId="77777777" w:rsidR="00D05B5B" w:rsidRDefault="00D05B5B" w:rsidP="00CA2841">
      <w:pPr>
        <w:spacing w:after="0" w:line="240" w:lineRule="auto"/>
      </w:pPr>
      <w:r>
        <w:separator/>
      </w:r>
    </w:p>
  </w:footnote>
  <w:footnote w:type="continuationSeparator" w:id="0">
    <w:p w14:paraId="222662DF" w14:textId="77777777" w:rsidR="00D05B5B" w:rsidRDefault="00D05B5B" w:rsidP="00CA28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1830D8"/>
    <w:multiLevelType w:val="hybridMultilevel"/>
    <w:tmpl w:val="0C4E67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6AAB7227"/>
    <w:multiLevelType w:val="hybridMultilevel"/>
    <w:tmpl w:val="2B20F0E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406785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1401921">
    <w:abstractNumId w:val="1"/>
  </w:num>
  <w:num w:numId="3" w16cid:durableId="511532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841"/>
    <w:rsid w:val="00002B9E"/>
    <w:rsid w:val="00010C51"/>
    <w:rsid w:val="0001263F"/>
    <w:rsid w:val="00015257"/>
    <w:rsid w:val="000160AA"/>
    <w:rsid w:val="0002559E"/>
    <w:rsid w:val="0002593F"/>
    <w:rsid w:val="00027238"/>
    <w:rsid w:val="00032902"/>
    <w:rsid w:val="00032CC2"/>
    <w:rsid w:val="00041B13"/>
    <w:rsid w:val="00047D6B"/>
    <w:rsid w:val="00051122"/>
    <w:rsid w:val="00053CD5"/>
    <w:rsid w:val="00057531"/>
    <w:rsid w:val="00060413"/>
    <w:rsid w:val="00061596"/>
    <w:rsid w:val="000704C5"/>
    <w:rsid w:val="000714AF"/>
    <w:rsid w:val="0007290A"/>
    <w:rsid w:val="00073751"/>
    <w:rsid w:val="00073C41"/>
    <w:rsid w:val="00076D75"/>
    <w:rsid w:val="000775D8"/>
    <w:rsid w:val="00080B72"/>
    <w:rsid w:val="00084AA2"/>
    <w:rsid w:val="000911AE"/>
    <w:rsid w:val="00094B8B"/>
    <w:rsid w:val="000B26FD"/>
    <w:rsid w:val="000B4C1D"/>
    <w:rsid w:val="000B5DF3"/>
    <w:rsid w:val="000C1B93"/>
    <w:rsid w:val="000C1D46"/>
    <w:rsid w:val="000D0561"/>
    <w:rsid w:val="000E1595"/>
    <w:rsid w:val="000E3702"/>
    <w:rsid w:val="000E55E9"/>
    <w:rsid w:val="000E7136"/>
    <w:rsid w:val="000F64E0"/>
    <w:rsid w:val="000F67F1"/>
    <w:rsid w:val="000F7BD7"/>
    <w:rsid w:val="00110ECB"/>
    <w:rsid w:val="001145B5"/>
    <w:rsid w:val="00116CD3"/>
    <w:rsid w:val="001321D7"/>
    <w:rsid w:val="00132389"/>
    <w:rsid w:val="00134EF7"/>
    <w:rsid w:val="001352EC"/>
    <w:rsid w:val="001405A6"/>
    <w:rsid w:val="00143468"/>
    <w:rsid w:val="00143971"/>
    <w:rsid w:val="0014461E"/>
    <w:rsid w:val="00146CCD"/>
    <w:rsid w:val="00147863"/>
    <w:rsid w:val="0015224A"/>
    <w:rsid w:val="001532FD"/>
    <w:rsid w:val="00153357"/>
    <w:rsid w:val="001535E3"/>
    <w:rsid w:val="00153FC2"/>
    <w:rsid w:val="00154B1A"/>
    <w:rsid w:val="00155445"/>
    <w:rsid w:val="00162007"/>
    <w:rsid w:val="0016380A"/>
    <w:rsid w:val="00165F44"/>
    <w:rsid w:val="00167B3F"/>
    <w:rsid w:val="0017030B"/>
    <w:rsid w:val="001769F3"/>
    <w:rsid w:val="00180508"/>
    <w:rsid w:val="00180C21"/>
    <w:rsid w:val="00182B9D"/>
    <w:rsid w:val="00187093"/>
    <w:rsid w:val="00191931"/>
    <w:rsid w:val="00194082"/>
    <w:rsid w:val="001943CC"/>
    <w:rsid w:val="0019568F"/>
    <w:rsid w:val="001A226E"/>
    <w:rsid w:val="001A3922"/>
    <w:rsid w:val="001A6CD5"/>
    <w:rsid w:val="001B4349"/>
    <w:rsid w:val="001B4854"/>
    <w:rsid w:val="001B734F"/>
    <w:rsid w:val="001B770C"/>
    <w:rsid w:val="001C26E8"/>
    <w:rsid w:val="001C4E12"/>
    <w:rsid w:val="001D6E5D"/>
    <w:rsid w:val="001E4824"/>
    <w:rsid w:val="001E60E7"/>
    <w:rsid w:val="001E6779"/>
    <w:rsid w:val="001F3087"/>
    <w:rsid w:val="001F4890"/>
    <w:rsid w:val="00200BF4"/>
    <w:rsid w:val="002022BA"/>
    <w:rsid w:val="0020358B"/>
    <w:rsid w:val="00205CCE"/>
    <w:rsid w:val="00205E64"/>
    <w:rsid w:val="002115F4"/>
    <w:rsid w:val="00217AB4"/>
    <w:rsid w:val="002206C0"/>
    <w:rsid w:val="002241E3"/>
    <w:rsid w:val="00231517"/>
    <w:rsid w:val="00232EC9"/>
    <w:rsid w:val="00233545"/>
    <w:rsid w:val="00234CA8"/>
    <w:rsid w:val="00236B45"/>
    <w:rsid w:val="00237E0B"/>
    <w:rsid w:val="002419EA"/>
    <w:rsid w:val="00250929"/>
    <w:rsid w:val="00252D23"/>
    <w:rsid w:val="00256CD7"/>
    <w:rsid w:val="00257016"/>
    <w:rsid w:val="002626F8"/>
    <w:rsid w:val="0026293C"/>
    <w:rsid w:val="00263028"/>
    <w:rsid w:val="002730A8"/>
    <w:rsid w:val="002731E8"/>
    <w:rsid w:val="0027403E"/>
    <w:rsid w:val="002932DD"/>
    <w:rsid w:val="002935CD"/>
    <w:rsid w:val="002A456A"/>
    <w:rsid w:val="002B3340"/>
    <w:rsid w:val="002C11C7"/>
    <w:rsid w:val="002C2EE0"/>
    <w:rsid w:val="002D01A7"/>
    <w:rsid w:val="002D549C"/>
    <w:rsid w:val="002D6204"/>
    <w:rsid w:val="002E6F26"/>
    <w:rsid w:val="002F26FE"/>
    <w:rsid w:val="002F3920"/>
    <w:rsid w:val="002F65B4"/>
    <w:rsid w:val="00300869"/>
    <w:rsid w:val="00302202"/>
    <w:rsid w:val="00302EA7"/>
    <w:rsid w:val="00307745"/>
    <w:rsid w:val="0031137B"/>
    <w:rsid w:val="00312E57"/>
    <w:rsid w:val="0032356C"/>
    <w:rsid w:val="00331CBE"/>
    <w:rsid w:val="00340EE1"/>
    <w:rsid w:val="00341D01"/>
    <w:rsid w:val="00343E6B"/>
    <w:rsid w:val="00347FA9"/>
    <w:rsid w:val="003501A1"/>
    <w:rsid w:val="00351962"/>
    <w:rsid w:val="00354E25"/>
    <w:rsid w:val="00356E3C"/>
    <w:rsid w:val="003609D3"/>
    <w:rsid w:val="00364C99"/>
    <w:rsid w:val="0036535A"/>
    <w:rsid w:val="00377B52"/>
    <w:rsid w:val="0038137F"/>
    <w:rsid w:val="00382C2F"/>
    <w:rsid w:val="00392749"/>
    <w:rsid w:val="00396A71"/>
    <w:rsid w:val="003A41DB"/>
    <w:rsid w:val="003A69E8"/>
    <w:rsid w:val="003B2F95"/>
    <w:rsid w:val="003B3876"/>
    <w:rsid w:val="003B596F"/>
    <w:rsid w:val="003B6028"/>
    <w:rsid w:val="003C42AE"/>
    <w:rsid w:val="003C74ED"/>
    <w:rsid w:val="003D125F"/>
    <w:rsid w:val="003D22E7"/>
    <w:rsid w:val="003D248D"/>
    <w:rsid w:val="003D3F9E"/>
    <w:rsid w:val="003E2E31"/>
    <w:rsid w:val="003E32C0"/>
    <w:rsid w:val="003F549A"/>
    <w:rsid w:val="003F7727"/>
    <w:rsid w:val="004000E8"/>
    <w:rsid w:val="0040010A"/>
    <w:rsid w:val="00406EA3"/>
    <w:rsid w:val="004073FC"/>
    <w:rsid w:val="00407766"/>
    <w:rsid w:val="00412724"/>
    <w:rsid w:val="004145E7"/>
    <w:rsid w:val="00423778"/>
    <w:rsid w:val="00423C49"/>
    <w:rsid w:val="00423DF6"/>
    <w:rsid w:val="0042568A"/>
    <w:rsid w:val="00426431"/>
    <w:rsid w:val="004325ED"/>
    <w:rsid w:val="004333DF"/>
    <w:rsid w:val="00435ABA"/>
    <w:rsid w:val="00435D45"/>
    <w:rsid w:val="004364DB"/>
    <w:rsid w:val="00437C86"/>
    <w:rsid w:val="004400AF"/>
    <w:rsid w:val="00443B5F"/>
    <w:rsid w:val="004443AD"/>
    <w:rsid w:val="00445EF8"/>
    <w:rsid w:val="0044675A"/>
    <w:rsid w:val="0045069F"/>
    <w:rsid w:val="0045634F"/>
    <w:rsid w:val="00460465"/>
    <w:rsid w:val="00462965"/>
    <w:rsid w:val="0046503C"/>
    <w:rsid w:val="00467F6A"/>
    <w:rsid w:val="00470E0A"/>
    <w:rsid w:val="0047279A"/>
    <w:rsid w:val="00477F3C"/>
    <w:rsid w:val="00481B88"/>
    <w:rsid w:val="0048491D"/>
    <w:rsid w:val="00486628"/>
    <w:rsid w:val="00496109"/>
    <w:rsid w:val="00496FB4"/>
    <w:rsid w:val="004A3EE1"/>
    <w:rsid w:val="004A663B"/>
    <w:rsid w:val="004B5C8F"/>
    <w:rsid w:val="004B6CC1"/>
    <w:rsid w:val="004C486F"/>
    <w:rsid w:val="004C5AEC"/>
    <w:rsid w:val="004D2699"/>
    <w:rsid w:val="004D6AE2"/>
    <w:rsid w:val="004F08B2"/>
    <w:rsid w:val="004F2D01"/>
    <w:rsid w:val="004F2D1D"/>
    <w:rsid w:val="004F4EE9"/>
    <w:rsid w:val="00500C5E"/>
    <w:rsid w:val="0050399B"/>
    <w:rsid w:val="00505E80"/>
    <w:rsid w:val="00506F73"/>
    <w:rsid w:val="00507783"/>
    <w:rsid w:val="005101D8"/>
    <w:rsid w:val="00511259"/>
    <w:rsid w:val="00512DF4"/>
    <w:rsid w:val="005159F2"/>
    <w:rsid w:val="00516AFC"/>
    <w:rsid w:val="00520F24"/>
    <w:rsid w:val="00523EE1"/>
    <w:rsid w:val="00525687"/>
    <w:rsid w:val="00526D7E"/>
    <w:rsid w:val="00527C1F"/>
    <w:rsid w:val="005405C5"/>
    <w:rsid w:val="00546679"/>
    <w:rsid w:val="00555743"/>
    <w:rsid w:val="00556488"/>
    <w:rsid w:val="00556660"/>
    <w:rsid w:val="00562643"/>
    <w:rsid w:val="00563D35"/>
    <w:rsid w:val="00567173"/>
    <w:rsid w:val="00567912"/>
    <w:rsid w:val="00570C4E"/>
    <w:rsid w:val="00571191"/>
    <w:rsid w:val="00575458"/>
    <w:rsid w:val="00576135"/>
    <w:rsid w:val="00592158"/>
    <w:rsid w:val="00595055"/>
    <w:rsid w:val="005A0F07"/>
    <w:rsid w:val="005A41CC"/>
    <w:rsid w:val="005A4E37"/>
    <w:rsid w:val="005B0948"/>
    <w:rsid w:val="005B1919"/>
    <w:rsid w:val="005B4E2F"/>
    <w:rsid w:val="005C0310"/>
    <w:rsid w:val="005C34CF"/>
    <w:rsid w:val="005C4914"/>
    <w:rsid w:val="005C5B4E"/>
    <w:rsid w:val="005D284F"/>
    <w:rsid w:val="005E0B95"/>
    <w:rsid w:val="005F7A15"/>
    <w:rsid w:val="006023F4"/>
    <w:rsid w:val="006047F7"/>
    <w:rsid w:val="00606C32"/>
    <w:rsid w:val="0061190D"/>
    <w:rsid w:val="0061291D"/>
    <w:rsid w:val="00612A03"/>
    <w:rsid w:val="00613450"/>
    <w:rsid w:val="00615D97"/>
    <w:rsid w:val="00621CC0"/>
    <w:rsid w:val="00624BCE"/>
    <w:rsid w:val="00625F82"/>
    <w:rsid w:val="00627622"/>
    <w:rsid w:val="00631223"/>
    <w:rsid w:val="00632E93"/>
    <w:rsid w:val="006341B9"/>
    <w:rsid w:val="006343F1"/>
    <w:rsid w:val="006354CB"/>
    <w:rsid w:val="00635955"/>
    <w:rsid w:val="00641A19"/>
    <w:rsid w:val="00641BC6"/>
    <w:rsid w:val="0064213B"/>
    <w:rsid w:val="006430E8"/>
    <w:rsid w:val="00646308"/>
    <w:rsid w:val="0064681C"/>
    <w:rsid w:val="00647F39"/>
    <w:rsid w:val="00654C2E"/>
    <w:rsid w:val="006551BD"/>
    <w:rsid w:val="006559A0"/>
    <w:rsid w:val="00655B36"/>
    <w:rsid w:val="006569E7"/>
    <w:rsid w:val="0065784C"/>
    <w:rsid w:val="006640AC"/>
    <w:rsid w:val="006733AA"/>
    <w:rsid w:val="00681F4E"/>
    <w:rsid w:val="006821D6"/>
    <w:rsid w:val="00683703"/>
    <w:rsid w:val="006870A3"/>
    <w:rsid w:val="006933E9"/>
    <w:rsid w:val="006938DF"/>
    <w:rsid w:val="00693AA5"/>
    <w:rsid w:val="006A48D1"/>
    <w:rsid w:val="006A7209"/>
    <w:rsid w:val="006A7A12"/>
    <w:rsid w:val="006B5D43"/>
    <w:rsid w:val="006B6C29"/>
    <w:rsid w:val="006C0B04"/>
    <w:rsid w:val="006C10C4"/>
    <w:rsid w:val="006C3E99"/>
    <w:rsid w:val="006C4CFC"/>
    <w:rsid w:val="006C5C3A"/>
    <w:rsid w:val="006D2F73"/>
    <w:rsid w:val="006E0FAE"/>
    <w:rsid w:val="006E2771"/>
    <w:rsid w:val="006E4752"/>
    <w:rsid w:val="006E4CAA"/>
    <w:rsid w:val="006E69D8"/>
    <w:rsid w:val="006F013F"/>
    <w:rsid w:val="006F1592"/>
    <w:rsid w:val="006F2585"/>
    <w:rsid w:val="006F5EDA"/>
    <w:rsid w:val="006F72D4"/>
    <w:rsid w:val="00701F52"/>
    <w:rsid w:val="00703009"/>
    <w:rsid w:val="00703610"/>
    <w:rsid w:val="00711F68"/>
    <w:rsid w:val="00715ADD"/>
    <w:rsid w:val="00721597"/>
    <w:rsid w:val="00724947"/>
    <w:rsid w:val="00726F2F"/>
    <w:rsid w:val="00731A8B"/>
    <w:rsid w:val="0073232F"/>
    <w:rsid w:val="00732362"/>
    <w:rsid w:val="007368C7"/>
    <w:rsid w:val="007415D6"/>
    <w:rsid w:val="0075301E"/>
    <w:rsid w:val="00755DA8"/>
    <w:rsid w:val="00756B21"/>
    <w:rsid w:val="007573FB"/>
    <w:rsid w:val="00762E53"/>
    <w:rsid w:val="00763F21"/>
    <w:rsid w:val="007641A3"/>
    <w:rsid w:val="00764284"/>
    <w:rsid w:val="007656B7"/>
    <w:rsid w:val="00772BC4"/>
    <w:rsid w:val="00773DAD"/>
    <w:rsid w:val="00782BC5"/>
    <w:rsid w:val="00784913"/>
    <w:rsid w:val="00786008"/>
    <w:rsid w:val="00792481"/>
    <w:rsid w:val="0079516B"/>
    <w:rsid w:val="007977AA"/>
    <w:rsid w:val="007A0DF4"/>
    <w:rsid w:val="007A1164"/>
    <w:rsid w:val="007A17C5"/>
    <w:rsid w:val="007A6D8F"/>
    <w:rsid w:val="007B04BA"/>
    <w:rsid w:val="007B2BD1"/>
    <w:rsid w:val="007B4D36"/>
    <w:rsid w:val="007C0048"/>
    <w:rsid w:val="007C5BCA"/>
    <w:rsid w:val="007C719A"/>
    <w:rsid w:val="007D4A8E"/>
    <w:rsid w:val="007D6F41"/>
    <w:rsid w:val="007E4001"/>
    <w:rsid w:val="007F2C57"/>
    <w:rsid w:val="007F524D"/>
    <w:rsid w:val="00800F21"/>
    <w:rsid w:val="00803EE9"/>
    <w:rsid w:val="008075D4"/>
    <w:rsid w:val="008129ED"/>
    <w:rsid w:val="008145F8"/>
    <w:rsid w:val="00815806"/>
    <w:rsid w:val="00823A7C"/>
    <w:rsid w:val="008244E3"/>
    <w:rsid w:val="00826995"/>
    <w:rsid w:val="0083087E"/>
    <w:rsid w:val="00830C75"/>
    <w:rsid w:val="00851C28"/>
    <w:rsid w:val="00856C85"/>
    <w:rsid w:val="00857E56"/>
    <w:rsid w:val="008602FC"/>
    <w:rsid w:val="0086576C"/>
    <w:rsid w:val="0087018D"/>
    <w:rsid w:val="00871A27"/>
    <w:rsid w:val="008832AD"/>
    <w:rsid w:val="008903E5"/>
    <w:rsid w:val="008916D8"/>
    <w:rsid w:val="00892DE6"/>
    <w:rsid w:val="008930B5"/>
    <w:rsid w:val="00894E5C"/>
    <w:rsid w:val="008A0054"/>
    <w:rsid w:val="008A2C67"/>
    <w:rsid w:val="008B0B5C"/>
    <w:rsid w:val="008B1756"/>
    <w:rsid w:val="008B1B0B"/>
    <w:rsid w:val="008B435C"/>
    <w:rsid w:val="008B4B87"/>
    <w:rsid w:val="008B73DA"/>
    <w:rsid w:val="008B766F"/>
    <w:rsid w:val="008C26E3"/>
    <w:rsid w:val="008C40E2"/>
    <w:rsid w:val="008C435D"/>
    <w:rsid w:val="008C7B4A"/>
    <w:rsid w:val="008D056A"/>
    <w:rsid w:val="008D0915"/>
    <w:rsid w:val="008D0DD1"/>
    <w:rsid w:val="008D457D"/>
    <w:rsid w:val="008E2F2C"/>
    <w:rsid w:val="008E5AA4"/>
    <w:rsid w:val="008E7E57"/>
    <w:rsid w:val="008F1B21"/>
    <w:rsid w:val="008F3476"/>
    <w:rsid w:val="008F49F3"/>
    <w:rsid w:val="0090574C"/>
    <w:rsid w:val="00906FF2"/>
    <w:rsid w:val="009102AD"/>
    <w:rsid w:val="00910357"/>
    <w:rsid w:val="009103D6"/>
    <w:rsid w:val="009152E1"/>
    <w:rsid w:val="009265BC"/>
    <w:rsid w:val="00930302"/>
    <w:rsid w:val="00931828"/>
    <w:rsid w:val="0093514E"/>
    <w:rsid w:val="00937CFF"/>
    <w:rsid w:val="00937F67"/>
    <w:rsid w:val="009403FF"/>
    <w:rsid w:val="00941761"/>
    <w:rsid w:val="00943662"/>
    <w:rsid w:val="00947CE0"/>
    <w:rsid w:val="00951689"/>
    <w:rsid w:val="009566BF"/>
    <w:rsid w:val="00957692"/>
    <w:rsid w:val="009625BA"/>
    <w:rsid w:val="00970207"/>
    <w:rsid w:val="00970683"/>
    <w:rsid w:val="009757B6"/>
    <w:rsid w:val="00982D46"/>
    <w:rsid w:val="00982F1B"/>
    <w:rsid w:val="00982FB4"/>
    <w:rsid w:val="00983226"/>
    <w:rsid w:val="009837C2"/>
    <w:rsid w:val="00990226"/>
    <w:rsid w:val="00993BBE"/>
    <w:rsid w:val="009A349F"/>
    <w:rsid w:val="009B4681"/>
    <w:rsid w:val="009B5AD6"/>
    <w:rsid w:val="009C16FC"/>
    <w:rsid w:val="009C6FAA"/>
    <w:rsid w:val="009D0190"/>
    <w:rsid w:val="009D2B3A"/>
    <w:rsid w:val="009D69FD"/>
    <w:rsid w:val="009E22B0"/>
    <w:rsid w:val="009E504D"/>
    <w:rsid w:val="009E6DA1"/>
    <w:rsid w:val="009F09FD"/>
    <w:rsid w:val="009F0B6A"/>
    <w:rsid w:val="009F3DF3"/>
    <w:rsid w:val="00A006CC"/>
    <w:rsid w:val="00A00F27"/>
    <w:rsid w:val="00A05D40"/>
    <w:rsid w:val="00A0602B"/>
    <w:rsid w:val="00A0636F"/>
    <w:rsid w:val="00A11EE6"/>
    <w:rsid w:val="00A3002B"/>
    <w:rsid w:val="00A41215"/>
    <w:rsid w:val="00A43224"/>
    <w:rsid w:val="00A461A5"/>
    <w:rsid w:val="00A4715F"/>
    <w:rsid w:val="00A47309"/>
    <w:rsid w:val="00A5263A"/>
    <w:rsid w:val="00A52973"/>
    <w:rsid w:val="00A5659C"/>
    <w:rsid w:val="00A56B53"/>
    <w:rsid w:val="00A57122"/>
    <w:rsid w:val="00A610B1"/>
    <w:rsid w:val="00A6437F"/>
    <w:rsid w:val="00A64BDF"/>
    <w:rsid w:val="00A65555"/>
    <w:rsid w:val="00A65AF3"/>
    <w:rsid w:val="00A72701"/>
    <w:rsid w:val="00A84A71"/>
    <w:rsid w:val="00A90C05"/>
    <w:rsid w:val="00A91C7C"/>
    <w:rsid w:val="00A92F50"/>
    <w:rsid w:val="00A934AA"/>
    <w:rsid w:val="00A95626"/>
    <w:rsid w:val="00A97A86"/>
    <w:rsid w:val="00AA42B3"/>
    <w:rsid w:val="00AA645B"/>
    <w:rsid w:val="00AA7584"/>
    <w:rsid w:val="00AB7F77"/>
    <w:rsid w:val="00AC4E12"/>
    <w:rsid w:val="00AC5078"/>
    <w:rsid w:val="00AD3012"/>
    <w:rsid w:val="00AE1826"/>
    <w:rsid w:val="00AE288B"/>
    <w:rsid w:val="00AE36A4"/>
    <w:rsid w:val="00AE759A"/>
    <w:rsid w:val="00AF1CA2"/>
    <w:rsid w:val="00AF39A7"/>
    <w:rsid w:val="00AF427A"/>
    <w:rsid w:val="00B002B9"/>
    <w:rsid w:val="00B12B48"/>
    <w:rsid w:val="00B223A1"/>
    <w:rsid w:val="00B277E4"/>
    <w:rsid w:val="00B2792A"/>
    <w:rsid w:val="00B43E02"/>
    <w:rsid w:val="00B4683E"/>
    <w:rsid w:val="00B52988"/>
    <w:rsid w:val="00B53D6D"/>
    <w:rsid w:val="00B55C52"/>
    <w:rsid w:val="00B5636C"/>
    <w:rsid w:val="00B65541"/>
    <w:rsid w:val="00B72EE0"/>
    <w:rsid w:val="00B779AC"/>
    <w:rsid w:val="00B80B52"/>
    <w:rsid w:val="00B829F8"/>
    <w:rsid w:val="00B91BB7"/>
    <w:rsid w:val="00B91D17"/>
    <w:rsid w:val="00BA7E97"/>
    <w:rsid w:val="00BC0265"/>
    <w:rsid w:val="00BC32A6"/>
    <w:rsid w:val="00BC3668"/>
    <w:rsid w:val="00BC3815"/>
    <w:rsid w:val="00BC42F6"/>
    <w:rsid w:val="00BC45D4"/>
    <w:rsid w:val="00BC4FFC"/>
    <w:rsid w:val="00BC64D1"/>
    <w:rsid w:val="00BC752B"/>
    <w:rsid w:val="00BD1DBD"/>
    <w:rsid w:val="00BD6D9C"/>
    <w:rsid w:val="00BF2F13"/>
    <w:rsid w:val="00BF754D"/>
    <w:rsid w:val="00C00924"/>
    <w:rsid w:val="00C00CD1"/>
    <w:rsid w:val="00C015B5"/>
    <w:rsid w:val="00C02877"/>
    <w:rsid w:val="00C05C34"/>
    <w:rsid w:val="00C10504"/>
    <w:rsid w:val="00C16849"/>
    <w:rsid w:val="00C2577C"/>
    <w:rsid w:val="00C33A8D"/>
    <w:rsid w:val="00C375AB"/>
    <w:rsid w:val="00C4566E"/>
    <w:rsid w:val="00C47FA2"/>
    <w:rsid w:val="00C5039E"/>
    <w:rsid w:val="00C51759"/>
    <w:rsid w:val="00C527A4"/>
    <w:rsid w:val="00C54491"/>
    <w:rsid w:val="00C61F56"/>
    <w:rsid w:val="00C63950"/>
    <w:rsid w:val="00C71F4D"/>
    <w:rsid w:val="00C74CE9"/>
    <w:rsid w:val="00C775D8"/>
    <w:rsid w:val="00C82190"/>
    <w:rsid w:val="00C82E94"/>
    <w:rsid w:val="00C84D21"/>
    <w:rsid w:val="00C870EE"/>
    <w:rsid w:val="00C93278"/>
    <w:rsid w:val="00CA2841"/>
    <w:rsid w:val="00CA5067"/>
    <w:rsid w:val="00CA606A"/>
    <w:rsid w:val="00CB6F05"/>
    <w:rsid w:val="00CC346C"/>
    <w:rsid w:val="00CC3E30"/>
    <w:rsid w:val="00CC584C"/>
    <w:rsid w:val="00CC5D5D"/>
    <w:rsid w:val="00CC7F2E"/>
    <w:rsid w:val="00CD0584"/>
    <w:rsid w:val="00CD0B96"/>
    <w:rsid w:val="00CD3075"/>
    <w:rsid w:val="00CD3A3E"/>
    <w:rsid w:val="00CE04E3"/>
    <w:rsid w:val="00CE41DF"/>
    <w:rsid w:val="00CF206A"/>
    <w:rsid w:val="00D04E11"/>
    <w:rsid w:val="00D05B5B"/>
    <w:rsid w:val="00D1140E"/>
    <w:rsid w:val="00D144BE"/>
    <w:rsid w:val="00D1586B"/>
    <w:rsid w:val="00D245AB"/>
    <w:rsid w:val="00D24B1F"/>
    <w:rsid w:val="00D24F2B"/>
    <w:rsid w:val="00D27DF6"/>
    <w:rsid w:val="00D30BD5"/>
    <w:rsid w:val="00D30E4E"/>
    <w:rsid w:val="00D30EB3"/>
    <w:rsid w:val="00D35962"/>
    <w:rsid w:val="00D37639"/>
    <w:rsid w:val="00D4635C"/>
    <w:rsid w:val="00D50DF1"/>
    <w:rsid w:val="00D51ABB"/>
    <w:rsid w:val="00D53B7F"/>
    <w:rsid w:val="00D56A2B"/>
    <w:rsid w:val="00D56A5D"/>
    <w:rsid w:val="00D57BAC"/>
    <w:rsid w:val="00D57D84"/>
    <w:rsid w:val="00D62375"/>
    <w:rsid w:val="00D6385C"/>
    <w:rsid w:val="00D71921"/>
    <w:rsid w:val="00D71F0A"/>
    <w:rsid w:val="00D74431"/>
    <w:rsid w:val="00D7758E"/>
    <w:rsid w:val="00D85338"/>
    <w:rsid w:val="00D93225"/>
    <w:rsid w:val="00D95F7A"/>
    <w:rsid w:val="00DB3F56"/>
    <w:rsid w:val="00DB6A26"/>
    <w:rsid w:val="00DB7D6A"/>
    <w:rsid w:val="00DC4CB0"/>
    <w:rsid w:val="00DD1D82"/>
    <w:rsid w:val="00DD3AEC"/>
    <w:rsid w:val="00DD75DC"/>
    <w:rsid w:val="00DD7D9F"/>
    <w:rsid w:val="00DE0423"/>
    <w:rsid w:val="00DE1C92"/>
    <w:rsid w:val="00DE7996"/>
    <w:rsid w:val="00DF17D7"/>
    <w:rsid w:val="00DF19B8"/>
    <w:rsid w:val="00E01E2E"/>
    <w:rsid w:val="00E02562"/>
    <w:rsid w:val="00E06850"/>
    <w:rsid w:val="00E1666E"/>
    <w:rsid w:val="00E21AF1"/>
    <w:rsid w:val="00E225C0"/>
    <w:rsid w:val="00E32C1D"/>
    <w:rsid w:val="00E33927"/>
    <w:rsid w:val="00E35ABC"/>
    <w:rsid w:val="00E40E3D"/>
    <w:rsid w:val="00E42F48"/>
    <w:rsid w:val="00E44FBF"/>
    <w:rsid w:val="00E457E0"/>
    <w:rsid w:val="00E45908"/>
    <w:rsid w:val="00E51F25"/>
    <w:rsid w:val="00E564BD"/>
    <w:rsid w:val="00E566A4"/>
    <w:rsid w:val="00E6395A"/>
    <w:rsid w:val="00E66215"/>
    <w:rsid w:val="00E717FC"/>
    <w:rsid w:val="00E72257"/>
    <w:rsid w:val="00E72869"/>
    <w:rsid w:val="00E74BDF"/>
    <w:rsid w:val="00E773B5"/>
    <w:rsid w:val="00E81BC7"/>
    <w:rsid w:val="00E85F15"/>
    <w:rsid w:val="00E92CF7"/>
    <w:rsid w:val="00E939DA"/>
    <w:rsid w:val="00E95AB8"/>
    <w:rsid w:val="00EA0E56"/>
    <w:rsid w:val="00EA25EA"/>
    <w:rsid w:val="00EA27D1"/>
    <w:rsid w:val="00EA2C50"/>
    <w:rsid w:val="00EB034B"/>
    <w:rsid w:val="00EB1AF5"/>
    <w:rsid w:val="00EB31B4"/>
    <w:rsid w:val="00EB68A8"/>
    <w:rsid w:val="00EB7024"/>
    <w:rsid w:val="00EC1059"/>
    <w:rsid w:val="00EC499C"/>
    <w:rsid w:val="00EC4C43"/>
    <w:rsid w:val="00EC7756"/>
    <w:rsid w:val="00ED10C9"/>
    <w:rsid w:val="00ED61ED"/>
    <w:rsid w:val="00EE1E93"/>
    <w:rsid w:val="00EE63E6"/>
    <w:rsid w:val="00EE7F8A"/>
    <w:rsid w:val="00EF494C"/>
    <w:rsid w:val="00F0540A"/>
    <w:rsid w:val="00F05CA6"/>
    <w:rsid w:val="00F05DD5"/>
    <w:rsid w:val="00F104BC"/>
    <w:rsid w:val="00F16B2F"/>
    <w:rsid w:val="00F36A83"/>
    <w:rsid w:val="00F43870"/>
    <w:rsid w:val="00F457A7"/>
    <w:rsid w:val="00F4778C"/>
    <w:rsid w:val="00F501ED"/>
    <w:rsid w:val="00F571FC"/>
    <w:rsid w:val="00F6272A"/>
    <w:rsid w:val="00F66431"/>
    <w:rsid w:val="00F70232"/>
    <w:rsid w:val="00F726A4"/>
    <w:rsid w:val="00F76C87"/>
    <w:rsid w:val="00F8696E"/>
    <w:rsid w:val="00F901C7"/>
    <w:rsid w:val="00F92A39"/>
    <w:rsid w:val="00F962B3"/>
    <w:rsid w:val="00FA02A2"/>
    <w:rsid w:val="00FA35E0"/>
    <w:rsid w:val="00FA4250"/>
    <w:rsid w:val="00FA4A21"/>
    <w:rsid w:val="00FA7936"/>
    <w:rsid w:val="00FB2256"/>
    <w:rsid w:val="00FB43C4"/>
    <w:rsid w:val="00FB6BB4"/>
    <w:rsid w:val="00FB6BD9"/>
    <w:rsid w:val="00FC30D7"/>
    <w:rsid w:val="00FC3E5D"/>
    <w:rsid w:val="00FC7E2C"/>
    <w:rsid w:val="00FD7DCA"/>
    <w:rsid w:val="00FE5631"/>
    <w:rsid w:val="00FE584C"/>
    <w:rsid w:val="00FE7E38"/>
    <w:rsid w:val="00FF142F"/>
    <w:rsid w:val="00FF4B56"/>
    <w:rsid w:val="00FF5094"/>
    <w:rsid w:val="00FF6700"/>
    <w:rsid w:val="00FF7BE5"/>
    <w:rsid w:val="00FF7C0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543F60"/>
  <w15:chartTrackingRefBased/>
  <w15:docId w15:val="{6BE2EF6E-7A57-45BA-8729-04A92DBED8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D6F41"/>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unhideWhenUsed/>
    <w:rsid w:val="00CA284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A2841"/>
    <w:rPr>
      <w:sz w:val="20"/>
      <w:szCs w:val="20"/>
    </w:rPr>
  </w:style>
  <w:style w:type="character" w:styleId="Odwoanieprzypisudolnego">
    <w:name w:val="footnote reference"/>
    <w:basedOn w:val="Domylnaczcionkaakapitu"/>
    <w:uiPriority w:val="99"/>
    <w:semiHidden/>
    <w:unhideWhenUsed/>
    <w:rsid w:val="00CA2841"/>
    <w:rPr>
      <w:vertAlign w:val="superscript"/>
    </w:rPr>
  </w:style>
  <w:style w:type="table" w:styleId="Tabela-Siatka">
    <w:name w:val="Table Grid"/>
    <w:basedOn w:val="Standardowy"/>
    <w:uiPriority w:val="39"/>
    <w:rsid w:val="00CA28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4F2D1D"/>
    <w:rPr>
      <w:sz w:val="16"/>
      <w:szCs w:val="16"/>
    </w:rPr>
  </w:style>
  <w:style w:type="paragraph" w:styleId="Tekstkomentarza">
    <w:name w:val="annotation text"/>
    <w:basedOn w:val="Normalny"/>
    <w:link w:val="TekstkomentarzaZnak"/>
    <w:uiPriority w:val="99"/>
    <w:unhideWhenUsed/>
    <w:rsid w:val="004F2D1D"/>
    <w:pPr>
      <w:spacing w:line="240" w:lineRule="auto"/>
    </w:pPr>
    <w:rPr>
      <w:sz w:val="20"/>
      <w:szCs w:val="20"/>
    </w:rPr>
  </w:style>
  <w:style w:type="character" w:customStyle="1" w:styleId="TekstkomentarzaZnak">
    <w:name w:val="Tekst komentarza Znak"/>
    <w:basedOn w:val="Domylnaczcionkaakapitu"/>
    <w:link w:val="Tekstkomentarza"/>
    <w:uiPriority w:val="99"/>
    <w:rsid w:val="004F2D1D"/>
    <w:rPr>
      <w:sz w:val="20"/>
      <w:szCs w:val="20"/>
    </w:rPr>
  </w:style>
  <w:style w:type="paragraph" w:styleId="Tematkomentarza">
    <w:name w:val="annotation subject"/>
    <w:basedOn w:val="Tekstkomentarza"/>
    <w:next w:val="Tekstkomentarza"/>
    <w:link w:val="TematkomentarzaZnak"/>
    <w:uiPriority w:val="99"/>
    <w:semiHidden/>
    <w:unhideWhenUsed/>
    <w:rsid w:val="004F2D1D"/>
    <w:rPr>
      <w:b/>
      <w:bCs/>
    </w:rPr>
  </w:style>
  <w:style w:type="character" w:customStyle="1" w:styleId="TematkomentarzaZnak">
    <w:name w:val="Temat komentarza Znak"/>
    <w:basedOn w:val="TekstkomentarzaZnak"/>
    <w:link w:val="Tematkomentarza"/>
    <w:uiPriority w:val="99"/>
    <w:semiHidden/>
    <w:rsid w:val="004F2D1D"/>
    <w:rPr>
      <w:b/>
      <w:bCs/>
      <w:sz w:val="20"/>
      <w:szCs w:val="20"/>
    </w:rPr>
  </w:style>
  <w:style w:type="paragraph" w:styleId="Nagwek">
    <w:name w:val="header"/>
    <w:basedOn w:val="Normalny"/>
    <w:link w:val="NagwekZnak"/>
    <w:uiPriority w:val="99"/>
    <w:unhideWhenUsed/>
    <w:rsid w:val="001E677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E6779"/>
  </w:style>
  <w:style w:type="paragraph" w:styleId="Stopka">
    <w:name w:val="footer"/>
    <w:basedOn w:val="Normalny"/>
    <w:link w:val="StopkaZnak"/>
    <w:uiPriority w:val="99"/>
    <w:unhideWhenUsed/>
    <w:rsid w:val="001E677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6779"/>
  </w:style>
  <w:style w:type="paragraph" w:styleId="Akapitzlist">
    <w:name w:val="List Paragraph"/>
    <w:basedOn w:val="Normalny"/>
    <w:uiPriority w:val="34"/>
    <w:qFormat/>
    <w:rsid w:val="00506F73"/>
    <w:pPr>
      <w:spacing w:after="0" w:line="240" w:lineRule="auto"/>
      <w:ind w:left="720"/>
      <w:contextualSpacing/>
    </w:pPr>
    <w:rPr>
      <w:rFonts w:ascii="Times New Roman" w:eastAsia="Times New Roman" w:hAnsi="Times New Roman" w:cs="Times New Roman"/>
      <w:sz w:val="24"/>
      <w:szCs w:val="20"/>
      <w:lang w:eastAsia="pl-PL"/>
    </w:rPr>
  </w:style>
  <w:style w:type="character" w:styleId="Hipercze">
    <w:name w:val="Hyperlink"/>
    <w:basedOn w:val="Domylnaczcionkaakapitu"/>
    <w:uiPriority w:val="99"/>
    <w:unhideWhenUsed/>
    <w:rsid w:val="0048491D"/>
    <w:rPr>
      <w:color w:val="0563C1" w:themeColor="hyperlink"/>
      <w:u w:val="single"/>
    </w:rPr>
  </w:style>
  <w:style w:type="character" w:styleId="Nierozpoznanawzmianka">
    <w:name w:val="Unresolved Mention"/>
    <w:basedOn w:val="Domylnaczcionkaakapitu"/>
    <w:uiPriority w:val="99"/>
    <w:semiHidden/>
    <w:unhideWhenUsed/>
    <w:rsid w:val="0048491D"/>
    <w:rPr>
      <w:color w:val="605E5C"/>
      <w:shd w:val="clear" w:color="auto" w:fill="E1DFDD"/>
    </w:rPr>
  </w:style>
  <w:style w:type="paragraph" w:customStyle="1" w:styleId="Default">
    <w:name w:val="Default"/>
    <w:rsid w:val="00080B72"/>
    <w:pPr>
      <w:autoSpaceDE w:val="0"/>
      <w:autoSpaceDN w:val="0"/>
      <w:adjustRightInd w:val="0"/>
      <w:spacing w:after="0" w:line="240" w:lineRule="auto"/>
    </w:pPr>
    <w:rPr>
      <w:rFonts w:ascii="Times New Roman" w:hAnsi="Times New Roman" w:cs="Times New Roman"/>
      <w:color w:val="000000"/>
      <w:sz w:val="24"/>
      <w:szCs w:val="24"/>
    </w:rPr>
  </w:style>
  <w:style w:type="paragraph" w:styleId="Tekstprzypisukocowego">
    <w:name w:val="endnote text"/>
    <w:basedOn w:val="Normalny"/>
    <w:link w:val="TekstprzypisukocowegoZnak"/>
    <w:uiPriority w:val="99"/>
    <w:semiHidden/>
    <w:unhideWhenUsed/>
    <w:rsid w:val="00EC7756"/>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EC7756"/>
    <w:rPr>
      <w:sz w:val="20"/>
      <w:szCs w:val="20"/>
    </w:rPr>
  </w:style>
  <w:style w:type="character" w:styleId="Odwoanieprzypisukocowego">
    <w:name w:val="endnote reference"/>
    <w:basedOn w:val="Domylnaczcionkaakapitu"/>
    <w:uiPriority w:val="99"/>
    <w:semiHidden/>
    <w:unhideWhenUsed/>
    <w:rsid w:val="00EC775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68A9B-02CF-49B8-B19D-07AFA93A7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21</Pages>
  <Words>4879</Words>
  <Characters>29278</Characters>
  <Application>Microsoft Office Word</Application>
  <DocSecurity>0</DocSecurity>
  <Lines>243</Lines>
  <Paragraphs>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Wójcikiewicz-Kawa Agata</dc:creator>
  <cp:keywords/>
  <dc:description/>
  <cp:lastModifiedBy>Autor</cp:lastModifiedBy>
  <cp:revision>2</cp:revision>
  <cp:lastPrinted>2026-03-10T10:16:00Z</cp:lastPrinted>
  <dcterms:created xsi:type="dcterms:W3CDTF">2026-05-22T11:11:00Z</dcterms:created>
  <dcterms:modified xsi:type="dcterms:W3CDTF">2026-05-22T11:11:00Z</dcterms:modified>
</cp:coreProperties>
</file>