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F94D" w14:textId="77777777" w:rsidR="00BB0985" w:rsidRPr="00B4296C" w:rsidRDefault="00000000" w:rsidP="00B4296C">
      <w:pPr>
        <w:pStyle w:val="Nagwek1"/>
        <w:jc w:val="center"/>
        <w:rPr>
          <w:rFonts w:ascii="Calibri" w:hAnsi="Calibri" w:cs="Calibri"/>
          <w:color w:val="auto"/>
          <w:sz w:val="24"/>
          <w:szCs w:val="24"/>
        </w:rPr>
      </w:pPr>
      <w:r w:rsidRPr="00B4296C">
        <w:rPr>
          <w:rFonts w:ascii="Calibri" w:hAnsi="Calibri" w:cs="Calibri"/>
          <w:color w:val="auto"/>
          <w:sz w:val="24"/>
          <w:szCs w:val="24"/>
        </w:rPr>
        <w:t>Transkrypcja do filmu z tłumaczem języka migowego</w:t>
      </w:r>
    </w:p>
    <w:p w14:paraId="52BBC328" w14:textId="3F04C611" w:rsidR="00BB0985" w:rsidRPr="00B4296C" w:rsidRDefault="00000000" w:rsidP="00B4296C">
      <w:pPr>
        <w:pStyle w:val="Nagwek"/>
        <w:spacing w:line="276" w:lineRule="auto"/>
        <w:rPr>
          <w:rFonts w:ascii="Calibri" w:hAnsi="Calibri" w:cs="Calibri"/>
        </w:rPr>
      </w:pPr>
      <w:r w:rsidRPr="00B4296C">
        <w:rPr>
          <w:rFonts w:ascii="Calibri" w:hAnsi="Calibri" w:cs="Calibri"/>
          <w:b/>
          <w:bCs/>
        </w:rPr>
        <w:t xml:space="preserve">- [Lektor] </w:t>
      </w:r>
      <w:r w:rsidRPr="00B4296C">
        <w:rPr>
          <w:rFonts w:ascii="Calibri" w:hAnsi="Calibri" w:cs="Calibri"/>
        </w:rPr>
        <w:t xml:space="preserve">Narodowy Fundusz Ochrony Środowiska i Gospodarki Wodnej powstał 1 lipca 1989 r. w okresie zmian ustrojowych Polski. Dzięki stabilnym przychodom, doświadczonej kadrze oraz wypracowanym formom współpracy z beneficjentami, jest głównym ogniwem polskiego systemu finansowania ochrony środowiska, który tworzy wraz z Wojewódzkimi Funduszami: Ochrony Środowiska i Gospodarki Wodnej oraz z Bankiem Ochrony Środowiska S.A. Narodowy Fundusz Ochrony Środowiska i Gospodarki Wodnej oferuje oprocentowane pożyczki oraz dotacje, a także inne formy wsparcia określone w ustawie ,,Prawo ochrony środowiska''. W sektorze finansów publicznych Narodowy Fundusz jest również największym w Polsce partnerem międzynarodowych instytucji finansowych w obsłudze środków zagranicznych, zwłaszcza unijnych, przeznaczonych na ekologię. Jest instytucją wdrażającą dla europejskich programów finansowania. Realizuje działania w ramach unijnych programów: ,,Fundusze Europejskie na Infrastrukturę, Klimat, Środowisko 2021-2027'', ,,Fundusze Europejskie dla Polski Wschodniej 2021-2027''. Jest również Krajowym Punktem Kontaktowym Programu LIFE, oferującym współfinansowanie projektów LIFE, oraz wspólnie z Ministerstwem Klimatu i Środowiska operatorem środków Mechanizmu Finansowego Europejskiego Obszaru Gospodarczego i Norweskiego Mechanizmu Finansowego. Pełni także funkcję Krajowego Operatora Funduszu Modernizacyjnego oraz rolę instytucji wspierającej plany rozwojowe w ramach Krajowego Planu Odbudowy. Narodowy Fundusz działa na podstawie ustawy ,,Prawo ochrony środowiska''. Strategia działania Narodowego Funduszu Ochrony Środowiska i Gospodarki Wodnej na lata 2025-2028 została przygotowana na podstawie tej ustawy, jest zgodna z krajowymi i unijnymi dokumentami strategicznymi. Narodowy Fundusz Ochrony Środowiska i Gospodarki Wodnej dąży do roli lidera w finansowaniu zielonej transformacji. Jako nowoczesna i konkurencyjna organizacja odpowiadająca na potrzeby interesariuszy. Misją Narodowego Funduszu Ochrony Środowiska i Gospodarki Wodnej jest napędzanie zielonej transformacji poprzez wsparcie efektywnych inicjatyw, które wpływają na rozwój gospodarki i są ukierunkowane na realizację interesu publicznego i środowiskowego. Rolą Narodowego Funduszu Ochrony Środowiska i Gospodarki Wodnej jest wspieranie realizacji przedsięwzięć z zakresu ochrony środowiska i gospodarki wodnej. Narodowy Fundusz przekazuje pieniądze na inwestycje w obszarach dziedzinowych: transformacja energetyczna, poprawa jakości powietrza, gospodarka o obiegu zamkniętym, w tym gospodarowanie odpadami. Ochrona wód i gospodarka wodna, ochrona różnorodności biologicznej i funkcji ekosystemów, oraz horyzontalnych: monitoring środowiska, ekspertyzy środowiskowe, edukacja ekologiczna, innowacyjność, adaptacja do zmian klimatu. Narodowy Fundusz wspiera polskie samorządy, przedsiębiorstwa, podmioty publiczne i organizacje społeczne. Szczególną wagę przykłada do realizacji programów skierowanych do indywidualnych odbiorców, które pozwalają poprawiać jakość życia milionów Polaków. Te programy to m.in. ,,Mój Prąd''. Ukierunkowany na rozwój energetyki </w:t>
      </w:r>
      <w:proofErr w:type="spellStart"/>
      <w:r w:rsidRPr="00B4296C">
        <w:rPr>
          <w:rFonts w:ascii="Calibri" w:hAnsi="Calibri" w:cs="Calibri"/>
        </w:rPr>
        <w:t>prosumenckiej</w:t>
      </w:r>
      <w:proofErr w:type="spellEnd"/>
      <w:r w:rsidRPr="00B4296C">
        <w:rPr>
          <w:rFonts w:ascii="Calibri" w:hAnsi="Calibri" w:cs="Calibri"/>
        </w:rPr>
        <w:t xml:space="preserve">, program oferujący wsparcie zakupu przydomowych instalacji fotowoltaicznych oraz magazynów energii i magazynów ciepła. ,,Moje Ciepło''. Program wspierający zakup i montaż pomp ciepła w nowych budynkach jednorodzinnych. ,,Nasze Auto''. Program, w którym można uzyskać dopłaty do zakupu samochodów elektrycznych. ,,Moja Elektrownia Wiatrowa''. Oferująca wsparcie zakupu i montażu przydomowej siłowni wiatrowej oraz magazynu energii elektrycznej, co pozwala efektywnie wykorzystywać wytworzoną energię na własne potrzeby. ,,Czyste Powietrze''. Program </w:t>
      </w:r>
      <w:r w:rsidRPr="00B4296C">
        <w:rPr>
          <w:rFonts w:ascii="Calibri" w:hAnsi="Calibri" w:cs="Calibri"/>
        </w:rPr>
        <w:lastRenderedPageBreak/>
        <w:t xml:space="preserve">dofinansowania kompleksowej termomodernizacji budynków oraz wymiany starych i nieefektywnych źródeł ciepła na paliwo stałe na nowoczesne źródła ciepła. Narodowy Fundusz Ochrony Środowiska i Gospodarki Wodnej dysponuje znacznym potencjałem organizacyjnym, który jest kluczowy dla realizacji jego misji. O potencjale organizacyjnym Narodowego Funduszu Ochrony Środowiska i Gospodarki Wodnej świadczy m.in. potencjał finansowy, zasoby kadrowe, dotychczasowy dorobek oraz wypracowane formy współpracy z partnerami, wnioskodawcami, beneficjentami, jednostkami organizacyjnymi Unii Europejskiej, władzami państwowymi i samorządowymi, Wojewódzkimi Funduszami Ochrony Środowiska i Gospodarki Wodnej, bankami i tak dalej. O potencjale organizacyjnym Narodowego Funduszu Ochrony Środowiska i Gospodarki Wodnej świadczy także możliwość obsługi wielu działań, w tym umów o dofinansowanie. W 2024 r. Narodowy Fundusz Ochrony Środowiska i Gospodarki Wodnej zakontraktował rekordowe kwoty z Funduszy Europejskich i pozyskał największą w historii transzę środków z Funduszu Modernizacyjnego. Ogłoszono 70 naborów wniosków w ramach Funduszy Europejskich i programów priorytetowych. Narodowy Fundusz Ochrony Środowiska i Gospodarki Wodnej wypłacił beneficjentom 13,5 mld zł dofinansowania na projekty związane m.in. z poprawą efektywności energetycznej i jakości powietrza, budowaniem odporności miast na zmiany klimatu, </w:t>
      </w:r>
      <w:proofErr w:type="spellStart"/>
      <w:r w:rsidRPr="00B4296C">
        <w:rPr>
          <w:rFonts w:ascii="Calibri" w:hAnsi="Calibri" w:cs="Calibri"/>
        </w:rPr>
        <w:t>elektromobilnością</w:t>
      </w:r>
      <w:proofErr w:type="spellEnd"/>
      <w:r w:rsidRPr="00B4296C">
        <w:rPr>
          <w:rFonts w:ascii="Calibri" w:hAnsi="Calibri" w:cs="Calibri"/>
        </w:rPr>
        <w:t xml:space="preserve"> i racjonalnym gospodarowaniem odpadami. Ze środków własnych Narodowy Fundusz Ochrony Środowiska i Gospodarki Wodnej w formie dotacji wypłacił w 2024 r.: 10 mld zł, a w formie pożyczek: mld 100 mln zł. Wsparcie zewnętrzne, m.in. z programu ,,Fundusze Europejskie dla Polski Wschodniej 2021-2027'', ,,Fundusze Europejskie na Infrastrukturę, Klimat, Środowisko 2021-2027'' oraz ,,Program Operacyjny Infrastruktura i Środowisko 2014-2020'' stanowiło dwa mld 400 mln zł. W przypadku środków zewnętrznych 100% wsparcia stanowiły dotacje. Najwięcej środków przeznaczonych zostało na realizację programów priorytetowych: ,,Czyste Powietrze'', ,,Mój Elektryk'' i ,,Ciepłe Mieszkanie''. Najwyższe pożyczki wypłacone przez Narodowy Fundusz Ochrony Środowiska i Gospodarki Wodnej w 2024 r. otrzymały projekty związane z efektywnością energetyczną, gospodarowaniem odpadami oraz budową instalacji OZE. W 2024 r. Narodowy Fundusz Ochrony Środowiska i Gospodarki Wodnej podpisał 156 umów o wartości ponad 10 mld zł, w ramach naborów przeprowadzonych w programach </w:t>
      </w:r>
      <w:proofErr w:type="spellStart"/>
      <w:r w:rsidRPr="00B4296C">
        <w:rPr>
          <w:rFonts w:ascii="Calibri" w:hAnsi="Calibri" w:cs="Calibri"/>
        </w:rPr>
        <w:t>FEnIKS</w:t>
      </w:r>
      <w:proofErr w:type="spellEnd"/>
      <w:r w:rsidRPr="00B4296C">
        <w:rPr>
          <w:rFonts w:ascii="Calibri" w:hAnsi="Calibri" w:cs="Calibri"/>
        </w:rPr>
        <w:t xml:space="preserve"> i FEPW. W ramach programów priorytetowych Narodowego Funduszu podpisano ponad 61 tys. umów na 7,5 mld zł. Najwięcej w programie ,,Mój Prąd'': ponad 50 tys. umów. W następnej perspektywie strategicznej 2025-2028 planowane jest zwiększenie liczby i wartości obsługiwanych umów finansowanych ze środków zagranicznych, takich jak: ,,Fundusze Europejskie na Infrastrukturę, Klimat, Środowisko 2021-2027'', oraz ,,Fundusze Europejskie dla Polski Wschodniej 2021-2027''. Narodowy Fundusz Ochrony Środowiska i Gospodarki Wodnej zatrudnia wysoko wykwalifikowaną kadrę specjalistów, w tym ekspertów z dziedziny ochrony środowiska, gospodarki wodnej, energetyki odnawialnej oraz finansów. Pracownicy Narodowego Funduszu Ochrony Środowiska i Gospodarki Wodnej posiadają szeroką wiedzę i doświadczenie, co umożliwia skuteczne zarządzanie projektami, pozyskiwanie środków oraz ich efektywne rozdysponowanie na cele ekologiczne. Eksperci Funduszu prowadzą szkolenia i </w:t>
      </w:r>
      <w:proofErr w:type="spellStart"/>
      <w:r w:rsidRPr="00B4296C">
        <w:rPr>
          <w:rFonts w:ascii="Calibri" w:hAnsi="Calibri" w:cs="Calibri"/>
        </w:rPr>
        <w:t>webinary</w:t>
      </w:r>
      <w:proofErr w:type="spellEnd"/>
      <w:r w:rsidRPr="00B4296C">
        <w:rPr>
          <w:rFonts w:ascii="Calibri" w:hAnsi="Calibri" w:cs="Calibri"/>
        </w:rPr>
        <w:t xml:space="preserve"> dla poszczególnych grup wnioskodawców i beneficjentów, zarówno w formule stacjonarnej, jak i online. W Narodowym Funduszu działa infolinia, w której konsultanci telefonicznie odpowiadają na pytania interesariuszy. Dodatkowo Fundusz na bieżąco komunikuje o wszystkich kwestiach związanych z prowadzoną działalnością. Najbardziej aktualnym źródłem wiedzy na temat oferty jest strona internetowa: ,,www.nfosigw.gov.pl'' oraz profile w mediach </w:t>
      </w:r>
      <w:r w:rsidRPr="00B4296C">
        <w:rPr>
          <w:rFonts w:ascii="Calibri" w:hAnsi="Calibri" w:cs="Calibri"/>
        </w:rPr>
        <w:lastRenderedPageBreak/>
        <w:t>społecznościowych.</w:t>
      </w:r>
      <w:r w:rsidR="00C0377D" w:rsidRPr="00B4296C">
        <w:rPr>
          <w:rFonts w:ascii="Calibri" w:hAnsi="Calibri" w:cs="Calibri"/>
          <w:i/>
          <w:iCs/>
        </w:rPr>
        <w:t xml:space="preserve"> </w:t>
      </w:r>
      <w:r w:rsidRPr="00B4296C">
        <w:rPr>
          <w:rFonts w:ascii="Calibri" w:hAnsi="Calibri" w:cs="Calibri"/>
        </w:rPr>
        <w:t xml:space="preserve">Facebook: ,,www.facebook.com/narodowyfunduszochronysrodowiskaigospodarkiwodnej''. </w:t>
      </w:r>
      <w:r w:rsidRPr="00B4296C">
        <w:rPr>
          <w:rFonts w:ascii="Calibri" w:hAnsi="Calibri" w:cs="Calibri"/>
          <w:lang w:val="en-US"/>
        </w:rPr>
        <w:t>Portal X: ,,www.x.com/</w:t>
      </w:r>
      <w:proofErr w:type="spellStart"/>
      <w:r w:rsidRPr="00B4296C">
        <w:rPr>
          <w:rFonts w:ascii="Calibri" w:hAnsi="Calibri" w:cs="Calibri"/>
          <w:lang w:val="en-US"/>
        </w:rPr>
        <w:t>nfosigw</w:t>
      </w:r>
      <w:proofErr w:type="spellEnd"/>
      <w:r w:rsidRPr="00B4296C">
        <w:rPr>
          <w:rFonts w:ascii="Calibri" w:hAnsi="Calibri" w:cs="Calibri"/>
          <w:lang w:val="en-US"/>
        </w:rPr>
        <w:t>''. ,,linkedin.com/company/</w:t>
      </w:r>
      <w:proofErr w:type="spellStart"/>
      <w:r w:rsidRPr="00B4296C">
        <w:rPr>
          <w:rFonts w:ascii="Calibri" w:hAnsi="Calibri" w:cs="Calibri"/>
          <w:lang w:val="en-US"/>
        </w:rPr>
        <w:t>nfosigw</w:t>
      </w:r>
      <w:proofErr w:type="spellEnd"/>
      <w:r w:rsidRPr="00B4296C">
        <w:rPr>
          <w:rFonts w:ascii="Calibri" w:hAnsi="Calibri" w:cs="Calibri"/>
          <w:lang w:val="en-US"/>
        </w:rPr>
        <w:t xml:space="preserve">/''. </w:t>
      </w:r>
      <w:r w:rsidRPr="00B4296C">
        <w:rPr>
          <w:rFonts w:ascii="Calibri" w:hAnsi="Calibri" w:cs="Calibri"/>
        </w:rPr>
        <w:t>Informacja o środkach wspierających komunikowanie się. Narodowy Fundusz Ochrony Środowiska i Gospodarki Wodnej w celu umożliwienia kontaktu osobom z trwałymi lub okresowymi trudnościami w komunikowaniu się, zapewnia dostęp do usługi tłumacza PJM - Polski język migowy, SJM - System językowo-migowy. Aby skorzystać z wyżej wymienionych usług należy zgłosić chęć skorzystania z nich co najmniej 3 dni robocze przed planowaną wizytą, za pośrednictwem środków komunikacji wskazanych na stronie internetowej Funduszu ,,www.nfosigw.gov.pl'' w zakładce ,,Dostępność''. Dostępność budynku. Siedziba Narodowego Funduszu Ochrony Środowiska i Gospodarki Wodnej znajduje się przy ul. Konstruktorskiej 3a w Warszawie. Do Funduszu można dojechać samodzielnie samochodem lub środkami komunikacji publicznej. Dojazd autobusem komunikacji miejskiej linii nr 136, 138, przystanek ,,Konstruktorska 01''. Dojazd tramwajem linii nr 17, 18, 31, przystanek ,,Konstruktorska 03'' i ,,Konstruktorska 04''. Przed budynkiem wyznaczono bezpłatne miejsce parkingowe dla osób niepełnosprawnych. Najłatwiej dotrzeć do wejścia głównego budynku od ul. Konstruktorskiej. Chodniki prowadzące do budynku nie są wyposażone w ścieżki naprowadzające dla niewidomych i słabowidzących. Do budynku prowadzą dwa wejścia. Od ul. Konstruktorskiej oznaczone cyframi 1A i 3A. Przy obu wejściach znajdują się podjazdy dla wózków. Do obu wejść prowadzą też schody. Dla gości przeznaczone jest wejście 3A. W tej części budynku znajduje się recepcja główna. Najbardziej przyjaznym wyjściem dla osób ze szczególnymi potrzebami jest wejście do budynku 1A, gdzie istnieje możliwość pozostawienia lub złożenia korespondencji oraz zapewnienia asysty przez pracowników recepcji Funduszu przy wejściu do budynku lub skorzystania z wózków będących na wyposażeniu recepcji, po wcześniejszym uzgodnieniu telefonicznym. Telefon: 22 45 90 500. Fundusz dysponuje także rampą najazdową. Dalsze przejścia zabezpieczone są bramkami, przez które może przejechać osoba poruszająca się na wózku. Drzwi wejściowe do gmachu są przystosowane do przejazdu wózka inwalidzkiego. Dla osób poruszających się na wózkach i niewidomych dostępne są windy oznaczone pismem punktowym alfabetem Braille'a. Toalety dla osób niepełnosprawnych znajdują się na parterze budynków, w bliskiej odległości recepcji oraz na poziomie pierwszego piętra, na wprost bramek. Do budynku i wszystkich jego pomieszczeń można wejść z psem asystującym i psem przewodnikiem. Zgodnie z zasadami bezpieczeństwa w Funduszu goście i interesanci nie poruszają się po budynku samodzielnie. Zawsze towarzyszą im osoby zapraszające lub prowadzące sprawy. Zapewniając możliwość dotarcia do właściwych pomieszczeń oraz niezbędne wsparcie. Dane kontaktowe. Narodowy Fundusz Ochrony Środowiska i Gospodarki Wodnej, ul. Konstruktorska 3a, 02-673 Warszawa. Możesz skontaktować się osobiście w siedzibie Narodowego Funduszu Ochrony Środowiska i Gospodarki Wodnej, w godzinach 7:30 - 15:30. Telefon, infolinia: 22 45 90 800. Godziny pracy infolinii: 7:30 - 15:30. Adres e-mail: fundusz@nfosigw.gov.pl. Adres elektronicznej skrzynki podawczej dla wykorzystania w systemach elektronicznych: ,,/rm5eox834i/</w:t>
      </w:r>
      <w:proofErr w:type="spellStart"/>
      <w:r w:rsidRPr="00B4296C">
        <w:rPr>
          <w:rFonts w:ascii="Calibri" w:hAnsi="Calibri" w:cs="Calibri"/>
        </w:rPr>
        <w:t>SkrytkaESP</w:t>
      </w:r>
      <w:proofErr w:type="spellEnd"/>
      <w:r w:rsidRPr="00B4296C">
        <w:rPr>
          <w:rFonts w:ascii="Calibri" w:hAnsi="Calibri" w:cs="Calibri"/>
        </w:rPr>
        <w:t>''. Adres do e-doręczeń: ,,AE:PL-10495-91598-HEWTI-17''.</w:t>
      </w:r>
    </w:p>
    <w:sectPr w:rsidR="00BB0985" w:rsidRPr="00B4296C">
      <w:headerReference w:type="default" r:id="rId6"/>
      <w:footerReference w:type="default" r:id="rId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92044" w14:textId="77777777" w:rsidR="00EC3C48" w:rsidRDefault="00EC3C48">
      <w:r>
        <w:separator/>
      </w:r>
    </w:p>
  </w:endnote>
  <w:endnote w:type="continuationSeparator" w:id="0">
    <w:p w14:paraId="581476A7" w14:textId="77777777" w:rsidR="00EC3C48" w:rsidRDefault="00EC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auto"/>
    <w:pitch w:val="variable"/>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8843" w14:textId="77777777" w:rsidR="00000000" w:rsidRDefault="00000000">
    <w:pPr>
      <w:pStyle w:val="Stopka"/>
      <w:jc w:val="center"/>
    </w:pPr>
    <w:r>
      <w:fldChar w:fldCharType="begin"/>
    </w:r>
    <w:r>
      <w:instrText xml:space="preserve"> PAGE </w:instrText>
    </w:r>
    <w:r>
      <w:fldChar w:fldCharType="separate"/>
    </w:r>
    <w:r>
      <w:t>2</w:t>
    </w:r>
    <w:r>
      <w:fldChar w:fldCharType="end"/>
    </w:r>
  </w:p>
  <w:p w14:paraId="711A310D"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2F6D4" w14:textId="77777777" w:rsidR="00EC3C48" w:rsidRDefault="00EC3C48">
      <w:r>
        <w:rPr>
          <w:color w:val="000000"/>
        </w:rPr>
        <w:separator/>
      </w:r>
    </w:p>
  </w:footnote>
  <w:footnote w:type="continuationSeparator" w:id="0">
    <w:p w14:paraId="0A2A9D21" w14:textId="77777777" w:rsidR="00EC3C48" w:rsidRDefault="00EC3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B330" w14:textId="77777777" w:rsidR="00000000" w:rsidRDefault="00000000">
    <w:pPr>
      <w:spacing w:line="264" w:lineRule="auto"/>
    </w:pPr>
    <w:r>
      <w:rPr>
        <w:noProof/>
        <w:color w:val="000000"/>
      </w:rPr>
      <mc:AlternateContent>
        <mc:Choice Requires="wps">
          <w:drawing>
            <wp:anchor distT="0" distB="0" distL="114300" distR="114300" simplePos="0" relativeHeight="251659264" behindDoc="0" locked="0" layoutInCell="1" allowOverlap="1" wp14:anchorId="5F353F18" wp14:editId="18C276AE">
              <wp:simplePos x="0" y="0"/>
              <wp:positionH relativeFrom="page">
                <wp:align>center</wp:align>
              </wp:positionH>
              <wp:positionV relativeFrom="page">
                <wp:align>center</wp:align>
              </wp:positionV>
              <wp:extent cx="7376163" cy="9555480"/>
              <wp:effectExtent l="0" t="0" r="15237" b="26670"/>
              <wp:wrapNone/>
              <wp:docPr id="574124564" name="Prostokąt 72"/>
              <wp:cNvGraphicFramePr/>
              <a:graphic xmlns:a="http://schemas.openxmlformats.org/drawingml/2006/main">
                <a:graphicData uri="http://schemas.microsoft.com/office/word/2010/wordprocessingShape">
                  <wps:wsp>
                    <wps:cNvSpPr/>
                    <wps:spPr>
                      <a:xfrm>
                        <a:off x="0" y="0"/>
                        <a:ext cx="7376163" cy="9555480"/>
                      </a:xfrm>
                      <a:prstGeom prst="rect">
                        <a:avLst/>
                      </a:prstGeom>
                      <a:noFill/>
                      <a:ln w="15873" cap="flat">
                        <a:solidFill>
                          <a:srgbClr val="747474"/>
                        </a:solidFill>
                        <a:prstDash val="solid"/>
                        <a:miter/>
                      </a:ln>
                    </wps:spPr>
                    <wps:bodyPr lIns="0" tIns="0" rIns="0" bIns="0"/>
                  </wps:wsp>
                </a:graphicData>
              </a:graphic>
            </wp:anchor>
          </w:drawing>
        </mc:Choice>
        <mc:Fallback>
          <w:pict>
            <v:rect w14:anchorId="707AFBB0" id="Prostokąt 72" o:spid="_x0000_s1026" style="position:absolute;margin-left:0;margin-top:0;width:580.8pt;height:752.4pt;z-index:251659264;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" filled="f" strokecolor="#747474" strokeweight=".44092mm">
              <v:textbox inset="0,0,0,0"/>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B0985"/>
    <w:rsid w:val="00B126AD"/>
    <w:rsid w:val="00B4296C"/>
    <w:rsid w:val="00BB0985"/>
    <w:rsid w:val="00C0377D"/>
    <w:rsid w:val="00C32C75"/>
    <w:rsid w:val="00EC3C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20D3"/>
  <w15:docId w15:val="{3C85EEFB-817B-49D5-8923-308A113F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Unicode MS"/>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77D"/>
    <w:pPr>
      <w:suppressAutoHyphens/>
    </w:pPr>
  </w:style>
  <w:style w:type="paragraph" w:styleId="Nagwek1">
    <w:name w:val="heading 1"/>
    <w:basedOn w:val="Normalny"/>
    <w:next w:val="Normalny"/>
    <w:link w:val="Nagwek1Znak"/>
    <w:uiPriority w:val="9"/>
    <w:qFormat/>
    <w:rsid w:val="00B4296C"/>
    <w:pPr>
      <w:keepNext/>
      <w:keepLines/>
      <w:spacing w:before="240"/>
      <w:outlineLvl w:val="0"/>
    </w:pPr>
    <w:rPr>
      <w:rFonts w:asciiTheme="majorHAnsi" w:eastAsiaTheme="majorEastAsia" w:hAnsiTheme="majorHAnsi" w:cs="Mangal"/>
      <w:color w:val="0F4761" w:themeColor="accent1" w:themeShade="BF"/>
      <w:sz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pPr>
      <w:tabs>
        <w:tab w:val="center" w:pos="4536"/>
        <w:tab w:val="right" w:pos="9072"/>
      </w:tabs>
    </w:pPr>
    <w:rPr>
      <w:rFonts w:cs="Mangal"/>
      <w:szCs w:val="21"/>
    </w:rPr>
  </w:style>
  <w:style w:type="character" w:customStyle="1" w:styleId="StopkaZnak">
    <w:name w:val="Stopka Znak"/>
    <w:basedOn w:val="Domylnaczcionkaakapitu"/>
    <w:rPr>
      <w:rFonts w:cs="Mangal"/>
      <w:szCs w:val="21"/>
    </w:rPr>
  </w:style>
  <w:style w:type="character" w:customStyle="1" w:styleId="Nagwek1Znak">
    <w:name w:val="Nagłówek 1 Znak"/>
    <w:basedOn w:val="Domylnaczcionkaakapitu"/>
    <w:link w:val="Nagwek1"/>
    <w:uiPriority w:val="9"/>
    <w:rsid w:val="00B4296C"/>
    <w:rPr>
      <w:rFonts w:asciiTheme="majorHAnsi" w:eastAsiaTheme="majorEastAsia" w:hAnsiTheme="majorHAnsi" w:cs="Mangal"/>
      <w:color w:val="0F4761"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1576</Words>
  <Characters>9457</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Transkrypcja do filmu z tłumaczem migowym</vt:lpstr>
    </vt:vector>
  </TitlesOfParts>
  <Company>NFOSiGW</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do filmu z tłumaczem migowym</dc:title>
  <dc:creator>Cendrowska Anna</dc:creator>
  <cp:lastModifiedBy>Cendrowska Anna</cp:lastModifiedBy>
  <cp:revision>2</cp:revision>
  <dcterms:created xsi:type="dcterms:W3CDTF">2025-03-31T11:37:00Z</dcterms:created>
  <dcterms:modified xsi:type="dcterms:W3CDTF">2025-03-31T11:37:00Z</dcterms:modified>
</cp:coreProperties>
</file>