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360" w:lineRule="exact"/>
      </w:pPr>
      <w:r>
        <w:drawing>
          <wp:anchor distT="0" distB="0" distL="0" distR="0" simplePos="0" relativeHeight="62914690" behindDoc="1" locked="0" layoutInCell="1" allowOverlap="1">
            <wp:simplePos x="0" y="0"/>
            <wp:positionH relativeFrom="page">
              <wp:posOffset>5732145</wp:posOffset>
            </wp:positionH>
            <wp:positionV relativeFrom="margin">
              <wp:posOffset>0</wp:posOffset>
            </wp:positionV>
            <wp:extent cx="1066800" cy="51816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066800" cy="518160"/>
                    </a:xfrm>
                    <a:prstGeom prst="rect"/>
                  </pic:spPr>
                </pic:pic>
              </a:graphicData>
            </a:graphic>
          </wp:anchor>
        </w:drawing>
      </w:r>
    </w:p>
    <w:p>
      <w:pPr>
        <w:widowControl w:val="0"/>
        <w:spacing w:after="450" w:line="1" w:lineRule="exact"/>
      </w:pPr>
    </w:p>
    <w:p>
      <w:pPr>
        <w:widowControl w:val="0"/>
        <w:spacing w:line="1" w:lineRule="exact"/>
        <w:sectPr>
          <w:footnotePr>
            <w:pos w:val="pageBottom"/>
            <w:numFmt w:val="decimal"/>
            <w:numRestart w:val="continuous"/>
          </w:footnotePr>
          <w:pgSz w:w="11900" w:h="16840"/>
          <w:pgMar w:top="822" w:right="1198" w:bottom="492" w:left="1366" w:header="394" w:footer="64" w:gutter="0"/>
          <w:pgNumType w:start="1"/>
          <w:cols w:space="720"/>
          <w:noEndnote/>
          <w:rtlGutter w:val="0"/>
          <w:docGrid w:linePitch="360"/>
        </w:sectPr>
      </w:pPr>
    </w:p>
    <w:p>
      <w:pPr>
        <w:widowControl w:val="0"/>
        <w:spacing w:line="179" w:lineRule="exact"/>
        <w:rPr>
          <w:sz w:val="14"/>
          <w:szCs w:val="14"/>
        </w:rPr>
      </w:pPr>
    </w:p>
    <w:p>
      <w:pPr>
        <w:widowControl w:val="0"/>
        <w:spacing w:line="1" w:lineRule="exact"/>
        <w:sectPr>
          <w:footnotePr>
            <w:pos w:val="pageBottom"/>
            <w:numFmt w:val="decimal"/>
            <w:numRestart w:val="continuous"/>
          </w:footnotePr>
          <w:type w:val="continuous"/>
          <w:pgSz w:w="11900" w:h="16840"/>
          <w:pgMar w:top="822" w:right="0" w:bottom="492" w:left="0"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822" w:right="1395" w:bottom="492" w:left="7635" w:header="0" w:footer="3" w:gutter="0"/>
          <w:cols w:space="720"/>
          <w:noEndnote/>
          <w:rtlGutter w:val="0"/>
          <w:docGrid w:linePitch="360"/>
        </w:sectPr>
      </w:pPr>
      <w:r>
        <w:rPr>
          <w:rStyle w:val="CharStyle3"/>
        </w:rPr>
        <w:t>Białystok, 6 listopada 2025 r.</w:t>
      </w:r>
    </w:p>
    <w:p>
      <w:pPr>
        <w:widowControl w:val="0"/>
        <w:spacing w:line="99" w:lineRule="exact"/>
        <w:rPr>
          <w:sz w:val="8"/>
          <w:szCs w:val="8"/>
        </w:rPr>
      </w:pPr>
    </w:p>
    <w:p>
      <w:pPr>
        <w:widowControl w:val="0"/>
        <w:spacing w:line="1" w:lineRule="exact"/>
        <w:sectPr>
          <w:footnotePr>
            <w:pos w:val="pageBottom"/>
            <w:numFmt w:val="decimal"/>
            <w:numRestart w:val="continuous"/>
          </w:footnotePr>
          <w:type w:val="continuous"/>
          <w:pgSz w:w="11900" w:h="16840"/>
          <w:pgMar w:top="822" w:right="0" w:bottom="492" w:left="0" w:header="0" w:footer="3" w:gutter="0"/>
          <w:cols w:space="720"/>
          <w:noEndnote/>
          <w:rtlGutter w:val="0"/>
          <w:docGrid w:linePitch="360"/>
        </w:sectPr>
      </w:pPr>
    </w:p>
    <w:p>
      <w:pPr>
        <w:pStyle w:val="Style2"/>
        <w:keepNext w:val="0"/>
        <w:keepLines w:val="0"/>
        <w:widowControl w:val="0"/>
        <w:shd w:val="clear" w:color="auto" w:fill="auto"/>
        <w:bidi w:val="0"/>
        <w:spacing w:before="0" w:after="240" w:line="240" w:lineRule="auto"/>
        <w:ind w:left="0" w:right="0" w:firstLine="0"/>
        <w:jc w:val="left"/>
      </w:pPr>
      <w:r>
        <w:rPr>
          <w:rStyle w:val="CharStyle3"/>
        </w:rPr>
        <w:t>DOS-VII.7013.8.2025.AZ</w:t>
      </w:r>
    </w:p>
    <w:p>
      <w:pPr>
        <w:pStyle w:val="Style2"/>
        <w:keepNext w:val="0"/>
        <w:keepLines w:val="0"/>
        <w:widowControl w:val="0"/>
        <w:shd w:val="clear" w:color="auto" w:fill="auto"/>
        <w:bidi w:val="0"/>
        <w:spacing w:before="0" w:after="0" w:line="240" w:lineRule="auto"/>
        <w:ind w:left="5700" w:right="0" w:firstLine="0"/>
        <w:jc w:val="left"/>
      </w:pPr>
      <w:r>
        <w:rPr>
          <w:rStyle w:val="CharStyle3"/>
          <w:b/>
          <w:bCs/>
        </w:rPr>
        <w:t>Pani</w:t>
      </w:r>
    </w:p>
    <w:p>
      <w:pPr>
        <w:pStyle w:val="Style2"/>
        <w:keepNext w:val="0"/>
        <w:keepLines w:val="0"/>
        <w:widowControl w:val="0"/>
        <w:shd w:val="clear" w:color="auto" w:fill="auto"/>
        <w:bidi w:val="0"/>
        <w:spacing w:before="0" w:after="520" w:line="240" w:lineRule="auto"/>
        <w:ind w:left="5700" w:right="0" w:firstLine="0"/>
        <w:jc w:val="left"/>
      </w:pPr>
      <w:r>
        <w:rPr>
          <w:rStyle w:val="CharStyle3"/>
          <w:b/>
          <w:bCs/>
        </w:rPr>
        <w:t>Paulina Hennig-Kloska Minister Klimatu i Środowiska ul. Wawelska 52/54 00-922 Warszawa</w:t>
      </w:r>
    </w:p>
    <w:p>
      <w:pPr>
        <w:pStyle w:val="Style2"/>
        <w:keepNext w:val="0"/>
        <w:keepLines w:val="0"/>
        <w:widowControl w:val="0"/>
        <w:shd w:val="clear" w:color="auto" w:fill="auto"/>
        <w:bidi w:val="0"/>
        <w:spacing w:before="0" w:after="0"/>
        <w:ind w:left="0" w:right="0" w:firstLine="740"/>
        <w:jc w:val="left"/>
      </w:pPr>
      <w:r>
        <w:rPr>
          <w:rStyle w:val="CharStyle3"/>
        </w:rPr>
        <w:t>Szanowna Pani Minister,</w:t>
      </w:r>
    </w:p>
    <w:p>
      <w:pPr>
        <w:pStyle w:val="Style2"/>
        <w:keepNext w:val="0"/>
        <w:keepLines w:val="0"/>
        <w:widowControl w:val="0"/>
        <w:shd w:val="clear" w:color="auto" w:fill="auto"/>
        <w:bidi w:val="0"/>
        <w:spacing w:before="0" w:after="0"/>
        <w:ind w:left="0" w:right="0" w:firstLine="740"/>
        <w:jc w:val="both"/>
      </w:pPr>
      <w:r>
        <w:rPr>
          <w:rStyle w:val="CharStyle3"/>
        </w:rPr>
        <w:t>jako organ uprawniony na podstawie art. 288 ustawy z dnia 27 kwietnia 2001 r. Prawo ochrony środowiska (Dz. U. z 2025 r. poz. 647 za zm., zwanej dalej Poś) do wymierzenia w drodze decyzji opłaty podwyższonej za korzystanie ze środowiska, pragnę zwrócić uwagę na problemy związane z prowadzeniem przedmiotowych spraw, które wynikają z obowiązujących przepisów prawa. Skala problemów i ich waga jest duża, a temat na przestrzeni ostatnich lat był zgłaszany do Ministra Klimatu i Środowiska, jak również do Rzecznika Małych i Średnich Przedsiębiorstw. Pomimo podejmowanych przez marszałków województw działań sygnalizujących konieczność zmiany przepisów prawa i zgłaszanych trudności związanych z wymierzaniem opłat podwyższonych, stan prawny nie uległ zmianie.</w:t>
      </w:r>
    </w:p>
    <w:p>
      <w:pPr>
        <w:pStyle w:val="Style2"/>
        <w:keepNext w:val="0"/>
        <w:keepLines w:val="0"/>
        <w:widowControl w:val="0"/>
        <w:shd w:val="clear" w:color="auto" w:fill="auto"/>
        <w:bidi w:val="0"/>
        <w:spacing w:before="0" w:after="0"/>
        <w:ind w:left="0" w:right="0" w:firstLine="740"/>
        <w:jc w:val="both"/>
      </w:pPr>
      <w:r>
        <w:rPr>
          <w:rStyle w:val="CharStyle3"/>
        </w:rPr>
        <w:t>Opłaty za korzystanie ze środowiska, zgodnie z art. 272 pkt 1 Poś, stanowią jeden z finansowo-prawnych środków ochrony środowiska. W myśl art. 273 ust. 1 Poś ponosi się je m.in. za składowanie odpadów. Przedmiotowe opłaty ponoszą co do zasady podmioty korzystające ze środowiska (art. 275 Poś)</w:t>
      </w:r>
      <w:r>
        <w:rPr>
          <w:rStyle w:val="CharStyle3"/>
          <w:b/>
          <w:bCs/>
        </w:rPr>
        <w:t xml:space="preserve">. </w:t>
      </w:r>
      <w:r>
        <w:rPr>
          <w:rStyle w:val="CharStyle3"/>
        </w:rPr>
        <w:t>Ponadto ciążą one na osobach fizycznych, które nie są przedsiębiorcami, w zakresie, w jakim korzystanie ze środowiska wymaga pozwolenia na wprowadzanie substancji lub energii do środowiska (art. 284 ust. 2 Poś). Powyższe regulacje dotyczą ponoszenia opłat za korzystanie ze środowiska zgodnie z prawem.</w:t>
      </w:r>
    </w:p>
    <w:p>
      <w:pPr>
        <w:pStyle w:val="Style2"/>
        <w:keepNext w:val="0"/>
        <w:keepLines w:val="0"/>
        <w:widowControl w:val="0"/>
        <w:shd w:val="clear" w:color="auto" w:fill="auto"/>
        <w:bidi w:val="0"/>
        <w:spacing w:before="0" w:after="1200"/>
        <w:ind w:left="0" w:right="0" w:firstLine="740"/>
        <w:jc w:val="both"/>
      </w:pPr>
      <w:r>
        <w:rPr>
          <w:rStyle w:val="CharStyle3"/>
        </w:rPr>
        <w:t>Ustawodawca w</w:t>
      </w:r>
      <w:r>
        <w:fldChar w:fldCharType="begin"/>
      </w:r>
      <w:r>
        <w:rPr/>
        <w:instrText> HYPERLINK "https://sip.lex.pl/%23/document/16901353?unitId=art(276)ust(1)&amp;cm=DOCUMENT" </w:instrText>
      </w:r>
      <w:r>
        <w:fldChar w:fldCharType="separate"/>
      </w:r>
      <w:r>
        <w:rPr>
          <w:rStyle w:val="CharStyle3"/>
        </w:rPr>
        <w:t xml:space="preserve"> art. 276 ust. 1 </w:t>
      </w:r>
      <w:r>
        <w:fldChar w:fldCharType="end"/>
      </w:r>
      <w:r>
        <w:rPr>
          <w:rStyle w:val="CharStyle3"/>
        </w:rPr>
        <w:t xml:space="preserve">Poś wprowadził instytucję opłat podwyższonych, znajdujących zastosowanie w sytuacji, gdy podmiot korzysta ze środowiska bez uzyskania wymaganego pozwolenia lub innej decyzji. Przepis ten stanowi generalną zasadę systemu regulacji dotyczącej wymierzania opłat podwyższonych. Dla wymierzenia opłaty podwyższonej, wystarczy sam fakt korzystania ze środowiska bez wymaganej decyzji. W myśl zaś art. 3 pkt 20 Poś, przez podmiot korzystający ze środowiska rozumie się: a) przedsiębiorcę w rozumieniu przepisów </w:t>
      </w:r>
      <w:r>
        <w:fldChar w:fldCharType="begin"/>
      </w:r>
      <w:r>
        <w:rPr/>
        <w:instrText> HYPERLINK "https://sip.lex.pl/%23/document/18701388" </w:instrText>
      </w:r>
      <w:r>
        <w:fldChar w:fldCharType="separate"/>
      </w:r>
      <w:r>
        <w:rPr>
          <w:rStyle w:val="CharStyle3"/>
        </w:rPr>
        <w:t>ustawy</w:t>
      </w:r>
      <w:r>
        <w:fldChar w:fldCharType="end"/>
      </w:r>
      <w:r>
        <w:rPr>
          <w:rStyle w:val="CharStyle3"/>
        </w:rPr>
        <w:t xml:space="preserve"> z dnia 6 marca 2018 r. - Prawo przedsiębiorców (Dz. U. z 2024 r. poz. 236, 1222 i 1871 oraz z 2025 r. poz. 222) oraz przedsiębiorcę zagranicznego w rozumieniu przepisów </w:t>
      </w:r>
      <w:r>
        <w:fldChar w:fldCharType="begin"/>
      </w:r>
      <w:r>
        <w:rPr/>
        <w:instrText> HYPERLINK "https://sip.lex.pl/%23/document/18701391" </w:instrText>
      </w:r>
      <w:r>
        <w:fldChar w:fldCharType="separate"/>
      </w:r>
      <w:r>
        <w:rPr>
          <w:rStyle w:val="CharStyle3"/>
        </w:rPr>
        <w:t>ustawy</w:t>
      </w:r>
      <w:r>
        <w:fldChar w:fldCharType="end"/>
      </w:r>
      <w:r>
        <w:rPr>
          <w:rStyle w:val="CharStyle3"/>
        </w:rPr>
        <w:t xml:space="preserve"> z dnia 6 marca 2018 r. o zasadach uczestnictwa przedsiębiorców zagranicznych i innych osób zagranicznych w obrocie gospodarczym na terytorium Rzeczypospolitej Polskiej (Dz. U. z 2025 r. poz. 89), a także osoby prowadzące działalność wytwórczą w rolnictwie w zakresie upraw rolnych, chowu lub hodowli zwierząt, ogrodnictwa, warzywnictwa, leśnictwa i rybactwa śródlądowego,</w:t>
      </w:r>
    </w:p>
    <w:p>
      <w:pPr>
        <w:pStyle w:val="Style4"/>
        <w:keepNext w:val="0"/>
        <w:keepLines w:val="0"/>
        <w:widowControl w:val="0"/>
        <w:shd w:val="clear" w:color="auto" w:fill="auto"/>
        <w:bidi w:val="0"/>
        <w:spacing w:before="0" w:after="240" w:line="240" w:lineRule="auto"/>
        <w:ind w:left="0" w:right="0" w:firstLine="360"/>
        <w:jc w:val="left"/>
      </w:pPr>
      <w:r>
        <w:rPr>
          <w:rStyle w:val="CharStyle5"/>
          <w:b/>
          <w:bCs/>
        </w:rPr>
        <w:t>Urząd Marszałkowski Województwa Podlaskiego</w:t>
      </w:r>
    </w:p>
    <w:p>
      <w:pPr>
        <w:pStyle w:val="Style4"/>
        <w:keepNext w:val="0"/>
        <w:keepLines w:val="0"/>
        <w:widowControl w:val="0"/>
        <w:shd w:val="clear" w:color="auto" w:fill="auto"/>
        <w:bidi w:val="0"/>
        <w:spacing w:before="0" w:after="0" w:line="240" w:lineRule="auto"/>
        <w:ind w:left="0" w:right="0" w:firstLine="360"/>
        <w:jc w:val="left"/>
      </w:pPr>
      <w:r>
        <mc:AlternateContent>
          <mc:Choice Requires="wps">
            <w:drawing>
              <wp:anchor distT="6350" distB="0" distL="114300" distR="1814830" simplePos="0" relativeHeight="125829378" behindDoc="0" locked="0" layoutInCell="1" allowOverlap="1">
                <wp:simplePos x="0" y="0"/>
                <wp:positionH relativeFrom="page">
                  <wp:posOffset>3448685</wp:posOffset>
                </wp:positionH>
                <wp:positionV relativeFrom="paragraph">
                  <wp:posOffset>19050</wp:posOffset>
                </wp:positionV>
                <wp:extent cx="1393190" cy="216535"/>
                <wp:wrapSquare wrapText="left"/>
                <wp:docPr id="3" name="Shape 3"/>
                <a:graphic xmlns:a="http://schemas.openxmlformats.org/drawingml/2006/main">
                  <a:graphicData uri="http://schemas.microsoft.com/office/word/2010/wordprocessingShape">
                    <wps:wsp>
                      <wps:cNvSpPr txBox="1"/>
                      <wps:spPr>
                        <a:xfrm>
                          <a:ext cx="1393190" cy="2165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Style w:val="CharStyle5"/>
                                <w:b/>
                                <w:bCs/>
                                <w:color w:val="0EAE55"/>
                              </w:rPr>
                              <w:t xml:space="preserve">C </w:t>
                            </w:r>
                            <w:r>
                              <w:rPr>
                                <w:rStyle w:val="CharStyle5"/>
                                <w:b/>
                                <w:bCs/>
                                <w:color w:val="777777"/>
                              </w:rPr>
                              <w:t>85 6 6 54 549/ FAX: 85 6 6 54 175</w:t>
                            </w:r>
                          </w:p>
                          <w:p>
                            <w:pPr>
                              <w:pStyle w:val="Style4"/>
                              <w:keepNext w:val="0"/>
                              <w:keepLines w:val="0"/>
                              <w:widowControl w:val="0"/>
                              <w:shd w:val="clear" w:color="auto" w:fill="auto"/>
                              <w:bidi w:val="0"/>
                              <w:spacing w:before="0" w:after="0" w:line="240" w:lineRule="auto"/>
                              <w:ind w:left="0" w:right="0" w:firstLine="0"/>
                              <w:jc w:val="left"/>
                            </w:pPr>
                            <w:r>
                              <w:rPr>
                                <w:rStyle w:val="CharStyle5"/>
                                <w:b/>
                                <w:bCs/>
                                <w:color w:val="0EAE55"/>
                              </w:rPr>
                              <w:t xml:space="preserve">« </w:t>
                            </w:r>
                            <w:r>
                              <w:rPr>
                                <w:rStyle w:val="CharStyle5"/>
                                <w:b/>
                                <w:bCs/>
                              </w:rPr>
                              <w:t>kancelana@podlaskie eu</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271.55000000000001pt;margin-top:1.5pt;width:109.7pt;height:17.050000000000001pt;z-index:-125829375;mso-wrap-distance-left:9.pt;mso-wrap-distance-top:0.5pt;mso-wrap-distance-right:142.90000000000001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b/>
                          <w:bCs/>
                          <w:color w:val="0EAE55"/>
                        </w:rPr>
                        <w:t xml:space="preserve">C </w:t>
                      </w:r>
                      <w:r>
                        <w:rPr>
                          <w:rStyle w:val="CharStyle5"/>
                          <w:b/>
                          <w:bCs/>
                          <w:color w:val="777777"/>
                        </w:rPr>
                        <w:t>85 6 6 54 549/ FAX: 85 6 6 54 175</w:t>
                      </w:r>
                    </w:p>
                    <w:p>
                      <w:pPr>
                        <w:pStyle w:val="Style4"/>
                        <w:keepNext w:val="0"/>
                        <w:keepLines w:val="0"/>
                        <w:widowControl w:val="0"/>
                        <w:shd w:val="clear" w:color="auto" w:fill="auto"/>
                        <w:bidi w:val="0"/>
                        <w:spacing w:before="0" w:after="0" w:line="240" w:lineRule="auto"/>
                        <w:ind w:left="0" w:right="0" w:firstLine="0"/>
                        <w:jc w:val="left"/>
                      </w:pPr>
                      <w:r>
                        <w:rPr>
                          <w:rStyle w:val="CharStyle5"/>
                          <w:b/>
                          <w:bCs/>
                          <w:color w:val="0EAE55"/>
                        </w:rPr>
                        <w:t xml:space="preserve">« </w:t>
                      </w:r>
                      <w:r>
                        <w:rPr>
                          <w:rStyle w:val="CharStyle5"/>
                          <w:b/>
                          <w:bCs/>
                        </w:rPr>
                        <w:t>kancelana@podlaskie eu</w:t>
                      </w:r>
                    </w:p>
                  </w:txbxContent>
                </v:textbox>
                <w10:wrap type="square" side="left" anchorx="page"/>
              </v:shape>
            </w:pict>
          </mc:Fallback>
        </mc:AlternateContent>
      </w:r>
      <w:r>
        <mc:AlternateContent>
          <mc:Choice Requires="wps">
            <w:drawing>
              <wp:anchor distT="0" distB="103505" distL="2312035" distR="114300" simplePos="0" relativeHeight="125829380" behindDoc="0" locked="0" layoutInCell="1" allowOverlap="1">
                <wp:simplePos x="0" y="0"/>
                <wp:positionH relativeFrom="page">
                  <wp:posOffset>5646420</wp:posOffset>
                </wp:positionH>
                <wp:positionV relativeFrom="paragraph">
                  <wp:posOffset>12700</wp:posOffset>
                </wp:positionV>
                <wp:extent cx="895985" cy="118745"/>
                <wp:wrapSquare wrapText="left"/>
                <wp:docPr id="5" name="Shape 5"/>
                <a:graphic xmlns:a="http://schemas.openxmlformats.org/drawingml/2006/main">
                  <a:graphicData uri="http://schemas.microsoft.com/office/word/2010/wordprocessingShape">
                    <wps:wsp>
                      <wps:cNvSpPr txBox="1"/>
                      <wps:spPr>
                        <a:xfrm>
                          <a:ext cx="895985" cy="11874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right"/>
                            </w:pPr>
                            <w:r>
                              <w:rPr>
                                <w:rStyle w:val="CharStyle5"/>
                                <w:b/>
                                <w:bCs/>
                              </w:rPr>
                              <w:t xml:space="preserve">^ </w:t>
                            </w:r>
                            <w:r>
                              <w:fldChar w:fldCharType="begin"/>
                            </w:r>
                            <w:r>
                              <w:rPr/>
                              <w:instrText> HYPERLINK "http://www.podlaskie.eu" </w:instrText>
                            </w:r>
                            <w:r>
                              <w:fldChar w:fldCharType="separate"/>
                            </w:r>
                            <w:r>
                              <w:rPr>
                                <w:rStyle w:val="CharStyle5"/>
                                <w:b/>
                                <w:bCs/>
                                <w:lang w:val="en-US" w:eastAsia="en-US"/>
                              </w:rPr>
                              <w:t>www.podlaskie.eu</w:t>
                            </w:r>
                            <w:r>
                              <w:fldChar w:fldCharType="end"/>
                            </w:r>
                          </w:p>
                        </w:txbxContent>
                      </wps:txbx>
                      <wps:bodyPr wrap="none" lIns="0" tIns="0" rIns="0" bIns="0">
                        <a:noAutoFit/>
                      </wps:bodyPr>
                    </wps:wsp>
                  </a:graphicData>
                </a:graphic>
              </wp:anchor>
            </w:drawing>
          </mc:Choice>
          <mc:Fallback>
            <w:pict>
              <v:shape id="_x0000_s1031" type="#_x0000_t202" style="position:absolute;margin-left:444.60000000000002pt;margin-top:1.pt;width:70.549999999999997pt;height:9.3499999999999996pt;z-index:-125829373;mso-wrap-distance-left:182.05000000000001pt;mso-wrap-distance-right:9.pt;mso-wrap-distance-bottom:8.1500000000000004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right"/>
                      </w:pPr>
                      <w:r>
                        <w:rPr>
                          <w:rStyle w:val="CharStyle5"/>
                          <w:b/>
                          <w:bCs/>
                        </w:rPr>
                        <w:t xml:space="preserve">^ </w:t>
                      </w:r>
                      <w:r>
                        <w:fldChar w:fldCharType="begin"/>
                      </w:r>
                      <w:r>
                        <w:rPr/>
                        <w:instrText> HYPERLINK "http://www.podlaskie.eu" </w:instrText>
                      </w:r>
                      <w:r>
                        <w:fldChar w:fldCharType="separate"/>
                      </w:r>
                      <w:r>
                        <w:rPr>
                          <w:rStyle w:val="CharStyle5"/>
                          <w:b/>
                          <w:bCs/>
                          <w:lang w:val="en-US" w:eastAsia="en-US"/>
                        </w:rPr>
                        <w:t>www.podlaskie.eu</w:t>
                      </w:r>
                      <w:r>
                        <w:fldChar w:fldCharType="end"/>
                      </w:r>
                    </w:p>
                  </w:txbxContent>
                </v:textbox>
                <w10:wrap type="square" side="left" anchorx="page"/>
              </v:shape>
            </w:pict>
          </mc:Fallback>
        </mc:AlternateContent>
      </w:r>
      <w:r>
        <w:rPr>
          <w:rStyle w:val="CharStyle5"/>
          <w:b/>
          <w:bCs/>
          <w:color w:val="0EAE55"/>
        </w:rPr>
        <w:t xml:space="preserve">Q </w:t>
      </w:r>
      <w:r>
        <w:rPr>
          <w:rStyle w:val="CharStyle5"/>
          <w:b/>
          <w:bCs/>
          <w:color w:val="8A8A8A"/>
        </w:rPr>
        <w:t>ul. Marii Curie-Skłodowskiej 14</w:t>
      </w:r>
    </w:p>
    <w:p>
      <w:pPr>
        <w:pStyle w:val="Style4"/>
        <w:keepNext w:val="0"/>
        <w:keepLines w:val="0"/>
        <w:widowControl w:val="0"/>
        <w:shd w:val="clear" w:color="auto" w:fill="auto"/>
        <w:bidi w:val="0"/>
        <w:spacing w:before="0" w:after="0" w:line="240" w:lineRule="auto"/>
        <w:ind w:left="0" w:right="0" w:firstLine="560"/>
        <w:jc w:val="left"/>
        <w:sectPr>
          <w:footnotePr>
            <w:pos w:val="pageBottom"/>
            <w:numFmt w:val="decimal"/>
            <w:numRestart w:val="continuous"/>
          </w:footnotePr>
          <w:type w:val="continuous"/>
          <w:pgSz w:w="11900" w:h="16840"/>
          <w:pgMar w:top="822" w:right="1371" w:bottom="492" w:left="1366" w:header="0" w:footer="3" w:gutter="0"/>
          <w:cols w:space="720"/>
          <w:noEndnote/>
          <w:rtlGutter w:val="0"/>
          <w:docGrid w:linePitch="360"/>
        </w:sectPr>
      </w:pPr>
      <w:r>
        <w:rPr>
          <w:rStyle w:val="CharStyle5"/>
          <w:b/>
          <w:bCs/>
          <w:color w:val="8A8A8A"/>
        </w:rPr>
        <w:t>15-097 Białystok</w:t>
      </w:r>
    </w:p>
    <w:p>
      <w:pPr>
        <w:pStyle w:val="Style2"/>
        <w:keepNext w:val="0"/>
        <w:keepLines w:val="0"/>
        <w:widowControl w:val="0"/>
        <w:numPr>
          <w:ilvl w:val="0"/>
          <w:numId w:val="1"/>
        </w:numPr>
        <w:shd w:val="clear" w:color="auto" w:fill="auto"/>
        <w:tabs>
          <w:tab w:pos="332" w:val="left"/>
        </w:tabs>
        <w:bidi w:val="0"/>
        <w:spacing w:before="0" w:after="0"/>
        <w:ind w:left="0" w:right="0" w:firstLine="0"/>
        <w:jc w:val="both"/>
      </w:pPr>
      <w:r>
        <w:rPr>
          <w:rStyle w:val="CharStyle3"/>
        </w:rPr>
        <w:t xml:space="preserve">jednostkę organizacyjną niebędącą przedsiębiorcą w rozumieniu przepisów </w:t>
      </w:r>
      <w:r>
        <w:fldChar w:fldCharType="begin"/>
      </w:r>
      <w:r>
        <w:rPr/>
        <w:instrText> HYPERLINK "https://sip.lex.pl/%23/document/18701388" </w:instrText>
      </w:r>
      <w:r>
        <w:fldChar w:fldCharType="separate"/>
      </w:r>
      <w:r>
        <w:rPr>
          <w:rStyle w:val="CharStyle3"/>
        </w:rPr>
        <w:t>ustawy</w:t>
      </w:r>
      <w:r>
        <w:fldChar w:fldCharType="end"/>
      </w:r>
      <w:r>
        <w:rPr>
          <w:rStyle w:val="CharStyle3"/>
        </w:rPr>
        <w:t xml:space="preserve"> z dnia 6 marca 2018 r. - Prawo przedsiębiorców,</w:t>
      </w:r>
    </w:p>
    <w:p>
      <w:pPr>
        <w:pStyle w:val="Style2"/>
        <w:keepNext w:val="0"/>
        <w:keepLines w:val="0"/>
        <w:widowControl w:val="0"/>
        <w:numPr>
          <w:ilvl w:val="0"/>
          <w:numId w:val="1"/>
        </w:numPr>
        <w:shd w:val="clear" w:color="auto" w:fill="auto"/>
        <w:tabs>
          <w:tab w:pos="313" w:val="left"/>
        </w:tabs>
        <w:bidi w:val="0"/>
        <w:spacing w:before="0" w:after="0"/>
        <w:ind w:left="0" w:right="0" w:firstLine="0"/>
        <w:jc w:val="both"/>
      </w:pPr>
      <w:r>
        <w:rPr>
          <w:rStyle w:val="CharStyle3"/>
        </w:rPr>
        <w:t>osobę fizyczną niebędącą podmiotem, o którym mowa w lit. a, korzystającą ze środowiska w zakresie, w jakim korzystanie ze środowiska wymaga pozwolenia.</w:t>
      </w:r>
    </w:p>
    <w:p>
      <w:pPr>
        <w:pStyle w:val="Style2"/>
        <w:keepNext w:val="0"/>
        <w:keepLines w:val="0"/>
        <w:widowControl w:val="0"/>
        <w:shd w:val="clear" w:color="auto" w:fill="auto"/>
        <w:bidi w:val="0"/>
        <w:spacing w:before="0" w:after="0"/>
        <w:ind w:left="0" w:right="0" w:firstLine="740"/>
        <w:jc w:val="both"/>
      </w:pPr>
      <w:r>
        <w:rPr>
          <w:rStyle w:val="CharStyle3"/>
        </w:rPr>
        <w:t xml:space="preserve">Wśród przepisów dotyczących instytucji wymierzenia opłaty podwyższonej, istotnym jest również art. 279 Poś, w którym ustawodawca dookreślił, na kim spoczywa obowiązek poniesienia opłaty za korzystanie ze środowiska, w zależności od sposobu korzystania ze środowiska oraz podmiotu, który to wykonuje. Zgodnie z ust. 2 ww. artykułu, w razie składowania lub magazynowania odpadów, podmiotem korzystającym ze środowiska, obowiązanym do ponoszenia opłat za korzystanie ze środowiska oraz administracyjnych kar pieniężnych, jest, z zastrzeżeniem ust. 3, posiadacz odpadów w rozumieniu przepisów </w:t>
      </w:r>
      <w:r>
        <w:fldChar w:fldCharType="begin"/>
      </w:r>
      <w:r>
        <w:rPr/>
        <w:instrText> HYPERLINK "https://sip.lex.pl/%23/document/17940659?cm=DOCUMENT" </w:instrText>
      </w:r>
      <w:r>
        <w:fldChar w:fldCharType="separate"/>
      </w:r>
      <w:r>
        <w:rPr>
          <w:rStyle w:val="CharStyle3"/>
        </w:rPr>
        <w:t>ustawy</w:t>
      </w:r>
      <w:r>
        <w:fldChar w:fldCharType="end"/>
      </w:r>
      <w:r>
        <w:rPr>
          <w:rStyle w:val="CharStyle3"/>
        </w:rPr>
        <w:t xml:space="preserve"> o odpadach. Art. 279 ust. 3 Poś stanowi natomiast, iż jeżeli odpady zostały przekazane na rzecz podmiotu, który nie uzyskał wymaganego zezwolenia w zakresie gospodarki odpadami, to podmiotem korzystającym ze środowiska, obowiązanym do ponoszenia opłat za korzystanie ze środowiska, jest, z zastrzeżeniem ust. 4, podmiot, który przekazał te odpady. W myśl zaś art. 279 ust. 4 Poś, jeżeli osoba fizyczna niebędąca przedsiębiorcą przekazuje odpady podmiotowi, który nie uzyskał wymaganego zezwolenia w zakresie gospodarki odpadami, podmiotem korzystającym ze środowiska, obowiązanym do ponoszenia opłat za korzystanie ze środowiska, jest podmiot, któremu przekazano te odpady. Z kolei definicję posiadacza odpadów zawiera art. 3 ust. 1 pkt 19 ustawy z dnia 14 grudnia 2012 r. o odpadach (Dz. U. z 2023 r poz. 1587 ze zm.), zgodnie z którym rozumie się przez to wytwórcę odpadów lub osobę fizyczną, osobę prawną oraz jednostkę organizacyjną nieposiadającą osobowości prawnej będące w posiadaniu odpadów; domniemywa się, że władający powierzchnią ziemi jest posiadaczem odpadów znajdujących się na nieruchomości.</w:t>
      </w:r>
    </w:p>
    <w:p>
      <w:pPr>
        <w:pStyle w:val="Style2"/>
        <w:keepNext w:val="0"/>
        <w:keepLines w:val="0"/>
        <w:widowControl w:val="0"/>
        <w:shd w:val="clear" w:color="auto" w:fill="auto"/>
        <w:bidi w:val="0"/>
        <w:spacing w:before="0" w:after="0"/>
        <w:ind w:left="0" w:right="0" w:firstLine="740"/>
        <w:jc w:val="both"/>
      </w:pPr>
      <w:r>
        <w:rPr>
          <w:rStyle w:val="CharStyle3"/>
        </w:rPr>
        <w:t>Zatem co do zasady opłatę podwyższoną za niezgodne z prawem składowanie lub magazynowanie odpadów powinien ponosić podmiot korzystający ze środowiska bez wymaganego pozwolenia lub innej decyzji. Niemniej jednak, uwzględniając ww. przepisy, nie zawsze to podmiot nieposiadający określonej decyzji będzie podmiotem właściwym do poniesienia opłaty podwyższonej. Zgodnie bowiem z art. 279 ust. 3 Poś, w sytuacji, kiedy odpady zostały przekazane na rzecz podmiotu, który nie uzyskał wymaganego zezwolenia w zakresie gospodarki odpadami, to podmiotem korzystającym ze środowiska, obowiązanym do ponoszenia opłat za korzystanie ze środowiska jest, z zastrzeżeniem art. 279 ust. 4 Poś, podmiot, który przekazał te odpady. Zatem obrazując zastosowanie niniejszego przepisu w praktyce okazuje się, że w sytuacji, gdy przedsiębiorca przekaże wytworzone odpady na rzecz podmiotu, któremu np. zostało cofnięte zezwolenie na zbieranie odpadów, w którym to było określone miejsce ich magazynowania, a przekazujący nie posiadał wiedzy, że w momencie przekazania odpadów podmiot nie posiada zezwolenia (bo np. zostało mu one cofnięte miesiąc wcześniej, a podmiot był nadal wpisany w bazie danych o produktach i opakowaniach oraz o gospodarce odpadami - BDO), wówczas dojdzie do sytuacji, w której odpady zostaną przekazane podmiotowi nieuprawnionemu. W opisanym przykładzie, to podmiot, któremu cofnięto zezwolenie będzie podmiotem, który zebrał, a następnie magazynował odpady bez wymaganej decyzji, jednakże w myśl art. 279 ust. 3 Poś, podmiotem zobowiązanym do poniesienia opłaty podwyższonej będzie przedsiębiorca, który przekazał odpady. Zasadę tę potwierdza treść art. 27 ust. 3 ustawy o odpadach, zgodnie z którym jeżeli wytwórca odpadów lub inny posiadacz odpadów przekazuje odpady następnemu posiadaczowi odpadów, który posiada decyzję wymienioną w ust. 2 pkt 1 lub 2 albo posiada wpis do rejestru w zakresie,</w:t>
      </w:r>
    </w:p>
    <w:p>
      <w:pPr>
        <w:pStyle w:val="Style2"/>
        <w:keepNext w:val="0"/>
        <w:keepLines w:val="0"/>
        <w:widowControl w:val="0"/>
        <w:shd w:val="clear" w:color="auto" w:fill="auto"/>
        <w:bidi w:val="0"/>
        <w:spacing w:before="0" w:after="0"/>
        <w:ind w:left="0" w:right="0" w:firstLine="0"/>
        <w:jc w:val="both"/>
      </w:pPr>
      <w:r>
        <w:rPr>
          <w:rStyle w:val="CharStyle3"/>
        </w:rPr>
        <w:t>o którym mowa w art. 50 ust. 1 pkt 5 lit. a, odpowiedzialność za gospodarowanie odpadami, z chwilą ich przekazania, przechodzi na następnego posiadacza odpadów. Zatem konsekwencją powyższych zapisów jest niemożność uwolnienia się od odpowiedzialności za odpady, gdy zostały przekazane na rzecz podmiotu nieposiadającego stosownej decyzji, co wiąże się z obowiązkiem uiszczenia opłaty za korzystanie ze środowiska, w tym opłaty podwyższonej.</w:t>
      </w:r>
    </w:p>
    <w:p>
      <w:pPr>
        <w:pStyle w:val="Style2"/>
        <w:keepNext w:val="0"/>
        <w:keepLines w:val="0"/>
        <w:widowControl w:val="0"/>
        <w:shd w:val="clear" w:color="auto" w:fill="auto"/>
        <w:bidi w:val="0"/>
        <w:spacing w:before="0" w:after="0"/>
        <w:ind w:left="0" w:right="0" w:firstLine="740"/>
        <w:jc w:val="both"/>
      </w:pPr>
      <w:r>
        <w:rPr>
          <w:rStyle w:val="CharStyle3"/>
        </w:rPr>
        <w:t>W art. 293 Poś uregulowano wysokość opłaty podwyższonej w zależności od postępowania z odpadami, tj. za składowanie, magazynowanie i pozbycie się odpadów, w następujący sposób:</w:t>
      </w:r>
    </w:p>
    <w:p>
      <w:pPr>
        <w:pStyle w:val="Style2"/>
        <w:keepNext w:val="0"/>
        <w:keepLines w:val="0"/>
        <w:widowControl w:val="0"/>
        <w:numPr>
          <w:ilvl w:val="0"/>
          <w:numId w:val="3"/>
        </w:numPr>
        <w:shd w:val="clear" w:color="auto" w:fill="auto"/>
        <w:tabs>
          <w:tab w:pos="298" w:val="left"/>
        </w:tabs>
        <w:bidi w:val="0"/>
        <w:spacing w:before="0" w:after="0"/>
        <w:ind w:left="0" w:right="0" w:firstLine="0"/>
        <w:jc w:val="both"/>
      </w:pPr>
      <w:r>
        <w:rPr>
          <w:rStyle w:val="CharStyle3"/>
        </w:rPr>
        <w:t>Za składowanie odpadów bez uzyskania decyzji zatwierdzającej instrukcję prowadzenia składowiska odpadów podmiot korzystający ze środowiska ponosi, z zastrzeżeniem ust. 3-5, opłaty podwyższone w wysokości 0,05 jednostkowej stawki opłaty za umieszczenie odpadów na składowisku za każdą dobę składowania.</w:t>
      </w:r>
    </w:p>
    <w:p>
      <w:pPr>
        <w:pStyle w:val="Style2"/>
        <w:keepNext w:val="0"/>
        <w:keepLines w:val="0"/>
        <w:widowControl w:val="0"/>
        <w:numPr>
          <w:ilvl w:val="0"/>
          <w:numId w:val="3"/>
        </w:numPr>
        <w:shd w:val="clear" w:color="auto" w:fill="auto"/>
        <w:tabs>
          <w:tab w:pos="298" w:val="left"/>
        </w:tabs>
        <w:bidi w:val="0"/>
        <w:spacing w:before="0" w:after="0"/>
        <w:ind w:left="0" w:right="0" w:firstLine="0"/>
        <w:jc w:val="both"/>
      </w:pPr>
      <w:r>
        <w:rPr>
          <w:rStyle w:val="CharStyle3"/>
        </w:rPr>
        <w:t>Magazynowanie odpadów bez wymaganej decyzji określającej sposób i miejsce magazynowania traktuje się jako składowanie odpadów bez wymaganej decyzji zatwierdzającej instrukcję prowadzenia składowiska, z zastrzeżeniem ust. 3.</w:t>
      </w:r>
    </w:p>
    <w:p>
      <w:pPr>
        <w:pStyle w:val="Style2"/>
        <w:keepNext w:val="0"/>
        <w:keepLines w:val="0"/>
        <w:widowControl w:val="0"/>
        <w:numPr>
          <w:ilvl w:val="0"/>
          <w:numId w:val="3"/>
        </w:numPr>
        <w:shd w:val="clear" w:color="auto" w:fill="auto"/>
        <w:tabs>
          <w:tab w:pos="298" w:val="left"/>
        </w:tabs>
        <w:bidi w:val="0"/>
        <w:spacing w:before="0" w:after="0"/>
        <w:ind w:left="0" w:right="0" w:firstLine="0"/>
        <w:jc w:val="both"/>
      </w:pPr>
      <w:r>
        <w:rPr>
          <w:rStyle w:val="CharStyle3"/>
        </w:rPr>
        <w:t>Za składowanie odpadów w miejscu na ten cel nieprzeznaczonym podmiot korzystający ze środowiska ponosi opłaty podwyższone w wysokości 0,7 jednostkowej stawki opłaty za umieszczenie odpadów na składowisku za każdą tonę odpadów i za każdą dobę składowania. 4. W przypadku pozbycia się odpadów:</w:t>
      </w:r>
    </w:p>
    <w:p>
      <w:pPr>
        <w:pStyle w:val="Style2"/>
        <w:keepNext w:val="0"/>
        <w:keepLines w:val="0"/>
        <w:widowControl w:val="0"/>
        <w:numPr>
          <w:ilvl w:val="0"/>
          <w:numId w:val="5"/>
        </w:numPr>
        <w:shd w:val="clear" w:color="auto" w:fill="auto"/>
        <w:tabs>
          <w:tab w:pos="1028" w:val="left"/>
        </w:tabs>
        <w:bidi w:val="0"/>
        <w:spacing w:before="0" w:after="0"/>
        <w:ind w:left="0" w:right="0" w:firstLine="740"/>
        <w:jc w:val="both"/>
      </w:pPr>
      <w:r>
        <w:rPr>
          <w:rStyle w:val="CharStyle3"/>
        </w:rPr>
        <w:t>nad brzegami zbiorników wodnych, w szczególności w strefach ochronnych ujęć wód i na terenach wypływu wód z warstw wodonośnych,</w:t>
      </w:r>
    </w:p>
    <w:p>
      <w:pPr>
        <w:pStyle w:val="Style2"/>
        <w:keepNext w:val="0"/>
        <w:keepLines w:val="0"/>
        <w:widowControl w:val="0"/>
        <w:numPr>
          <w:ilvl w:val="0"/>
          <w:numId w:val="5"/>
        </w:numPr>
        <w:shd w:val="clear" w:color="auto" w:fill="auto"/>
        <w:tabs>
          <w:tab w:pos="1686" w:val="left"/>
        </w:tabs>
        <w:bidi w:val="0"/>
        <w:spacing w:before="0" w:after="0"/>
        <w:ind w:left="0" w:right="0" w:firstLine="740"/>
        <w:jc w:val="both"/>
      </w:pPr>
      <w:r>
        <w:rPr>
          <w:rStyle w:val="CharStyle3"/>
        </w:rPr>
        <w:t>na terenach parków narodowych i rezerwatów przyrody,</w:t>
      </w:r>
    </w:p>
    <w:p>
      <w:pPr>
        <w:pStyle w:val="Style2"/>
        <w:keepNext w:val="0"/>
        <w:keepLines w:val="0"/>
        <w:widowControl w:val="0"/>
        <w:numPr>
          <w:ilvl w:val="0"/>
          <w:numId w:val="5"/>
        </w:numPr>
        <w:shd w:val="clear" w:color="auto" w:fill="auto"/>
        <w:tabs>
          <w:tab w:pos="1033" w:val="left"/>
        </w:tabs>
        <w:bidi w:val="0"/>
        <w:spacing w:before="0" w:after="0"/>
        <w:ind w:left="0" w:right="0" w:firstLine="740"/>
        <w:jc w:val="both"/>
      </w:pPr>
      <w:r>
        <w:rPr>
          <w:rStyle w:val="CharStyle3"/>
        </w:rPr>
        <w:t>na terenach leśnych albo uzdrowiskowych lub na terenach rekreacyjno- wypoczynkowych</w:t>
      </w:r>
    </w:p>
    <w:p>
      <w:pPr>
        <w:pStyle w:val="Style2"/>
        <w:keepNext w:val="0"/>
        <w:keepLines w:val="0"/>
        <w:widowControl w:val="0"/>
        <w:shd w:val="clear" w:color="auto" w:fill="auto"/>
        <w:bidi w:val="0"/>
        <w:spacing w:before="0" w:after="0"/>
        <w:ind w:left="0" w:right="0" w:firstLine="740"/>
        <w:jc w:val="both"/>
      </w:pPr>
      <w:r>
        <w:rPr>
          <w:rStyle w:val="CharStyle3"/>
        </w:rPr>
        <w:t>- podmiot korzystający ze środowiska ponosi opłaty podwyższone w wysokości 1,0 jednostkowej stawki opłaty za umieszczenie odpadów na składowisku za każdą tonę odpadów i za każdą dobę składowania.</w:t>
      </w:r>
    </w:p>
    <w:p>
      <w:pPr>
        <w:pStyle w:val="Style2"/>
        <w:keepNext w:val="0"/>
        <w:keepLines w:val="0"/>
        <w:widowControl w:val="0"/>
        <w:numPr>
          <w:ilvl w:val="0"/>
          <w:numId w:val="7"/>
        </w:numPr>
        <w:shd w:val="clear" w:color="auto" w:fill="auto"/>
        <w:tabs>
          <w:tab w:pos="298" w:val="left"/>
        </w:tabs>
        <w:bidi w:val="0"/>
        <w:spacing w:before="0" w:after="0"/>
        <w:ind w:left="0" w:right="0" w:firstLine="0"/>
        <w:jc w:val="both"/>
      </w:pPr>
      <w:r>
        <w:rPr>
          <w:rStyle w:val="CharStyle3"/>
        </w:rPr>
        <w:t>Podmiot korzystający ze środowiska w przypadku pozbycia się odpadów do śródlądowych wód powierzchniowych i podziemnych, morskich wód wewnętrznych lub wód morza terytorialnego ponosi opłatę podwyższoną w wysokości 100-krotnej jednostkowej stawki opłaty za umieszczenie odpadów na składowisku.</w:t>
      </w:r>
    </w:p>
    <w:p>
      <w:pPr>
        <w:pStyle w:val="Style2"/>
        <w:keepNext w:val="0"/>
        <w:keepLines w:val="0"/>
        <w:widowControl w:val="0"/>
        <w:numPr>
          <w:ilvl w:val="0"/>
          <w:numId w:val="7"/>
        </w:numPr>
        <w:shd w:val="clear" w:color="auto" w:fill="auto"/>
        <w:tabs>
          <w:tab w:pos="298" w:val="left"/>
        </w:tabs>
        <w:bidi w:val="0"/>
        <w:spacing w:before="0" w:after="0"/>
        <w:ind w:left="0" w:right="0" w:firstLine="0"/>
        <w:jc w:val="both"/>
      </w:pPr>
      <w:r>
        <w:rPr>
          <w:rStyle w:val="CharStyle3"/>
        </w:rPr>
        <w:t xml:space="preserve">Przepisy ust. 3-5 stosuje się odpowiednio, jeżeli składowanie odpadów jest zabronione na podstawie </w:t>
      </w:r>
      <w:r>
        <w:fldChar w:fldCharType="begin"/>
      </w:r>
      <w:r>
        <w:rPr/>
        <w:instrText> HYPERLINK "https://sip.lex.pl/%23/document/17940659" </w:instrText>
      </w:r>
      <w:r>
        <w:fldChar w:fldCharType="separate"/>
      </w:r>
      <w:r>
        <w:rPr>
          <w:rStyle w:val="CharStyle3"/>
        </w:rPr>
        <w:t>ustawy</w:t>
      </w:r>
      <w:r>
        <w:fldChar w:fldCharType="end"/>
      </w:r>
      <w:r>
        <w:rPr>
          <w:rStyle w:val="CharStyle3"/>
        </w:rPr>
        <w:t xml:space="preserve"> o odpadach.</w:t>
      </w:r>
    </w:p>
    <w:p>
      <w:pPr>
        <w:pStyle w:val="Style2"/>
        <w:keepNext w:val="0"/>
        <w:keepLines w:val="0"/>
        <w:widowControl w:val="0"/>
        <w:numPr>
          <w:ilvl w:val="0"/>
          <w:numId w:val="7"/>
        </w:numPr>
        <w:shd w:val="clear" w:color="auto" w:fill="auto"/>
        <w:tabs>
          <w:tab w:pos="298" w:val="left"/>
        </w:tabs>
        <w:bidi w:val="0"/>
        <w:spacing w:before="0" w:after="0"/>
        <w:ind w:left="0" w:right="0" w:firstLine="0"/>
        <w:jc w:val="both"/>
      </w:pPr>
      <w:r>
        <w:rPr>
          <w:rStyle w:val="CharStyle3"/>
        </w:rPr>
        <w:t>Opłatę podwyższoną ponosi się niezależnie od opłaty za umieszczenie odpadów na składowisku.</w:t>
      </w:r>
    </w:p>
    <w:p>
      <w:pPr>
        <w:pStyle w:val="Style2"/>
        <w:keepNext w:val="0"/>
        <w:keepLines w:val="0"/>
        <w:widowControl w:val="0"/>
        <w:shd w:val="clear" w:color="auto" w:fill="auto"/>
        <w:bidi w:val="0"/>
        <w:spacing w:before="0" w:after="0"/>
        <w:ind w:left="0" w:right="0" w:firstLine="740"/>
        <w:jc w:val="both"/>
      </w:pPr>
      <w:r>
        <w:rPr>
          <w:rStyle w:val="CharStyle3"/>
          <w:b/>
          <w:bCs/>
        </w:rPr>
        <w:t>Wyżej wymienione przepisy są normami bezwzględnie obowiązującymi, sztywno określają sposób wyliczenia wysokości opłaty podwyższonej. Tym samym uniemożliwiają uwzględnienie przy wymiarze opłaty, m. in. wagi naruszenia obowiązku ustawowego, stopnia powstałej szkody, czy też sytuacji majątkowej korzystającego ze środowiska. W postępowaniu w przedmiocie wymierzenia opłaty podwyższonej za korzystanie ze środowiska bez pozwolenia, nie ma miejsca na jakąkolwiek uznaniowość, na ocenę przewinienia, a także na rozważanie przyczyn nieposiadania stosownej decyzji. Wysokość opłaty podwyższonej wymierzanej w obowiązującej formie nie jest adekwatna do wyrządzonej szkody w środowisku, przez co nie zmierza w realny sposób do jego ochrony. W wielu przypadkach wysokość wymierzonej opłaty wydaje się być nieadekwatna również do wagi czynu, który spowodował konieczność jej naliczenia.</w:t>
      </w:r>
    </w:p>
    <w:p>
      <w:pPr>
        <w:pStyle w:val="Style2"/>
        <w:keepNext w:val="0"/>
        <w:keepLines w:val="0"/>
        <w:widowControl w:val="0"/>
        <w:shd w:val="clear" w:color="auto" w:fill="auto"/>
        <w:bidi w:val="0"/>
        <w:spacing w:before="0" w:after="0"/>
        <w:ind w:left="0" w:right="0" w:firstLine="720"/>
        <w:jc w:val="both"/>
      </w:pPr>
      <w:r>
        <w:rPr>
          <w:rStyle w:val="CharStyle3"/>
        </w:rPr>
        <w:t xml:space="preserve">Przepisy Poś wyraźnie wiążą kwestię odpowiedzialności administracyjnej w postaci obowiązku poniesienia opłaty podwyższonej z samym faktem naruszenia wymagania ochrony środowiska poprzez korzystanie z jego zasobów bez wymaganej decyzji, a wysokość opłaty w przypadku składowania/magazynowania odpadów bez wymaganej decyzji zależy od ilości, rodzaju i czasu składowania/magazynowania odpadów. W świetle obecnej regulacji, mechanizm sztywnej opłaty często sprowadza się do wymierzenia opłaty, niejednokrotnie w wysokości abstrakcyjnej, niemożliwej do wyegzekwowania. </w:t>
      </w:r>
      <w:r>
        <w:rPr>
          <w:rStyle w:val="CharStyle3"/>
          <w:b/>
          <w:bCs/>
        </w:rPr>
        <w:t>W części spraw wymierzona opłata podwyższona nie stanowi już dolegliwości będącej następstwem nieprzestrzegania porządku prawnego, a wiąże się z likwidacją podmiotu gospodarczego, który nie jest w stanie udźwignąć wielomilionowego obciążenia finansowego. Wydane decyzje niejednokrotnie stanowią przyczynę ludzkich dramatów, których można byłoby uniknąć, wymierzając przedsiębiorcy opłatę podwyższoną w dolegliwej wysokości, ale możliwą do zrealizowania, np. przy zastosowaniu systemu ratalnego. Z kolei z perspektywy województwa wydającego decyzję, wysoka należność w niej określona, nie przysparza mu środków finansowych, a jedynie obowiązki związane z obsługą zobowiązania niemożliwego do wyegzekwowania.</w:t>
      </w:r>
    </w:p>
    <w:p>
      <w:pPr>
        <w:pStyle w:val="Style2"/>
        <w:keepNext w:val="0"/>
        <w:keepLines w:val="0"/>
        <w:widowControl w:val="0"/>
        <w:shd w:val="clear" w:color="auto" w:fill="auto"/>
        <w:bidi w:val="0"/>
        <w:spacing w:before="0" w:after="0"/>
        <w:ind w:left="0" w:right="0" w:firstLine="720"/>
        <w:jc w:val="both"/>
      </w:pPr>
      <w:r>
        <w:rPr>
          <w:rStyle w:val="CharStyle3"/>
        </w:rPr>
        <w:t xml:space="preserve">Wykładnia gramatyczna przepisów art. 276 ust. 1 oraz art. 293 ust. 1 i 2 Poś wskazuje na jednoznaczny sposób rozumienia treści normy w nich zawartej i wymierzenia opłaty podwyższonej. Nie daje podstaw do przyjęcia, że istnieje możliwość odstąpienia od obowiązku ponoszenia przez podmiot korzystający ze środowiska opłaty podwyższonej, czy też podstaw do zmniejszenia wysokości opłaty w wyniku zaistnienia szczególnych okoliczności. Ma to ogromne znaczenie np. w przypadku prowadzenia przez właściwy organ odrębnego postępowania karnego w związku z wykryciem czynu zabronionego, np. nieodpowiedniego postępowania z odpadami. Odpady stają się dowodem w sprawie i podlegają zabezpieczeniu, brak jest możliwości ich usunięcia z miejsca nieprzeznaczonego do ich składowania lub magazynowania. </w:t>
      </w:r>
      <w:r>
        <w:rPr>
          <w:rStyle w:val="CharStyle3"/>
          <w:b/>
          <w:bCs/>
        </w:rPr>
        <w:t>Nawet w takich sytuacjach, przepisy nie zawierają podstaw materialnoprawnych pozwalających na zmniejszenie przez organ wysokości opłaty podwyższonej, zależnej od ilości, rodzaju i czasu składowania/magazynowania odpadów, np. poprzez uwzględnienie okresu, podczas którego obowiązywał zakaz ich usunięcia, wydany w odrębnym postępowaniu przez organy władzy publicznej. Ustawodawca nie przewidział takiej zasady i nie może być ona wywodzona w drodze wykładni rozszerzającej przepisów.</w:t>
      </w:r>
    </w:p>
    <w:p>
      <w:pPr>
        <w:pStyle w:val="Style2"/>
        <w:keepNext w:val="0"/>
        <w:keepLines w:val="0"/>
        <w:widowControl w:val="0"/>
        <w:shd w:val="clear" w:color="auto" w:fill="auto"/>
        <w:bidi w:val="0"/>
        <w:spacing w:before="0" w:after="0"/>
        <w:ind w:left="0" w:right="0" w:firstLine="720"/>
        <w:jc w:val="both"/>
      </w:pPr>
      <w:r>
        <w:rPr>
          <w:rStyle w:val="CharStyle3"/>
        </w:rPr>
        <w:t>Na uwagę zasługuje również fakt, iż w prowadzonych postępowaniach administracyjnych organy często mają trudności z określeniem ilości odpadów, czasu ich magazynowania bez wymaganej decyzji, czy składowania w miejscach do tego nieprzeznaczonych (wyrażonego w pełnych dobach). W długotrwałych procedurach administracyjno-sądowych organy, przy zaangażowaniu wielu pracowników, podejmują czynności zmierzające do rzetelnego ustalenia stanu faktycznego. Niemniej jednak, w wielu przypadkach, ustalenie ilości odpadów i czasu ich zdeponowania, jest niemożliwe, organy bazują na danych szacunkowych, pozyskanych od wojewódzkiego inspektora ochrony środowiska, od organów prowadzących postępowania nakazujące usunięcie odpadów. Przyjęte do wymierzenia opłaty podwyższonej dane szacunkowe często są podważane przez stronę postępowania, czego następstwem są długotrwałe postępowania administracyjne i w dalszej kolejności sądowoadministracyjne.</w:t>
      </w:r>
    </w:p>
    <w:p>
      <w:pPr>
        <w:pStyle w:val="Style2"/>
        <w:keepNext w:val="0"/>
        <w:keepLines w:val="0"/>
        <w:widowControl w:val="0"/>
        <w:shd w:val="clear" w:color="auto" w:fill="auto"/>
        <w:bidi w:val="0"/>
        <w:spacing w:before="0" w:after="0"/>
        <w:ind w:left="0" w:right="0" w:firstLine="720"/>
        <w:jc w:val="both"/>
      </w:pPr>
      <w:r>
        <w:rPr>
          <w:rStyle w:val="CharStyle3"/>
        </w:rPr>
        <w:t>Marszałkowie województw, jako organy właściwe w sprawie wymierzania opłat podwyższonych, mając na uwadze, iż m. in. w praktyce wymierzona wysokość opłaty</w:t>
      </w:r>
    </w:p>
    <w:p>
      <w:pPr>
        <w:pStyle w:val="Style2"/>
        <w:keepNext w:val="0"/>
        <w:keepLines w:val="0"/>
        <w:widowControl w:val="0"/>
        <w:shd w:val="clear" w:color="auto" w:fill="auto"/>
        <w:bidi w:val="0"/>
        <w:spacing w:before="0" w:after="0"/>
        <w:ind w:left="0" w:right="0" w:firstLine="0"/>
        <w:jc w:val="both"/>
      </w:pPr>
      <w:r>
        <w:rPr>
          <w:rStyle w:val="CharStyle3"/>
        </w:rPr>
        <w:t>niejednokrotnie jest niewspółmierna do konsekwencji niedopełnienia obowiązku uzyskania wymaganej decyzji związanej z gospodarowaniem odpadami, przyjęli stanowisko nr 35 Konwentu Marszałków Województw RP z dnia 26 listopada 2020 r. w sprawie opłat podwyższonych za składowanie odpadów, które zostało przekazane ówczesnemu Ministrowi Klimatu i Środowiska. W przedłożonym stanowisku zaproponowano dwa warianty rozwiązania omawianego wyżej problemu. Pierwszy wariant zakładał zmianę art. 293 Poś poprzez zastąpienie określania kwoty opłaty podwyższonej na podstawie wskazanych w tym przepisie współczynników przedziałem kwotowym (w ustawowo określonych granicach), co wiązałoby się z koniecznością uchylenia art. 293 ust. 3 Poś i nadaniem nowego brzmienia art. 293 ust. 1 Poś. W konsekwencji, opłata sankcyjna byłaby administracyjną karą pieniężną, a organem właściwym do jej wymierzenia nadal pozostawałby właściwy marszałek województwa. Zaś drugi zaproponowany wariant zmiany przepisów zakładał przekazanie kompetencji w zakresie sankcji za składowanie odpadów bez uzyskania decyzji zatwierdzającej instrukcję prowadzenia składowiska odpadów bądź za składowanie odpadów w miejscu na ten cel nieprzeznaczonym (która również byłaby administracyjną karą pieniężną) wojewódzkiemu inspektorowi ochrony środowiska. To oznaczałoby konieczność uchylenia art. 293 Poś i przeniesienie odpowiednio zmodyfikowanych zapisów do ustawy o odpadach.</w:t>
      </w:r>
    </w:p>
    <w:p>
      <w:pPr>
        <w:pStyle w:val="Style2"/>
        <w:keepNext w:val="0"/>
        <w:keepLines w:val="0"/>
        <w:widowControl w:val="0"/>
        <w:shd w:val="clear" w:color="auto" w:fill="auto"/>
        <w:bidi w:val="0"/>
        <w:spacing w:before="0" w:after="0"/>
        <w:ind w:left="0" w:right="0" w:firstLine="740"/>
        <w:jc w:val="both"/>
      </w:pPr>
      <w:r>
        <w:rPr>
          <w:rStyle w:val="CharStyle3"/>
        </w:rPr>
        <w:t>Mając na względzie trudności (a w wielu przypadkach wręcz brak możliwości) związane z rzetelnym ustaleniem przez marszałków województw rodzaju, ilości i czasu składowania/magazynowania odpadów z naruszeniem obowiązujących przepisów, jako jedną z alternatyw można zaproponować nowelizację przepisu art. 293 poprzez dodanie kolejnej jednostki redakcyjnej (ustępu). W myśl dodanego zapisu, w przypadku, gdy w sprawie brak jest dokumentów, na podstawie których marszałek województwa w sposób jednoznaczny mógłby wymierzyć opłatę podwyższoną za korzystanie ze środowiska, sprawa powinna zostać przekazana wojewódzkiemu inspektorowi ochrony środowiska, który za stwierdzone działania niewłaściwego gospodarowania odpadami, wymierzy karę administracyjną. Wówczas marszałek województwa byłby organem uprawnionym do prowadzenia spraw i wymierzenia opłaty podwyższonej w stanach faktycznych, w których na podstawie dokumentów (w szczególności kart przekazania odpadów, kart ewidencji odpadów) istnieje możliwość rzetelnego określenia ilości i czasu magazynowania/ składowania odpadów. W sytuacjach, kiedy pozyskanie danych nie byłoby możliwe, organem właściwym do rozpatrzenia sprawy byłby wojewódzki inspektor ochrony środowiska, który na podstawie własnych ustaleń posiadałby uprawnienia do wymierzenia podmiotowi kary administracyjnej. Wojewódzki inspektor ochrony środowiska jest wyposażony w narzędzia uprawniające do wymierzenia kary administracyjnej w uznaniowej wysokości, przy zastosowaniu tzw. „widełek”, co pozwala na wymierzenie sankcji finansowej w sposób bardziej elastyczny, przy uwzględnieniu wszelkich okoliczności związanych z popełnionym czynem. W przypadku opłat podwyższonych, pożądanym byłoby również ustalenie górnej granicy opłaty, tak jak ma to miejsce w przypadku kar administracyjnych (górna granica wynosi 1.000.000,00 zł).</w:t>
      </w:r>
    </w:p>
    <w:p>
      <w:pPr>
        <w:pStyle w:val="Style2"/>
        <w:keepNext w:val="0"/>
        <w:keepLines w:val="0"/>
        <w:widowControl w:val="0"/>
        <w:shd w:val="clear" w:color="auto" w:fill="auto"/>
        <w:bidi w:val="0"/>
        <w:spacing w:before="0" w:after="0"/>
        <w:ind w:left="0" w:right="0" w:firstLine="740"/>
        <w:jc w:val="both"/>
      </w:pPr>
      <w:r>
        <w:rPr>
          <w:rStyle w:val="CharStyle3"/>
        </w:rPr>
        <w:t xml:space="preserve">W ocenie tut. organu rozważenia nowelizacji wymaga również przepis art. 194 ust. 2 ustawy z dnia 14 grudnia 2012 r. o odpadach. W obecnym brzmieniu wojewódzki inspektor ochrony środowiska nie wymierza administracyjnej kary w przypadku, gdy za naruszenie może być ustalona opłata podwyższona, o której mowa art. 293 Poś. </w:t>
      </w:r>
      <w:r>
        <w:rPr>
          <w:rStyle w:val="CharStyle3"/>
          <w:b/>
          <w:bCs/>
        </w:rPr>
        <w:t>Wprowadzenie mechanizmu odwrotnego i ustalenie, że w sytuacji, gdy wojewódzki inspektor ochrony środowiska nałożył opłatę administracyjną, marszałek województwa nie wymierza opłaty</w:t>
      </w:r>
    </w:p>
    <w:p>
      <w:pPr>
        <w:pStyle w:val="Style2"/>
        <w:keepNext w:val="0"/>
        <w:keepLines w:val="0"/>
        <w:widowControl w:val="0"/>
        <w:shd w:val="clear" w:color="auto" w:fill="auto"/>
        <w:bidi w:val="0"/>
        <w:spacing w:before="0" w:after="0"/>
        <w:ind w:left="0" w:right="0" w:firstLine="0"/>
        <w:jc w:val="both"/>
      </w:pPr>
      <w:r>
        <w:rPr>
          <w:rStyle w:val="CharStyle3"/>
          <w:b/>
          <w:bCs/>
        </w:rPr>
        <w:t xml:space="preserve">podwyższonej, pozwoliłoby na uniknięcie zarzutu, że podmioty podlegają podwójnemu ukaraniu. </w:t>
      </w:r>
      <w:r>
        <w:rPr>
          <w:rStyle w:val="CharStyle3"/>
        </w:rPr>
        <w:t>Uwagę na ten aspekt obowiązujących przepisów zwrócił Wojewódzki Sąd Administracyjny w Białymstoku w wyroku z dnia 12 października 2022 r. (sygn. akt II SA/Bk 447/22), stwierdzając: „W ocenie sądu uzasadnione jest stanowisko, że z</w:t>
      </w:r>
      <w:r>
        <w:fldChar w:fldCharType="begin"/>
      </w:r>
      <w:r>
        <w:rPr/>
        <w:instrText> HYPERLINK "https://sip.lex.pl/%23/document/17940659?unitId=art(194)ust(2)" </w:instrText>
      </w:r>
      <w:r>
        <w:fldChar w:fldCharType="separate"/>
      </w:r>
      <w:r>
        <w:rPr>
          <w:rStyle w:val="CharStyle3"/>
        </w:rPr>
        <w:t xml:space="preserve"> art. 194 ust. 2 </w:t>
      </w:r>
      <w:r>
        <w:fldChar w:fldCharType="end"/>
      </w:r>
      <w:r>
        <w:rPr>
          <w:rStyle w:val="CharStyle3"/>
        </w:rPr>
        <w:t>ustawy o odpadach wynika a contrario, że w przypadku nałożenia administracyjnej kary pieniężnej na podstawie</w:t>
      </w:r>
      <w:r>
        <w:fldChar w:fldCharType="begin"/>
      </w:r>
      <w:r>
        <w:rPr/>
        <w:instrText> HYPERLINK "https://sip.lex.pl/%23/document/17940659?unitId=art(194)ust(1)" </w:instrText>
      </w:r>
      <w:r>
        <w:fldChar w:fldCharType="separate"/>
      </w:r>
      <w:r>
        <w:rPr>
          <w:rStyle w:val="CharStyle3"/>
        </w:rPr>
        <w:t xml:space="preserve"> art. 194 ust. 1 </w:t>
      </w:r>
      <w:r>
        <w:fldChar w:fldCharType="end"/>
      </w:r>
      <w:r>
        <w:rPr>
          <w:rStyle w:val="CharStyle3"/>
        </w:rPr>
        <w:t>ustawy o odpadach wymierzenie opłaty podwyższonej za korzystanie odpadów na podstawie</w:t>
      </w:r>
      <w:r>
        <w:fldChar w:fldCharType="begin"/>
      </w:r>
      <w:r>
        <w:rPr/>
        <w:instrText> HYPERLINK "https://sip.lex.pl/%23/document/16901353?unitId=art(293)" </w:instrText>
      </w:r>
      <w:r>
        <w:fldChar w:fldCharType="separate"/>
      </w:r>
      <w:r>
        <w:rPr>
          <w:rStyle w:val="CharStyle3"/>
        </w:rPr>
        <w:t xml:space="preserve"> art. 293 </w:t>
      </w:r>
      <w:r>
        <w:fldChar w:fldCharType="end"/>
      </w:r>
      <w:r>
        <w:rPr>
          <w:rStyle w:val="CharStyle3"/>
        </w:rPr>
        <w:t>p.o.ś. nie jest możliwe, jeśli opłata miałaby być poniesiona za tę samą czynność, za którą nałożono administracyjną karę pieniężną, w przeciwnym przypadku wystąpiłoby podwójne karanie z tego samego tytułu.”. W dotychczasowej praktyce, z uwagi na przyjętą wykładnię gramatyczną przepisu art. 194 ust. 2 ustawy o odpadach, obowiązuje stanowisko, że uprzednie wymierzenie na podstawie decyzji administracyjnej kary pieniężnej przez inspektorów ochrony środowiska, nie zwalnia marszałka województwa z obowiązku wymierzenia opłaty podwyższonej, o ile w danej sytuacji zachodzą ku temu przesłanki.</w:t>
      </w:r>
    </w:p>
    <w:p>
      <w:pPr>
        <w:pStyle w:val="Style2"/>
        <w:keepNext w:val="0"/>
        <w:keepLines w:val="0"/>
        <w:widowControl w:val="0"/>
        <w:shd w:val="clear" w:color="auto" w:fill="auto"/>
        <w:bidi w:val="0"/>
        <w:spacing w:before="0" w:after="0"/>
        <w:ind w:left="0" w:right="0" w:firstLine="760"/>
        <w:jc w:val="both"/>
      </w:pPr>
      <w:r>
        <w:rPr>
          <w:rStyle w:val="CharStyle3"/>
          <w:b/>
          <w:bCs/>
        </w:rPr>
        <w:t>Aby lepiej zobrazować skalę problemu w zakresie wymierzania opłaty podwyższonej na podstawie obowiązujących przepisów, przedstawiam poniżej kilka przykładów spraw, w których Marszałek Województwa Podlaskiego wymierzył przedmiotową opłatę w wysokości, która wydaje się być wręcz absurdalna i niemożliwa do wyegzekwowania, przez co straciła walor dolegliwości, a stanowi niewątpliwie przyczynę upadku lub likwidacji przedsiębiorstw:</w:t>
      </w:r>
    </w:p>
    <w:p>
      <w:pPr>
        <w:pStyle w:val="Style2"/>
        <w:keepNext w:val="0"/>
        <w:keepLines w:val="0"/>
        <w:widowControl w:val="0"/>
        <w:numPr>
          <w:ilvl w:val="0"/>
          <w:numId w:val="9"/>
        </w:numPr>
        <w:shd w:val="clear" w:color="auto" w:fill="auto"/>
        <w:tabs>
          <w:tab w:pos="741" w:val="left"/>
        </w:tabs>
        <w:bidi w:val="0"/>
        <w:spacing w:before="0" w:after="0"/>
        <w:ind w:left="740" w:right="0" w:hanging="340"/>
        <w:jc w:val="both"/>
      </w:pPr>
      <w:r>
        <w:rPr>
          <w:rStyle w:val="CharStyle3"/>
        </w:rPr>
        <w:t xml:space="preserve">Opłata podwyższona za lata 2018-2020 w łącznej wysokości </w:t>
      </w:r>
      <w:r>
        <w:rPr>
          <w:rStyle w:val="CharStyle3"/>
          <w:b/>
          <w:bCs/>
        </w:rPr>
        <w:t xml:space="preserve">1.128.604,00 zł </w:t>
      </w:r>
      <w:r>
        <w:rPr>
          <w:rStyle w:val="CharStyle3"/>
        </w:rPr>
        <w:t>(jeden milion sto dwadzieścia osiem tysięcy sześćset cztery złote) wraz z odsetkami za zwłokę obliczonymi jak dla zaległości podatkowej z tytułu pozbycia się odpadów (zużyte opony) na terenie nieruchomości położonej w obrębie parku narodowego, wymierzona przedsiębiorcy prowadzącemu działalność gospodarczą w oparciu o wpis do CEiDG; w tej sprawie Rzecznik Małych i Średnich Przedsiębiorców wstąpił na prawach przysługujących prokuratorowi do postępowania prowadzonego na skutek złożonego odwołania z dnia 3 stycznia 2022 r. od decyzji Marszałka Województwa Podlaskiego z dnia 7 grudnia 2021 r. (znak: DOS-II.7253.7.2021);</w:t>
      </w:r>
    </w:p>
    <w:p>
      <w:pPr>
        <w:pStyle w:val="Style2"/>
        <w:keepNext w:val="0"/>
        <w:keepLines w:val="0"/>
        <w:widowControl w:val="0"/>
        <w:numPr>
          <w:ilvl w:val="0"/>
          <w:numId w:val="9"/>
        </w:numPr>
        <w:shd w:val="clear" w:color="auto" w:fill="auto"/>
        <w:tabs>
          <w:tab w:pos="741" w:val="left"/>
        </w:tabs>
        <w:bidi w:val="0"/>
        <w:spacing w:before="0" w:after="0"/>
        <w:ind w:left="740" w:right="0" w:hanging="340"/>
        <w:jc w:val="both"/>
      </w:pPr>
      <w:r>
        <w:rPr>
          <w:rStyle w:val="CharStyle3"/>
        </w:rPr>
        <w:t xml:space="preserve">Opłata podwyższona za okres 145 dób w 2019 r. w wysokości </w:t>
      </w:r>
      <w:r>
        <w:rPr>
          <w:rStyle w:val="CharStyle3"/>
          <w:b/>
          <w:bCs/>
        </w:rPr>
        <w:t xml:space="preserve">1.880.795.000,00 zł </w:t>
      </w:r>
      <w:r>
        <w:rPr>
          <w:rStyle w:val="CharStyle3"/>
        </w:rPr>
        <w:t>(słownie: jeden miliard osiemset osiemdziesiąt milionów siedemset dziewięćdziesiąt pięć tysięcy złotych) wraz z odsetkami za zwłokę obliczonymi jak dla zaległości podatkowej z tytułu składowania odpadów w miejscu na ten cel nieprzeznaczonym w wyrobisku pożwirowym, wymierzona wspólnikom spółki cywilnej;</w:t>
      </w:r>
    </w:p>
    <w:p>
      <w:pPr>
        <w:pStyle w:val="Style2"/>
        <w:keepNext w:val="0"/>
        <w:keepLines w:val="0"/>
        <w:widowControl w:val="0"/>
        <w:numPr>
          <w:ilvl w:val="0"/>
          <w:numId w:val="9"/>
        </w:numPr>
        <w:shd w:val="clear" w:color="auto" w:fill="auto"/>
        <w:tabs>
          <w:tab w:pos="741" w:val="left"/>
        </w:tabs>
        <w:bidi w:val="0"/>
        <w:spacing w:before="0" w:after="0"/>
        <w:ind w:left="740" w:right="0" w:hanging="340"/>
        <w:jc w:val="both"/>
      </w:pPr>
      <w:r>
        <w:rPr>
          <w:rStyle w:val="CharStyle3"/>
        </w:rPr>
        <w:t xml:space="preserve">Opłata podwyższona za okres od 6 lutego 2020 r. do 31 grudnia 2020 r. w wysokości </w:t>
      </w:r>
      <w:r>
        <w:rPr>
          <w:rStyle w:val="CharStyle3"/>
          <w:b/>
          <w:bCs/>
        </w:rPr>
        <w:t xml:space="preserve">101.662.646,00 zł </w:t>
      </w:r>
      <w:r>
        <w:rPr>
          <w:rStyle w:val="CharStyle3"/>
        </w:rPr>
        <w:t>(słownie: sto jeden milionów sześćset sześćdziesiąt dwa tysiące sześćset czterdzieści sześć złotych) wraz z odsetkami za zwłokę obliczonymi jak dla zaległości podatkowej z tytułu magazynowania odpadów bez wymaganej decyzji określającej sposób i miejsce magazynowania odpadów, wymierzona spółce z ograniczoną odpowiedzialnością;</w:t>
      </w:r>
    </w:p>
    <w:p>
      <w:pPr>
        <w:pStyle w:val="Style2"/>
        <w:keepNext w:val="0"/>
        <w:keepLines w:val="0"/>
        <w:widowControl w:val="0"/>
        <w:numPr>
          <w:ilvl w:val="0"/>
          <w:numId w:val="9"/>
        </w:numPr>
        <w:shd w:val="clear" w:color="auto" w:fill="auto"/>
        <w:tabs>
          <w:tab w:pos="741" w:val="left"/>
        </w:tabs>
        <w:bidi w:val="0"/>
        <w:spacing w:before="0" w:after="0"/>
        <w:ind w:left="740" w:right="0" w:hanging="340"/>
        <w:jc w:val="both"/>
      </w:pPr>
      <w:r>
        <w:rPr>
          <w:rStyle w:val="CharStyle3"/>
        </w:rPr>
        <w:t xml:space="preserve">Opłata podwyższona za lata 2019 – 2021 w łącznej wysokości </w:t>
      </w:r>
      <w:r>
        <w:rPr>
          <w:rStyle w:val="CharStyle3"/>
          <w:b/>
          <w:bCs/>
        </w:rPr>
        <w:t xml:space="preserve">365.572.431,00 zł </w:t>
      </w:r>
      <w:r>
        <w:rPr>
          <w:rStyle w:val="CharStyle3"/>
        </w:rPr>
        <w:t>(słownie: trzysta sześćdziesiąt pięć milionów pięćset siedemdziesiąt dwa tysiące czterysta trzydzieści jeden złotych) wraz z odsetkami za zwłokę obliczonymi jak dla zaległości podatkowej z tytułu składowania odpadów w miejscu na ten cel nieprzeznaczonym w wyrobisku pożwirowym, wymierzona spółce z ograniczoną odpowiedzialnością i spółce jawnej;</w:t>
      </w:r>
    </w:p>
    <w:p>
      <w:pPr>
        <w:pStyle w:val="Style2"/>
        <w:keepNext w:val="0"/>
        <w:keepLines w:val="0"/>
        <w:widowControl w:val="0"/>
        <w:numPr>
          <w:ilvl w:val="0"/>
          <w:numId w:val="9"/>
        </w:numPr>
        <w:shd w:val="clear" w:color="auto" w:fill="auto"/>
        <w:tabs>
          <w:tab w:pos="741" w:val="left"/>
        </w:tabs>
        <w:bidi w:val="0"/>
        <w:spacing w:before="0" w:after="0"/>
        <w:ind w:left="760" w:right="0" w:hanging="360"/>
        <w:jc w:val="both"/>
      </w:pPr>
      <w:r>
        <w:rPr>
          <w:rStyle w:val="CharStyle3"/>
        </w:rPr>
        <w:t xml:space="preserve">Opłata podwyższona za lata 2019 – 2021 w łącznej wysokości </w:t>
      </w:r>
      <w:r>
        <w:rPr>
          <w:rStyle w:val="CharStyle3"/>
          <w:b/>
          <w:bCs/>
        </w:rPr>
        <w:t xml:space="preserve">1.074.883.623,00 zł </w:t>
      </w:r>
      <w:r>
        <w:rPr>
          <w:rStyle w:val="CharStyle3"/>
        </w:rPr>
        <w:t>(słownie: jeden miliard siedemdziesiąt cztery miliony osiemset osiemdziesiąt trzy tysiące sześćset dwadzieścia trzy złote) wraz z odsetkami za zwłokę obliczonymi jak dla zaległości podatkowej z tytułu składowania odpadów w miejscu na ten cel nieprzeznaczonym w wyrobisku pożwirowym, wymierzona spółce z ograniczoną odpowiedzialnością.</w:t>
      </w:r>
    </w:p>
    <w:p>
      <w:pPr>
        <w:pStyle w:val="Style2"/>
        <w:keepNext w:val="0"/>
        <w:keepLines w:val="0"/>
        <w:widowControl w:val="0"/>
        <w:shd w:val="clear" w:color="auto" w:fill="auto"/>
        <w:bidi w:val="0"/>
        <w:spacing w:before="0" w:after="0"/>
        <w:ind w:left="0" w:right="0" w:firstLine="760"/>
        <w:jc w:val="both"/>
      </w:pPr>
      <w:r>
        <w:rPr>
          <w:rStyle w:val="CharStyle3"/>
          <w:b/>
          <w:bCs/>
        </w:rPr>
        <w:t xml:space="preserve">Marszałkowie województw mierzą się również z dużym problem interpretacyjnym przepisów Poś w kwestii wymierzania opłat podwyższonych osobom fizycznym. </w:t>
      </w:r>
      <w:r>
        <w:rPr>
          <w:rStyle w:val="CharStyle3"/>
        </w:rPr>
        <w:t>Z uwagi na treść obowiązujących przepisów – art. 3 pkt 20 c Poś – przez podmiot korzystający ze środowiska rozumie się osobę fizyczną niebędącą podmiotem o której mowa w lit. a (przedsiębiorca), korzystającą ze środowiska w zakresie, w jakim korzystanie ze środowiska wymaga pozwolenia oraz przepis art. 284 ust. 2 Poś, zgodnie z którym osoby fizyczne niebędące przedsiębiorcami ponoszą opłaty za korzystanie ze środowiska w zakresie, w jakim korzystanie wymaga pozwolenia na wprowadzanie substancji lub energii do środowiska. Powyższe przepisy budzą wątpliwość, co do możliwości ich zastosowania w przypadku rozpatrywania sprawy magazynowania odpadów bez wymaganej decyzji czy składowania odpadów w miejscu na ten cel nieprzeznaczonym przez osobę fizyczną nie prowadzącą działalności gospodarczej. Praktyka stosowana w urzędach marszałkowskich jest różna, w zależności od indywidualnych przypadków. Niemniej jednak, bardzo pożądana byłaby wykładnia przepisów lub ich uszczegółowienie przez ustawodawcę, stwierdzające wprost, czy osobom fizycznym, które nie są przedsiębiorcami, organy wymierzają opłatę podwyższoną za korzystanie ze środowiska jedynie w zakresie emisji substancji lub energii do środowiska, czy w zakresie szerszym, również w zakresie składowania odpadów w miejscu na ten cel nieprzeznaczonym czy magazynowania odpadów bez decyzji określającej miejsce i sposób magazynowania.</w:t>
      </w:r>
    </w:p>
    <w:p>
      <w:pPr>
        <w:pStyle w:val="Style2"/>
        <w:keepNext w:val="0"/>
        <w:keepLines w:val="0"/>
        <w:widowControl w:val="0"/>
        <w:shd w:val="clear" w:color="auto" w:fill="auto"/>
        <w:bidi w:val="0"/>
        <w:spacing w:before="0" w:after="0"/>
        <w:ind w:left="0" w:right="0" w:firstLine="760"/>
        <w:jc w:val="both"/>
      </w:pPr>
      <w:r>
        <w:rPr>
          <w:rStyle w:val="CharStyle3"/>
          <w:b/>
          <w:bCs/>
        </w:rPr>
        <w:t xml:space="preserve">Kolejnym problemem nurtującym organy zobowiązane do wymierzania opłaty podwyższonej za korzystanie ze środowiska jest sytuacja, w której nieruchomość, gdzie magazynowane są odpady bez wymaganej decyzji określającej sposób i miejsce magazynowania lub są składowane w miejscu na ten cel nieprzeznaczonym, stanowi własność gminy. W praktyce niejednokrotnie spotykamy sytuacje, gdy na terenie działek gminnych, często deponowane są odpady, porzucone np. przez lokalną społeczność, jak również przez inne nieustalone podmioty. </w:t>
      </w:r>
      <w:r>
        <w:rPr>
          <w:rStyle w:val="CharStyle3"/>
        </w:rPr>
        <w:t>W obecnym systemie prawnym, opłatą podwyższoną za korzystanie ze środowiska powinna być obciążona gmina jako właściciel nieruchomości. W wielu przypadkach małych gmin wiejskich, już same koszty usunięcia odpadów przekraczają ich roczny budżet. Biorąc pod uwagę bezwzględny sposób naliczania opłaty (rodzaj odpadów, ich ilość i czas magazynowania), jej wysokość może sięgać milionów, miliardów złotych. Wymierzenie opłaty podwyższonej i próba jej egzekucji, w wielu przypadkach uniemożliwiłaby gminom dalsze funkcjonowanie i realizowanie własnych zadań ustawowych.</w:t>
      </w:r>
    </w:p>
    <w:p>
      <w:pPr>
        <w:pStyle w:val="Style2"/>
        <w:keepNext w:val="0"/>
        <w:keepLines w:val="0"/>
        <w:widowControl w:val="0"/>
        <w:shd w:val="clear" w:color="auto" w:fill="auto"/>
        <w:bidi w:val="0"/>
        <w:spacing w:before="0" w:after="0"/>
        <w:ind w:left="0" w:right="0" w:firstLine="760"/>
        <w:jc w:val="both"/>
      </w:pPr>
      <w:r>
        <w:rPr>
          <w:rStyle w:val="CharStyle3"/>
        </w:rPr>
        <w:t>Powyższe sprawy wskazują jednoznacznie, iż obowiązujące przepisy, nakazujące wymierzanie opłaty podwyższonej w sposób automatyczny, przy uwzględnieniu sztywnego mechanizmu jej określania, w przedmiotowych sprawach nie spełniały oczekiwanych celów zmierzających do ukarania podmiotów składujących/magazynujących odpady niezgodnie z obowiązującymi przepisami i w sposób realny nie służą ochronie środowiska. W wielu sytuacjach podmioty, którym opłaty podwyższone zostały wymierzone, nie są w stanie udźwignąć tak abstrakcyjnie wysokiego zobowiązania finansowego. W przypadku modyfikacji</w:t>
      </w:r>
    </w:p>
    <w:p>
      <w:pPr>
        <w:pStyle w:val="Style2"/>
        <w:keepNext w:val="0"/>
        <w:keepLines w:val="0"/>
        <w:widowControl w:val="0"/>
        <w:shd w:val="clear" w:color="auto" w:fill="auto"/>
        <w:bidi w:val="0"/>
        <w:spacing w:before="0" w:after="0"/>
        <w:ind w:left="0" w:right="0" w:firstLine="0"/>
        <w:jc w:val="both"/>
      </w:pPr>
      <w:r>
        <w:rPr>
          <w:rStyle w:val="CharStyle3"/>
        </w:rPr>
        <w:t>regulacji prawnych, gdyby wymierzona opłata podwyższona kształtowała się na poziomie dolegliwym, ale możliwym do spłaty czy wyegzekwowania, przyniosłoby to zakładany skutek zarówno dla podmiotu, który zostałby ukarany, jak i dla organu, który pozyskałby określone w decyzji środki i mógł je wydatkować na ustawowo określone cele.</w:t>
      </w:r>
    </w:p>
    <w:p>
      <w:pPr>
        <w:pStyle w:val="Style2"/>
        <w:keepNext w:val="0"/>
        <w:keepLines w:val="0"/>
        <w:widowControl w:val="0"/>
        <w:shd w:val="clear" w:color="auto" w:fill="auto"/>
        <w:bidi w:val="0"/>
        <w:spacing w:before="0" w:after="0"/>
        <w:ind w:left="0" w:right="0" w:firstLine="720"/>
        <w:jc w:val="both"/>
      </w:pPr>
      <w:r>
        <w:rPr>
          <w:rStyle w:val="CharStyle3"/>
        </w:rPr>
        <w:t>Reasumując, wskazać należy, iż obowiązujące przepisy regulujące kwestie związane z wymierzaniem opłaty podwyższonej za korzystanie ze środowiska są automatyczne i przewidują sztywny mechanizm jej określania. Analiza przypadków wymierzenia opłat podwyższonych w praktyce, okoliczności konkretnych spraw oraz wysokości wymierzonych opłat w oparciu o obowiązujące przepisy, które niejednokrotnie są niewspółmierne do sytuacji, wskazują na konieczność zmiany przepisów w tym zakresie. Uwzględniając, iż jako Minister podejmuje Pani działania odgrywające kluczową rolę w kształtowaniu polityki ekologicznej państwa i zapewnieniu zrównoważonego rozwoju, biorąc pod uwagę konieczność realizowania zasady pogłębiania zaufania obywateli do władzy publicznej, zwracam się z ogromną prośbą o rozważenie możliwości podjęcia działań zmierzających do zmiany przepisów ustawy Prawo ochrony środowiska w zakresie opłat podwyższonych.</w:t>
      </w:r>
    </w:p>
    <w:sectPr>
      <w:footerReference w:type="default" r:id="rId7"/>
      <w:footnotePr>
        <w:pos w:val="pageBottom"/>
        <w:numFmt w:val="decimal"/>
        <w:numRestart w:val="continuous"/>
      </w:footnotePr>
      <w:pgSz w:w="11900" w:h="16840"/>
      <w:pgMar w:top="1398" w:right="1371" w:bottom="1236" w:left="1366" w:header="97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6597650</wp:posOffset>
              </wp:positionH>
              <wp:positionV relativeFrom="page">
                <wp:posOffset>10034270</wp:posOffset>
              </wp:positionV>
              <wp:extent cx="54610" cy="91440"/>
              <wp:wrapNone/>
              <wp:docPr id="7" name="Shape 7"/>
              <a:graphic xmlns:a="http://schemas.openxmlformats.org/drawingml/2006/main">
                <a:graphicData uri="http://schemas.microsoft.com/office/word/2010/wordprocessingShape">
                  <wps:wsp>
                    <wps:cNvSpPr txBox="1"/>
                    <wps:spPr>
                      <a:xfrm>
                        <a:ext cx="54610"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11"/>
                                <w:rFonts w:ascii="Calibri" w:eastAsia="Calibri" w:hAnsi="Calibri" w:cs="Calibri"/>
                                <w:sz w:val="22"/>
                                <w:szCs w:val="22"/>
                              </w:rPr>
                              <w:t>#</w:t>
                            </w:r>
                          </w:fldSimple>
                        </w:p>
                      </w:txbxContent>
                    </wps:txbx>
                    <wps:bodyPr wrap="none" lIns="0" tIns="0" rIns="0" bIns="0">
                      <a:spAutoFit/>
                    </wps:bodyPr>
                  </wps:wsp>
                </a:graphicData>
              </a:graphic>
            </wp:anchor>
          </w:drawing>
        </mc:Choice>
        <mc:Fallback>
          <w:pict>
            <v:shape id="_x0000_s1033" type="#_x0000_t202" style="position:absolute;margin-left:519.5pt;margin-top:790.10000000000002pt;width:4.2999999999999998pt;height:7.2000000000000002pt;z-index:-188744062;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11"/>
                          <w:rFonts w:ascii="Calibri" w:eastAsia="Calibri" w:hAnsi="Calibri" w:cs="Calibri"/>
                          <w:sz w:val="22"/>
                          <w:szCs w:val="22"/>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abstractNum>
  <w:abstractNum w:abstractNumId="6">
    <w:multiLevelType w:val="multilevel"/>
    <w:lvl w:ilvl="0">
      <w:start w:val="5"/>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5">
    <w:name w:val="Body text (2)_"/>
    <w:basedOn w:val="DefaultParagraphFont"/>
    <w:link w:val="Style4"/>
    <w:rPr>
      <w:rFonts w:ascii="Arial" w:eastAsia="Arial" w:hAnsi="Arial" w:cs="Arial"/>
      <w:b/>
      <w:bCs/>
      <w:i w:val="0"/>
      <w:iCs w:val="0"/>
      <w:smallCaps w:val="0"/>
      <w:strike w:val="0"/>
      <w:color w:val="52BF82"/>
      <w:sz w:val="11"/>
      <w:szCs w:val="11"/>
      <w:u w:val="none"/>
    </w:rPr>
  </w:style>
  <w:style w:type="character" w:customStyle="1" w:styleId="CharStyle11">
    <w:name w:val="Header or footer (2)_"/>
    <w:basedOn w:val="DefaultParagraphFont"/>
    <w:link w:val="Style10"/>
    <w:rPr>
      <w:rFonts w:ascii="Times New Roman" w:eastAsia="Times New Roman" w:hAnsi="Times New Roman" w:cs="Times New Roman"/>
      <w:b w:val="0"/>
      <w:bCs w:val="0"/>
      <w:i w:val="0"/>
      <w:iCs w:val="0"/>
      <w:smallCaps w:val="0"/>
      <w:strike w:val="0"/>
      <w:sz w:val="20"/>
      <w:szCs w:val="20"/>
      <w:u w:val="none"/>
    </w:rPr>
  </w:style>
  <w:style w:type="paragraph" w:styleId="Style2">
    <w:name w:val="Body text"/>
    <w:basedOn w:val="Normal"/>
    <w:link w:val="CharStyle3"/>
    <w:qFormat/>
    <w:pPr>
      <w:widowControl w:val="0"/>
      <w:shd w:val="clear" w:color="auto" w:fill="auto"/>
      <w:spacing w:line="264" w:lineRule="auto"/>
      <w:ind w:firstLine="400"/>
    </w:pPr>
    <w:rPr>
      <w:rFonts w:ascii="Times New Roman" w:eastAsia="Times New Roman" w:hAnsi="Times New Roman" w:cs="Times New Roman"/>
      <w:b w:val="0"/>
      <w:bCs w:val="0"/>
      <w:i w:val="0"/>
      <w:iCs w:val="0"/>
      <w:smallCaps w:val="0"/>
      <w:strike w:val="0"/>
      <w:u w:val="none"/>
    </w:rPr>
  </w:style>
  <w:style w:type="paragraph" w:customStyle="1" w:styleId="Style4">
    <w:name w:val="Body text (2)"/>
    <w:basedOn w:val="Normal"/>
    <w:link w:val="CharStyle5"/>
    <w:pPr>
      <w:widowControl w:val="0"/>
      <w:shd w:val="clear" w:color="auto" w:fill="auto"/>
      <w:ind w:firstLine="180"/>
    </w:pPr>
    <w:rPr>
      <w:rFonts w:ascii="Arial" w:eastAsia="Arial" w:hAnsi="Arial" w:cs="Arial"/>
      <w:b/>
      <w:bCs/>
      <w:i w:val="0"/>
      <w:iCs w:val="0"/>
      <w:smallCaps w:val="0"/>
      <w:strike w:val="0"/>
      <w:color w:val="52BF82"/>
      <w:sz w:val="11"/>
      <w:szCs w:val="11"/>
      <w:u w:val="none"/>
    </w:rPr>
  </w:style>
  <w:style w:type="paragraph" w:customStyle="1" w:styleId="Style10">
    <w:name w:val="Header or footer (2)"/>
    <w:basedOn w:val="Normal"/>
    <w:link w:val="CharStyle11"/>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Nask</dc:creator>
  <cp:keywords/>
</cp:coreProperties>
</file>