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8.0 -->
  <w:body>
    <w:p w:rsidR="00A77B3E">
      <w:pPr>
        <w:keepNext w:val="0"/>
        <w:keepLines w:val="0"/>
        <w:numPr>
          <w:ilvl w:val="0"/>
          <w:numId w:val="0"/>
        </w:numPr>
        <w:spacing w:before="0" w:after="30" w:line="306" w:lineRule="atLeast"/>
        <w:ind w:left="0" w:right="0" w:firstLine="1020"/>
        <w:jc w:val="left"/>
        <w:rPr>
          <w:rFonts w:ascii="Times New Roman" w:eastAsia="Times New Roman" w:hAnsi="Times New Roman" w:cs="Times New Roman"/>
          <w:strike w:val="0"/>
          <w:color w:val="000000"/>
          <w:vertAlign w:val="baseline"/>
        </w:rPr>
      </w:pPr>
      <w:r>
        <w:rPr>
          <w:rFonts w:ascii="Times New Roman" w:eastAsia="Times New Roman" w:hAnsi="Times New Roman" w:cs="Times New Roman"/>
          <w:strike w:val="0"/>
          <w:color w:val="000000"/>
          <w:vertAlign w:val="baseline"/>
        </w:rPr>
        <w:drawing>
          <wp:inline>
            <wp:extent cx="723900" cy="666750"/>
            <wp:docPr id="10000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B3E">
      <w:pPr>
        <w:keepNext w:val="0"/>
        <w:keepLines w:val="0"/>
        <w:numPr>
          <w:ilvl w:val="0"/>
          <w:numId w:val="0"/>
        </w:numPr>
        <w:spacing w:before="30" w:after="0" w:line="400" w:lineRule="exact"/>
        <w:ind w:left="0" w:right="0" w:firstLine="0"/>
        <w:jc w:val="left"/>
        <w:rPr>
          <w:rFonts w:ascii="Arial" w:eastAsia="Arial" w:hAnsi="Arial" w:cs="Arial"/>
          <w:b/>
          <w:i w:val="0"/>
          <w:strike w:val="0"/>
          <w:color w:val="000000"/>
          <w:sz w:val="28"/>
          <w:u w:val="none"/>
          <w:vertAlign w:val="baseline"/>
        </w:rPr>
      </w:pPr>
      <w:r>
        <w:rPr>
          <w:rFonts w:ascii="Arial" w:eastAsia="Arial" w:hAnsi="Arial" w:cs="Arial"/>
          <w:b/>
          <w:i w:val="0"/>
          <w:strike w:val="0"/>
          <w:color w:val="000000"/>
          <w:sz w:val="28"/>
          <w:u w:val="none"/>
          <w:vertAlign w:val="baseline"/>
        </w:rPr>
        <w:t>WOJEWODA OPOLSKI</w:t>
      </w:r>
    </w:p>
    <w:p w:rsidR="00A77B3E">
      <w:pPr>
        <w:keepNext w:val="0"/>
        <w:keepLines w:val="0"/>
        <w:numPr>
          <w:ilvl w:val="0"/>
          <w:numId w:val="0"/>
        </w:numPr>
        <w:spacing w:before="0" w:after="0" w:line="396" w:lineRule="exact"/>
        <w:ind w:left="5655" w:right="0" w:firstLine="0"/>
        <w:jc w:val="left"/>
        <w:rPr>
          <w:rFonts w:ascii="Arial" w:eastAsia="Arial" w:hAnsi="Arial" w:cs="Arial"/>
          <w:b/>
          <w:i w:val="0"/>
          <w:strike w:val="0"/>
          <w:color w:val="000000"/>
          <w:sz w:val="22"/>
          <w:u w:val="none"/>
          <w:vertAlign w:val="baseline"/>
        </w:rPr>
      </w:pPr>
      <w:r>
        <w:rPr>
          <w:rFonts w:ascii="Arial" w:eastAsia="Arial" w:hAnsi="Arial" w:cs="Arial"/>
          <w:b w:val="0"/>
          <w:i w:val="0"/>
          <w:strike w:val="0"/>
          <w:color w:val="000000"/>
          <w:sz w:val="22"/>
          <w:u w:val="none"/>
          <w:vertAlign w:val="baseline"/>
        </w:rPr>
        <w:t>Opole</w:t>
      </w:r>
      <w:r>
        <w:rPr>
          <w:rFonts w:ascii="Arial" w:eastAsia="Arial" w:hAnsi="Arial" w:cs="Arial"/>
          <w:b/>
          <w:i w:val="0"/>
          <w:strike w:val="0"/>
          <w:color w:val="000000"/>
          <w:sz w:val="22"/>
          <w:u w:val="none"/>
          <w:vertAlign w:val="baseline"/>
        </w:rPr>
        <w:t xml:space="preserve">, </w:t>
      </w:r>
      <w:r>
        <w:rPr>
          <w:rFonts w:ascii="Arial" w:eastAsia="Arial" w:hAnsi="Arial" w:cs="Arial"/>
          <w:b w:val="0"/>
          <w:i w:val="0"/>
          <w:strike w:val="0"/>
          <w:color w:val="000000"/>
          <w:sz w:val="22"/>
          <w:u w:val="none"/>
          <w:vertAlign w:val="baseline"/>
        </w:rPr>
        <w:t xml:space="preserve">dnia </w:t>
      </w:r>
      <w:r>
        <w:rPr>
          <w:rFonts w:ascii="Arial" w:eastAsia="Arial" w:hAnsi="Arial" w:cs="Arial"/>
          <w:b w:val="0"/>
          <w:i w:val="0"/>
          <w:strike w:val="0"/>
          <w:color w:val="000000"/>
          <w:sz w:val="22"/>
          <w:u w:val="none"/>
          <w:vertAlign w:val="baseline"/>
        </w:rPr>
        <w:t>22 lutego 2022</w:t>
      </w:r>
      <w:r>
        <w:rPr>
          <w:rFonts w:ascii="Arial" w:eastAsia="Arial" w:hAnsi="Arial" w:cs="Arial"/>
          <w:b w:val="0"/>
          <w:i w:val="0"/>
          <w:strike w:val="0"/>
          <w:color w:val="000000"/>
          <w:sz w:val="22"/>
          <w:u w:val="none"/>
          <w:vertAlign w:val="baseline"/>
        </w:rPr>
        <w:t xml:space="preserve"> r</w:t>
      </w:r>
      <w:r>
        <w:rPr>
          <w:rFonts w:ascii="Arial" w:eastAsia="Arial" w:hAnsi="Arial" w:cs="Arial"/>
          <w:b/>
          <w:i w:val="0"/>
          <w:strike w:val="0"/>
          <w:color w:val="000000"/>
          <w:sz w:val="22"/>
          <w:u w:val="none"/>
          <w:vertAlign w:val="baseline"/>
        </w:rPr>
        <w:t>.</w:t>
      </w:r>
    </w:p>
    <w:p w:rsidR="00A77B3E">
      <w:pPr>
        <w:keepNext w:val="0"/>
        <w:keepLines w:val="0"/>
        <w:numPr>
          <w:ilvl w:val="0"/>
          <w:numId w:val="0"/>
        </w:numPr>
        <w:spacing w:before="0" w:after="0" w:line="396" w:lineRule="exact"/>
        <w:ind w:left="5655" w:right="0" w:firstLine="0"/>
        <w:jc w:val="left"/>
        <w:rPr>
          <w:rFonts w:ascii="Arial" w:eastAsia="Arial" w:hAnsi="Arial" w:cs="Arial"/>
          <w:b w:val="0"/>
          <w:i w:val="0"/>
          <w:strike w:val="0"/>
          <w:color w:val="000000"/>
          <w:sz w:val="22"/>
          <w:u w:val="none"/>
          <w:vertAlign w:val="baseline"/>
        </w:rPr>
      </w:pPr>
      <w:r>
        <w:rPr>
          <w:rFonts w:ascii="Arial" w:eastAsia="Arial" w:hAnsi="Arial" w:cs="Arial"/>
          <w:b w:val="0"/>
          <w:i w:val="0"/>
          <w:strike w:val="0"/>
          <w:color w:val="000000"/>
          <w:sz w:val="22"/>
          <w:u w:val="none"/>
          <w:vertAlign w:val="baseline"/>
        </w:rPr>
        <w:t>PN.III.4131.1.27.2022</w:t>
      </w:r>
    </w:p>
    <w:p w:rsidR="00A77B3E">
      <w:pPr>
        <w:keepNext w:val="0"/>
        <w:keepLines w:val="0"/>
        <w:numPr>
          <w:ilvl w:val="0"/>
          <w:numId w:val="0"/>
        </w:numPr>
        <w:spacing w:before="840" w:after="0" w:line="300" w:lineRule="exact"/>
        <w:ind w:left="6075" w:right="15" w:firstLine="0"/>
        <w:jc w:val="left"/>
        <w:rPr>
          <w:rFonts w:ascii="Arial" w:eastAsia="Arial" w:hAnsi="Arial" w:cs="Arial"/>
          <w:b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/>
          <w:i w:val="0"/>
          <w:strike w:val="0"/>
          <w:color w:val="000000"/>
          <w:sz w:val="24"/>
          <w:u w:val="none"/>
          <w:vertAlign w:val="baseline"/>
        </w:rPr>
        <w:t>Pan </w:t>
      </w:r>
    </w:p>
    <w:p w:rsidR="00A77B3E">
      <w:pPr>
        <w:keepNext w:val="0"/>
        <w:keepLines w:val="0"/>
        <w:numPr>
          <w:ilvl w:val="0"/>
          <w:numId w:val="0"/>
        </w:numPr>
        <w:spacing w:before="0" w:after="0" w:line="300" w:lineRule="exact"/>
        <w:ind w:left="6075" w:right="15" w:firstLine="0"/>
        <w:jc w:val="left"/>
        <w:rPr>
          <w:rFonts w:ascii="Arial" w:eastAsia="Arial" w:hAnsi="Arial" w:cs="Arial"/>
          <w:b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/>
          <w:i w:val="0"/>
          <w:strike w:val="0"/>
          <w:color w:val="000000"/>
          <w:sz w:val="24"/>
          <w:u w:val="none"/>
          <w:vertAlign w:val="baseline"/>
        </w:rPr>
        <w:t>Andrzej Kapica</w:t>
      </w:r>
    </w:p>
    <w:p w:rsidR="00A77B3E">
      <w:pPr>
        <w:keepNext w:val="0"/>
        <w:keepLines w:val="0"/>
        <w:numPr>
          <w:ilvl w:val="0"/>
          <w:numId w:val="0"/>
        </w:numPr>
        <w:spacing w:before="0" w:after="0" w:line="300" w:lineRule="exact"/>
        <w:ind w:left="6075" w:right="15" w:firstLine="0"/>
        <w:jc w:val="left"/>
        <w:rPr>
          <w:rFonts w:ascii="Arial" w:eastAsia="Arial" w:hAnsi="Arial" w:cs="Arial"/>
          <w:b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/>
          <w:i w:val="0"/>
          <w:strike w:val="0"/>
          <w:color w:val="000000"/>
          <w:sz w:val="24"/>
          <w:u w:val="none"/>
          <w:vertAlign w:val="baseline"/>
        </w:rPr>
        <w:t>Przewodniczący Rady Gminy Izbicko</w:t>
      </w:r>
    </w:p>
    <w:p w:rsidR="00A77B3E">
      <w:pPr>
        <w:keepNext w:val="0"/>
        <w:keepLines w:val="0"/>
        <w:numPr>
          <w:ilvl w:val="0"/>
          <w:numId w:val="0"/>
        </w:numPr>
        <w:spacing w:before="0" w:after="0" w:line="300" w:lineRule="exact"/>
        <w:ind w:left="6075" w:right="15" w:firstLine="0"/>
        <w:jc w:val="left"/>
        <w:rPr>
          <w:rFonts w:ascii="Arial" w:eastAsia="Arial" w:hAnsi="Arial" w:cs="Arial"/>
          <w:b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/>
          <w:i w:val="0"/>
          <w:strike w:val="0"/>
          <w:color w:val="000000"/>
          <w:sz w:val="24"/>
          <w:u w:val="none"/>
          <w:vertAlign w:val="baseline"/>
        </w:rPr>
        <w:t xml:space="preserve">ul. Powstańców Śląskich 12 </w:t>
      </w:r>
    </w:p>
    <w:p w:rsidR="00A77B3E">
      <w:pPr>
        <w:keepNext w:val="0"/>
        <w:keepLines w:val="0"/>
        <w:numPr>
          <w:ilvl w:val="0"/>
          <w:numId w:val="0"/>
        </w:numPr>
        <w:spacing w:before="0" w:after="0" w:line="300" w:lineRule="exact"/>
        <w:ind w:left="6075" w:right="15" w:firstLine="0"/>
        <w:jc w:val="left"/>
        <w:rPr>
          <w:rFonts w:ascii="Arial" w:eastAsia="Arial" w:hAnsi="Arial" w:cs="Arial"/>
          <w:b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/>
          <w:i w:val="0"/>
          <w:strike w:val="0"/>
          <w:color w:val="000000"/>
          <w:sz w:val="24"/>
          <w:u w:val="none"/>
          <w:vertAlign w:val="baseline"/>
        </w:rPr>
        <w:t xml:space="preserve">47-180 Izbicko </w:t>
      </w:r>
    </w:p>
    <w:p w:rsidR="00A77B3E">
      <w:pPr>
        <w:keepNext w:val="0"/>
        <w:keepLines w:val="0"/>
        <w:numPr>
          <w:ilvl w:val="0"/>
          <w:numId w:val="0"/>
        </w:numPr>
        <w:spacing w:before="720" w:after="0" w:line="432" w:lineRule="exact"/>
        <w:ind w:left="0" w:right="15" w:firstLine="0"/>
        <w:jc w:val="center"/>
        <w:rPr>
          <w:rFonts w:ascii="Arial" w:eastAsia="Arial" w:hAnsi="Arial" w:cs="Arial"/>
          <w:b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/>
          <w:i w:val="0"/>
          <w:strike w:val="0"/>
          <w:color w:val="000000"/>
          <w:sz w:val="24"/>
          <w:u w:val="none"/>
          <w:vertAlign w:val="baseline"/>
        </w:rPr>
        <w:t>Rozstrzygnięcie nadzorcze</w:t>
      </w:r>
    </w:p>
    <w:p w:rsidR="00A77B3E">
      <w:pPr>
        <w:keepNext w:val="0"/>
        <w:keepLines w:val="0"/>
        <w:numPr>
          <w:ilvl w:val="0"/>
          <w:numId w:val="0"/>
        </w:numPr>
        <w:spacing w:before="120" w:after="120" w:line="432" w:lineRule="exact"/>
        <w:ind w:left="15" w:right="15" w:firstLine="570"/>
        <w:jc w:val="left"/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  <w:t>Na podstawie art. 91 ust. 1 i 3 ustawy z dnia 8 marca 1990 r. o samorządzie gminnym (Dz. U. z 2021 r. poz.1372)</w:t>
      </w:r>
    </w:p>
    <w:p w:rsidR="00A77B3E">
      <w:pPr>
        <w:keepNext w:val="0"/>
        <w:keepLines w:val="0"/>
        <w:numPr>
          <w:ilvl w:val="0"/>
          <w:numId w:val="0"/>
        </w:numPr>
        <w:spacing w:before="240" w:after="120" w:line="432" w:lineRule="exact"/>
        <w:ind w:left="15" w:right="15" w:firstLine="0"/>
        <w:jc w:val="center"/>
        <w:rPr>
          <w:rFonts w:ascii="Arial" w:eastAsia="Arial" w:hAnsi="Arial" w:cs="Arial"/>
          <w:b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/>
          <w:i w:val="0"/>
          <w:strike w:val="0"/>
          <w:color w:val="000000"/>
          <w:sz w:val="24"/>
          <w:u w:val="none"/>
          <w:vertAlign w:val="baseline"/>
        </w:rPr>
        <w:t>stwierdzam</w:t>
      </w:r>
    </w:p>
    <w:p w:rsidR="00A77B3E">
      <w:pPr>
        <w:keepNext w:val="0"/>
        <w:keepLines w:val="0"/>
        <w:numPr>
          <w:ilvl w:val="0"/>
          <w:numId w:val="0"/>
        </w:numPr>
        <w:spacing w:before="240" w:after="120" w:line="432" w:lineRule="exact"/>
        <w:ind w:left="15" w:right="15" w:firstLine="570"/>
        <w:jc w:val="left"/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  <w:t>nieważność uchwały Nr XXXVI.297.2022 Rady Gminy Izbicko z dnia 24 stycznia 2022 r. w sprawie wyznaczenia miejsc do prowadzenia handlu w piątki i soboty przez rolników i ich domowników oraz określenia zasad prowadzenia handlu w piątki i soboty przez rolników i ich domowników na wyznaczonych miejscach  w części obejmującej § 6 załącznika do przedmiotowej uchwały – z powodu istotnego naruszenia prawa.</w:t>
      </w:r>
    </w:p>
    <w:p w:rsidR="00A77B3E">
      <w:pPr>
        <w:keepNext w:val="0"/>
        <w:keepLines w:val="0"/>
        <w:numPr>
          <w:ilvl w:val="0"/>
          <w:numId w:val="0"/>
        </w:numPr>
        <w:spacing w:before="300" w:after="90" w:line="432" w:lineRule="exact"/>
        <w:ind w:left="15" w:right="15" w:firstLine="0"/>
        <w:jc w:val="center"/>
        <w:rPr>
          <w:rFonts w:ascii="Arial" w:eastAsia="Arial" w:hAnsi="Arial" w:cs="Arial"/>
          <w:b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/>
          <w:i w:val="0"/>
          <w:strike w:val="0"/>
          <w:color w:val="000000"/>
          <w:sz w:val="24"/>
          <w:u w:val="none"/>
          <w:vertAlign w:val="baseline"/>
        </w:rPr>
        <w:t>Uzasadnienie</w:t>
      </w:r>
    </w:p>
    <w:p w:rsidR="00A77B3E">
      <w:pPr>
        <w:keepNext w:val="0"/>
        <w:keepLines w:val="0"/>
        <w:numPr>
          <w:ilvl w:val="0"/>
          <w:numId w:val="0"/>
        </w:numPr>
        <w:spacing w:before="210" w:after="120" w:line="432" w:lineRule="exact"/>
        <w:ind w:left="15" w:right="15" w:firstLine="570"/>
        <w:jc w:val="left"/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  <w:t xml:space="preserve">W dniu 24 stycznia 2022 r. Rada Gminy Izbicko, powołując się art. 3, art. 5 i art. 6 ustawy z dnia 29 października 2021 r. o ułatwieniach w prowadzeniu handlu w piątki i soboty przez rolników i ich domowników (Dz. U. z 2021 r. poz. 2290) podjęła uchwałę nr </w:t>
      </w:r>
      <w:r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  <w:t>XXXVI.297.2022</w:t>
      </w:r>
      <w:r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  <w:t xml:space="preserve"> w sprawie wyznaczenia miejsc do prowadzenia handlu w piątki i soboty przez rolników i ich domowników oraz określenia zasad prowadzenia handlu w piątki i soboty przez rolników i ich domowników na wyznaczonych miejscach. Przedmiotowa uchwała wpłynęła do organu nadzoru w dniu 28 stycznia 2022 r.</w:t>
      </w:r>
    </w:p>
    <w:p w:rsidR="00A77B3E">
      <w:pPr>
        <w:keepNext w:val="0"/>
        <w:keepLines w:val="0"/>
        <w:numPr>
          <w:ilvl w:val="0"/>
          <w:numId w:val="0"/>
        </w:numPr>
        <w:spacing w:before="240" w:after="0" w:line="432" w:lineRule="exact"/>
        <w:ind w:left="0" w:right="0" w:firstLine="570"/>
        <w:jc w:val="left"/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  <w:t xml:space="preserve">W kwestionowanym akcie Rada Gminy Izbicko ustaliła szereg zachowań, które uznała za zabronione w miejscu wyznaczonym do prowadzenia handlu w piątki i soboty przez rolników i ich domowników. W ocenie organu nadzoru przedmiotowa uchwała, w tym zakresie w sposób istotny narusza prawo. Przekroczono bowiem delegację ustawową, wynikającą z art. 5 ustawy o ułatwieniach w prowadzeniu handlu </w:t>
      </w:r>
      <w:r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  <w:t>w piątki i soboty przez rolników i ich domowników. Za nierespektujące zakresu upoważnienia ustawowego należy uznać postanowienia zawarte w § 6 regulaminu stanowiącego załącznik do ww. uchwały, a mianowicie:</w:t>
      </w:r>
    </w:p>
    <w:p w:rsidR="00A77B3E">
      <w:pPr>
        <w:keepNext w:val="0"/>
        <w:keepLines w:val="0"/>
        <w:numPr>
          <w:ilvl w:val="0"/>
          <w:numId w:val="0"/>
        </w:numPr>
        <w:spacing w:before="0" w:after="0" w:line="432" w:lineRule="exact"/>
        <w:ind w:left="270" w:right="0" w:firstLine="0"/>
        <w:jc w:val="both"/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  <w:t>1) zakaz prowadzenia wszelkiego rodzaju gier hazardowych – stanowi powtórzenie art. 128 ustawy z dnia 20 maja 1971 r. Kodeks wykroczeń (Dz. U. z 2021 r. poz. 2008),</w:t>
      </w:r>
    </w:p>
    <w:p w:rsidR="00A77B3E">
      <w:pPr>
        <w:keepNext w:val="0"/>
        <w:keepLines w:val="0"/>
        <w:numPr>
          <w:ilvl w:val="0"/>
          <w:numId w:val="0"/>
        </w:numPr>
        <w:spacing w:before="0" w:after="0" w:line="432" w:lineRule="exact"/>
        <w:ind w:left="270" w:right="0" w:firstLine="0"/>
        <w:jc w:val="both"/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  <w:t xml:space="preserve">2) zakaz przebywania w stanie nietrzeźwym i zakaz spożywania napojów alkoholowych – sprawy związane ze sprzedażą, podawaniem oraz spożywaniem napojów alkoholowych uregulowane zostały w sposób kompleksowy w art. 14 </w:t>
      </w:r>
      <w:r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  <w:t>ustawy z dnia 26 października 1982 r. o wychowaniu w trzeźwości i przeciwdziałaniu alkoholizmowi (Dz. U. z 2021 r. poz. 1119). W szczególności art. 14 ust. 6 ww. ustawy upoważnia radę gminy do ustanowienia czasowego lub stałego zakazu sprzedaży, podawania, spożywania oraz wnoszenia napojów alkoholowych w innych niewymienionych w ustawie miejscach, obiektach lub na określonych obszarach gminy, ze względu na ich charakter. Mając na uwadze powyższe należy podkreślić, że wprowadzenie tego rodzaju zakazów nie może następować w przedmiotowym regulaminie, podejmowanym na podstawie art. 5 ustawy o ułatwieniach w prowadzeniu handlu w piątki i soboty przez rolników i ich domowników,</w:t>
      </w:r>
    </w:p>
    <w:p w:rsidR="00A77B3E">
      <w:pPr>
        <w:keepNext w:val="0"/>
        <w:keepLines w:val="0"/>
        <w:numPr>
          <w:ilvl w:val="0"/>
          <w:numId w:val="0"/>
        </w:numPr>
        <w:spacing w:before="0" w:after="0" w:line="432" w:lineRule="exact"/>
        <w:ind w:left="270" w:right="0" w:firstLine="0"/>
        <w:jc w:val="both"/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  <w:t>3) zakaz używania substancji zmieniających świadomość – wynika z art. 62 ustawy z dnia 29 lipca 2005 r. o przeciwdziałaniu narkomanii (Dz. U. z 2020 r. poz. 2050),</w:t>
      </w:r>
    </w:p>
    <w:p w:rsidR="00A77B3E">
      <w:pPr>
        <w:keepNext w:val="0"/>
        <w:keepLines w:val="0"/>
        <w:numPr>
          <w:ilvl w:val="0"/>
          <w:numId w:val="0"/>
        </w:numPr>
        <w:spacing w:before="0" w:after="0" w:line="432" w:lineRule="exact"/>
        <w:ind w:left="270" w:right="0" w:firstLine="0"/>
        <w:jc w:val="both"/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  <w:t>4) zakaz zaśmiecania terenów - został uregulowany w art. 145 Kodeksu wykroczeń, </w:t>
      </w:r>
    </w:p>
    <w:p w:rsidR="00A77B3E">
      <w:pPr>
        <w:keepNext w:val="0"/>
        <w:keepLines w:val="0"/>
        <w:numPr>
          <w:ilvl w:val="0"/>
          <w:numId w:val="0"/>
        </w:numPr>
        <w:spacing w:before="0" w:after="0" w:line="432" w:lineRule="exact"/>
        <w:ind w:left="270" w:right="0" w:firstLine="0"/>
        <w:jc w:val="both"/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  <w:t>5) zakaz niszczenia obiektów i urządzeń – normuje art. 124 § 1 Kodeksu wykroczeń.</w:t>
      </w:r>
    </w:p>
    <w:p w:rsidR="00A77B3E">
      <w:pPr>
        <w:keepNext w:val="0"/>
        <w:keepLines w:val="0"/>
        <w:numPr>
          <w:ilvl w:val="0"/>
          <w:numId w:val="0"/>
        </w:numPr>
        <w:spacing w:before="0" w:after="0" w:line="432" w:lineRule="exact"/>
        <w:ind w:left="0" w:right="0" w:firstLine="570"/>
        <w:jc w:val="left"/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  <w:t xml:space="preserve">Rada gminy, formułując postanowienia uchwały stanowiącej akt prawa miejscowego, nie tylko nie może wykraczać poza zakres ustawowego upoważnienia, ale i naruszać innych powszechnie obowiązujących przepisów prawa. Stąd też, akty prawa miejscowego nie powinny w żaden sposób regulować materii należącej do przepisów wyższego rzędu i tymi przepisami normowanej (nawet, jeśli taka regulacja stanowiłaby jedynie powtórzenie obowiązującego przepisu). Ponowne uregulowanie przez radę gminy materii ustawowej prowadzić może do sprzeczności z obowiązującym w tym zakresie przepisem ustawy, i to nie tylko w przypadkach, w których postanowienia uchwały w sposób oczywisty normują określone zagadnienia wbrew obowiązującym przepisom prawa. Również i modyfikacja, czy powtórzenie przepisów ustawy może wypaczyć ich sens. Trzeba bowiem liczyć się z tym, że powtórzony, czy zmodyfikowany przepis będzie interpretowany w kontekście uchwały, co może spowodować całkowitą lub częściową zmianę intencji prawodawcy. </w:t>
      </w:r>
    </w:p>
    <w:p w:rsidR="00A77B3E">
      <w:pPr>
        <w:keepNext w:val="0"/>
        <w:keepLines w:val="0"/>
        <w:numPr>
          <w:ilvl w:val="0"/>
          <w:numId w:val="0"/>
        </w:numPr>
        <w:spacing w:before="240" w:after="240" w:line="432" w:lineRule="exact"/>
        <w:ind w:left="0" w:right="0" w:firstLine="570"/>
        <w:jc w:val="left"/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  <w:t>Ustawodawca, kształtując upoważnienie rady do wydania uchwały w tym przedmiocie, precyzyjnie wskazał, które kwestie pozostawił regulacji jednostki samorządu terytorialnego. W przypadku aktów prawa miejscowego przekroczenie delegacji ustawowej stanowi istotne naruszenie prawa. Rada gminy obowiązana jest przestrzegać zakresu udzielonego przez ustawę upoważnienia w zakresie tworzenia przepisów wykonawczych, a w tych działaniach nie może tego upoważniania zawężać i przekraczać. Wydając akty będące źródłem powszechnie obowiązującego prawa Rzeczpospolitej Polskiej na obszarze danej gminy (art. 87 ust. 2 Konstytucji RP) musi respektować zakres delegacji zawartej w aktach prawnych wyższego rzędu, powstrzymując się od wypełniania ich treści postanowieniami ustawy (por. wyrok NSA z dnia 28 lutego 2003 r., sygn. akt I SA/Lu 882/02).</w:t>
      </w:r>
    </w:p>
    <w:p w:rsidR="00A77B3E">
      <w:pPr>
        <w:keepNext w:val="0"/>
        <w:keepLines w:val="0"/>
        <w:numPr>
          <w:ilvl w:val="0"/>
          <w:numId w:val="0"/>
        </w:numPr>
        <w:spacing w:before="360" w:after="120" w:line="432" w:lineRule="exact"/>
        <w:ind w:left="15" w:right="15" w:firstLine="570"/>
        <w:jc w:val="left"/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  <w:t>Mając na uwadze powyższe, stwierdzam jak na wstępie.</w:t>
      </w:r>
    </w:p>
    <w:p w:rsidR="00A77B3E">
      <w:pPr>
        <w:keepNext w:val="0"/>
        <w:keepLines w:val="0"/>
        <w:numPr>
          <w:ilvl w:val="0"/>
          <w:numId w:val="0"/>
        </w:numPr>
        <w:spacing w:before="240" w:after="120" w:line="432" w:lineRule="exact"/>
        <w:ind w:left="15" w:right="15" w:firstLine="570"/>
        <w:jc w:val="left"/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  <w:t>Na podstawie art. 98 ust. 1 ustawy z dnia 8 marca 1990 r. o samorządzie gminnym, w związku z art. 54 § 1 ustawy z dnia 30 sierpnia 2002 r. o postępowaniu przed sądami administracyjnymi (Dz. U. z 2019 r. poz. 2325) niniejsze rozstrzygnięcie nadzorcze może być zaskarżone do Wojewódzkiego Sądu Administracyjnego w Opolu za pośrednictwem Wojewody Opolskiego w terminie 30 dni od dnia jego doręczenia.</w:t>
      </w:r>
    </w:p>
    <w:p w:rsidR="00A77B3E">
      <w:pPr>
        <w:keepNext w:val="0"/>
        <w:keepLines w:val="0"/>
        <w:numPr>
          <w:ilvl w:val="0"/>
          <w:numId w:val="0"/>
        </w:numPr>
        <w:spacing w:before="570" w:after="0" w:line="396" w:lineRule="exact"/>
        <w:ind w:left="4500" w:right="0" w:firstLine="0"/>
        <w:jc w:val="center"/>
        <w:rPr>
          <w:rFonts w:ascii="Arial" w:eastAsia="Arial" w:hAnsi="Arial" w:cs="Arial"/>
          <w:b/>
          <w:i w:val="0"/>
          <w:strike w:val="0"/>
          <w:color w:val="FF0033"/>
          <w:sz w:val="22"/>
          <w:u w:val="none"/>
          <w:vertAlign w:val="baseline"/>
        </w:rPr>
      </w:pPr>
      <w:r>
        <w:rPr>
          <w:rFonts w:ascii="Arial" w:eastAsia="Arial" w:hAnsi="Arial" w:cs="Arial"/>
          <w:b/>
          <w:i w:val="0"/>
          <w:strike w:val="0"/>
          <w:color w:val="FF0033"/>
          <w:sz w:val="22"/>
          <w:u w:val="none"/>
          <w:vertAlign w:val="baseline"/>
        </w:rPr>
        <w:t xml:space="preserve">Z up. Wojewody Opolskiego </w:t>
      </w:r>
    </w:p>
    <w:p w:rsidR="00A77B3E">
      <w:pPr>
        <w:keepNext w:val="0"/>
        <w:keepLines w:val="0"/>
        <w:numPr>
          <w:ilvl w:val="0"/>
          <w:numId w:val="0"/>
        </w:numPr>
        <w:spacing w:before="0" w:after="0" w:line="432" w:lineRule="exact"/>
        <w:ind w:left="4500" w:right="0" w:firstLine="0"/>
        <w:jc w:val="center"/>
        <w:rPr>
          <w:rFonts w:ascii="Arial" w:eastAsia="Arial" w:hAnsi="Arial" w:cs="Arial"/>
          <w:b/>
          <w:i w:val="0"/>
          <w:strike w:val="0"/>
          <w:color w:val="FF0033"/>
          <w:sz w:val="22"/>
          <w:u w:val="none"/>
          <w:vertAlign w:val="baseline"/>
        </w:rPr>
      </w:pPr>
    </w:p>
    <w:p w:rsidR="00A77B3E">
      <w:pPr>
        <w:keepNext w:val="0"/>
        <w:keepLines w:val="0"/>
        <w:numPr>
          <w:ilvl w:val="0"/>
          <w:numId w:val="0"/>
        </w:numPr>
        <w:spacing w:before="225" w:after="0" w:line="396" w:lineRule="exact"/>
        <w:ind w:left="4500" w:right="0" w:firstLine="0"/>
        <w:jc w:val="center"/>
        <w:rPr>
          <w:rFonts w:ascii="Arial" w:eastAsia="Arial" w:hAnsi="Arial" w:cs="Arial"/>
          <w:b/>
          <w:i w:val="0"/>
          <w:strike w:val="0"/>
          <w:color w:val="FF0033"/>
          <w:sz w:val="22"/>
          <w:u w:val="none"/>
          <w:vertAlign w:val="baseline"/>
        </w:rPr>
      </w:pPr>
      <w:r>
        <w:rPr>
          <w:rFonts w:ascii="Arial" w:eastAsia="Arial" w:hAnsi="Arial" w:cs="Arial"/>
          <w:b/>
          <w:i w:val="0"/>
          <w:strike w:val="0"/>
          <w:color w:val="FF0033"/>
          <w:sz w:val="22"/>
          <w:u w:val="none"/>
          <w:vertAlign w:val="baseline"/>
        </w:rPr>
        <w:t>Ewelina Kurzydło</w:t>
      </w:r>
    </w:p>
    <w:p w:rsidR="00A77B3E">
      <w:pPr>
        <w:keepNext w:val="0"/>
        <w:keepLines w:val="0"/>
        <w:numPr>
          <w:ilvl w:val="0"/>
          <w:numId w:val="0"/>
        </w:numPr>
        <w:spacing w:before="0" w:after="0" w:line="396" w:lineRule="exact"/>
        <w:ind w:left="4500" w:right="0" w:firstLine="0"/>
        <w:jc w:val="center"/>
        <w:rPr>
          <w:rFonts w:ascii="Arial" w:eastAsia="Arial" w:hAnsi="Arial" w:cs="Arial"/>
          <w:b/>
          <w:i w:val="0"/>
          <w:strike w:val="0"/>
          <w:color w:val="FF0033"/>
          <w:sz w:val="22"/>
          <w:u w:val="none"/>
          <w:vertAlign w:val="baseline"/>
        </w:rPr>
      </w:pPr>
      <w:r>
        <w:rPr>
          <w:rFonts w:ascii="Arial" w:eastAsia="Arial" w:hAnsi="Arial" w:cs="Arial"/>
          <w:b/>
          <w:i w:val="0"/>
          <w:strike w:val="0"/>
          <w:color w:val="FF0033"/>
          <w:sz w:val="22"/>
          <w:u w:val="none"/>
          <w:vertAlign w:val="baseline"/>
        </w:rPr>
        <w:t xml:space="preserve">Zastępca Dyrektora </w:t>
      </w:r>
    </w:p>
    <w:p w:rsidR="00A77B3E">
      <w:pPr>
        <w:keepNext w:val="0"/>
        <w:keepLines w:val="0"/>
        <w:numPr>
          <w:ilvl w:val="0"/>
          <w:numId w:val="0"/>
        </w:numPr>
        <w:spacing w:before="0" w:after="0" w:line="396" w:lineRule="exact"/>
        <w:ind w:left="4500" w:right="0" w:firstLine="0"/>
        <w:jc w:val="center"/>
        <w:rPr>
          <w:rFonts w:ascii="Arial" w:eastAsia="Arial" w:hAnsi="Arial" w:cs="Arial"/>
          <w:b/>
          <w:i w:val="0"/>
          <w:strike w:val="0"/>
          <w:color w:val="FF0033"/>
          <w:sz w:val="22"/>
          <w:u w:val="none"/>
          <w:vertAlign w:val="baseline"/>
        </w:rPr>
      </w:pPr>
      <w:r>
        <w:rPr>
          <w:rFonts w:ascii="Arial" w:eastAsia="Arial" w:hAnsi="Arial" w:cs="Arial"/>
          <w:b/>
          <w:i w:val="0"/>
          <w:strike w:val="0"/>
          <w:color w:val="FF0033"/>
          <w:sz w:val="22"/>
          <w:u w:val="none"/>
          <w:vertAlign w:val="baseline"/>
        </w:rPr>
        <w:t>Wydziału Prawnego i Nadzoru</w:t>
      </w:r>
    </w:p>
    <w:p w:rsidR="00A77B3E">
      <w:pPr>
        <w:keepNext w:val="0"/>
        <w:keepLines w:val="0"/>
        <w:numPr>
          <w:ilvl w:val="0"/>
          <w:numId w:val="0"/>
        </w:numPr>
        <w:spacing w:before="540" w:after="270" w:line="432" w:lineRule="exact"/>
        <w:ind w:left="0" w:right="15" w:firstLine="4950"/>
        <w:jc w:val="center"/>
        <w:rPr>
          <w:rFonts w:ascii="Arial" w:eastAsia="Arial" w:hAnsi="Arial" w:cs="Arial"/>
          <w:b/>
          <w:i w:val="0"/>
          <w:strike w:val="0"/>
          <w:color w:val="FF0033"/>
          <w:sz w:val="22"/>
          <w:u w:val="none"/>
          <w:vertAlign w:val="baseline"/>
        </w:rPr>
      </w:pPr>
    </w:p>
    <w:p w:rsidR="00A77B3E">
      <w:pPr>
        <w:keepNext w:val="0"/>
        <w:keepLines w:val="0"/>
        <w:numPr>
          <w:ilvl w:val="0"/>
          <w:numId w:val="0"/>
        </w:numPr>
        <w:spacing w:before="720" w:after="0" w:line="275" w:lineRule="exact"/>
        <w:ind w:left="0" w:right="15" w:firstLine="0"/>
        <w:jc w:val="left"/>
        <w:rPr>
          <w:rFonts w:ascii="Arial" w:eastAsia="Arial" w:hAnsi="Arial" w:cs="Arial"/>
          <w:b w:val="0"/>
          <w:i w:val="0"/>
          <w:strike w:val="0"/>
          <w:color w:val="000000"/>
          <w:sz w:val="22"/>
          <w:u w:val="none"/>
          <w:vertAlign w:val="baseline"/>
        </w:rPr>
        <w:sectPr>
          <w:headerReference w:type="default" r:id="rId5"/>
          <w:footerReference w:type="default" r:id="rId6"/>
          <w:headerReference w:type="first" r:id="rId7"/>
          <w:footerReference w:type="first" r:id="rId8"/>
          <w:endnotePr>
            <w:numFmt w:val="decimal"/>
          </w:endnotePr>
          <w:pgSz w:w="11906" w:h="16838"/>
          <w:pgMar w:top="1115" w:right="1060" w:bottom="1115" w:left="1060" w:header="0" w:footer="0" w:gutter="0"/>
          <w:cols w:space="708"/>
          <w:titlePg/>
          <w:docGrid w:linePitch="360"/>
        </w:sectPr>
      </w:pPr>
      <w:r>
        <w:rPr>
          <w:rFonts w:ascii="Arial" w:eastAsia="Arial" w:hAnsi="Arial" w:cs="Arial"/>
          <w:b w:val="0"/>
          <w:i w:val="0"/>
          <w:strike w:val="0"/>
          <w:color w:val="000000"/>
          <w:sz w:val="22"/>
          <w:u w:val="none"/>
          <w:vertAlign w:val="baseline"/>
        </w:rPr>
        <w:t>Prowadzący sprawę: Wojciech Cybulski  Referent prawny, Wydział Prawny i Nadzoru, tel. 77 45 24 549.</w:t>
      </w:r>
    </w:p>
    <w:p w:rsidR="00A77B3E">
      <w:pPr>
        <w:keepNext w:val="0"/>
        <w:keepLines w:val="0"/>
        <w:numPr>
          <w:ilvl w:val="0"/>
          <w:numId w:val="0"/>
        </w:numPr>
        <w:spacing w:before="105" w:after="105" w:line="306" w:lineRule="atLeast"/>
        <w:ind w:left="0" w:right="0" w:firstLine="0"/>
        <w:jc w:val="left"/>
        <w:rPr>
          <w:rFonts w:ascii="Times New Roman" w:eastAsia="Times New Roman" w:hAnsi="Times New Roman" w:cs="Times New Roman"/>
          <w:b/>
          <w:i w:val="0"/>
          <w:strike w:val="0"/>
          <w:color w:val="000000"/>
          <w:sz w:val="22"/>
          <w:u w:val="none"/>
          <w:vertAlign w:val="baseline"/>
        </w:rPr>
      </w:pPr>
      <w:r>
        <w:rPr>
          <w:rFonts w:ascii="Times New Roman" w:eastAsia="Times New Roman" w:hAnsi="Times New Roman" w:cs="Times New Roman"/>
          <w:strike w:val="0"/>
          <w:color w:val="000000"/>
          <w:vertAlign w:val="baseline"/>
        </w:rPr>
        <w:drawing>
          <wp:inline>
            <wp:extent cx="304800" cy="304800"/>
            <wp:docPr id="64104989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04989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i w:val="0"/>
          <w:strike w:val="0"/>
          <w:color w:val="000000"/>
          <w:sz w:val="22"/>
          <w:u w:val="none"/>
          <w:vertAlign w:val="baseline"/>
        </w:rPr>
        <w:t>POTWIERDZENIE ZGODNOŚCI KOPII Z DOKUMENTEM ELEKTRONICZNYM</w:t>
      </w:r>
    </w:p>
    <w:tbl>
      <w:tblPr>
        <w:tblStyle w:val="TableNormal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2310"/>
        <w:gridCol w:w="7155"/>
        <w:gridCol w:w="170"/>
      </w:tblGrid>
      <w:tr>
        <w:tblPrEx>
          <w:tblW w:w="0" w:type="auto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cantSplit w:val="0"/>
          <w:trHeight w:hRule="auto" w:val="0"/>
        </w:trPr>
        <w:tc>
          <w:tcPr>
            <w:tcW w:w="2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>Typ dokumentu</w:t>
            </w:r>
          </w:p>
        </w:tc>
        <w:tc>
          <w:tcPr>
            <w:tcW w:w="71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>Rozstrzygnięcie nadzorcze w części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0" w:after="0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</w:p>
        </w:tc>
      </w:tr>
      <w:tr>
        <w:tblPrEx>
          <w:tblW w:w="0" w:type="auto"/>
          <w:tblInd w:w="0" w:type="dxa"/>
          <w:tblLayout w:type="fixed"/>
          <w:tblCellMar>
            <w:left w:w="108" w:type="dxa"/>
            <w:right w:w="108" w:type="dxa"/>
          </w:tblCellMar>
        </w:tblPrEx>
        <w:trPr>
          <w:cantSplit w:val="0"/>
          <w:trHeight w:hRule="auto" w:val="0"/>
        </w:trPr>
        <w:tc>
          <w:tcPr>
            <w:tcW w:w="2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>Tytuł dokumentu</w:t>
            </w:r>
          </w:p>
        </w:tc>
        <w:tc>
          <w:tcPr>
            <w:tcW w:w="71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43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0" w:after="0" w:line="343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</w:p>
        </w:tc>
      </w:tr>
      <w:tr>
        <w:tblPrEx>
          <w:tblW w:w="0" w:type="auto"/>
          <w:tblInd w:w="0" w:type="dxa"/>
          <w:tblLayout w:type="fixed"/>
          <w:tblCellMar>
            <w:left w:w="108" w:type="dxa"/>
            <w:right w:w="108" w:type="dxa"/>
          </w:tblCellMar>
        </w:tblPrEx>
        <w:trPr>
          <w:cantSplit w:val="0"/>
          <w:trHeight w:hRule="auto" w:val="0"/>
        </w:trPr>
        <w:tc>
          <w:tcPr>
            <w:tcW w:w="2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>Sygnatura</w:t>
            </w:r>
          </w:p>
        </w:tc>
        <w:tc>
          <w:tcPr>
            <w:tcW w:w="71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>PN.III.4131.1.27.2022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0" w:after="0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</w:p>
        </w:tc>
      </w:tr>
      <w:tr>
        <w:tblPrEx>
          <w:tblW w:w="0" w:type="auto"/>
          <w:tblInd w:w="0" w:type="dxa"/>
          <w:tblLayout w:type="fixed"/>
          <w:tblCellMar>
            <w:left w:w="108" w:type="dxa"/>
            <w:right w:w="108" w:type="dxa"/>
          </w:tblCellMar>
        </w:tblPrEx>
        <w:trPr>
          <w:cantSplit w:val="0"/>
          <w:trHeight w:hRule="auto" w:val="0"/>
        </w:trPr>
        <w:tc>
          <w:tcPr>
            <w:tcW w:w="2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>Data dokumentu</w:t>
            </w:r>
          </w:p>
        </w:tc>
        <w:tc>
          <w:tcPr>
            <w:tcW w:w="71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>2022-02-22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0" w:after="0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</w:p>
        </w:tc>
      </w:tr>
      <w:tr>
        <w:tblPrEx>
          <w:tblW w:w="0" w:type="auto"/>
          <w:tblInd w:w="0" w:type="dxa"/>
          <w:tblLayout w:type="fixed"/>
          <w:tblCellMar>
            <w:left w:w="108" w:type="dxa"/>
            <w:right w:w="108" w:type="dxa"/>
          </w:tblCellMar>
        </w:tblPrEx>
        <w:trPr>
          <w:cantSplit w:val="0"/>
          <w:trHeight w:hRule="auto" w:val="0"/>
        </w:trPr>
        <w:tc>
          <w:tcPr>
            <w:tcW w:w="2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>Data złożenia podpisu</w:t>
            </w:r>
          </w:p>
        </w:tc>
        <w:tc>
          <w:tcPr>
            <w:tcW w:w="71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>2022-02-22 11:15:43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0" w:after="0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</w:p>
        </w:tc>
      </w:tr>
      <w:tr>
        <w:tblPrEx>
          <w:tblW w:w="0" w:type="auto"/>
          <w:tblInd w:w="0" w:type="dxa"/>
          <w:tblLayout w:type="fixed"/>
          <w:tblCellMar>
            <w:left w:w="108" w:type="dxa"/>
            <w:right w:w="108" w:type="dxa"/>
          </w:tblCellMar>
        </w:tblPrEx>
        <w:trPr>
          <w:cantSplit w:val="0"/>
          <w:trHeight w:hRule="auto" w:val="0"/>
        </w:trPr>
        <w:tc>
          <w:tcPr>
            <w:tcW w:w="2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>Osoba podpisująca</w:t>
            </w:r>
          </w:p>
        </w:tc>
        <w:tc>
          <w:tcPr>
            <w:tcW w:w="71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>Ewelina Kurzydło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0" w:after="0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</w:p>
        </w:tc>
      </w:tr>
      <w:tr>
        <w:tblPrEx>
          <w:tblW w:w="0" w:type="auto"/>
          <w:tblInd w:w="0" w:type="dxa"/>
          <w:tblLayout w:type="fixed"/>
          <w:tblCellMar>
            <w:left w:w="108" w:type="dxa"/>
            <w:right w:w="108" w:type="dxa"/>
          </w:tblCellMar>
        </w:tblPrEx>
        <w:trPr>
          <w:cantSplit w:val="0"/>
          <w:trHeight w:hRule="auto" w:val="0"/>
        </w:trPr>
        <w:tc>
          <w:tcPr>
            <w:tcW w:w="2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>Wystawca certyfikatu</w:t>
            </w:r>
          </w:p>
        </w:tc>
        <w:tc>
          <w:tcPr>
            <w:tcW w:w="71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>2.5.4.97=VATPL-5260300517, CN=COPE SZAFIR - Kwalifikowany, O=Krajowa Izba Rozliczeniowa S.A., C=PL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0" w:after="0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</w:p>
        </w:tc>
      </w:tr>
      <w:tr>
        <w:tblPrEx>
          <w:tblW w:w="0" w:type="auto"/>
          <w:tblInd w:w="0" w:type="dxa"/>
          <w:tblLayout w:type="fixed"/>
          <w:tblCellMar>
            <w:left w:w="108" w:type="dxa"/>
            <w:right w:w="108" w:type="dxa"/>
          </w:tblCellMar>
        </w:tblPrEx>
        <w:trPr>
          <w:cantSplit w:val="0"/>
          <w:trHeight w:hRule="auto" w:val="0"/>
        </w:trPr>
        <w:tc>
          <w:tcPr>
            <w:tcW w:w="2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>Identyfikator dokumentu</w:t>
            </w:r>
          </w:p>
        </w:tc>
        <w:tc>
          <w:tcPr>
            <w:tcW w:w="71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>2F4FDF89-8D0E-4E8B-8BD8-2F1493074C8A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</w:p>
        </w:tc>
      </w:tr>
    </w:tbl>
    <w:p w:rsidR="00A77B3E">
      <w:pPr>
        <w:keepNext w:val="0"/>
        <w:keepLines w:val="0"/>
        <w:numPr>
          <w:ilvl w:val="0"/>
          <w:numId w:val="0"/>
        </w:numPr>
        <w:spacing w:before="105" w:after="0" w:line="314" w:lineRule="exact"/>
        <w:ind w:left="0" w:right="0" w:firstLine="0"/>
        <w:jc w:val="left"/>
        <w:rPr>
          <w:rFonts w:ascii="Times New Roman" w:eastAsia="Times New Roman" w:hAnsi="Times New Roman" w:cs="Times New Roman"/>
          <w:b w:val="0"/>
          <w:i w:val="0"/>
          <w:strike w:val="0"/>
          <w:color w:val="000000"/>
          <w:sz w:val="22"/>
          <w:u w:val="none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strike w:val="0"/>
          <w:color w:val="000000"/>
          <w:sz w:val="22"/>
          <w:u w:val="none"/>
          <w:vertAlign w:val="baseline"/>
        </w:rPr>
        <w:t>Data wydruku: 8 marca 2022</w:t>
      </w:r>
    </w:p>
    <w:p w:rsidR="00A77B3E">
      <w:pPr>
        <w:keepNext w:val="0"/>
        <w:keepLines w:val="0"/>
        <w:numPr>
          <w:ilvl w:val="0"/>
          <w:numId w:val="0"/>
        </w:numPr>
        <w:spacing w:before="0" w:after="0" w:line="314" w:lineRule="exact"/>
        <w:ind w:left="0" w:right="0" w:firstLine="0"/>
        <w:jc w:val="left"/>
        <w:rPr>
          <w:rFonts w:ascii="Times New Roman" w:eastAsia="Times New Roman" w:hAnsi="Times New Roman" w:cs="Times New Roman"/>
          <w:b w:val="0"/>
          <w:i w:val="0"/>
          <w:strike w:val="0"/>
          <w:color w:val="000000"/>
          <w:sz w:val="22"/>
          <w:u w:val="none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strike w:val="0"/>
          <w:color w:val="000000"/>
          <w:sz w:val="22"/>
          <w:u w:val="none"/>
          <w:vertAlign w:val="baseline"/>
        </w:rPr>
        <w:t>Autor wydruku: Wojciech Cybulski</w:t>
      </w:r>
    </w:p>
    <w:sectPr>
      <w:headerReference w:type="default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115" w:right="1060" w:bottom="1115" w:left="1060" w:header="0" w:footer="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keepNext w:val="0"/>
      <w:keepLines w:val="0"/>
      <w:numPr>
        <w:ilvl w:val="0"/>
        <w:numId w:val="0"/>
      </w:numPr>
      <w:spacing w:before="105" w:after="105" w:line="314" w:lineRule="exact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u w:val="none"/>
        <w:vertAlign w:val="baseline"/>
      </w:rPr>
    </w:pP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t>Strona </w: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begin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instrText>PAGE</w:instrTex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separate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t>3</w: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end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t xml:space="preserve"> z </w: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begin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instrText>NUMPAGES</w:instrTex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separate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t>3</w: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end"/>
    </w:r>
  </w:p>
  <w:p>
    <w:pPr>
      <w:keepNext w:val="0"/>
      <w:keepLines w:val="0"/>
      <w:numPr>
        <w:ilvl w:val="0"/>
        <w:numId w:val="0"/>
      </w:numPr>
      <w:spacing w:before="105" w:after="300" w:line="314" w:lineRule="exact"/>
      <w:ind w:left="0" w:right="0" w:firstLine="0"/>
      <w:jc w:val="left"/>
      <w:rPr>
        <w:rFonts w:ascii="Times New Roman" w:eastAsia="Times New Roman" w:hAnsi="Times New Roman" w:cs="Times New Roman"/>
        <w:b w:val="0"/>
        <w:i w:val="0"/>
        <w:strike w:val="0"/>
        <w:color w:val="000000"/>
        <w:sz w:val="18"/>
        <w:u w:val="none"/>
        <w:vertAlign w:val="baseline"/>
      </w:rPr>
    </w:pPr>
    <w:r>
      <w:rPr>
        <w:rFonts w:ascii="Times New Roman" w:eastAsia="Times New Roman" w:hAnsi="Times New Roman" w:cs="Times New Roman"/>
        <w:b w:val="0"/>
        <w:i w:val="0"/>
        <w:strike w:val="0"/>
        <w:color w:val="000000"/>
        <w:sz w:val="18"/>
        <w:u w:val="none"/>
        <w:vertAlign w:val="baseline"/>
      </w:rPr>
      <w:t>Id: 2F4FDF89-8D0E-4E8B-8BD8-2F1493074C8A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keepNext w:val="0"/>
      <w:keepLines w:val="0"/>
      <w:numPr>
        <w:ilvl w:val="0"/>
        <w:numId w:val="0"/>
      </w:numPr>
      <w:spacing w:before="105" w:after="105" w:line="314" w:lineRule="exact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u w:val="none"/>
        <w:vertAlign w:val="baseline"/>
      </w:rPr>
    </w:pP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t>Strona </w: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begin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instrText>PAGE</w:instrTex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separate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t>1</w: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end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t xml:space="preserve"> z </w: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begin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instrText>NUMPAGES</w:instrTex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separate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t>3</w: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end"/>
    </w:r>
  </w:p>
  <w:p>
    <w:pPr>
      <w:keepNext w:val="0"/>
      <w:keepLines w:val="0"/>
      <w:numPr>
        <w:ilvl w:val="0"/>
        <w:numId w:val="0"/>
      </w:numPr>
      <w:spacing w:before="105" w:after="300" w:line="314" w:lineRule="exact"/>
      <w:ind w:left="0" w:right="0" w:firstLine="0"/>
      <w:jc w:val="left"/>
      <w:rPr>
        <w:rFonts w:ascii="Times New Roman" w:eastAsia="Times New Roman" w:hAnsi="Times New Roman" w:cs="Times New Roman"/>
        <w:b w:val="0"/>
        <w:i w:val="0"/>
        <w:strike w:val="0"/>
        <w:color w:val="000000"/>
        <w:sz w:val="18"/>
        <w:u w:val="none"/>
        <w:vertAlign w:val="baseline"/>
      </w:rPr>
    </w:pPr>
    <w:r>
      <w:rPr>
        <w:rFonts w:ascii="Times New Roman" w:eastAsia="Times New Roman" w:hAnsi="Times New Roman" w:cs="Times New Roman"/>
        <w:b w:val="0"/>
        <w:i w:val="0"/>
        <w:strike w:val="0"/>
        <w:color w:val="000000"/>
        <w:sz w:val="18"/>
        <w:u w:val="none"/>
        <w:vertAlign w:val="baseline"/>
      </w:rPr>
      <w:t>Id: 2F4FDF89-8D0E-4E8B-8BD8-2F1493074C8A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keepNext w:val="0"/>
      <w:keepLines w:val="0"/>
      <w:numPr>
        <w:ilvl w:val="0"/>
        <w:numId w:val="0"/>
      </w:numPr>
      <w:spacing w:before="105" w:after="105" w:line="314" w:lineRule="exact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u w:val="none"/>
        <w:vertAlign w:val="baseline"/>
      </w:rPr>
    </w:pP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t>Strona </w: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begin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instrText>PAGE</w:instrTex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separate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end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t xml:space="preserve"> z </w: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begin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instrText>NUMPAGES</w:instrTex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separate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end"/>
    </w:r>
  </w:p>
  <w:p>
    <w:pPr>
      <w:keepNext w:val="0"/>
      <w:keepLines w:val="0"/>
      <w:numPr>
        <w:ilvl w:val="0"/>
        <w:numId w:val="0"/>
      </w:numPr>
      <w:spacing w:before="105" w:after="300" w:line="314" w:lineRule="exact"/>
      <w:ind w:left="0" w:right="0" w:firstLine="0"/>
      <w:jc w:val="left"/>
      <w:rPr>
        <w:rFonts w:ascii="Times New Roman" w:eastAsia="Times New Roman" w:hAnsi="Times New Roman" w:cs="Times New Roman"/>
        <w:b w:val="0"/>
        <w:i w:val="0"/>
        <w:strike w:val="0"/>
        <w:color w:val="000000"/>
        <w:sz w:val="18"/>
        <w:u w:val="none"/>
        <w:vertAlign w:val="baseline"/>
      </w:rPr>
    </w:pPr>
    <w:r>
      <w:rPr>
        <w:rFonts w:ascii="Times New Roman" w:eastAsia="Times New Roman" w:hAnsi="Times New Roman" w:cs="Times New Roman"/>
        <w:b w:val="0"/>
        <w:i w:val="0"/>
        <w:strike w:val="0"/>
        <w:color w:val="000000"/>
        <w:sz w:val="18"/>
        <w:u w:val="none"/>
        <w:vertAlign w:val="baseline"/>
      </w:rPr>
      <w:t>Id: 2F4FDF89-8D0E-4E8B-8BD8-2F1493074C8A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keepNext w:val="0"/>
      <w:keepLines w:val="0"/>
      <w:numPr>
        <w:ilvl w:val="0"/>
        <w:numId w:val="0"/>
      </w:numPr>
      <w:spacing w:before="105" w:after="105" w:line="314" w:lineRule="exact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u w:val="none"/>
        <w:vertAlign w:val="baseline"/>
      </w:rPr>
    </w:pP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t>Strona </w: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begin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instrText>PAGE</w:instrTex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separate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end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t xml:space="preserve"> z </w: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begin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instrText>NUMPAGES</w:instrTex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separate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end"/>
    </w:r>
  </w:p>
  <w:p>
    <w:pPr>
      <w:keepNext w:val="0"/>
      <w:keepLines w:val="0"/>
      <w:numPr>
        <w:ilvl w:val="0"/>
        <w:numId w:val="0"/>
      </w:numPr>
      <w:spacing w:before="105" w:after="300" w:line="314" w:lineRule="exact"/>
      <w:ind w:left="0" w:right="0" w:firstLine="0"/>
      <w:jc w:val="left"/>
      <w:rPr>
        <w:rFonts w:ascii="Times New Roman" w:eastAsia="Times New Roman" w:hAnsi="Times New Roman" w:cs="Times New Roman"/>
        <w:b w:val="0"/>
        <w:i w:val="0"/>
        <w:strike w:val="0"/>
        <w:color w:val="000000"/>
        <w:sz w:val="18"/>
        <w:u w:val="none"/>
        <w:vertAlign w:val="baseline"/>
      </w:rPr>
    </w:pPr>
    <w:r>
      <w:rPr>
        <w:rFonts w:ascii="Times New Roman" w:eastAsia="Times New Roman" w:hAnsi="Times New Roman" w:cs="Times New Roman"/>
        <w:b w:val="0"/>
        <w:i w:val="0"/>
        <w:strike w:val="0"/>
        <w:color w:val="000000"/>
        <w:sz w:val="18"/>
        <w:u w:val="none"/>
        <w:vertAlign w:val="baseline"/>
      </w:rPr>
      <w:t>Id: 2F4FDF89-8D0E-4E8B-8BD8-2F1493074C8A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keepNext w:val="0"/>
      <w:keepLines w:val="0"/>
      <w:numPr>
        <w:ilvl w:val="0"/>
        <w:numId w:val="0"/>
      </w:numPr>
      <w:spacing w:before="105" w:after="105" w:line="343" w:lineRule="exact"/>
      <w:ind w:left="0" w:right="0" w:firstLine="0"/>
      <w:jc w:val="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keepNext w:val="0"/>
      <w:keepLines w:val="0"/>
      <w:numPr>
        <w:ilvl w:val="0"/>
        <w:numId w:val="0"/>
      </w:numPr>
      <w:spacing w:before="105" w:after="105" w:line="343" w:lineRule="exact"/>
      <w:ind w:left="0" w:right="0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keepNext w:val="0"/>
      <w:keepLines w:val="0"/>
      <w:numPr>
        <w:ilvl w:val="0"/>
        <w:numId w:val="0"/>
      </w:numPr>
      <w:spacing w:before="105" w:after="105" w:line="343" w:lineRule="exact"/>
      <w:ind w:left="0" w:right="0" w:firstLine="0"/>
      <w:jc w:val="lef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keepNext w:val="0"/>
      <w:keepLines w:val="0"/>
      <w:numPr>
        <w:ilvl w:val="0"/>
        <w:numId w:val="0"/>
      </w:numPr>
      <w:spacing w:before="105" w:after="105" w:line="343" w:lineRule="exact"/>
      <w:ind w:left="0" w:right="0" w:firstLine="0"/>
      <w:jc w:val="lef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header" Target="header4.xml" /><Relationship Id="rId13" Type="http://schemas.openxmlformats.org/officeDocument/2006/relationships/footer" Target="footer4.xml" /><Relationship Id="rId14" Type="http://schemas.openxmlformats.org/officeDocument/2006/relationships/theme" Target="theme/theme1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3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