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44" w:rsidRPr="007E0D23" w:rsidRDefault="00DD3844" w:rsidP="00D91561">
      <w:pPr>
        <w:spacing w:after="240"/>
        <w:jc w:val="both"/>
        <w:rPr>
          <w:color w:val="000000"/>
          <w:sz w:val="22"/>
        </w:rPr>
      </w:pPr>
      <w:r w:rsidRPr="007E0D23">
        <w:rPr>
          <w:color w:val="000000"/>
          <w:sz w:val="22"/>
        </w:rPr>
        <w:t>Załącznik B.</w:t>
      </w:r>
      <w:r w:rsidR="003F08B1" w:rsidRPr="007E0D23">
        <w:rPr>
          <w:color w:val="000000"/>
          <w:sz w:val="22"/>
        </w:rPr>
        <w:t>104.</w:t>
      </w:r>
    </w:p>
    <w:p w:rsidR="00D91561" w:rsidRPr="00887F83" w:rsidRDefault="00D91561" w:rsidP="00D91561">
      <w:pPr>
        <w:spacing w:after="240"/>
        <w:jc w:val="both"/>
        <w:rPr>
          <w:b/>
          <w:color w:val="000000"/>
          <w:sz w:val="28"/>
        </w:rPr>
      </w:pPr>
      <w:r w:rsidRPr="00887F83">
        <w:rPr>
          <w:b/>
          <w:color w:val="000000"/>
          <w:sz w:val="28"/>
        </w:rPr>
        <w:t xml:space="preserve">LECZENIE </w:t>
      </w:r>
      <w:r w:rsidRPr="00887F83">
        <w:rPr>
          <w:b/>
          <w:bCs/>
          <w:color w:val="000000"/>
          <w:sz w:val="28"/>
        </w:rPr>
        <w:t>CHOROBY FABRY’EGO (ICD 10: E.75.2)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4492"/>
        <w:gridCol w:w="5630"/>
      </w:tblGrid>
      <w:tr w:rsidR="00285042" w:rsidRPr="00665819" w:rsidTr="004E7F2A">
        <w:trPr>
          <w:trHeight w:val="48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561" w:rsidRPr="00665819" w:rsidRDefault="00D91561" w:rsidP="006517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>ZAKRES ŚWIADCZENIA GWARANTOWANEGO</w:t>
            </w:r>
          </w:p>
        </w:tc>
      </w:tr>
      <w:tr w:rsidR="00285042" w:rsidRPr="00665819" w:rsidTr="004E7F2A"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561" w:rsidRPr="00665819" w:rsidRDefault="00D91561" w:rsidP="006517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>ŚWIADCZENIOBIORCY</w:t>
            </w: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561" w:rsidRPr="00665819" w:rsidRDefault="00D91561" w:rsidP="006517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>SCHEMAT DAWKOWANIA LEKÓW W PROGRAMIE</w:t>
            </w:r>
          </w:p>
        </w:tc>
        <w:tc>
          <w:tcPr>
            <w:tcW w:w="1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561" w:rsidRPr="00665819" w:rsidRDefault="00D91561" w:rsidP="006517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>BADANIA DIAGNOSTYCZNE WYKONYWANE W RAMACH PROGRAMU</w:t>
            </w:r>
          </w:p>
        </w:tc>
      </w:tr>
      <w:tr w:rsidR="00285042" w:rsidRPr="00665819" w:rsidTr="00285042">
        <w:trPr>
          <w:trHeight w:val="65"/>
        </w:trPr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61" w:rsidRPr="00665819" w:rsidRDefault="00D91561" w:rsidP="0066581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Kwalifikacji świadczeniobiorcó</w:t>
            </w:r>
            <w:bookmarkStart w:id="0" w:name="_GoBack"/>
            <w:bookmarkEnd w:id="0"/>
            <w:r w:rsidRPr="00665819">
              <w:rPr>
                <w:color w:val="000000"/>
                <w:sz w:val="20"/>
                <w:szCs w:val="20"/>
                <w:lang w:val="pl-PL"/>
              </w:rPr>
              <w:t>w do terapii dokonuje Zespół Koordynacyjny ds. Chorób Ultrarzadkich powoływany przez Prezesa Narodowego Funduszu Zdrowia.</w:t>
            </w:r>
            <w:r w:rsidR="008601CA" w:rsidRPr="00665819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665819">
              <w:rPr>
                <w:color w:val="000000"/>
                <w:sz w:val="20"/>
                <w:szCs w:val="20"/>
                <w:lang w:val="pl-PL"/>
              </w:rPr>
              <w:t xml:space="preserve">Kwalifikacja do programu oraz weryfikacja skuteczności leczenia odbywa się </w:t>
            </w:r>
            <w:r w:rsidR="008601CA" w:rsidRPr="00665819">
              <w:rPr>
                <w:color w:val="000000"/>
                <w:sz w:val="20"/>
                <w:szCs w:val="20"/>
                <w:lang w:val="pl-PL"/>
              </w:rPr>
              <w:t>c</w:t>
            </w:r>
            <w:r w:rsidRPr="00665819">
              <w:rPr>
                <w:color w:val="000000"/>
                <w:sz w:val="20"/>
                <w:szCs w:val="20"/>
                <w:lang w:val="pl-PL"/>
              </w:rPr>
              <w:t>o 6 miesi</w:t>
            </w:r>
            <w:r w:rsidR="008601CA" w:rsidRPr="00665819">
              <w:rPr>
                <w:color w:val="000000"/>
                <w:sz w:val="20"/>
                <w:szCs w:val="20"/>
                <w:lang w:val="pl-PL"/>
              </w:rPr>
              <w:t>ęcy</w:t>
            </w:r>
            <w:r w:rsidRPr="00665819">
              <w:rPr>
                <w:color w:val="000000"/>
                <w:sz w:val="20"/>
                <w:szCs w:val="20"/>
                <w:lang w:val="pl-PL"/>
              </w:rPr>
              <w:t xml:space="preserve"> w oparciu o ocenę stanu klinicznego </w:t>
            </w:r>
            <w:r w:rsidR="008601CA" w:rsidRPr="00665819">
              <w:rPr>
                <w:color w:val="000000"/>
                <w:sz w:val="20"/>
                <w:szCs w:val="20"/>
                <w:lang w:val="pl-PL"/>
              </w:rPr>
              <w:t>świadczeniobiorcy</w:t>
            </w:r>
            <w:r w:rsidRPr="00665819">
              <w:rPr>
                <w:color w:val="000000"/>
                <w:sz w:val="20"/>
                <w:szCs w:val="20"/>
                <w:lang w:val="pl-PL"/>
              </w:rPr>
              <w:t xml:space="preserve"> oraz ocenę efektywności zastosowanej terapii.</w:t>
            </w:r>
          </w:p>
          <w:p w:rsidR="00D91561" w:rsidRPr="00665819" w:rsidRDefault="00F5720D" w:rsidP="00665819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>Kryteria kwalifikacji do leczenia agalzydazą beta</w:t>
            </w:r>
            <w:r w:rsidR="00697EA3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i agalzydaz</w:t>
            </w:r>
            <w:r w:rsidR="002A0B59">
              <w:rPr>
                <w:b/>
                <w:bCs/>
                <w:color w:val="000000"/>
                <w:sz w:val="20"/>
                <w:szCs w:val="20"/>
                <w:lang w:val="pl-PL"/>
              </w:rPr>
              <w:t>ą</w:t>
            </w:r>
            <w:r w:rsidR="00697EA3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alfa</w:t>
            </w:r>
          </w:p>
          <w:p w:rsidR="008838B8" w:rsidRPr="00665819" w:rsidRDefault="00E46F95" w:rsidP="00665819">
            <w:pPr>
              <w:pStyle w:val="Tabela-TekstpodstawowyDolewej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P</w:t>
            </w:r>
            <w:r w:rsidR="00D91561" w:rsidRPr="00665819">
              <w:rPr>
                <w:rFonts w:ascii="Times New Roman" w:hAnsi="Times New Roman"/>
                <w:color w:val="000000"/>
                <w:sz w:val="20"/>
              </w:rPr>
              <w:t xml:space="preserve">acjenci w wieku </w:t>
            </w:r>
            <w:r w:rsidR="001B5EBF" w:rsidRPr="00665819">
              <w:rPr>
                <w:rFonts w:ascii="Times New Roman" w:hAnsi="Times New Roman"/>
                <w:color w:val="000000"/>
                <w:sz w:val="20"/>
              </w:rPr>
              <w:t xml:space="preserve">od </w:t>
            </w:r>
            <w:r w:rsidR="00D91561" w:rsidRPr="00665819">
              <w:rPr>
                <w:rFonts w:ascii="Times New Roman" w:hAnsi="Times New Roman"/>
                <w:color w:val="000000"/>
                <w:sz w:val="20"/>
              </w:rPr>
              <w:t xml:space="preserve">8 lat ze stwierdzoną objawową </w:t>
            </w:r>
            <w:r w:rsidR="00BE3648" w:rsidRPr="00665819">
              <w:rPr>
                <w:rFonts w:ascii="Times New Roman" w:hAnsi="Times New Roman"/>
                <w:color w:val="000000"/>
                <w:sz w:val="20"/>
              </w:rPr>
              <w:t xml:space="preserve">(wystąpienie co najmniej jednego z powikłań narządowych, niewyjaśnionych w pełni przez inną przyczynę) </w:t>
            </w:r>
            <w:r w:rsidR="00D91561" w:rsidRPr="00665819">
              <w:rPr>
                <w:rFonts w:ascii="Times New Roman" w:hAnsi="Times New Roman"/>
                <w:color w:val="000000"/>
                <w:sz w:val="20"/>
              </w:rPr>
              <w:t xml:space="preserve">klasyczną lub nieklasyczną postacią choroby Fabry’ego. </w:t>
            </w:r>
            <w:r w:rsidR="008838B8" w:rsidRPr="00665819">
              <w:rPr>
                <w:rFonts w:ascii="Times New Roman" w:hAnsi="Times New Roman"/>
                <w:color w:val="000000"/>
                <w:sz w:val="20"/>
              </w:rPr>
              <w:t>W przypadku osób niepełnoletnich wymagana jest pisemna zgoda rodziców lub opiekunów prawnych na leczenie.</w:t>
            </w:r>
          </w:p>
          <w:p w:rsidR="00D91561" w:rsidRPr="00665819" w:rsidRDefault="0062098D" w:rsidP="00665819">
            <w:pPr>
              <w:pStyle w:val="Tabela-TekstpodstawowyDolewej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 xml:space="preserve">Rozpoznanie choroby Fabry’ego </w:t>
            </w:r>
            <w:r w:rsidR="00D91561" w:rsidRPr="00665819">
              <w:rPr>
                <w:rFonts w:ascii="Times New Roman" w:hAnsi="Times New Roman"/>
                <w:color w:val="000000"/>
                <w:sz w:val="20"/>
              </w:rPr>
              <w:t>udokumentowane wynikiem:</w:t>
            </w:r>
          </w:p>
          <w:p w:rsidR="00D91561" w:rsidRPr="00665819" w:rsidRDefault="00D91561" w:rsidP="00665819">
            <w:pPr>
              <w:pStyle w:val="Tabela-Listapunktowa"/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u mężczyzn: badania biochemicznego aktywności alfa galaktozydazy A (brak lub znaczny niedobór aktywności enzymu</w:t>
            </w:r>
            <w:r w:rsidR="00E81ED9" w:rsidRPr="00665819">
              <w:rPr>
                <w:rFonts w:ascii="Times New Roman" w:hAnsi="Times New Roman"/>
                <w:color w:val="000000"/>
                <w:sz w:val="20"/>
              </w:rPr>
              <w:t xml:space="preserve"> w odniesieniu do normy laboratorium wykonującego badanie- norma wyniku musi być zawarta w karcie kwalifikacji pacjenta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t xml:space="preserve">) w teście suchej kropli krwi, w osoczu lub 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lastRenderedPageBreak/>
              <w:t>leukocytach krwi obwodowej lub fibroblastach</w:t>
            </w:r>
            <w:r w:rsidR="00BE3648" w:rsidRPr="00665819">
              <w:rPr>
                <w:rFonts w:ascii="Times New Roman" w:hAnsi="Times New Roman"/>
                <w:color w:val="000000"/>
                <w:sz w:val="20"/>
              </w:rPr>
              <w:t xml:space="preserve"> oraz badanie genetyczne na obecność patogennej mutacji w obrębie genu GLA;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D91561" w:rsidRPr="00665819" w:rsidRDefault="00D91561" w:rsidP="00665819">
            <w:pPr>
              <w:pStyle w:val="Tabela-Listapunktowa"/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u kobiet: badania genetycznego na obecność patogennej mutacji w obrębie genu GLA.</w:t>
            </w:r>
          </w:p>
          <w:p w:rsidR="00D91561" w:rsidRPr="00665819" w:rsidRDefault="0057707D" w:rsidP="00665819">
            <w:pPr>
              <w:pStyle w:val="Tabela-TekstpodstawowyDolewej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Punkty 1 i 2</w:t>
            </w:r>
            <w:r w:rsidR="00D91561" w:rsidRPr="00665819">
              <w:rPr>
                <w:rFonts w:ascii="Times New Roman" w:hAnsi="Times New Roman"/>
                <w:color w:val="000000"/>
                <w:sz w:val="20"/>
              </w:rPr>
              <w:t xml:space="preserve"> muszą być spełnione łącznie. </w:t>
            </w:r>
          </w:p>
          <w:p w:rsidR="0057707D" w:rsidRPr="00665819" w:rsidRDefault="0057707D" w:rsidP="00665819">
            <w:pPr>
              <w:pStyle w:val="Tabela-TekstpodstawowyDolewej"/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Do programu kwalifikowani są także pacjenci wymagający kontynuacji enzymatycznej terapii zastępczej, w ocenie Zespołu Koordynacyjnego ds. Chorób Ultrarzadkich, o ile na dzień rozpoczęcia terapii spełniali kryteria włączenia do programu.</w:t>
            </w:r>
          </w:p>
          <w:p w:rsidR="00D91561" w:rsidRPr="00665819" w:rsidRDefault="00D91561" w:rsidP="00665819">
            <w:pPr>
              <w:pStyle w:val="Tabela-TekstpodstawowyDolewej"/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 xml:space="preserve">Do programu włączane są, </w:t>
            </w:r>
            <w:r w:rsidR="008601CA" w:rsidRPr="00665819">
              <w:rPr>
                <w:rFonts w:ascii="Times New Roman" w:hAnsi="Times New Roman"/>
                <w:color w:val="000000"/>
                <w:sz w:val="20"/>
              </w:rPr>
              <w:t xml:space="preserve">po zweryfikowaniu ogólnego stanu zdrowia pacjenta umożliwiającego leczenie w programie, 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t>bez konieczności ponownej kwalifikacji, pacjentki wyłączone z programu w związku z ciążą</w:t>
            </w:r>
            <w:r w:rsidR="00227AC4" w:rsidRPr="00665819">
              <w:rPr>
                <w:rFonts w:ascii="Times New Roman" w:hAnsi="Times New Roman"/>
                <w:color w:val="000000"/>
                <w:sz w:val="20"/>
              </w:rPr>
              <w:t xml:space="preserve"> albo laktacją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t>, które w momencie wyłączenia spełniały pozostałe kryteria przedłużenia leczenia.</w:t>
            </w:r>
          </w:p>
          <w:p w:rsidR="00D91561" w:rsidRPr="00665819" w:rsidRDefault="00F5720D" w:rsidP="0066581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color w:val="000000"/>
                <w:sz w:val="20"/>
                <w:szCs w:val="20"/>
                <w:lang w:val="pl-PL"/>
              </w:rPr>
              <w:t xml:space="preserve">2. </w:t>
            </w:r>
            <w:r w:rsidR="00D91561" w:rsidRPr="00665819">
              <w:rPr>
                <w:b/>
                <w:color w:val="000000"/>
                <w:sz w:val="20"/>
                <w:szCs w:val="20"/>
                <w:lang w:val="pl-PL"/>
              </w:rPr>
              <w:t>Określ</w:t>
            </w:r>
            <w:r w:rsidR="005B16BD" w:rsidRPr="00665819">
              <w:rPr>
                <w:b/>
                <w:color w:val="000000"/>
                <w:sz w:val="20"/>
                <w:szCs w:val="20"/>
                <w:lang w:val="pl-PL"/>
              </w:rPr>
              <w:t>enie czasu leczenia w programie</w:t>
            </w:r>
          </w:p>
          <w:p w:rsidR="00D91561" w:rsidRPr="00665819" w:rsidRDefault="00D91561" w:rsidP="00665819">
            <w:pPr>
              <w:pStyle w:val="Tabela-TekstpodstawowyDolewej"/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Leczenie trwa do czasu podjęcia przez Zespół Koordynacyjny ds. Chorób Ultrarzadkich lub lekarza prowadzącego decyzji o wyłączeniu świadczeniobiorcy z programu, zgodnie z kryteriami wyłączenia.</w:t>
            </w:r>
          </w:p>
          <w:p w:rsidR="005B16BD" w:rsidRPr="00665819" w:rsidRDefault="005B16BD" w:rsidP="0066581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65819">
              <w:rPr>
                <w:sz w:val="20"/>
                <w:szCs w:val="20"/>
              </w:rPr>
              <w:t>Ciąża lub karmienie piersią w trakcie leczenia mogą stanowić podstawę do podjęcia decyzji o kontynuacji lub zawieszeniu terapii, w porozumieniu z pacjentem.</w:t>
            </w:r>
          </w:p>
          <w:p w:rsidR="00AA5210" w:rsidRPr="00665819" w:rsidRDefault="00AA5210" w:rsidP="00665819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>Kryteria stanowiące przeciwwskazania do rozpoczęcia leczenia agalzydazą beta</w:t>
            </w:r>
            <w:r w:rsidR="00697EA3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i agalzydaza alfa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Cs/>
                <w:color w:val="000000"/>
                <w:sz w:val="20"/>
                <w:szCs w:val="20"/>
                <w:lang w:val="pl-PL"/>
              </w:rPr>
              <w:t>dzieci poniżej 8. roku życia;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Cs/>
                <w:color w:val="000000"/>
                <w:sz w:val="20"/>
                <w:szCs w:val="20"/>
                <w:lang w:val="pl-PL"/>
              </w:rPr>
              <w:t>poważna reakcja nadwrażliwości na substancję czynną lub na którąkolwiek substancję pomocniczą;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Cs/>
                <w:color w:val="000000"/>
                <w:sz w:val="20"/>
                <w:szCs w:val="20"/>
                <w:lang w:val="pl-PL"/>
              </w:rPr>
              <w:lastRenderedPageBreak/>
              <w:t xml:space="preserve">stosowanie chlorochiny, amiodaronu, monobenzonu lub gentamycyny, 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Cs/>
                <w:color w:val="000000"/>
                <w:sz w:val="20"/>
                <w:szCs w:val="20"/>
                <w:lang w:val="pl-PL"/>
              </w:rPr>
              <w:t>pacjenci z bezobjawową postacią choroby;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Cs/>
                <w:color w:val="000000"/>
                <w:sz w:val="20"/>
                <w:szCs w:val="20"/>
                <w:lang w:val="pl-PL"/>
              </w:rPr>
              <w:t>ciąża lub laktacja;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Cs/>
                <w:color w:val="000000"/>
                <w:sz w:val="20"/>
                <w:szCs w:val="20"/>
                <w:lang w:val="pl-PL"/>
              </w:rPr>
              <w:t>zaawansowana choroba serca z rozległymi zwłóknieniami lub schyłkowa niewydolność serca (NYHA 4) bez możliwości przeszczepu, o ile choroba serca jest jedynym (objawowym) wskazaniem do rozpoczęcia terapii;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Cs/>
                <w:color w:val="000000"/>
                <w:sz w:val="20"/>
                <w:szCs w:val="20"/>
                <w:lang w:val="pl-PL"/>
              </w:rPr>
              <w:t>zawansowane zmiany w zakresie OUN;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Cs/>
                <w:color w:val="000000"/>
                <w:sz w:val="20"/>
                <w:szCs w:val="20"/>
                <w:lang w:val="pl-PL"/>
              </w:rPr>
              <w:t>końcowe stadium choroby nerek, bez możliwości przeszczepu;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Cs/>
                <w:color w:val="000000"/>
                <w:sz w:val="20"/>
                <w:szCs w:val="20"/>
                <w:lang w:val="pl-PL"/>
              </w:rPr>
              <w:t>końcowe stadium choroby Fabry’ego lub obecność ciężkich chorób współtowarzyszących, lub innych poważnych wrodzonych anomalii, które w ocenie lekarza kwalifikującego do leczenia lub Zespołu Koordynacyjnego ds. Chorób Ultrarzadkich mogą uniemożliwić poprawę stanu zdrowia świadczeniobiorcy.</w:t>
            </w:r>
          </w:p>
          <w:p w:rsidR="00D91561" w:rsidRPr="00665819" w:rsidRDefault="00D91561" w:rsidP="00665819">
            <w:pPr>
              <w:keepNext/>
              <w:numPr>
                <w:ilvl w:val="1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>Kryteria wyłączenia z</w:t>
            </w:r>
            <w:r w:rsidR="00CE204C"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programu</w:t>
            </w:r>
            <w:r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CE204C"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>leczenia agalzydazą beta</w:t>
            </w:r>
            <w:r w:rsidR="00697EA3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i agalzydazą alfa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wystąpienie zagrażającej życiu nadwrażliwości na substancję czynną lub na którąkolwiek substancję pomocniczą;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rozpoczęcie terapii chlorochiną, amiodaronem, monobenzonem lub gentamycyną;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ciąża lub laktacja;</w:t>
            </w:r>
          </w:p>
          <w:p w:rsidR="00D91561" w:rsidRPr="00665819" w:rsidRDefault="00D91561" w:rsidP="0066581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znaczna progresja choroby pomimo leczenia;</w:t>
            </w:r>
          </w:p>
          <w:p w:rsidR="00CE204C" w:rsidRPr="00665819" w:rsidRDefault="00D91561" w:rsidP="00FD785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brak współpracy pacjenta przy realizacji programu.</w:t>
            </w: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042" w:rsidRPr="00665819" w:rsidRDefault="00285042" w:rsidP="0027209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color w:val="000000"/>
                <w:sz w:val="20"/>
                <w:szCs w:val="20"/>
                <w:lang w:val="pl-PL"/>
              </w:rPr>
              <w:lastRenderedPageBreak/>
              <w:t>Dawkowanie</w:t>
            </w:r>
            <w:r w:rsidR="00397864" w:rsidRPr="00665819">
              <w:rPr>
                <w:b/>
                <w:color w:val="000000"/>
                <w:sz w:val="20"/>
                <w:szCs w:val="20"/>
                <w:lang w:val="pl-PL"/>
              </w:rPr>
              <w:t xml:space="preserve"> agalzydazy</w:t>
            </w:r>
            <w:r w:rsidRPr="00665819">
              <w:rPr>
                <w:b/>
                <w:color w:val="000000"/>
                <w:sz w:val="20"/>
                <w:szCs w:val="20"/>
                <w:lang w:val="pl-PL"/>
              </w:rPr>
              <w:t xml:space="preserve"> beta</w:t>
            </w:r>
          </w:p>
          <w:p w:rsidR="00D91561" w:rsidRPr="00665819" w:rsidRDefault="00D91561" w:rsidP="0027209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Dawka preparatu agalzydazy beta wynosi 1mg/kg masy ciała, podawana raz na dwa tygodnie, w postaci infuzji</w:t>
            </w:r>
            <w:r w:rsidR="008601CA" w:rsidRPr="00665819">
              <w:rPr>
                <w:color w:val="000000"/>
                <w:sz w:val="20"/>
                <w:szCs w:val="20"/>
                <w:lang w:val="pl-PL"/>
              </w:rPr>
              <w:t xml:space="preserve"> dożylnej</w:t>
            </w:r>
            <w:r w:rsidRPr="00665819">
              <w:rPr>
                <w:color w:val="000000"/>
                <w:sz w:val="20"/>
                <w:szCs w:val="20"/>
                <w:lang w:val="pl-PL"/>
              </w:rPr>
              <w:t xml:space="preserve">. </w:t>
            </w:r>
            <w:r w:rsidR="00285042" w:rsidRPr="00665819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665819">
              <w:rPr>
                <w:color w:val="000000"/>
                <w:sz w:val="20"/>
                <w:szCs w:val="20"/>
                <w:lang w:val="pl-PL"/>
              </w:rPr>
              <w:t>Podawanie preparatu agalzydazy beta prowadzi się zgodnie z charakterystyką produktu leczniczego.</w:t>
            </w:r>
          </w:p>
          <w:p w:rsidR="00285042" w:rsidRPr="00665819" w:rsidRDefault="00397864" w:rsidP="0027209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</w:pPr>
            <w:r w:rsidRPr="00665819">
              <w:rPr>
                <w:b/>
                <w:color w:val="000000"/>
                <w:sz w:val="20"/>
                <w:szCs w:val="20"/>
                <w:lang w:val="pl-PL"/>
              </w:rPr>
              <w:t>Dawkowanie agalzydazy</w:t>
            </w:r>
            <w:r w:rsidR="00285042" w:rsidRPr="00665819">
              <w:rPr>
                <w:b/>
                <w:color w:val="000000"/>
                <w:sz w:val="20"/>
                <w:szCs w:val="20"/>
                <w:lang w:val="pl-PL"/>
              </w:rPr>
              <w:t xml:space="preserve"> alfa</w:t>
            </w:r>
            <w:r w:rsidR="00285042" w:rsidRPr="00665819">
              <w:t xml:space="preserve"> </w:t>
            </w:r>
          </w:p>
          <w:p w:rsidR="00285042" w:rsidRPr="00665819" w:rsidRDefault="00D25E22" w:rsidP="0027209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Agalzydaza alfa jest podawana w dawce 0,2 mg/kg masy ciała, co drugi tydzień, we wlewach dożylnych trwających około 40 minut. Podawanie preparatu agalzydazy alfa prowadzi się zgodnie z charakterystyką produktu leczniczego.</w:t>
            </w:r>
          </w:p>
        </w:tc>
        <w:tc>
          <w:tcPr>
            <w:tcW w:w="1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561" w:rsidRPr="00665819" w:rsidRDefault="00D91561" w:rsidP="0027209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>Badania przy kwalifikacji</w:t>
            </w:r>
          </w:p>
          <w:p w:rsidR="00D84E2B" w:rsidRPr="00665819" w:rsidRDefault="00D84E2B" w:rsidP="00272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poziom globotriaozylosfingozyny (lyso-Gb3);</w:t>
            </w:r>
          </w:p>
          <w:p w:rsidR="00D84E2B" w:rsidRPr="00665819" w:rsidRDefault="00D84E2B" w:rsidP="00272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badanie genetyczne oraz ocena aktywności alfa-galaktozydazy A w leukocytach lub fibroblastach skóry, lub osoczu, lub w surowicy</w:t>
            </w:r>
            <w:r w:rsidR="00697EA3">
              <w:rPr>
                <w:color w:val="000000"/>
                <w:sz w:val="20"/>
                <w:szCs w:val="20"/>
                <w:lang w:val="pl-PL"/>
              </w:rPr>
              <w:t>(zgodnie z kryteriami kwalifikacji)</w:t>
            </w:r>
            <w:r w:rsidRPr="00665819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D91561" w:rsidRPr="00665819" w:rsidRDefault="00D91561" w:rsidP="0027209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morfologia krwi z rozmazem;</w:t>
            </w:r>
          </w:p>
          <w:p w:rsidR="00D91561" w:rsidRPr="00665819" w:rsidRDefault="008601CA" w:rsidP="0027209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wysokość i masa ciała</w:t>
            </w:r>
            <w:r w:rsidR="00D91561" w:rsidRPr="00665819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D91561" w:rsidRPr="00665819" w:rsidRDefault="00D91561" w:rsidP="0027209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 xml:space="preserve">próby wątrobowe: AlAT, AspAT, kinaza kreatynowa (CK), stężenie bilirubiny całkowitej; ogólne badanie moczu; </w:t>
            </w:r>
            <w:r w:rsidR="008601CA" w:rsidRPr="00665819">
              <w:rPr>
                <w:color w:val="000000"/>
                <w:sz w:val="20"/>
                <w:szCs w:val="20"/>
                <w:lang w:val="pl-PL"/>
              </w:rPr>
              <w:t>stężenie</w:t>
            </w:r>
            <w:r w:rsidRPr="00665819">
              <w:rPr>
                <w:color w:val="000000"/>
                <w:sz w:val="20"/>
                <w:szCs w:val="20"/>
                <w:lang w:val="pl-PL"/>
              </w:rPr>
              <w:t xml:space="preserve"> kreatyniny i mocznika; współczynnik przesączania kłębuszkowego (</w:t>
            </w:r>
            <w:r w:rsidR="00697EA3">
              <w:rPr>
                <w:color w:val="000000"/>
                <w:sz w:val="20"/>
                <w:szCs w:val="20"/>
                <w:lang w:val="pl-PL"/>
              </w:rPr>
              <w:t>e</w:t>
            </w:r>
            <w:r w:rsidRPr="00665819">
              <w:rPr>
                <w:color w:val="000000"/>
                <w:sz w:val="20"/>
                <w:szCs w:val="20"/>
                <w:lang w:val="pl-PL"/>
              </w:rPr>
              <w:t>GFR); wydalanie białka z moczem – proteinuria i albuminuria; stężenie glukozy na czczo i lipidogram; troponina;</w:t>
            </w:r>
          </w:p>
          <w:p w:rsidR="00D91561" w:rsidRPr="00665819" w:rsidRDefault="00D91561" w:rsidP="0027209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USG jamy brzusznej z oceną nerek;</w:t>
            </w:r>
          </w:p>
          <w:p w:rsidR="00D91561" w:rsidRPr="00665819" w:rsidRDefault="00D91561" w:rsidP="0027209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EKG, echokardiografia spoczynkowa, 24-godzinne monitorowanie EKG metodą Holtera;</w:t>
            </w:r>
          </w:p>
          <w:p w:rsidR="00D91561" w:rsidRPr="00665819" w:rsidRDefault="00D91561" w:rsidP="0027209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konsultacja kardiologiczna, nefrologiczna, neurologiczna</w:t>
            </w:r>
          </w:p>
          <w:p w:rsidR="00D91561" w:rsidRPr="00665819" w:rsidRDefault="00D91561" w:rsidP="0027209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rezonans magnetyczny mózgu;</w:t>
            </w:r>
          </w:p>
          <w:p w:rsidR="00D91561" w:rsidRPr="00665819" w:rsidRDefault="00D91561" w:rsidP="0027209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 xml:space="preserve">badanie fizykalne oraz wywiad lekarza prowadzącego w kierunku charakterystycznych objawów choroby Fabry’ego </w:t>
            </w:r>
            <w:r w:rsidRPr="00665819">
              <w:rPr>
                <w:color w:val="000000"/>
                <w:sz w:val="20"/>
                <w:szCs w:val="20"/>
                <w:lang w:val="pl-PL"/>
              </w:rPr>
              <w:lastRenderedPageBreak/>
              <w:t>(w tym: tolerancji ciepła i zimna, bólu, pocenia się, objawów gastrologicznych i angiokeratomy);</w:t>
            </w:r>
          </w:p>
          <w:p w:rsidR="00D91561" w:rsidRPr="00665819" w:rsidRDefault="00D91561" w:rsidP="0027209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ocena jakości życia i bólu na podstawie najbardziej optymalnego w ocenie lekarza prowadzącego kwestionariusza;</w:t>
            </w:r>
          </w:p>
          <w:p w:rsidR="00D91561" w:rsidRPr="00665819" w:rsidRDefault="00D91561" w:rsidP="0027209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bCs/>
                <w:color w:val="000000"/>
                <w:sz w:val="20"/>
                <w:szCs w:val="20"/>
                <w:lang w:val="pl-PL"/>
              </w:rPr>
              <w:t>Monitorowanie leczenia:</w:t>
            </w:r>
          </w:p>
          <w:p w:rsidR="008601CA" w:rsidRPr="00665819" w:rsidRDefault="008601CA" w:rsidP="0027209D">
            <w:pPr>
              <w:pStyle w:val="Tabela-TekstpodstawowyDolewej"/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Weryfikacja skuteczności leczenia odbywa się, co 6 miesięcy od rozpoczęcia leczenia, w oparciu o ocenę stanu klinicznego pacjenta oraz ocenę efektywności zastosowanej terapii. Decyzję o przedłużeniu lub zakończeniu leczenia podejmuje Zespół Koordynacyjny ds. Chorób Ultrarzadkich na podstawie nadesłanej karty monitorowania terapii, zawierającej wyniki badań:</w:t>
            </w:r>
          </w:p>
          <w:p w:rsidR="008601CA" w:rsidRPr="00665819" w:rsidRDefault="008601CA" w:rsidP="0027209D">
            <w:pPr>
              <w:pStyle w:val="Tabela-TekstpodstawowyDolewej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wysokość i masa ciała;</w:t>
            </w:r>
          </w:p>
          <w:p w:rsidR="00D91561" w:rsidRPr="00665819" w:rsidRDefault="00D91561" w:rsidP="0027209D">
            <w:pPr>
              <w:pStyle w:val="Tabela-TekstpodstawowyDolewej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morfologia krwi z rozmazem;</w:t>
            </w:r>
          </w:p>
          <w:p w:rsidR="00D91561" w:rsidRPr="00665819" w:rsidRDefault="00D91561" w:rsidP="0027209D">
            <w:pPr>
              <w:pStyle w:val="Tabela-TekstpodstawowyDolewej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 xml:space="preserve">próby wątrobowe: AlAT, AspAT, kinaza kreatynowa (CK), stężenie bilirubiny całkowitej; </w:t>
            </w:r>
            <w:r w:rsidR="008601CA" w:rsidRPr="00665819">
              <w:rPr>
                <w:rFonts w:ascii="Times New Roman" w:hAnsi="Times New Roman"/>
                <w:color w:val="000000"/>
                <w:sz w:val="20"/>
              </w:rPr>
              <w:t>stężenie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t xml:space="preserve"> kreatyniny i mocznika; współczynnik przesączania kłębuszkowego (</w:t>
            </w:r>
            <w:r w:rsidR="0095141D">
              <w:rPr>
                <w:rFonts w:ascii="Times New Roman" w:hAnsi="Times New Roman"/>
                <w:color w:val="000000"/>
                <w:sz w:val="20"/>
              </w:rPr>
              <w:t>e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t>GFR); wydalanie białka z moczem – proteinuria i albuminuria; lipidogram</w:t>
            </w:r>
          </w:p>
          <w:p w:rsidR="00D91561" w:rsidRPr="00665819" w:rsidRDefault="00D91561" w:rsidP="0027209D">
            <w:pPr>
              <w:pStyle w:val="Tabela-TekstpodstawowyDolewej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EKG, echokardiografia spoczynkowa, w uzasadnionych przypadkach 24-godzinne monitorowanie EKG metodą Holtera;</w:t>
            </w:r>
          </w:p>
          <w:p w:rsidR="00D91561" w:rsidRPr="00665819" w:rsidRDefault="00D91561" w:rsidP="0027209D">
            <w:pPr>
              <w:pStyle w:val="Tabela-TekstpodstawowyDolewej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 xml:space="preserve">konsultacja kardiologiczna, nefrologiczna, neurologiczna; </w:t>
            </w:r>
          </w:p>
          <w:p w:rsidR="00D91561" w:rsidRPr="00665819" w:rsidRDefault="00D91561" w:rsidP="0027209D">
            <w:pPr>
              <w:pStyle w:val="Tabela-TekstpodstawowyDolewej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 xml:space="preserve">rezonans magnetyczny </w:t>
            </w:r>
            <w:r w:rsidR="008601CA" w:rsidRPr="00665819">
              <w:rPr>
                <w:rFonts w:ascii="Times New Roman" w:hAnsi="Times New Roman"/>
                <w:color w:val="000000"/>
                <w:sz w:val="20"/>
              </w:rPr>
              <w:t>ośrodkowego układu nerwowego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="008601CA" w:rsidRPr="00665819">
              <w:rPr>
                <w:rFonts w:ascii="Times New Roman" w:hAnsi="Times New Roman"/>
                <w:color w:val="000000"/>
                <w:sz w:val="20"/>
              </w:rPr>
              <w:t>jeżeli w opinii lekarza prowadzącego zachodzi uzasadniona potrzeba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t>);</w:t>
            </w:r>
          </w:p>
          <w:p w:rsidR="00D91561" w:rsidRPr="00665819" w:rsidRDefault="00D91561" w:rsidP="0027209D">
            <w:pPr>
              <w:pStyle w:val="Tabela-TekstpodstawowyDolewej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 xml:space="preserve">badanie fizykalne oraz wywiad lekarza prowadzącego 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br/>
              <w:t xml:space="preserve">w kierunku charakterystycznych objawów choroby Fabry’ego 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br/>
              <w:t>(w tym: tolerancji ciepła i zimna, bólu, pocenia, objawów gastrologicznych i angiokeratomy) oraz tolerancji wlewów;</w:t>
            </w:r>
          </w:p>
          <w:p w:rsidR="00D91561" w:rsidRPr="00665819" w:rsidRDefault="00D91561" w:rsidP="0027209D">
            <w:pPr>
              <w:pStyle w:val="Tabela-TekstpodstawowyDolewej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ocena jakości życia i bólu na podstawie najbardziej optymalnego w ocenie lekarza prowadzącego kwestionariusza;</w:t>
            </w:r>
          </w:p>
          <w:p w:rsidR="00D91561" w:rsidRPr="00665819" w:rsidRDefault="00D91561" w:rsidP="0027209D">
            <w:pPr>
              <w:pStyle w:val="Tabela-TekstpodstawowyDolewej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lastRenderedPageBreak/>
              <w:t>poziom glob</w:t>
            </w:r>
            <w:r w:rsidR="006241EC" w:rsidRPr="00665819">
              <w:rPr>
                <w:rFonts w:ascii="Times New Roman" w:hAnsi="Times New Roman"/>
                <w:color w:val="000000"/>
                <w:sz w:val="20"/>
              </w:rPr>
              <w:t>otriaozylosfingozyny (lyso-Gb3);</w:t>
            </w:r>
          </w:p>
          <w:p w:rsidR="00D91561" w:rsidRPr="00665819" w:rsidRDefault="00D91561" w:rsidP="0027209D">
            <w:pPr>
              <w:pStyle w:val="Tabela-TekstpodstawowyDolewej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665819">
              <w:rPr>
                <w:rFonts w:ascii="Times New Roman" w:hAnsi="Times New Roman"/>
                <w:color w:val="000000"/>
                <w:sz w:val="20"/>
              </w:rPr>
              <w:t>ocena miana przeciwciał przeciwko alfa-galaktozydazie (</w:t>
            </w:r>
            <w:r w:rsidR="006241EC" w:rsidRPr="00665819">
              <w:rPr>
                <w:rFonts w:ascii="Times New Roman" w:hAnsi="Times New Roman"/>
                <w:color w:val="000000"/>
                <w:sz w:val="20"/>
              </w:rPr>
              <w:t>w uzasadnionych przypadkach</w:t>
            </w:r>
            <w:r w:rsidRPr="00665819">
              <w:rPr>
                <w:rFonts w:ascii="Times New Roman" w:hAnsi="Times New Roman"/>
                <w:color w:val="000000"/>
                <w:sz w:val="20"/>
              </w:rPr>
              <w:t>).</w:t>
            </w:r>
          </w:p>
          <w:p w:rsidR="00D91561" w:rsidRPr="00665819" w:rsidRDefault="00D91561" w:rsidP="0027209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b/>
                <w:color w:val="000000"/>
                <w:sz w:val="20"/>
                <w:szCs w:val="20"/>
                <w:lang w:val="pl-PL"/>
              </w:rPr>
              <w:t>Monitorowanie programu:</w:t>
            </w:r>
          </w:p>
          <w:p w:rsidR="00D91561" w:rsidRPr="00665819" w:rsidRDefault="00D91561" w:rsidP="0027209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gromadzenie w dokumentacji medycznej pacjenta danych dotyczących monitorowania leczenia i każdorazowo przedstawianie na żądanie kontrolerów NFZ;</w:t>
            </w:r>
          </w:p>
          <w:p w:rsidR="00D91561" w:rsidRPr="00665819" w:rsidRDefault="00D91561" w:rsidP="0027209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uzupełnianie danych zawartych w rejestrze (SMPT) dostępnym za pomocą aplikacji internetowej udostępnionej przez OW NFZ, z częstotliwością zgodną z opisem programu oraz na zakończenie leczenia;</w:t>
            </w:r>
          </w:p>
          <w:p w:rsidR="00D91561" w:rsidRPr="00665819" w:rsidRDefault="00D91561" w:rsidP="0027209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665819">
              <w:rPr>
                <w:color w:val="000000"/>
                <w:sz w:val="20"/>
                <w:szCs w:val="20"/>
                <w:lang w:val="pl-PL"/>
              </w:rPr>
              <w:t>przekazywanie informacji sprawozdawczo-rozliczeniowych do NFZ: Informacje przekazuje się w formie papierowej i/lub w</w:t>
            </w:r>
            <w:r w:rsidR="00EC6105" w:rsidRPr="00665819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665819">
              <w:rPr>
                <w:color w:val="000000"/>
                <w:sz w:val="20"/>
                <w:szCs w:val="20"/>
                <w:lang w:val="pl-PL"/>
              </w:rPr>
              <w:t>formie elektronicznej, zgodnie z wymaganiami opublikowanymi przez Narodowy Fundusz Zdrowia.</w:t>
            </w:r>
          </w:p>
        </w:tc>
      </w:tr>
    </w:tbl>
    <w:p w:rsidR="00D91561" w:rsidRPr="00887F83" w:rsidRDefault="00D91561" w:rsidP="00D91561">
      <w:pPr>
        <w:spacing w:line="276" w:lineRule="auto"/>
        <w:jc w:val="both"/>
        <w:rPr>
          <w:color w:val="000000"/>
          <w:sz w:val="2"/>
          <w:szCs w:val="20"/>
        </w:rPr>
      </w:pPr>
    </w:p>
    <w:sectPr w:rsidR="00D91561" w:rsidRPr="00887F83" w:rsidSect="008467B7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FB" w:rsidRDefault="00CB20FB" w:rsidP="00A76445">
      <w:r>
        <w:separator/>
      </w:r>
    </w:p>
  </w:endnote>
  <w:endnote w:type="continuationSeparator" w:id="0">
    <w:p w:rsidR="00CB20FB" w:rsidRDefault="00CB20FB" w:rsidP="00A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topiaStd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ende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6B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FB" w:rsidRDefault="00CB20FB" w:rsidP="00A76445">
      <w:r>
        <w:separator/>
      </w:r>
    </w:p>
  </w:footnote>
  <w:footnote w:type="continuationSeparator" w:id="0">
    <w:p w:rsidR="00CB20FB" w:rsidRDefault="00CB20FB" w:rsidP="00A76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AF3"/>
    <w:multiLevelType w:val="multilevel"/>
    <w:tmpl w:val="BDB8D534"/>
    <w:styleLink w:val="HTA-Tabela-Listawypunktowanalista"/>
    <w:lvl w:ilvl="0">
      <w:start w:val="1"/>
      <w:numFmt w:val="bullet"/>
      <w:pStyle w:val="Tabela-Listapunktowa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226"/>
        </w:tabs>
        <w:ind w:left="226" w:hanging="11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39"/>
        </w:tabs>
        <w:ind w:left="339" w:hanging="113"/>
      </w:pPr>
      <w:rPr>
        <w:rFonts w:ascii="Wingdings" w:hAnsi="Wingdings" w:hint="default"/>
        <w:color w:val="000000"/>
      </w:rPr>
    </w:lvl>
    <w:lvl w:ilvl="3">
      <w:start w:val="1"/>
      <w:numFmt w:val="bullet"/>
      <w:lvlText w:val="·"/>
      <w:lvlJc w:val="left"/>
      <w:pPr>
        <w:tabs>
          <w:tab w:val="num" w:pos="452"/>
        </w:tabs>
        <w:ind w:left="452" w:hanging="113"/>
      </w:pPr>
      <w:rPr>
        <w:rFonts w:ascii="Arial" w:hAnsi="Arial" w:hint="default"/>
        <w:color w:val="000000"/>
      </w:rPr>
    </w:lvl>
    <w:lvl w:ilvl="4">
      <w:start w:val="1"/>
      <w:numFmt w:val="bullet"/>
      <w:lvlText w:val="·"/>
      <w:lvlJc w:val="left"/>
      <w:pPr>
        <w:tabs>
          <w:tab w:val="num" w:pos="565"/>
        </w:tabs>
        <w:ind w:left="565" w:hanging="113"/>
      </w:pPr>
      <w:rPr>
        <w:rFonts w:ascii="Arial" w:hAnsi="Arial" w:hint="default"/>
        <w:color w:val="000000"/>
      </w:rPr>
    </w:lvl>
    <w:lvl w:ilvl="5">
      <w:start w:val="1"/>
      <w:numFmt w:val="bullet"/>
      <w:lvlText w:val="·"/>
      <w:lvlJc w:val="left"/>
      <w:pPr>
        <w:tabs>
          <w:tab w:val="num" w:pos="678"/>
        </w:tabs>
        <w:ind w:left="678" w:hanging="113"/>
      </w:pPr>
      <w:rPr>
        <w:rFonts w:ascii="Arial" w:hAnsi="Arial" w:hint="default"/>
        <w:color w:val="000000"/>
      </w:rPr>
    </w:lvl>
    <w:lvl w:ilvl="6">
      <w:start w:val="1"/>
      <w:numFmt w:val="bullet"/>
      <w:lvlText w:val="·"/>
      <w:lvlJc w:val="left"/>
      <w:pPr>
        <w:tabs>
          <w:tab w:val="num" w:pos="791"/>
        </w:tabs>
        <w:ind w:left="791" w:hanging="113"/>
      </w:pPr>
      <w:rPr>
        <w:rFonts w:ascii="Arial" w:hAnsi="Arial" w:hint="default"/>
        <w:color w:val="000000"/>
      </w:rPr>
    </w:lvl>
    <w:lvl w:ilvl="7">
      <w:start w:val="1"/>
      <w:numFmt w:val="bullet"/>
      <w:lvlText w:val="·"/>
      <w:lvlJc w:val="left"/>
      <w:pPr>
        <w:tabs>
          <w:tab w:val="num" w:pos="904"/>
        </w:tabs>
        <w:ind w:left="904" w:hanging="113"/>
      </w:pPr>
      <w:rPr>
        <w:rFonts w:ascii="Arial" w:hAnsi="Arial" w:hint="default"/>
        <w:color w:val="000000"/>
      </w:rPr>
    </w:lvl>
    <w:lvl w:ilvl="8">
      <w:start w:val="1"/>
      <w:numFmt w:val="bullet"/>
      <w:lvlText w:val="·"/>
      <w:lvlJc w:val="left"/>
      <w:pPr>
        <w:tabs>
          <w:tab w:val="num" w:pos="1017"/>
        </w:tabs>
        <w:ind w:left="1017" w:hanging="113"/>
      </w:pPr>
      <w:rPr>
        <w:rFonts w:ascii="Arial" w:hAnsi="Arial" w:hint="default"/>
        <w:color w:val="000000"/>
      </w:rPr>
    </w:lvl>
  </w:abstractNum>
  <w:abstractNum w:abstractNumId="1" w15:restartNumberingAfterBreak="0">
    <w:nsid w:val="054440B7"/>
    <w:multiLevelType w:val="hybridMultilevel"/>
    <w:tmpl w:val="64C658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1071D"/>
    <w:multiLevelType w:val="hybridMultilevel"/>
    <w:tmpl w:val="3078D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54303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1477"/>
    <w:multiLevelType w:val="multilevel"/>
    <w:tmpl w:val="DC44A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876AC5"/>
    <w:multiLevelType w:val="multilevel"/>
    <w:tmpl w:val="BDB8D534"/>
    <w:numStyleLink w:val="HTA-Tabela-Listawypunktowanalista"/>
  </w:abstractNum>
  <w:abstractNum w:abstractNumId="5" w15:restartNumberingAfterBreak="0">
    <w:nsid w:val="0DD66FFE"/>
    <w:multiLevelType w:val="hybridMultilevel"/>
    <w:tmpl w:val="F90AB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E30E7"/>
    <w:multiLevelType w:val="hybridMultilevel"/>
    <w:tmpl w:val="F90AB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4BF4"/>
    <w:multiLevelType w:val="hybridMultilevel"/>
    <w:tmpl w:val="0C8A77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E76B03"/>
    <w:multiLevelType w:val="multilevel"/>
    <w:tmpl w:val="5CA6E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4C265CB"/>
    <w:multiLevelType w:val="hybridMultilevel"/>
    <w:tmpl w:val="E9A4B9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931F81"/>
    <w:multiLevelType w:val="hybridMultilevel"/>
    <w:tmpl w:val="85CA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66334"/>
    <w:multiLevelType w:val="hybridMultilevel"/>
    <w:tmpl w:val="02AE2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72AD2"/>
    <w:multiLevelType w:val="multilevel"/>
    <w:tmpl w:val="6EEE08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333D97"/>
    <w:multiLevelType w:val="hybridMultilevel"/>
    <w:tmpl w:val="0B12F09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FD3FC7"/>
    <w:multiLevelType w:val="multilevel"/>
    <w:tmpl w:val="F8DA5E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51026A1"/>
    <w:multiLevelType w:val="hybridMultilevel"/>
    <w:tmpl w:val="B450D4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6E5CE3"/>
    <w:multiLevelType w:val="hybridMultilevel"/>
    <w:tmpl w:val="6F847B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8B642E"/>
    <w:multiLevelType w:val="hybridMultilevel"/>
    <w:tmpl w:val="8626D56E"/>
    <w:lvl w:ilvl="0" w:tplc="6F92BB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48A2"/>
    <w:multiLevelType w:val="hybridMultilevel"/>
    <w:tmpl w:val="67D0FEF8"/>
    <w:lvl w:ilvl="0" w:tplc="D88CF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F48BA"/>
    <w:multiLevelType w:val="hybridMultilevel"/>
    <w:tmpl w:val="069028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6C701E"/>
    <w:multiLevelType w:val="hybridMultilevel"/>
    <w:tmpl w:val="FCD89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759F2"/>
    <w:multiLevelType w:val="hybridMultilevel"/>
    <w:tmpl w:val="AF8AB352"/>
    <w:lvl w:ilvl="0" w:tplc="AB627D4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769BE"/>
    <w:multiLevelType w:val="hybridMultilevel"/>
    <w:tmpl w:val="40D8EC50"/>
    <w:lvl w:ilvl="0" w:tplc="3E92D8B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8D034D"/>
    <w:multiLevelType w:val="hybridMultilevel"/>
    <w:tmpl w:val="7AB27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00D19"/>
    <w:multiLevelType w:val="hybridMultilevel"/>
    <w:tmpl w:val="710C6E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F2120"/>
    <w:multiLevelType w:val="hybridMultilevel"/>
    <w:tmpl w:val="11CAB1EC"/>
    <w:lvl w:ilvl="0" w:tplc="E0D62A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17888"/>
    <w:multiLevelType w:val="hybridMultilevel"/>
    <w:tmpl w:val="A5925E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074F1C"/>
    <w:multiLevelType w:val="hybridMultilevel"/>
    <w:tmpl w:val="64C658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032B29"/>
    <w:multiLevelType w:val="hybridMultilevel"/>
    <w:tmpl w:val="F5DCA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30DC2"/>
    <w:multiLevelType w:val="hybridMultilevel"/>
    <w:tmpl w:val="DE7E06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B37E72"/>
    <w:multiLevelType w:val="hybridMultilevel"/>
    <w:tmpl w:val="41A85C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4"/>
  </w:num>
  <w:num w:numId="5">
    <w:abstractNumId w:val="9"/>
  </w:num>
  <w:num w:numId="6">
    <w:abstractNumId w:val="10"/>
  </w:num>
  <w:num w:numId="7">
    <w:abstractNumId w:val="1"/>
  </w:num>
  <w:num w:numId="8">
    <w:abstractNumId w:val="27"/>
  </w:num>
  <w:num w:numId="9">
    <w:abstractNumId w:val="22"/>
  </w:num>
  <w:num w:numId="10">
    <w:abstractNumId w:val="29"/>
  </w:num>
  <w:num w:numId="11">
    <w:abstractNumId w:val="0"/>
  </w:num>
  <w:num w:numId="12">
    <w:abstractNumId w:val="4"/>
  </w:num>
  <w:num w:numId="13">
    <w:abstractNumId w:val="15"/>
  </w:num>
  <w:num w:numId="14">
    <w:abstractNumId w:val="20"/>
  </w:num>
  <w:num w:numId="15">
    <w:abstractNumId w:val="16"/>
  </w:num>
  <w:num w:numId="16">
    <w:abstractNumId w:val="12"/>
  </w:num>
  <w:num w:numId="17">
    <w:abstractNumId w:val="17"/>
  </w:num>
  <w:num w:numId="18">
    <w:abstractNumId w:val="3"/>
  </w:num>
  <w:num w:numId="19">
    <w:abstractNumId w:val="30"/>
  </w:num>
  <w:num w:numId="20">
    <w:abstractNumId w:val="26"/>
  </w:num>
  <w:num w:numId="21">
    <w:abstractNumId w:val="7"/>
  </w:num>
  <w:num w:numId="22">
    <w:abstractNumId w:val="18"/>
  </w:num>
  <w:num w:numId="23">
    <w:abstractNumId w:val="28"/>
  </w:num>
  <w:num w:numId="24">
    <w:abstractNumId w:val="25"/>
  </w:num>
  <w:num w:numId="25">
    <w:abstractNumId w:val="21"/>
  </w:num>
  <w:num w:numId="26">
    <w:abstractNumId w:val="19"/>
  </w:num>
  <w:num w:numId="27">
    <w:abstractNumId w:val="8"/>
  </w:num>
  <w:num w:numId="28">
    <w:abstractNumId w:val="2"/>
  </w:num>
  <w:num w:numId="29">
    <w:abstractNumId w:val="14"/>
  </w:num>
  <w:num w:numId="30">
    <w:abstractNumId w:val="2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F1"/>
    <w:rsid w:val="00017DFF"/>
    <w:rsid w:val="0004631C"/>
    <w:rsid w:val="00056DA5"/>
    <w:rsid w:val="0008636B"/>
    <w:rsid w:val="00087C41"/>
    <w:rsid w:val="000A537D"/>
    <w:rsid w:val="000B67D6"/>
    <w:rsid w:val="000C17C4"/>
    <w:rsid w:val="000C382B"/>
    <w:rsid w:val="000C5555"/>
    <w:rsid w:val="000E2813"/>
    <w:rsid w:val="000F67CB"/>
    <w:rsid w:val="00105303"/>
    <w:rsid w:val="0010621E"/>
    <w:rsid w:val="00110F36"/>
    <w:rsid w:val="0012002F"/>
    <w:rsid w:val="00143469"/>
    <w:rsid w:val="001468B4"/>
    <w:rsid w:val="00165F32"/>
    <w:rsid w:val="00183C3D"/>
    <w:rsid w:val="00192F92"/>
    <w:rsid w:val="001B4984"/>
    <w:rsid w:val="001B5EBF"/>
    <w:rsid w:val="001C5685"/>
    <w:rsid w:val="001C6393"/>
    <w:rsid w:val="001D1267"/>
    <w:rsid w:val="00227AC4"/>
    <w:rsid w:val="00235F5E"/>
    <w:rsid w:val="00265D64"/>
    <w:rsid w:val="0027209D"/>
    <w:rsid w:val="00282247"/>
    <w:rsid w:val="00285042"/>
    <w:rsid w:val="002941A4"/>
    <w:rsid w:val="002A0B59"/>
    <w:rsid w:val="002C0010"/>
    <w:rsid w:val="002E01B9"/>
    <w:rsid w:val="002E0A53"/>
    <w:rsid w:val="002E5393"/>
    <w:rsid w:val="002E7ADC"/>
    <w:rsid w:val="003115C9"/>
    <w:rsid w:val="00333CE1"/>
    <w:rsid w:val="00366D66"/>
    <w:rsid w:val="00397864"/>
    <w:rsid w:val="003A1D54"/>
    <w:rsid w:val="003B0525"/>
    <w:rsid w:val="003B2CEE"/>
    <w:rsid w:val="003B4345"/>
    <w:rsid w:val="003C0415"/>
    <w:rsid w:val="003C4C44"/>
    <w:rsid w:val="003F08B1"/>
    <w:rsid w:val="003F5CA4"/>
    <w:rsid w:val="00420DF7"/>
    <w:rsid w:val="0042171B"/>
    <w:rsid w:val="00425187"/>
    <w:rsid w:val="004428FF"/>
    <w:rsid w:val="0044335F"/>
    <w:rsid w:val="00480068"/>
    <w:rsid w:val="00482BFD"/>
    <w:rsid w:val="004D4C2B"/>
    <w:rsid w:val="004E7F2A"/>
    <w:rsid w:val="00520E85"/>
    <w:rsid w:val="0057707D"/>
    <w:rsid w:val="00581F3B"/>
    <w:rsid w:val="00593703"/>
    <w:rsid w:val="005A41E9"/>
    <w:rsid w:val="005B16BD"/>
    <w:rsid w:val="005B497A"/>
    <w:rsid w:val="005B7C77"/>
    <w:rsid w:val="005C12D2"/>
    <w:rsid w:val="005D61A8"/>
    <w:rsid w:val="00603EAB"/>
    <w:rsid w:val="00610965"/>
    <w:rsid w:val="0062098D"/>
    <w:rsid w:val="006241EC"/>
    <w:rsid w:val="0063480A"/>
    <w:rsid w:val="00651714"/>
    <w:rsid w:val="00652896"/>
    <w:rsid w:val="00665819"/>
    <w:rsid w:val="006767EA"/>
    <w:rsid w:val="00697454"/>
    <w:rsid w:val="00697EA3"/>
    <w:rsid w:val="006D1F46"/>
    <w:rsid w:val="006E2D8C"/>
    <w:rsid w:val="006F2691"/>
    <w:rsid w:val="00736315"/>
    <w:rsid w:val="007433B8"/>
    <w:rsid w:val="007467CF"/>
    <w:rsid w:val="007560A8"/>
    <w:rsid w:val="00757517"/>
    <w:rsid w:val="007C0881"/>
    <w:rsid w:val="007E0D23"/>
    <w:rsid w:val="00802E45"/>
    <w:rsid w:val="00824B8C"/>
    <w:rsid w:val="00833863"/>
    <w:rsid w:val="008366D4"/>
    <w:rsid w:val="00845621"/>
    <w:rsid w:val="008467B7"/>
    <w:rsid w:val="008562A5"/>
    <w:rsid w:val="00856BDE"/>
    <w:rsid w:val="008601CA"/>
    <w:rsid w:val="00864635"/>
    <w:rsid w:val="00865F54"/>
    <w:rsid w:val="00867728"/>
    <w:rsid w:val="00870635"/>
    <w:rsid w:val="008838B8"/>
    <w:rsid w:val="00887F83"/>
    <w:rsid w:val="008B3216"/>
    <w:rsid w:val="008C6C3E"/>
    <w:rsid w:val="008D2133"/>
    <w:rsid w:val="009009E8"/>
    <w:rsid w:val="00913017"/>
    <w:rsid w:val="009157BC"/>
    <w:rsid w:val="00916757"/>
    <w:rsid w:val="0092375E"/>
    <w:rsid w:val="0095141D"/>
    <w:rsid w:val="00960DE7"/>
    <w:rsid w:val="0098655E"/>
    <w:rsid w:val="00994831"/>
    <w:rsid w:val="009A5ECC"/>
    <w:rsid w:val="009A6F3D"/>
    <w:rsid w:val="009A7EA7"/>
    <w:rsid w:val="009D2DDC"/>
    <w:rsid w:val="00A03A3D"/>
    <w:rsid w:val="00A35A50"/>
    <w:rsid w:val="00A63FD8"/>
    <w:rsid w:val="00A7089C"/>
    <w:rsid w:val="00A73C1F"/>
    <w:rsid w:val="00A76445"/>
    <w:rsid w:val="00A8126F"/>
    <w:rsid w:val="00A860DE"/>
    <w:rsid w:val="00A91BC2"/>
    <w:rsid w:val="00AA51DB"/>
    <w:rsid w:val="00AA5210"/>
    <w:rsid w:val="00AB7B41"/>
    <w:rsid w:val="00AD3B18"/>
    <w:rsid w:val="00AF2CEA"/>
    <w:rsid w:val="00AF3B75"/>
    <w:rsid w:val="00B038FA"/>
    <w:rsid w:val="00B04ACB"/>
    <w:rsid w:val="00B36191"/>
    <w:rsid w:val="00B37914"/>
    <w:rsid w:val="00B82B00"/>
    <w:rsid w:val="00B87ECC"/>
    <w:rsid w:val="00BA4CA2"/>
    <w:rsid w:val="00BC332E"/>
    <w:rsid w:val="00BC7674"/>
    <w:rsid w:val="00BD5E2D"/>
    <w:rsid w:val="00BE3648"/>
    <w:rsid w:val="00C36B54"/>
    <w:rsid w:val="00C5187C"/>
    <w:rsid w:val="00C57250"/>
    <w:rsid w:val="00CA296A"/>
    <w:rsid w:val="00CB20FB"/>
    <w:rsid w:val="00CB3644"/>
    <w:rsid w:val="00CB6887"/>
    <w:rsid w:val="00CC38AE"/>
    <w:rsid w:val="00CD2428"/>
    <w:rsid w:val="00CE204C"/>
    <w:rsid w:val="00D01F45"/>
    <w:rsid w:val="00D026E0"/>
    <w:rsid w:val="00D05F47"/>
    <w:rsid w:val="00D25E22"/>
    <w:rsid w:val="00D335A4"/>
    <w:rsid w:val="00D46533"/>
    <w:rsid w:val="00D575C9"/>
    <w:rsid w:val="00D60C63"/>
    <w:rsid w:val="00D60FA3"/>
    <w:rsid w:val="00D64B8C"/>
    <w:rsid w:val="00D65CF1"/>
    <w:rsid w:val="00D66745"/>
    <w:rsid w:val="00D714FB"/>
    <w:rsid w:val="00D84E2B"/>
    <w:rsid w:val="00D91561"/>
    <w:rsid w:val="00D94BFB"/>
    <w:rsid w:val="00DA0783"/>
    <w:rsid w:val="00DB21BD"/>
    <w:rsid w:val="00DD3844"/>
    <w:rsid w:val="00DD7BC9"/>
    <w:rsid w:val="00DE0F03"/>
    <w:rsid w:val="00DF1EB0"/>
    <w:rsid w:val="00DF2B15"/>
    <w:rsid w:val="00E46D6D"/>
    <w:rsid w:val="00E46F95"/>
    <w:rsid w:val="00E523D4"/>
    <w:rsid w:val="00E54B51"/>
    <w:rsid w:val="00E61CDE"/>
    <w:rsid w:val="00E81ED9"/>
    <w:rsid w:val="00EA15CF"/>
    <w:rsid w:val="00EC101E"/>
    <w:rsid w:val="00EC6105"/>
    <w:rsid w:val="00ED08E8"/>
    <w:rsid w:val="00EE5449"/>
    <w:rsid w:val="00F02ECC"/>
    <w:rsid w:val="00F03402"/>
    <w:rsid w:val="00F159A7"/>
    <w:rsid w:val="00F34586"/>
    <w:rsid w:val="00F45B62"/>
    <w:rsid w:val="00F536BA"/>
    <w:rsid w:val="00F5720D"/>
    <w:rsid w:val="00F63581"/>
    <w:rsid w:val="00F70C62"/>
    <w:rsid w:val="00F74315"/>
    <w:rsid w:val="00F82D2A"/>
    <w:rsid w:val="00FC099E"/>
    <w:rsid w:val="00FD785E"/>
    <w:rsid w:val="00FE4E54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714837E6-5E38-401A-9BF8-583B9A27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445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745"/>
    <w:pPr>
      <w:keepNext/>
      <w:keepLines/>
      <w:spacing w:after="240"/>
      <w:outlineLvl w:val="0"/>
    </w:pPr>
    <w:rPr>
      <w:rFonts w:ascii="Calibri" w:eastAsia="MS Gothic" w:hAnsi="Calibri"/>
      <w:b/>
      <w:bCs/>
      <w:color w:val="345A8A"/>
      <w:sz w:val="32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6745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2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e">
    <w:name w:val="texte"/>
    <w:basedOn w:val="Normalny"/>
    <w:autoRedefine/>
    <w:uiPriority w:val="99"/>
    <w:rsid w:val="00D66745"/>
    <w:pPr>
      <w:widowControl w:val="0"/>
      <w:suppressAutoHyphens/>
      <w:autoSpaceDE w:val="0"/>
      <w:autoSpaceDN w:val="0"/>
      <w:adjustRightInd w:val="0"/>
      <w:spacing w:line="220" w:lineRule="atLeast"/>
      <w:jc w:val="both"/>
      <w:textAlignment w:val="center"/>
    </w:pPr>
    <w:rPr>
      <w:rFonts w:ascii="UtopiaStd-Regular" w:hAnsi="UtopiaStd-Regular" w:cs="UtopiaStd-Regular"/>
      <w:color w:val="000000"/>
      <w:spacing w:val="-2"/>
      <w:sz w:val="19"/>
      <w:szCs w:val="19"/>
    </w:rPr>
  </w:style>
  <w:style w:type="character" w:customStyle="1" w:styleId="Nagwek1Znak">
    <w:name w:val="Nagłówek 1 Znak"/>
    <w:link w:val="Nagwek1"/>
    <w:uiPriority w:val="9"/>
    <w:rsid w:val="00D66745"/>
    <w:rPr>
      <w:rFonts w:ascii="Calibri" w:eastAsia="MS Gothic" w:hAnsi="Calibri" w:cs="Times New Roman"/>
      <w:b/>
      <w:bCs/>
      <w:color w:val="345A8A"/>
      <w:sz w:val="32"/>
      <w:szCs w:val="48"/>
    </w:rPr>
  </w:style>
  <w:style w:type="character" w:customStyle="1" w:styleId="Nagwek2Znak">
    <w:name w:val="Nagłówek 2 Znak"/>
    <w:link w:val="Nagwek2"/>
    <w:uiPriority w:val="9"/>
    <w:rsid w:val="00D66745"/>
    <w:rPr>
      <w:rFonts w:ascii="Calibri" w:eastAsia="MS Gothic" w:hAnsi="Calibri" w:cs="Times New Roman"/>
      <w:b/>
      <w:bCs/>
      <w:color w:val="4F81BD"/>
      <w:sz w:val="26"/>
      <w:szCs w:val="26"/>
      <w:lang w:eastAsia="fr-FR"/>
    </w:rPr>
  </w:style>
  <w:style w:type="paragraph" w:customStyle="1" w:styleId="ttire">
    <w:name w:val="tétière"/>
    <w:basedOn w:val="Normalny"/>
    <w:next w:val="Normalny"/>
    <w:uiPriority w:val="99"/>
    <w:rsid w:val="00D66745"/>
    <w:pPr>
      <w:widowControl w:val="0"/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HelveticaNeue-Extended" w:hAnsi="HelveticaNeue-Extended" w:cs="HelveticaNeue-Extended"/>
      <w:color w:val="4C00FF"/>
      <w:spacing w:val="-2"/>
      <w:sz w:val="22"/>
      <w:szCs w:val="22"/>
    </w:rPr>
  </w:style>
  <w:style w:type="paragraph" w:customStyle="1" w:styleId="sections">
    <w:name w:val="sections"/>
    <w:autoRedefine/>
    <w:qFormat/>
    <w:rsid w:val="00D66745"/>
    <w:rPr>
      <w:rFonts w:ascii="Calibri" w:eastAsia="MS Gothic" w:hAnsi="Calibri"/>
      <w:bCs/>
      <w:i/>
      <w:color w:val="FF6600"/>
      <w:w w:val="93"/>
      <w:szCs w:val="32"/>
      <w:lang w:val="fr-FR" w:eastAsia="ja-JP"/>
    </w:rPr>
  </w:style>
  <w:style w:type="paragraph" w:styleId="Nagwek">
    <w:name w:val="header"/>
    <w:basedOn w:val="Normalny"/>
    <w:link w:val="NagwekZnak"/>
    <w:uiPriority w:val="99"/>
    <w:unhideWhenUsed/>
    <w:rsid w:val="00A764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445"/>
  </w:style>
  <w:style w:type="paragraph" w:styleId="Stopka">
    <w:name w:val="footer"/>
    <w:basedOn w:val="Normalny"/>
    <w:link w:val="StopkaZnak"/>
    <w:unhideWhenUsed/>
    <w:rsid w:val="00A764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445"/>
  </w:style>
  <w:style w:type="paragraph" w:styleId="Tekstdymka">
    <w:name w:val="Balloon Text"/>
    <w:basedOn w:val="Normalny"/>
    <w:link w:val="TekstdymkaZnak"/>
    <w:uiPriority w:val="99"/>
    <w:semiHidden/>
    <w:unhideWhenUsed/>
    <w:rsid w:val="00A76445"/>
    <w:rPr>
      <w:rFonts w:ascii="Lucida Grande" w:eastAsia="MS Mincho" w:hAnsi="Lucida Grand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76445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ny"/>
    <w:rsid w:val="00A764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fr-FR"/>
    </w:rPr>
  </w:style>
  <w:style w:type="paragraph" w:customStyle="1" w:styleId="Adresse">
    <w:name w:val="Adresse"/>
    <w:basedOn w:val="Normalny"/>
    <w:qFormat/>
    <w:rsid w:val="009A7EA7"/>
    <w:pPr>
      <w:widowControl w:val="0"/>
      <w:autoSpaceDE w:val="0"/>
      <w:autoSpaceDN w:val="0"/>
      <w:adjustRightInd w:val="0"/>
      <w:spacing w:line="288" w:lineRule="auto"/>
      <w:ind w:left="5670" w:right="851"/>
      <w:textAlignment w:val="center"/>
    </w:pPr>
    <w:rPr>
      <w:rFonts w:ascii="Arial" w:hAnsi="Arial" w:cs="Arial"/>
      <w:color w:val="000000"/>
      <w:sz w:val="20"/>
      <w:szCs w:val="20"/>
      <w:lang w:bidi="fr-FR"/>
    </w:rPr>
  </w:style>
  <w:style w:type="paragraph" w:customStyle="1" w:styleId="Villedate">
    <w:name w:val="Ville date"/>
    <w:basedOn w:val="Normalny"/>
    <w:qFormat/>
    <w:rsid w:val="00D05F47"/>
    <w:pPr>
      <w:widowControl w:val="0"/>
      <w:autoSpaceDE w:val="0"/>
      <w:autoSpaceDN w:val="0"/>
      <w:adjustRightInd w:val="0"/>
      <w:spacing w:before="840" w:line="288" w:lineRule="auto"/>
      <w:ind w:left="5670" w:right="851"/>
      <w:textAlignment w:val="center"/>
    </w:pPr>
    <w:rPr>
      <w:rFonts w:ascii="Arial" w:hAnsi="Arial" w:cs="Arial"/>
      <w:color w:val="000000"/>
      <w:sz w:val="20"/>
      <w:szCs w:val="20"/>
      <w:lang w:bidi="fr-FR"/>
    </w:rPr>
  </w:style>
  <w:style w:type="paragraph" w:customStyle="1" w:styleId="Corpsdelettre">
    <w:name w:val="Corps de lettre"/>
    <w:basedOn w:val="Normalny"/>
    <w:qFormat/>
    <w:rsid w:val="00D05F47"/>
    <w:pPr>
      <w:widowControl w:val="0"/>
      <w:autoSpaceDE w:val="0"/>
      <w:autoSpaceDN w:val="0"/>
      <w:adjustRightInd w:val="0"/>
      <w:spacing w:before="120" w:line="288" w:lineRule="auto"/>
      <w:ind w:left="851" w:right="851"/>
      <w:jc w:val="both"/>
      <w:textAlignment w:val="center"/>
    </w:pPr>
    <w:rPr>
      <w:rFonts w:ascii="Arial" w:hAnsi="Arial" w:cs="Arial"/>
      <w:color w:val="000000"/>
      <w:sz w:val="20"/>
      <w:szCs w:val="20"/>
      <w:lang w:bidi="fr-FR"/>
    </w:rPr>
  </w:style>
  <w:style w:type="paragraph" w:customStyle="1" w:styleId="Civilit">
    <w:name w:val="Civilité"/>
    <w:basedOn w:val="Normalny"/>
    <w:link w:val="CivilitCar"/>
    <w:qFormat/>
    <w:rsid w:val="00D05F47"/>
    <w:pPr>
      <w:widowControl w:val="0"/>
      <w:autoSpaceDE w:val="0"/>
      <w:autoSpaceDN w:val="0"/>
      <w:adjustRightInd w:val="0"/>
      <w:spacing w:before="840" w:after="600" w:line="288" w:lineRule="auto"/>
      <w:ind w:left="851" w:right="851"/>
      <w:jc w:val="center"/>
      <w:textAlignment w:val="center"/>
    </w:pPr>
    <w:rPr>
      <w:rFonts w:ascii="Arial" w:eastAsia="MS Mincho" w:hAnsi="Arial" w:cs="Arial"/>
      <w:color w:val="000000"/>
      <w:sz w:val="20"/>
      <w:szCs w:val="20"/>
      <w:lang w:bidi="fr-FR"/>
    </w:rPr>
  </w:style>
  <w:style w:type="paragraph" w:customStyle="1" w:styleId="Signatureexpditeur">
    <w:name w:val="Signature expéditeur"/>
    <w:basedOn w:val="Normalny"/>
    <w:qFormat/>
    <w:rsid w:val="00D05F47"/>
    <w:pPr>
      <w:widowControl w:val="0"/>
      <w:autoSpaceDE w:val="0"/>
      <w:autoSpaceDN w:val="0"/>
      <w:adjustRightInd w:val="0"/>
      <w:spacing w:before="1361" w:line="288" w:lineRule="auto"/>
      <w:ind w:left="7230" w:right="851"/>
      <w:textAlignment w:val="center"/>
    </w:pPr>
    <w:rPr>
      <w:rFonts w:ascii="Arial" w:hAnsi="Arial" w:cs="Arial"/>
      <w:color w:val="000000"/>
      <w:sz w:val="20"/>
      <w:szCs w:val="20"/>
      <w:lang w:bidi="fr-FR"/>
    </w:rPr>
  </w:style>
  <w:style w:type="character" w:customStyle="1" w:styleId="CivilitCar">
    <w:name w:val="Civilité Car"/>
    <w:link w:val="Civilit"/>
    <w:rsid w:val="00D335A4"/>
    <w:rPr>
      <w:rFonts w:ascii="Arial" w:hAnsi="Arial" w:cs="Arial"/>
      <w:color w:val="000000"/>
      <w:lang w:val="fr-FR" w:eastAsia="fr-FR" w:bidi="fr-FR"/>
    </w:rPr>
  </w:style>
  <w:style w:type="character" w:styleId="Odwoaniedokomentarza">
    <w:name w:val="annotation reference"/>
    <w:uiPriority w:val="99"/>
    <w:semiHidden/>
    <w:unhideWhenUsed/>
    <w:rsid w:val="002E0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E0A53"/>
    <w:rPr>
      <w:rFonts w:ascii="Times New Roman" w:eastAsia="Times New Roman" w:hAnsi="Times New Roman"/>
      <w:lang w:val="fr-FR"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0A53"/>
    <w:rPr>
      <w:rFonts w:ascii="Times New Roman" w:eastAsia="Times New Roman" w:hAnsi="Times New Roman"/>
      <w:b/>
      <w:bCs/>
      <w:lang w:val="fr-FR" w:eastAsia="fr-FR"/>
    </w:rPr>
  </w:style>
  <w:style w:type="character" w:customStyle="1" w:styleId="Nagwek3Znak">
    <w:name w:val="Nagłówek 3 Znak"/>
    <w:link w:val="Nagwek3"/>
    <w:uiPriority w:val="9"/>
    <w:semiHidden/>
    <w:rsid w:val="001D1267"/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E54B51"/>
    <w:pPr>
      <w:ind w:left="708"/>
    </w:pPr>
  </w:style>
  <w:style w:type="paragraph" w:customStyle="1" w:styleId="Default">
    <w:name w:val="Default"/>
    <w:rsid w:val="008366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HTA-Tabela-Listawypunktowanalista">
    <w:name w:val="HTA - Tabela - Lista wypunktowana (lista)"/>
    <w:uiPriority w:val="99"/>
    <w:rsid w:val="00D91561"/>
    <w:pPr>
      <w:numPr>
        <w:numId w:val="11"/>
      </w:numPr>
    </w:pPr>
  </w:style>
  <w:style w:type="paragraph" w:customStyle="1" w:styleId="Tabela-Listapunktowa">
    <w:name w:val="Tabela - Lista punktowa"/>
    <w:basedOn w:val="Normalny"/>
    <w:next w:val="Normalny"/>
    <w:uiPriority w:val="7"/>
    <w:qFormat/>
    <w:rsid w:val="00D91561"/>
    <w:pPr>
      <w:numPr>
        <w:numId w:val="12"/>
      </w:numPr>
    </w:pPr>
    <w:rPr>
      <w:rFonts w:ascii="Arial" w:hAnsi="Arial"/>
      <w:bCs/>
      <w:sz w:val="16"/>
      <w:szCs w:val="20"/>
      <w:lang w:val="pl-PL" w:eastAsia="en-US" w:bidi="en-US"/>
    </w:rPr>
  </w:style>
  <w:style w:type="paragraph" w:customStyle="1" w:styleId="Tabela-TekstpodstawowyDolewej">
    <w:name w:val="Tabela - Tekst podstawowy Do lewej"/>
    <w:basedOn w:val="Normalny"/>
    <w:uiPriority w:val="7"/>
    <w:qFormat/>
    <w:rsid w:val="00D91561"/>
    <w:rPr>
      <w:rFonts w:ascii="Arial" w:hAnsi="Arial"/>
      <w:bCs/>
      <w:sz w:val="16"/>
      <w:szCs w:val="20"/>
      <w:lang w:val="pl-PL" w:eastAsia="en-US" w:bidi="en-US"/>
    </w:rPr>
  </w:style>
  <w:style w:type="character" w:customStyle="1" w:styleId="AkapitzlistZnak">
    <w:name w:val="Akapit z listą Znak"/>
    <w:aliases w:val="Styl moj Znak"/>
    <w:link w:val="Akapitzlist"/>
    <w:uiPriority w:val="34"/>
    <w:locked/>
    <w:rsid w:val="00F5720D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706B-F80C-41AB-83C9-344BBDAE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Nom ou Raison sociale</vt:lpstr>
      <vt:lpstr>Nom ou Raison sociale</vt:lpstr>
    </vt:vector>
  </TitlesOfParts>
  <Company>sanofi-aventis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ou Raison sociale</dc:title>
  <dc:subject/>
  <dc:creator>Nicolas Créchet</dc:creator>
  <cp:keywords/>
  <cp:lastModifiedBy>Królak-Buzakowska Joanna</cp:lastModifiedBy>
  <cp:revision>4</cp:revision>
  <cp:lastPrinted>2018-09-20T08:41:00Z</cp:lastPrinted>
  <dcterms:created xsi:type="dcterms:W3CDTF">2019-08-07T20:48:00Z</dcterms:created>
  <dcterms:modified xsi:type="dcterms:W3CDTF">2019-08-21T13:18:00Z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32</vt:i4>
  </property>
  <property fmtid="{D5CDD505-2E9C-101B-9397-08002B2CF9AE}" pid="3" name="_NewReviewCycle">
    <vt:lpwstr/>
  </property>
</Properties>
</file>