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92AB9" w14:textId="77777777" w:rsidR="00D66CCD" w:rsidRPr="007D4315" w:rsidRDefault="007D4315" w:rsidP="0047389A">
      <w:pPr>
        <w:jc w:val="center"/>
        <w:rPr>
          <w:b/>
        </w:rPr>
      </w:pPr>
      <w:r w:rsidRPr="007D4315">
        <w:rPr>
          <w:b/>
        </w:rPr>
        <w:t>OPIS PRZEDMIOTU ZAMÓWIENIA</w:t>
      </w:r>
    </w:p>
    <w:p w14:paraId="3228C264" w14:textId="77777777"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PRZEDMIOT ZAMÓWIENIA</w:t>
      </w:r>
    </w:p>
    <w:p w14:paraId="60B63F3B" w14:textId="77777777" w:rsidR="00C3797E" w:rsidRPr="00C3797E" w:rsidRDefault="007D4315" w:rsidP="0047389A">
      <w:pPr>
        <w:pStyle w:val="Akapitzlist"/>
        <w:jc w:val="both"/>
      </w:pPr>
      <w:r>
        <w:t xml:space="preserve">Przedmiotem zamówienia jest </w:t>
      </w:r>
      <w:r w:rsidR="00C3797E">
        <w:t xml:space="preserve">stworzenie koncepcji wystawy oraz </w:t>
      </w:r>
      <w:r w:rsidR="00E37EFD">
        <w:t>przygotowanie</w:t>
      </w:r>
      <w:r w:rsidR="00C3797E">
        <w:t xml:space="preserve"> jej projektu wykonawczego. Wystawa będzie miała za zadanie promocję </w:t>
      </w:r>
      <w:r w:rsidR="00C3797E">
        <w:rPr>
          <w:b/>
        </w:rPr>
        <w:t>Światowego Forum Miejskiego</w:t>
      </w:r>
      <w:r w:rsidR="00C3797E">
        <w:t>, które obędzie się w czerwcu 2022 roku w Katowicach. Światowe Forum Miejskie</w:t>
      </w:r>
      <w:r w:rsidR="00F25604">
        <w:t>,</w:t>
      </w:r>
      <w:r w:rsidR="00C3797E">
        <w:t xml:space="preserve"> zwane dalej </w:t>
      </w:r>
      <w:r w:rsidR="00C3797E">
        <w:rPr>
          <w:b/>
        </w:rPr>
        <w:t>WUF11</w:t>
      </w:r>
      <w:r w:rsidR="00C3797E">
        <w:t xml:space="preserve"> jest wydarzeniem międzynarodowym, które po raz pierwszy odbyło się w 2001 roku z inicjatywy Organizacji Narodów Zjednoczonych. W Katowicach obędzie się jego jedenasta edycja. WUF został stworzony w celu </w:t>
      </w:r>
      <w:r w:rsidR="00C3797E" w:rsidRPr="00C3797E">
        <w:t>rozwiązania jednego z najbardziej palących problemów, przed którym stoi dziś świat: szybkiej urbanizacji i jej wpływu na społeczności, miasta, gospodarki, zmiany klimatyczne oraz politykę. Forum, zwołane przez UN-Habitat stało się platformą służącą dialogowi wysokiego szczebla, otwartą i sprzyjającą włączeniu społecznemu oraz służącą podejmowaniu wyzwań związanych ze zrównoważoną urbanizacją.</w:t>
      </w:r>
    </w:p>
    <w:p w14:paraId="4AA4B085" w14:textId="77777777" w:rsidR="00C3797E" w:rsidRPr="00C3797E" w:rsidRDefault="00C3797E" w:rsidP="0047389A">
      <w:pPr>
        <w:pStyle w:val="Akapitzlist"/>
        <w:jc w:val="both"/>
      </w:pPr>
      <w:r w:rsidRPr="00C3797E">
        <w:t>Światowe Forum Miejskie ma następujące cele:</w:t>
      </w:r>
    </w:p>
    <w:p w14:paraId="2B14C259" w14:textId="77777777" w:rsidR="00C3797E" w:rsidRPr="00C3797E" w:rsidRDefault="00C3797E" w:rsidP="0047389A">
      <w:pPr>
        <w:pStyle w:val="Akapitzlist"/>
        <w:numPr>
          <w:ilvl w:val="0"/>
          <w:numId w:val="2"/>
        </w:numPr>
        <w:jc w:val="both"/>
      </w:pPr>
      <w:r w:rsidRPr="00C3797E">
        <w:t>Podnoszenie świadomości na temat zrównoważonej urbanizacji wśród zainteresowanych stron. </w:t>
      </w:r>
    </w:p>
    <w:p w14:paraId="5670969D" w14:textId="77777777" w:rsidR="00C3797E" w:rsidRPr="00C3797E" w:rsidRDefault="00C3797E" w:rsidP="0047389A">
      <w:pPr>
        <w:pStyle w:val="Akapitzlist"/>
        <w:numPr>
          <w:ilvl w:val="0"/>
          <w:numId w:val="2"/>
        </w:numPr>
        <w:jc w:val="both"/>
      </w:pPr>
      <w:r w:rsidRPr="00C3797E">
        <w:t>Doskonalenie zbiorowej wiedzy na temat zrównoważonego rozwoju obszarów miejskich poprzez otwartą i integracyjną debatę, wymianę najlepszych praktyk i polityk oraz dzielenie się zdobytymi doświadczeniami. </w:t>
      </w:r>
    </w:p>
    <w:p w14:paraId="384EED69" w14:textId="77777777" w:rsidR="00C3797E" w:rsidRDefault="00C3797E" w:rsidP="0047389A">
      <w:pPr>
        <w:pStyle w:val="Akapitzlist"/>
        <w:numPr>
          <w:ilvl w:val="0"/>
          <w:numId w:val="2"/>
        </w:numPr>
        <w:jc w:val="both"/>
      </w:pPr>
      <w:r w:rsidRPr="00C3797E">
        <w:t>Promowanie współpracy pomiędzy różnymi interesariuszami i grupami zaangażowanymi w rozwój i wdrażanie zrównoważonej urbanizacji.</w:t>
      </w:r>
    </w:p>
    <w:p w14:paraId="46F6AFF5" w14:textId="77777777" w:rsidR="00C3797E" w:rsidRDefault="00C3797E" w:rsidP="0047389A">
      <w:pPr>
        <w:pStyle w:val="Akapitzlist"/>
        <w:jc w:val="both"/>
      </w:pPr>
    </w:p>
    <w:p w14:paraId="00C9298B" w14:textId="77777777" w:rsidR="00C3797E" w:rsidRPr="00C3797E" w:rsidRDefault="00C3797E" w:rsidP="0047389A">
      <w:pPr>
        <w:pStyle w:val="Akapitzlist"/>
        <w:jc w:val="both"/>
      </w:pPr>
      <w:r w:rsidRPr="00C3797E">
        <w:t>Miasto Katowice zostało wybrane jako następny organizator Światowego Forum Miejskiego</w:t>
      </w:r>
      <w:r>
        <w:t xml:space="preserve">, tematem przewodnim </w:t>
      </w:r>
      <w:r w:rsidR="0069165C">
        <w:t>J</w:t>
      </w:r>
      <w:r>
        <w:t>edenastej sesji Światowego Forum Miejskiego będzie „</w:t>
      </w:r>
      <w:r>
        <w:rPr>
          <w:i/>
        </w:rPr>
        <w:t>Sprawiedliwa transformacja miast</w:t>
      </w:r>
      <w:r>
        <w:t xml:space="preserve">”. Projekt wystawy powinien zakładać przedstawienie transformacji miast, aby te stawały się coraz </w:t>
      </w:r>
      <w:r w:rsidRPr="0069165C">
        <w:t>odporniejsze</w:t>
      </w:r>
      <w:r>
        <w:rPr>
          <w:i/>
        </w:rPr>
        <w:t xml:space="preserve"> </w:t>
      </w:r>
      <w:r>
        <w:t xml:space="preserve">na zmiany klimatyczne oraz gospodarcze. </w:t>
      </w:r>
      <w:r w:rsidR="005A5042">
        <w:t>Opis merytoryczny wystawy został przedstawiony w pkt. II OPZ.</w:t>
      </w:r>
    </w:p>
    <w:p w14:paraId="404B5D50" w14:textId="77777777" w:rsidR="007D4315" w:rsidRDefault="007D4315" w:rsidP="0047389A">
      <w:pPr>
        <w:pStyle w:val="Akapitzlist"/>
        <w:jc w:val="both"/>
      </w:pPr>
    </w:p>
    <w:p w14:paraId="26479929" w14:textId="77777777" w:rsidR="005A5042" w:rsidRPr="005A5042" w:rsidRDefault="005A5042" w:rsidP="0047389A">
      <w:pPr>
        <w:pStyle w:val="Akapitzlist"/>
        <w:jc w:val="both"/>
      </w:pPr>
      <w:r>
        <w:rPr>
          <w:b/>
        </w:rPr>
        <w:t>Z</w:t>
      </w:r>
      <w:r w:rsidR="00F25604">
        <w:rPr>
          <w:b/>
        </w:rPr>
        <w:t>a</w:t>
      </w:r>
      <w:r>
        <w:rPr>
          <w:b/>
        </w:rPr>
        <w:t xml:space="preserve">mawiającym </w:t>
      </w:r>
      <w:r>
        <w:t xml:space="preserve">jest Ministerstwo Funduszy i Polityki Regionalnej, </w:t>
      </w:r>
      <w:r w:rsidR="00F25604">
        <w:t xml:space="preserve">które koordynuje przygotowania 11. edycji Światowego Forum Miejskiego (World Urban Forum), która odbędzie się w 2022 roku w Katowicach. </w:t>
      </w:r>
    </w:p>
    <w:p w14:paraId="23CB89B2" w14:textId="77777777" w:rsidR="005A5042" w:rsidRPr="00C3797E" w:rsidRDefault="005A5042" w:rsidP="0047389A">
      <w:pPr>
        <w:pStyle w:val="Akapitzlist"/>
        <w:jc w:val="both"/>
      </w:pPr>
    </w:p>
    <w:p w14:paraId="526E364C" w14:textId="77777777"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OPIS MERYTORYCZNY WYSTAWY</w:t>
      </w:r>
    </w:p>
    <w:p w14:paraId="6925EA22" w14:textId="77777777" w:rsidR="005A5042" w:rsidRDefault="005A5042" w:rsidP="0047389A">
      <w:pPr>
        <w:pStyle w:val="Akapitzlist"/>
        <w:jc w:val="both"/>
      </w:pPr>
      <w:r>
        <w:t xml:space="preserve">Tytułem wystawy będzie </w:t>
      </w:r>
      <w:r>
        <w:rPr>
          <w:b/>
        </w:rPr>
        <w:t>„Zrównoważona i sprawiedliwa transformacja miast”</w:t>
      </w:r>
      <w:r>
        <w:t>.</w:t>
      </w:r>
    </w:p>
    <w:p w14:paraId="6E940319" w14:textId="77777777" w:rsidR="005A5042" w:rsidRDefault="005A5042" w:rsidP="0047389A">
      <w:pPr>
        <w:pStyle w:val="Akapitzlist"/>
        <w:jc w:val="both"/>
      </w:pPr>
    </w:p>
    <w:p w14:paraId="3F47D3BD" w14:textId="77777777" w:rsidR="005A5042" w:rsidRPr="005A5042" w:rsidRDefault="005A5042" w:rsidP="0047389A">
      <w:pPr>
        <w:pStyle w:val="Akapitzlist"/>
        <w:jc w:val="both"/>
        <w:rPr>
          <w:b/>
          <w:bCs/>
          <w:i/>
          <w:iCs/>
        </w:rPr>
      </w:pPr>
      <w:r w:rsidRPr="005A5042">
        <w:rPr>
          <w:b/>
          <w:bCs/>
          <w:i/>
          <w:iCs/>
        </w:rPr>
        <w:t xml:space="preserve">Nadrzędnym celem WUF11 jest promowanie idei zrównoważonej transformacji miast </w:t>
      </w:r>
      <w:r>
        <w:rPr>
          <w:b/>
          <w:bCs/>
          <w:i/>
          <w:iCs/>
        </w:rPr>
        <w:br/>
      </w:r>
      <w:r w:rsidRPr="005A5042">
        <w:rPr>
          <w:b/>
          <w:bCs/>
          <w:i/>
          <w:iCs/>
        </w:rPr>
        <w:t>w kierunku bezpiecznych, zdrowych i przyjaznych</w:t>
      </w:r>
      <w:r w:rsidR="00E37EFD">
        <w:rPr>
          <w:b/>
          <w:bCs/>
          <w:i/>
          <w:iCs/>
        </w:rPr>
        <w:t>,</w:t>
      </w:r>
      <w:r w:rsidRPr="005A5042">
        <w:rPr>
          <w:b/>
          <w:bCs/>
          <w:i/>
          <w:iCs/>
        </w:rPr>
        <w:t xml:space="preserve"> zapewniających wysoką jakość życia mieszkańców. </w:t>
      </w:r>
    </w:p>
    <w:p w14:paraId="4192C4AA" w14:textId="77777777" w:rsidR="005A5042" w:rsidRPr="005A5042" w:rsidRDefault="005A5042" w:rsidP="0047389A">
      <w:pPr>
        <w:pStyle w:val="Akapitzlist"/>
        <w:jc w:val="both"/>
      </w:pPr>
      <w:r w:rsidRPr="005A5042">
        <w:t xml:space="preserve">Ideą miasta zrównoważonego jest </w:t>
      </w:r>
      <w:r w:rsidRPr="005A5042">
        <w:rPr>
          <w:b/>
        </w:rPr>
        <w:t>miasto szczęśliwe</w:t>
      </w:r>
      <w:r w:rsidRPr="005A5042">
        <w:t xml:space="preserve">, zorientowane na człowieka i jego perspektywę postrzegania otoczenia. To miasto, w którego śródmieściu ruch samochodowy jest znacząco ograniczony. Podczas 15 minutowego spaceru można dotrzeć do parków, usług publicznych, przedszkola, ośrodków kultury, czy targowiska. </w:t>
      </w:r>
      <w:r w:rsidRPr="005A5042">
        <w:rPr>
          <w:b/>
        </w:rPr>
        <w:t>Powietrze jest czyste</w:t>
      </w:r>
      <w:r w:rsidRPr="005A5042">
        <w:t xml:space="preserve">, nie zanieczyszczone przez spaliny z samochodów i hałas. To </w:t>
      </w:r>
      <w:r w:rsidRPr="005A5042">
        <w:rPr>
          <w:b/>
        </w:rPr>
        <w:t>przestrzeń pełna zieleni</w:t>
      </w:r>
      <w:r w:rsidRPr="005A5042">
        <w:t xml:space="preserve">, w której człowiek, pieszy chce spędzać czas, zatrzymać się, obcować z innymi. Przestrzeń </w:t>
      </w:r>
      <w:r w:rsidRPr="005A5042">
        <w:rPr>
          <w:b/>
        </w:rPr>
        <w:t>bez barier architektonicznych</w:t>
      </w:r>
      <w:r w:rsidRPr="005A5042">
        <w:t xml:space="preserve">, tuneli i kładek celem przedostania się na drugą stronę ulicy. To przestrzeń </w:t>
      </w:r>
      <w:r w:rsidRPr="005A5042">
        <w:rPr>
          <w:b/>
        </w:rPr>
        <w:t>otwarta</w:t>
      </w:r>
      <w:r w:rsidRPr="005A5042">
        <w:t xml:space="preserve">, nie ogrodzona i estetyczna, bez krzyczących reklam wielkoformatowych. To </w:t>
      </w:r>
      <w:r w:rsidRPr="005A5042">
        <w:rPr>
          <w:b/>
        </w:rPr>
        <w:t>wielofunkcyjna zabudowa</w:t>
      </w:r>
      <w:r w:rsidRPr="005A5042">
        <w:t xml:space="preserve">, gdzie w jednym kwartale są mieszkania, biura, restauracje, punkty usługowe i inne. Miasto </w:t>
      </w:r>
      <w:r w:rsidRPr="005A5042">
        <w:rPr>
          <w:b/>
        </w:rPr>
        <w:t>z priorytetem na pieszych</w:t>
      </w:r>
      <w:r w:rsidRPr="005A5042">
        <w:t xml:space="preserve">, a tym samym sprawiedliwe, gdzie </w:t>
      </w:r>
      <w:r w:rsidRPr="005A5042">
        <w:lastRenderedPageBreak/>
        <w:t>na ulicy możemy sobie wyobrazić poruszającego się samodzielnie ośmiolatka jak i 80</w:t>
      </w:r>
      <w:r w:rsidR="00A1698A">
        <w:t>-latka</w:t>
      </w:r>
      <w:r w:rsidRPr="005A5042">
        <w:t xml:space="preserve">. To przestrzeń </w:t>
      </w:r>
      <w:r w:rsidRPr="005A5042">
        <w:rPr>
          <w:b/>
        </w:rPr>
        <w:t>żyjąca - tętniąca ludźmi</w:t>
      </w:r>
      <w:r w:rsidRPr="005A5042">
        <w:t xml:space="preserve">, którzy tam się znajdują, korzystają z punktów usługowych i handlowych, odpoczywają w cieniu dorodnych drzew na wygodnej ławce. </w:t>
      </w:r>
    </w:p>
    <w:p w14:paraId="368F80C7" w14:textId="77777777" w:rsidR="005A5042" w:rsidRDefault="005A5042" w:rsidP="0047389A">
      <w:pPr>
        <w:pStyle w:val="Akapitzlist"/>
        <w:jc w:val="both"/>
        <w:rPr>
          <w:b/>
          <w:bCs/>
          <w:i/>
          <w:iCs/>
        </w:rPr>
      </w:pPr>
      <w:r w:rsidRPr="005A5042">
        <w:rPr>
          <w:b/>
          <w:bCs/>
          <w:i/>
          <w:iCs/>
        </w:rPr>
        <w:t>Wizja miasta szczęśliwego jest spójna z rekomendowanymi przez UN-Habitat celami zrównoważonego rozwoju na poziomie lokalnym (</w:t>
      </w:r>
      <w:proofErr w:type="spellStart"/>
      <w:r w:rsidRPr="005A5042">
        <w:rPr>
          <w:b/>
          <w:bCs/>
          <w:i/>
          <w:iCs/>
        </w:rPr>
        <w:t>SDGs</w:t>
      </w:r>
      <w:proofErr w:type="spellEnd"/>
      <w:r w:rsidRPr="005A5042">
        <w:rPr>
          <w:b/>
          <w:bCs/>
          <w:i/>
          <w:iCs/>
        </w:rPr>
        <w:t>). I taką wizję miasta chcielibyśmy promować na WUF11.</w:t>
      </w:r>
    </w:p>
    <w:p w14:paraId="3A4C3606" w14:textId="77777777" w:rsidR="005A5042" w:rsidRPr="005A5042" w:rsidRDefault="005A5042" w:rsidP="0047389A">
      <w:pPr>
        <w:pStyle w:val="Akapitzlist"/>
        <w:jc w:val="both"/>
        <w:rPr>
          <w:b/>
          <w:bCs/>
          <w:i/>
          <w:iCs/>
        </w:rPr>
      </w:pPr>
    </w:p>
    <w:p w14:paraId="18C154F5" w14:textId="77777777" w:rsidR="005A5042" w:rsidRPr="005A5042" w:rsidRDefault="005A5042" w:rsidP="0047389A">
      <w:pPr>
        <w:pStyle w:val="Akapitzlist"/>
        <w:jc w:val="both"/>
        <w:rPr>
          <w:u w:val="single"/>
        </w:rPr>
      </w:pPr>
      <w:r w:rsidRPr="005A5042">
        <w:rPr>
          <w:u w:val="single"/>
        </w:rPr>
        <w:t>Poniżej szczegółowy opis charakterystyk miasta zrównoważonego.</w:t>
      </w:r>
    </w:p>
    <w:p w14:paraId="4BE4E723" w14:textId="77777777" w:rsidR="005A5042" w:rsidRPr="005A5042" w:rsidRDefault="005A5042" w:rsidP="0047389A">
      <w:pPr>
        <w:pStyle w:val="Akapitzlist"/>
        <w:jc w:val="both"/>
      </w:pPr>
      <w:r w:rsidRPr="005A5042">
        <w:t>W obliczu obecnych wyzwań przed jakimi stoją miasta, konieczne jest wzmocnienie zdolności miast do planowania i reagowania na różnego rodzaju sytuacje kryzysowe. Miasto przy wsparciu m.in. inteligentnych rozwiązań musi być:</w:t>
      </w:r>
    </w:p>
    <w:p w14:paraId="27840308" w14:textId="77777777" w:rsidR="00AD392D" w:rsidRPr="00366407" w:rsidRDefault="005A5042" w:rsidP="0047389A">
      <w:pPr>
        <w:pStyle w:val="Akapitzlist"/>
        <w:numPr>
          <w:ilvl w:val="0"/>
          <w:numId w:val="3"/>
        </w:numPr>
        <w:jc w:val="both"/>
        <w:rPr>
          <w:b/>
        </w:rPr>
      </w:pPr>
      <w:r w:rsidRPr="00C14ABD">
        <w:rPr>
          <w:b/>
        </w:rPr>
        <w:t>Odporne</w:t>
      </w:r>
      <w:r w:rsidRPr="00C14ABD">
        <w:t xml:space="preserve"> – radzące sobie z zagrożeniami epidemiologicznymi, społeczno-gospodarczymi oraz przede wszystkim zmianami klimatycznymi. </w:t>
      </w:r>
      <w:r w:rsidRPr="00C14ABD">
        <w:rPr>
          <w:lang w:bidi="pl-PL"/>
        </w:rPr>
        <w:t>Miasto musi być elastyczne - umiejętnie się dostosowywać do zmieniających się uwarunkowań rozwojowych</w:t>
      </w:r>
      <w:r w:rsidRPr="00C14ABD">
        <w:t xml:space="preserve"> i zagrożeń takich jak m.in. nieoczekiwane zjawiska pogodowe i kryzysy klimatyczne</w:t>
      </w:r>
      <w:r w:rsidRPr="00C14ABD">
        <w:rPr>
          <w:lang w:bidi="pl-PL"/>
        </w:rPr>
        <w:t>. Miasto takie musi stawiać na zieleń, premiować transport zeroemisyjny (piesi, rowery) i nisko emisyjny (transport publiczny) oraz zapewniać możliwość partycypacji mieszkańców w procesach zarządzania miastem.  Miasto odporne to miasto wykorzystujące dostępne naturalne zasoby: otwarte na rzekę, pobliski las, tworzące np. zbiorniki retencyjne „łapiące” ulewne deszcze.</w:t>
      </w:r>
      <w:r w:rsidR="009B5FBA" w:rsidRPr="00C14ABD">
        <w:rPr>
          <w:lang w:bidi="pl-PL"/>
        </w:rPr>
        <w:t xml:space="preserve"> Przykładem takiej inwestycji w Polsce jest: </w:t>
      </w:r>
      <w:r w:rsidR="00500B4D" w:rsidRPr="00C14ABD">
        <w:rPr>
          <w:lang w:bidi="pl-PL"/>
        </w:rPr>
        <w:t xml:space="preserve"> Wrocław: z racji zagrożenia epidemiologicznego i początkowej niepewności względem bezpieczeństwa w komunikacji publicznej postanowiono ułatwić mieszkańcom zmianę </w:t>
      </w:r>
      <w:proofErr w:type="spellStart"/>
      <w:r w:rsidR="00500B4D" w:rsidRPr="00C14ABD">
        <w:rPr>
          <w:lang w:bidi="pl-PL"/>
        </w:rPr>
        <w:t>zachowań</w:t>
      </w:r>
      <w:proofErr w:type="spellEnd"/>
      <w:r w:rsidR="00500B4D" w:rsidRPr="00C14ABD">
        <w:rPr>
          <w:lang w:bidi="pl-PL"/>
        </w:rPr>
        <w:t xml:space="preserve"> transportowych – w tym przypadku dla rowerzystów. Tymczasowo otwarto Rynek dla rowerzystów na cały dzień. Powstały również trzy strefy ograniczonej prędkości tempo 30 na ulicach: Świdnickiej, Sądowej i św. Mikołaja w celu udogodnienia </w:t>
      </w:r>
      <w:r w:rsidR="00CB1CC1" w:rsidRPr="00C14ABD">
        <w:rPr>
          <w:lang w:bidi="pl-PL"/>
        </w:rPr>
        <w:t xml:space="preserve">w </w:t>
      </w:r>
      <w:r w:rsidR="00500B4D" w:rsidRPr="00C14ABD">
        <w:rPr>
          <w:lang w:bidi="pl-PL"/>
        </w:rPr>
        <w:t>poruszani</w:t>
      </w:r>
      <w:r w:rsidR="00CB1CC1" w:rsidRPr="00C14ABD">
        <w:rPr>
          <w:lang w:bidi="pl-PL"/>
        </w:rPr>
        <w:t>u</w:t>
      </w:r>
      <w:r w:rsidR="00500B4D" w:rsidRPr="00C14ABD">
        <w:rPr>
          <w:lang w:bidi="pl-PL"/>
        </w:rPr>
        <w:t xml:space="preserve"> się pieszym i rowerzystom</w:t>
      </w:r>
      <w:r w:rsidR="00CB1CC1" w:rsidRPr="00C14ABD">
        <w:rPr>
          <w:lang w:bidi="pl-PL"/>
        </w:rPr>
        <w:t>.</w:t>
      </w:r>
    </w:p>
    <w:p w14:paraId="0E75112B" w14:textId="79694C60" w:rsidR="00500B4D" w:rsidRPr="004F39B7" w:rsidRDefault="00500B4D" w:rsidP="00366407">
      <w:pPr>
        <w:ind w:left="709"/>
        <w:jc w:val="both"/>
        <w:rPr>
          <w:b/>
        </w:rPr>
      </w:pPr>
      <w:r w:rsidRPr="00C14ABD">
        <w:rPr>
          <w:lang w:bidi="pl-PL"/>
        </w:rPr>
        <w:t>Warszawa: tymczasowo zwężono ulicę dla samochodów na Placu Zbawiciela celem zwiększenia powierzchni ogródków kawiarnianych by ludzie mogli siedzieć w odległości od siebie spełni</w:t>
      </w:r>
      <w:r w:rsidR="00CB1CC1" w:rsidRPr="00C14ABD">
        <w:rPr>
          <w:lang w:bidi="pl-PL"/>
        </w:rPr>
        <w:t>a</w:t>
      </w:r>
      <w:r w:rsidRPr="00C14ABD">
        <w:rPr>
          <w:lang w:bidi="pl-PL"/>
        </w:rPr>
        <w:t>jącej zalecenia epidemiologiczne.</w:t>
      </w:r>
    </w:p>
    <w:p w14:paraId="3C204822" w14:textId="77777777" w:rsidR="005A5042" w:rsidRPr="00C14ABD" w:rsidRDefault="005A5042" w:rsidP="0047389A">
      <w:pPr>
        <w:pStyle w:val="Akapitzlist"/>
        <w:jc w:val="both"/>
        <w:rPr>
          <w:b/>
        </w:rPr>
      </w:pPr>
    </w:p>
    <w:p w14:paraId="0BF39A23" w14:textId="77777777" w:rsidR="00402FBD" w:rsidRPr="008B4028" w:rsidRDefault="005A5042" w:rsidP="0047389A">
      <w:pPr>
        <w:pStyle w:val="Akapitzlist"/>
        <w:numPr>
          <w:ilvl w:val="0"/>
          <w:numId w:val="3"/>
        </w:numPr>
        <w:jc w:val="both"/>
        <w:rPr>
          <w:b/>
        </w:rPr>
      </w:pPr>
      <w:r w:rsidRPr="00C14ABD">
        <w:rPr>
          <w:b/>
        </w:rPr>
        <w:t>Zielone</w:t>
      </w:r>
      <w:r w:rsidRPr="00C14ABD">
        <w:t xml:space="preserve"> – nierozerwalnie z miastem odpornym, wiąże się miasto zielone, czyli uczestniczące w walce z globalnym ociepleniem, stawiającym na poprawę jakości powietrza, zwiększenia terenów zielonych, a tym samym przyczynia się do poprawy samopoczucia i jakości życia mieszkańców. Miasto zielone eliminuje „wyspy ciepła”, czyli obszary pełne betonu i nieprzepuszczalnych powierzchni, które pochłaniają ciepło słoneczne</w:t>
      </w:r>
      <w:r w:rsidR="00F433D9" w:rsidRPr="00C14ABD">
        <w:t xml:space="preserve"> i</w:t>
      </w:r>
      <w:r w:rsidRPr="00C14ABD">
        <w:t xml:space="preserve"> zamienia na zieleńce, drzewa i łąki kwietne dające cień i chłód mieszkańcom w upalne dni. Bogatsza i zróżnicowana przyroda na terenie zurbanizowanym ma dobroczynny wpływ na zdrowie i dobrostan mieszkańców. Roślinność absorbuje i maskuje dźwięki odbijające się od ścian i nawierzchni – dzięki temu redukuje nasz stres. Miasto zielone pomaga również walczyć z zanieczyszczeniem, gdyż oczyszcza powietrze, jednocześnie wchłaniając niebezpieczne </w:t>
      </w:r>
      <w:proofErr w:type="spellStart"/>
      <w:r w:rsidRPr="00C14ABD">
        <w:t>nanocząstki</w:t>
      </w:r>
      <w:proofErr w:type="spellEnd"/>
      <w:r w:rsidRPr="00C14ABD">
        <w:t xml:space="preserve">. Jest to nie do przecenienia zważywszy na problem smogu i wysokiej zachorowalności na choroby układu oddechowego. Roślinność w mieście chroni ludzi również przed silnym słońcem oraz wiatrem. </w:t>
      </w:r>
      <w:r w:rsidR="009B5FBA" w:rsidRPr="00C14ABD">
        <w:rPr>
          <w:lang w:bidi="pl-PL"/>
        </w:rPr>
        <w:t xml:space="preserve">Przykładem takiej inwestycji w Polsce jest: </w:t>
      </w:r>
      <w:r w:rsidR="00500B4D" w:rsidRPr="00C14ABD">
        <w:rPr>
          <w:lang w:bidi="pl-PL"/>
        </w:rPr>
        <w:t xml:space="preserve"> Rawicz: Budowa polderu zalewowego (zbiornika otwartego przejmującego nadmiar wód spływających z miasta), jednocześnie pełniącego funkcję rekreacyjną dla mieszkańców.</w:t>
      </w:r>
      <w:r w:rsidR="00500B4D" w:rsidRPr="00C14ABD">
        <w:rPr>
          <w:lang w:bidi="pl-PL"/>
        </w:rPr>
        <w:br/>
      </w:r>
      <w:r w:rsidR="00500B4D" w:rsidRPr="00C14ABD">
        <w:rPr>
          <w:lang w:bidi="pl-PL"/>
        </w:rPr>
        <w:br/>
        <w:t xml:space="preserve">Ełk: Zwiększenie powierzchni biologicznie czynnych poprzez budowę 10 zielonych </w:t>
      </w:r>
      <w:r w:rsidR="00500B4D" w:rsidRPr="00C14ABD">
        <w:rPr>
          <w:lang w:bidi="pl-PL"/>
        </w:rPr>
        <w:lastRenderedPageBreak/>
        <w:t>przystanków w Ełku, w bardzo ruchliwych częściach miasta. Pojawią się na nich dachy roślinne i ściany z zimozielonych lub kolorowo kwitnących pnączy</w:t>
      </w:r>
      <w:r w:rsidR="00402FBD">
        <w:rPr>
          <w:lang w:bidi="pl-PL"/>
        </w:rPr>
        <w:t>.</w:t>
      </w:r>
    </w:p>
    <w:p w14:paraId="3D7C0BF4" w14:textId="18CBD618" w:rsidR="00500B4D" w:rsidRPr="00C14ABD" w:rsidRDefault="00500B4D" w:rsidP="008B4028">
      <w:pPr>
        <w:pStyle w:val="Akapitzlist"/>
        <w:jc w:val="both"/>
        <w:rPr>
          <w:b/>
        </w:rPr>
      </w:pPr>
      <w:r w:rsidRPr="00C14ABD">
        <w:rPr>
          <w:lang w:bidi="pl-PL"/>
        </w:rPr>
        <w:br/>
      </w:r>
      <w:r w:rsidRPr="00C14ABD">
        <w:t>Rawa Mazowiecka: Plenerowe pracownie ekologiczne przy szkołach i przedszkolach – przyroda i dbałość o środowisko od najmłodszych lat</w:t>
      </w:r>
    </w:p>
    <w:p w14:paraId="5AE3740B" w14:textId="77777777" w:rsidR="009B5FBA" w:rsidRPr="00C14ABD" w:rsidRDefault="009B5FBA" w:rsidP="0047389A">
      <w:pPr>
        <w:pStyle w:val="Akapitzlist"/>
        <w:jc w:val="both"/>
        <w:rPr>
          <w:b/>
        </w:rPr>
      </w:pPr>
    </w:p>
    <w:p w14:paraId="62E7B31E" w14:textId="77777777" w:rsidR="005A5042" w:rsidRPr="00C14ABD" w:rsidRDefault="005A5042" w:rsidP="0047389A">
      <w:pPr>
        <w:pStyle w:val="Akapitzlist"/>
        <w:jc w:val="both"/>
        <w:rPr>
          <w:b/>
        </w:rPr>
      </w:pPr>
    </w:p>
    <w:p w14:paraId="6DCF8007" w14:textId="77777777" w:rsidR="00500B4D" w:rsidRPr="00C14ABD" w:rsidRDefault="005A5042" w:rsidP="0047389A">
      <w:pPr>
        <w:pStyle w:val="Akapitzlist"/>
        <w:numPr>
          <w:ilvl w:val="0"/>
          <w:numId w:val="3"/>
        </w:numPr>
        <w:jc w:val="both"/>
        <w:rPr>
          <w:b/>
        </w:rPr>
      </w:pPr>
      <w:r w:rsidRPr="00C14ABD">
        <w:rPr>
          <w:b/>
        </w:rPr>
        <w:t>Zwarte</w:t>
      </w:r>
      <w:r w:rsidRPr="00C14ABD">
        <w:t xml:space="preserve"> – miasto odporne i zielone musi być jednocześnie zwarte, czyli takie, które racjonalnie wykorzystuje przestrzeń i dostępne zasoby. Miasto zwarte uzupełnia swoją tkankę miejską poprzez zagospodarowanie pustostanów, konstruowanie budynków wielofunkcyjnych (mieszkania, biura, sklep, studio architektoniczne, wspólna przestrzeń w jednym). Miasto zwarte umożliwia nam zmiany </w:t>
      </w:r>
      <w:proofErr w:type="spellStart"/>
      <w:r w:rsidRPr="00C14ABD">
        <w:t>zachowań</w:t>
      </w:r>
      <w:proofErr w:type="spellEnd"/>
      <w:r w:rsidRPr="00C14ABD">
        <w:t xml:space="preserve"> transportowych – uniezależnia od samochodu, tworząc możliwość załatwienia spraw pieszo, gdzie wiele usług jest blisko. Miasto zwarte przewiduje wielofunkcyjne dzielnice o uspokojonym ruchu i </w:t>
      </w:r>
      <w:proofErr w:type="spellStart"/>
      <w:r w:rsidRPr="00C14ABD">
        <w:t>priorytetyzacji</w:t>
      </w:r>
      <w:proofErr w:type="spellEnd"/>
      <w:r w:rsidRPr="00C14ABD">
        <w:t xml:space="preserve"> pieszych, rowerów i transportu publicznego. Może poprawić dostęp do pracodawców, pracowników, nauczycieli, przedsiębiorców, sklepów, szkół, przychodni, terenów zielonych itd. – w myśl koncepcji 15-minutowego miasta. Tym samym, miasto zwarte jest przeciwstawnością do żywiołowo rozlewającej się nieuporządkowanej zabudowy na przedmieściach – </w:t>
      </w:r>
      <w:proofErr w:type="spellStart"/>
      <w:r w:rsidRPr="00C14ABD">
        <w:t>suburbanizacji</w:t>
      </w:r>
      <w:proofErr w:type="spellEnd"/>
      <w:r w:rsidRPr="00C14ABD">
        <w:t>.</w:t>
      </w:r>
      <w:r w:rsidR="009B5FBA" w:rsidRPr="00C14ABD">
        <w:t xml:space="preserve"> </w:t>
      </w:r>
      <w:r w:rsidR="009B5FBA" w:rsidRPr="00C14ABD">
        <w:rPr>
          <w:lang w:bidi="pl-PL"/>
        </w:rPr>
        <w:t xml:space="preserve">Przykładem takiej inwestycji w Polsce jest: </w:t>
      </w:r>
      <w:r w:rsidR="00500B4D" w:rsidRPr="00C14ABD">
        <w:rPr>
          <w:lang w:bidi="pl-PL"/>
        </w:rPr>
        <w:t xml:space="preserve"> Wrocław: modelowe osiedle Nowe Żerniki - W przeciwieństwie do standardowych osiedli, powstających chaotycznie na obrzeżach miasta</w:t>
      </w:r>
      <w:r w:rsidR="00FD2675" w:rsidRPr="00C14ABD">
        <w:rPr>
          <w:lang w:bidi="pl-PL"/>
        </w:rPr>
        <w:t>,</w:t>
      </w:r>
      <w:r w:rsidR="00500B4D" w:rsidRPr="00C14ABD">
        <w:rPr>
          <w:lang w:bidi="pl-PL"/>
        </w:rPr>
        <w:t xml:space="preserve"> Nowe Żerniki pomyślane zostały jako jednostka wyposażona w podnoszące komfort życia elementy charakterystyczne dla miasta. Na terenie osiedla znajdzie się szkoła, przedszkole, dom seniora</w:t>
      </w:r>
      <w:r w:rsidR="00FD2675" w:rsidRPr="00C14ABD">
        <w:rPr>
          <w:lang w:bidi="pl-PL"/>
        </w:rPr>
        <w:t>,</w:t>
      </w:r>
      <w:r w:rsidR="00500B4D" w:rsidRPr="00C14ABD">
        <w:rPr>
          <w:lang w:bidi="pl-PL"/>
        </w:rPr>
        <w:t xml:space="preserve"> a także dom kultury ulokowany w przebudowanym schronie. Główne osie osiedla zaprojektowane zostały jako zielone aleje, w które wkomponowane zostaną kameralne punkty handlowe i usługowe. Na terenie przecinającego osiedle z północy na południe skweru ulokowane zostaną obiekty rekreacyjne – boiska, korty i place zabaw. W południowej części osiedla, w pobliżu parku, do którego przylegać będzie osiedle, planowane jest też wzniesienie kościoła.</w:t>
      </w:r>
      <w:r w:rsidR="00500B4D" w:rsidRPr="00C14ABD">
        <w:rPr>
          <w:lang w:bidi="pl-PL"/>
        </w:rPr>
        <w:br/>
      </w:r>
      <w:r w:rsidR="00500B4D" w:rsidRPr="00C14ABD">
        <w:rPr>
          <w:lang w:bidi="pl-PL"/>
        </w:rPr>
        <w:br/>
        <w:t xml:space="preserve">Warszawa: trwająca inwestycja Placu „Pięciu Rogów” - Zbieg ulic Chmielnej, Kruczej, Zgody, Brackiej i Szpitalnej zmienia się w nową przestrzeń publiczną. </w:t>
      </w:r>
      <w:r w:rsidR="00CB1CC1" w:rsidRPr="00C14ABD">
        <w:rPr>
          <w:lang w:bidi="pl-PL"/>
        </w:rPr>
        <w:t>T</w:t>
      </w:r>
      <w:r w:rsidR="00500B4D" w:rsidRPr="00C14ABD">
        <w:rPr>
          <w:lang w:bidi="pl-PL"/>
        </w:rPr>
        <w:t>o jedna z najważniejszych przestrzeni publicznych Śródmieścia. Obecny sposób zagospodarowania placu daleki jest od pełnego wykorzystania jego walorów. Większość powierzchni zajmują jezdnie i fragmenty niezagospodarowane, choć aż 2/3 użytkowników tego miejsca to piesi. Zdominowany przez samochody pełni przede wszystkim funkcję komunikacyjną. Inwestycja ma za zadanie to zmienić. Będzie to przestrzeń, bez wydzielonych chodników i jezdni. Przejazd przez plac zostanie zachowany tylko dla autobusów i rowerów w ciągu ul. Kruczej i Szpitalnej, nadrzędną rolę otrzyma tu ruch pieszy, a cały plac zostanie ozdobiony szpalerem drzew, małych kwietników i elementami małej architektury jak np. ławki.</w:t>
      </w:r>
    </w:p>
    <w:p w14:paraId="4C6F8F98" w14:textId="77777777" w:rsidR="009B5FBA" w:rsidRPr="00C14ABD" w:rsidRDefault="009B5FBA" w:rsidP="0047389A">
      <w:pPr>
        <w:pStyle w:val="Akapitzlist"/>
        <w:jc w:val="both"/>
        <w:rPr>
          <w:b/>
        </w:rPr>
      </w:pPr>
    </w:p>
    <w:p w14:paraId="6EE48837" w14:textId="77777777" w:rsidR="005A5042" w:rsidRPr="00C14ABD" w:rsidRDefault="005A5042" w:rsidP="0047389A">
      <w:pPr>
        <w:pStyle w:val="Akapitzlist"/>
        <w:jc w:val="both"/>
        <w:rPr>
          <w:b/>
        </w:rPr>
      </w:pPr>
    </w:p>
    <w:p w14:paraId="504AA98E" w14:textId="77777777" w:rsidR="00887AEE" w:rsidRDefault="005A5042" w:rsidP="00366407">
      <w:pPr>
        <w:pStyle w:val="Akapitzlist"/>
        <w:numPr>
          <w:ilvl w:val="0"/>
          <w:numId w:val="3"/>
        </w:numPr>
        <w:spacing w:after="240"/>
        <w:jc w:val="both"/>
        <w:rPr>
          <w:lang w:bidi="pl-PL"/>
        </w:rPr>
      </w:pPr>
      <w:r w:rsidRPr="00C14ABD">
        <w:rPr>
          <w:b/>
        </w:rPr>
        <w:t>Sprawiedliwe</w:t>
      </w:r>
      <w:r w:rsidRPr="00C14ABD">
        <w:t xml:space="preserve"> – za priorytet stawiające głos i dobrostan mieszkańców przed turystami, deweloperami i inwestorami. Miasto sprawiedliwe skupia swoją uwagę najpierw na ruchu pieszym i rowerowym, a potem samochodowym. Miasto sprawiedliwe to też miasto odporne, zielone i zwarte, które zapewnia równy i bliski dostęp do usług publicznych, kultury, terenów zielonych oraz prawo do mieszkania dla różnych grup wiekowych i majątkowych. Organizacja przestrzeni powinna zapewniać integrację międzypokoleniową.</w:t>
      </w:r>
      <w:r w:rsidR="009B5FBA" w:rsidRPr="00C14ABD">
        <w:t xml:space="preserve"> </w:t>
      </w:r>
      <w:r w:rsidR="009B5FBA" w:rsidRPr="00C14ABD">
        <w:rPr>
          <w:lang w:bidi="pl-PL"/>
        </w:rPr>
        <w:t xml:space="preserve">Przykładem takiej inwestycji w Polsce jest: </w:t>
      </w:r>
      <w:r w:rsidR="00500B4D" w:rsidRPr="00C14ABD">
        <w:rPr>
          <w:lang w:bidi="pl-PL"/>
        </w:rPr>
        <w:t xml:space="preserve">:  Łódź: W Łodzi kontynuowana jest budowa woonerf-ów - </w:t>
      </w:r>
      <w:r w:rsidR="00500B4D" w:rsidRPr="00C14ABD">
        <w:rPr>
          <w:lang w:bidi="pl-PL"/>
        </w:rPr>
        <w:lastRenderedPageBreak/>
        <w:t>podwórców miejskich. Te działania zapewniają wyciszenie ruchu i zwiększenie bezpieczeństwa. Np. realizacja w Łodzi woonerfu przy ul. Pogonowskiego – najdłuższego w Polsce (prawie 1,5 km długości.) Woonerf to przestrzeń bez podziału na jezdnię i chodnik, ze strefą zamieszkania, ograniczającą prędkość, porządkującą parkowanie i pozwalającą pieszym poruszać się całą szerokością jezdni. To z kolei ułatwia dostęp dla wszystkich mieszkańców, również tych poruszających się głównie pieszo.</w:t>
      </w:r>
    </w:p>
    <w:p w14:paraId="5B5784ED" w14:textId="77777777" w:rsidR="00887AEE" w:rsidRDefault="00887AEE" w:rsidP="00366407">
      <w:pPr>
        <w:pStyle w:val="Akapitzlist"/>
        <w:spacing w:after="240"/>
        <w:jc w:val="both"/>
        <w:rPr>
          <w:lang w:bidi="pl-PL"/>
        </w:rPr>
      </w:pPr>
    </w:p>
    <w:p w14:paraId="479357DB" w14:textId="57A3ED2B" w:rsidR="00887AEE" w:rsidRDefault="00500B4D" w:rsidP="00366407">
      <w:pPr>
        <w:pStyle w:val="Akapitzlist"/>
        <w:spacing w:before="120"/>
        <w:jc w:val="both"/>
        <w:rPr>
          <w:lang w:bidi="pl-PL"/>
        </w:rPr>
      </w:pPr>
      <w:r w:rsidRPr="00C14ABD">
        <w:rPr>
          <w:lang w:bidi="pl-PL"/>
        </w:rPr>
        <w:t>Poznań: Miasto prowadzi „Poznański Panel Obywatelski”</w:t>
      </w:r>
      <w:r w:rsidR="00FD2675" w:rsidRPr="00C14ABD">
        <w:rPr>
          <w:lang w:bidi="pl-PL"/>
        </w:rPr>
        <w:t>,</w:t>
      </w:r>
      <w:r w:rsidRPr="00C14ABD">
        <w:rPr>
          <w:lang w:bidi="pl-PL"/>
        </w:rPr>
        <w:t xml:space="preserve"> który  jest, obok konsultacji </w:t>
      </w:r>
    </w:p>
    <w:p w14:paraId="7A9E4BA4" w14:textId="77777777" w:rsidR="00500B4D" w:rsidRPr="00C14ABD" w:rsidRDefault="00500B4D" w:rsidP="00366407">
      <w:pPr>
        <w:pStyle w:val="Akapitzlist"/>
        <w:spacing w:before="120"/>
        <w:jc w:val="both"/>
        <w:rPr>
          <w:lang w:bidi="pl-PL"/>
        </w:rPr>
      </w:pPr>
      <w:r w:rsidRPr="00C14ABD">
        <w:rPr>
          <w:lang w:bidi="pl-PL"/>
        </w:rPr>
        <w:t xml:space="preserve">społecznych, formą bezpośredniego angażowania losowo wybranej grupy mieszkańców. Jest techniką podejmowania ważnych dla miasta decyzji przy współudziale mieszkańców i mieszkanek. Skład uczestników panelu odzwierciedla strukturę demograficzną miasta. W losowaniu uwzględnione są kryteria demograficzne takie jak: miejsce zamieszkania, płeć, grupa wiekowa i poziom wykształcenia. W zależności od tematu panelu, uwzględnione mogą być także dodatkowe kryteria. Celem jest zapewnienie odpowiednio dużej różnorodności mieszkanek i mieszkańców, a także umożliwienie reprezentacji różnych punktów widzenia oraz doświadczeń. Celem procesu jest uzyskanie informacji o tym, czego w temacie panelu oczekują sami mieszkańcy. </w:t>
      </w:r>
    </w:p>
    <w:p w14:paraId="25C8BFAD" w14:textId="77777777" w:rsidR="009B5FBA" w:rsidRPr="0049741E" w:rsidRDefault="009B5FBA" w:rsidP="0047389A">
      <w:pPr>
        <w:pStyle w:val="Akapitzlist"/>
        <w:jc w:val="both"/>
        <w:rPr>
          <w:b/>
          <w:highlight w:val="yellow"/>
        </w:rPr>
      </w:pPr>
    </w:p>
    <w:p w14:paraId="216E154F" w14:textId="77777777" w:rsidR="005A5042" w:rsidRPr="005A5042" w:rsidRDefault="005A5042" w:rsidP="0047389A">
      <w:pPr>
        <w:pStyle w:val="Akapitzlist"/>
        <w:jc w:val="both"/>
        <w:rPr>
          <w:b/>
        </w:rPr>
      </w:pPr>
    </w:p>
    <w:p w14:paraId="173439CA" w14:textId="7D0B7268" w:rsidR="005A5042" w:rsidRPr="00A828AF" w:rsidRDefault="005A5042" w:rsidP="0047389A">
      <w:pPr>
        <w:pStyle w:val="Akapitzlist"/>
        <w:jc w:val="both"/>
        <w:rPr>
          <w:b/>
          <w:bCs/>
          <w:i/>
          <w:iCs/>
        </w:rPr>
      </w:pPr>
      <w:r w:rsidRPr="005A5042">
        <w:rPr>
          <w:b/>
          <w:bCs/>
          <w:i/>
          <w:iCs/>
        </w:rPr>
        <w:t>W tym duchu koncepcja miasta inteligentnego i silnego jest rozwiązaniem horyzontalnym, wspierającym opisane wyżej kwestie.</w:t>
      </w:r>
    </w:p>
    <w:p w14:paraId="4999B5CD" w14:textId="77777777" w:rsidR="005A5042" w:rsidRPr="007D4315" w:rsidRDefault="005A5042" w:rsidP="0047389A">
      <w:pPr>
        <w:pStyle w:val="Akapitzlist"/>
        <w:jc w:val="both"/>
        <w:rPr>
          <w:b/>
        </w:rPr>
      </w:pPr>
    </w:p>
    <w:p w14:paraId="28E054E3" w14:textId="77777777" w:rsidR="00A828AF" w:rsidRDefault="00A828AF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KONCEPCJA PROJEKTU WYSTAWY</w:t>
      </w:r>
    </w:p>
    <w:p w14:paraId="41255305" w14:textId="77777777" w:rsidR="0048135F" w:rsidRDefault="00BE29BB" w:rsidP="0047389A">
      <w:pPr>
        <w:pStyle w:val="Akapitzlist"/>
        <w:numPr>
          <w:ilvl w:val="0"/>
          <w:numId w:val="6"/>
        </w:numPr>
        <w:jc w:val="both"/>
      </w:pPr>
      <w:r w:rsidRPr="0048135F">
        <w:rPr>
          <w:b/>
        </w:rPr>
        <w:t>Zadaniem Wykonawcy będzie</w:t>
      </w:r>
      <w:r w:rsidR="0048135F">
        <w:t>:</w:t>
      </w:r>
    </w:p>
    <w:p w14:paraId="4FEEB664" w14:textId="77777777" w:rsidR="00091028" w:rsidRDefault="0048135F" w:rsidP="0047389A">
      <w:pPr>
        <w:pStyle w:val="Akapitzlist"/>
        <w:numPr>
          <w:ilvl w:val="0"/>
          <w:numId w:val="5"/>
        </w:numPr>
        <w:jc w:val="both"/>
      </w:pPr>
      <w:r>
        <w:t>wykonanie</w:t>
      </w:r>
      <w:r w:rsidR="00BE29BB">
        <w:t xml:space="preserve"> projektu wystawy, która będzie</w:t>
      </w:r>
      <w:r w:rsidR="00091028">
        <w:t>:</w:t>
      </w:r>
    </w:p>
    <w:p w14:paraId="13D7F06C" w14:textId="3B30FB90" w:rsidR="00BE29BB" w:rsidRDefault="00BE29BB" w:rsidP="0047389A">
      <w:pPr>
        <w:pStyle w:val="Akapitzlist"/>
        <w:numPr>
          <w:ilvl w:val="0"/>
          <w:numId w:val="22"/>
        </w:numPr>
        <w:jc w:val="both"/>
      </w:pPr>
      <w:r>
        <w:t xml:space="preserve">swoją formą </w:t>
      </w:r>
      <w:r w:rsidR="00A1698A">
        <w:t xml:space="preserve">przekazywać </w:t>
      </w:r>
      <w:r>
        <w:t>założenia merytoryczne określone w pkt. II OPZ. Koncepcja powinna przedstawiać każdą z cech charakterystycznych, które składają się na zrównoważone miasto, Zamawiający dopuszcza</w:t>
      </w:r>
      <w:r w:rsidR="00A1698A">
        <w:t xml:space="preserve"> łączenie ze sobą niektórych cech</w:t>
      </w:r>
      <w:r w:rsidR="00A10B16">
        <w:t>.</w:t>
      </w:r>
    </w:p>
    <w:p w14:paraId="5E2F2DC2" w14:textId="40C20CBD" w:rsidR="00560D9D" w:rsidRDefault="00016895" w:rsidP="0047389A">
      <w:pPr>
        <w:pStyle w:val="Akapitzlist"/>
        <w:numPr>
          <w:ilvl w:val="0"/>
          <w:numId w:val="22"/>
        </w:numPr>
        <w:jc w:val="both"/>
      </w:pPr>
      <w:r>
        <w:t xml:space="preserve">zaprojektowana </w:t>
      </w:r>
      <w:r w:rsidR="00560D9D">
        <w:t>modułow</w:t>
      </w:r>
      <w:r>
        <w:t>o</w:t>
      </w:r>
      <w:r w:rsidR="00784D55">
        <w:t xml:space="preserve"> </w:t>
      </w:r>
      <w:r w:rsidR="00402FBD">
        <w:t xml:space="preserve">tak aby </w:t>
      </w:r>
      <w:r w:rsidR="00784D55">
        <w:t>mogła by</w:t>
      </w:r>
      <w:r w:rsidR="00F5119A">
        <w:t>ć</w:t>
      </w:r>
      <w:r w:rsidR="00784D55">
        <w:t xml:space="preserve"> dostosowywana do dostępnej w danym miejscu przestrzeni wystawienniczej</w:t>
      </w:r>
      <w:r w:rsidR="00FD2675">
        <w:t>.</w:t>
      </w:r>
      <w:r w:rsidR="00560D9D">
        <w:t xml:space="preserve"> </w:t>
      </w:r>
      <w:r w:rsidR="00784D55">
        <w:t xml:space="preserve">Zamawiającemu zależy na zapewnieniu modułowości w taki sposób, aby możliwe było efektywne i atrakcyjne wizualnie </w:t>
      </w:r>
      <w:r w:rsidR="006551A2">
        <w:t xml:space="preserve">pokazanie wystawy na </w:t>
      </w:r>
      <w:r w:rsidR="002D5765">
        <w:t>trzech następujących metrażach: 12m2, 25m2, 50m2</w:t>
      </w:r>
      <w:r w:rsidR="00A10B16">
        <w:t xml:space="preserve">. </w:t>
      </w:r>
      <w:r w:rsidR="006551A2">
        <w:t>W zależności od dostępnej powierzchni wystawa będzie pokazywana w całości (50 m2) lub z odpowiednio zmniejszoną liczbą elementów dostosowaną do dostępnej powierzchni</w:t>
      </w:r>
      <w:r w:rsidR="00137D04">
        <w:t xml:space="preserve"> (25 m2 lub 12 m2)</w:t>
      </w:r>
      <w:r w:rsidR="00A10B16">
        <w:t>.</w:t>
      </w:r>
    </w:p>
    <w:p w14:paraId="06ED5B10" w14:textId="6F6F75B1" w:rsidR="00C17D5D" w:rsidRDefault="00091028" w:rsidP="0047389A">
      <w:pPr>
        <w:pStyle w:val="Akapitzlist"/>
        <w:numPr>
          <w:ilvl w:val="0"/>
          <w:numId w:val="22"/>
        </w:numPr>
        <w:jc w:val="both"/>
      </w:pPr>
      <w:r>
        <w:t>zawierała elementy multimedialne, pozwalające na wyświetlanie materiałów audiowizualnych w nowatorski, atrakcyjny sposób.</w:t>
      </w:r>
    </w:p>
    <w:p w14:paraId="0EAFEE4E" w14:textId="64A366E4" w:rsidR="005E5AC9" w:rsidRDefault="00C17D5D" w:rsidP="008B4028">
      <w:pPr>
        <w:pStyle w:val="Akapitzlist"/>
        <w:numPr>
          <w:ilvl w:val="0"/>
          <w:numId w:val="22"/>
        </w:numPr>
        <w:jc w:val="both"/>
      </w:pPr>
      <w:r>
        <w:t>zawierała</w:t>
      </w:r>
      <w:r w:rsidR="005E5AC9">
        <w:t xml:space="preserve"> </w:t>
      </w:r>
      <w:proofErr w:type="spellStart"/>
      <w:r w:rsidR="005E5AC9">
        <w:t>infokiosk</w:t>
      </w:r>
      <w:proofErr w:type="spellEnd"/>
      <w:r w:rsidR="005E5AC9">
        <w:t>, gdzie zwiedzający za pomocą narzędzia podłączonego do Internetu będzie miał możliwość zarejestrowania się na WUF11;</w:t>
      </w:r>
    </w:p>
    <w:p w14:paraId="0E55E25B" w14:textId="77777777" w:rsidR="0048135F" w:rsidRDefault="0048135F" w:rsidP="0047389A">
      <w:pPr>
        <w:pStyle w:val="Akapitzlist"/>
        <w:numPr>
          <w:ilvl w:val="0"/>
          <w:numId w:val="5"/>
        </w:numPr>
        <w:jc w:val="both"/>
      </w:pPr>
      <w:r>
        <w:t xml:space="preserve">wykonanie projektu wykonawczego, który będzie określał: formę zabudowy wystawy, materiały potrzebne do wykonania wystawy; elementy scenografii oraz sposób ich wykonania lub </w:t>
      </w:r>
      <w:r w:rsidR="000F07AC">
        <w:t xml:space="preserve">informację, </w:t>
      </w:r>
      <w:r>
        <w:t>gdzie można je zakupić/wynająć; oświetlenie wystawiennicze; nagłośnienie strefy wystawienniczej; sposób montażu poszczególnych elementów wystawy oraz ich konserwację; zapotrzebowanie na sprzęt elektroniczny</w:t>
      </w:r>
      <w:r w:rsidR="008B4E7E">
        <w:t>, zwymiarowanie poszczególnych elementów</w:t>
      </w:r>
      <w:r w:rsidR="005F2CB6">
        <w:t>;</w:t>
      </w:r>
    </w:p>
    <w:p w14:paraId="0FD9837F" w14:textId="77777777" w:rsidR="0048135F" w:rsidRDefault="00560D9D" w:rsidP="0047389A">
      <w:pPr>
        <w:pStyle w:val="Akapitzlist"/>
        <w:numPr>
          <w:ilvl w:val="0"/>
          <w:numId w:val="5"/>
        </w:numPr>
        <w:jc w:val="both"/>
      </w:pPr>
      <w:r>
        <w:t>dobór odpowiednich form przekazu wystawy</w:t>
      </w:r>
      <w:r w:rsidR="000F07AC">
        <w:t>,</w:t>
      </w:r>
      <w:r>
        <w:t xml:space="preserve"> aby mogła angażować zwiedzających;</w:t>
      </w:r>
    </w:p>
    <w:p w14:paraId="269648B9" w14:textId="77777777" w:rsidR="005E5AC9" w:rsidRDefault="005E5AC9" w:rsidP="0047389A">
      <w:pPr>
        <w:pStyle w:val="Akapitzlist"/>
        <w:numPr>
          <w:ilvl w:val="0"/>
          <w:numId w:val="5"/>
        </w:numPr>
        <w:jc w:val="both"/>
      </w:pPr>
      <w:r>
        <w:t>opis konceptualny wystawy oraz określenie kierunku zwiedzania;</w:t>
      </w:r>
    </w:p>
    <w:p w14:paraId="6E70B3C7" w14:textId="6BAF2313" w:rsidR="00560D9D" w:rsidRDefault="00560D9D" w:rsidP="0047389A">
      <w:pPr>
        <w:pStyle w:val="Akapitzlist"/>
        <w:numPr>
          <w:ilvl w:val="0"/>
          <w:numId w:val="5"/>
        </w:numPr>
        <w:jc w:val="both"/>
      </w:pPr>
      <w:r>
        <w:lastRenderedPageBreak/>
        <w:t>wykorzystanie oficjalnych logotypów WUF11, które zostaną przekazane Wykonawcy na późniejszym etapie przez Z</w:t>
      </w:r>
      <w:r w:rsidR="00F25604">
        <w:t>a</w:t>
      </w:r>
      <w:r>
        <w:t>mawiającego</w:t>
      </w:r>
      <w:r w:rsidR="00F5119A">
        <w:t xml:space="preserve"> bądź, w przypadku ich braku w momencie odbioru zadania, zostaną przekazane do realizacji przez wykonawcę finalnego projektu wystawy</w:t>
      </w:r>
      <w:r w:rsidR="00A10B16">
        <w:t>;</w:t>
      </w:r>
    </w:p>
    <w:p w14:paraId="74ADB993" w14:textId="40AE8F9E" w:rsidR="00FF75FF" w:rsidRDefault="00AD531A" w:rsidP="0047389A">
      <w:pPr>
        <w:pStyle w:val="Akapitzlist"/>
        <w:numPr>
          <w:ilvl w:val="0"/>
          <w:numId w:val="5"/>
        </w:numPr>
        <w:jc w:val="both"/>
      </w:pPr>
      <w:r>
        <w:t>p</w:t>
      </w:r>
      <w:r w:rsidR="00FF56CB">
        <w:t>rzygotowanie</w:t>
      </w:r>
      <w:r w:rsidR="002149D3">
        <w:t xml:space="preserve"> wstępnego</w:t>
      </w:r>
      <w:r w:rsidR="00FF56CB">
        <w:t xml:space="preserve"> projektu wystawy w formie online – dobranie formy w jakiej może być </w:t>
      </w:r>
      <w:r w:rsidR="004F39B7">
        <w:t>pokazana</w:t>
      </w:r>
      <w:r w:rsidR="00FF56CB">
        <w:t xml:space="preserve"> wystawa, tak aby mogła zostać prezentowana samodzielnie na podstronie i na wydarzeniach, które odbywają się online.</w:t>
      </w:r>
    </w:p>
    <w:p w14:paraId="47B525FA" w14:textId="77777777" w:rsidR="00FF56CB" w:rsidRDefault="00FF56CB" w:rsidP="0047389A">
      <w:pPr>
        <w:pStyle w:val="Akapitzlist"/>
        <w:ind w:left="1440"/>
        <w:jc w:val="both"/>
      </w:pPr>
    </w:p>
    <w:p w14:paraId="0B7EBF1E" w14:textId="77777777" w:rsidR="00385D42" w:rsidRPr="00385D42" w:rsidRDefault="00385D42" w:rsidP="0047389A">
      <w:pPr>
        <w:pStyle w:val="Akapitzlist"/>
        <w:numPr>
          <w:ilvl w:val="0"/>
          <w:numId w:val="6"/>
        </w:numPr>
        <w:jc w:val="both"/>
      </w:pPr>
      <w:r>
        <w:rPr>
          <w:b/>
        </w:rPr>
        <w:t>Założenia Zamawiającego dotyczące projektu wystawy:</w:t>
      </w:r>
    </w:p>
    <w:p w14:paraId="18768677" w14:textId="77777777" w:rsidR="00385D42" w:rsidRDefault="00385D42" w:rsidP="0047389A">
      <w:pPr>
        <w:pStyle w:val="Akapitzlist"/>
        <w:numPr>
          <w:ilvl w:val="0"/>
          <w:numId w:val="7"/>
        </w:numPr>
        <w:jc w:val="both"/>
      </w:pPr>
      <w:r>
        <w:t>Projekt wystawy powinien zostać utrzymany w nowoczesnym stylu</w:t>
      </w:r>
      <w:r w:rsidR="00CE34AA">
        <w:t>.</w:t>
      </w:r>
      <w:r>
        <w:t xml:space="preserve"> </w:t>
      </w:r>
    </w:p>
    <w:p w14:paraId="16114F49" w14:textId="5978115F" w:rsidR="008C340B" w:rsidRDefault="004F39B7" w:rsidP="0047389A">
      <w:pPr>
        <w:pStyle w:val="Akapitzlist"/>
        <w:numPr>
          <w:ilvl w:val="0"/>
          <w:numId w:val="7"/>
        </w:numPr>
        <w:jc w:val="both"/>
      </w:pPr>
      <w:r>
        <w:t>P</w:t>
      </w:r>
      <w:r w:rsidR="00CE34AA">
        <w:t>owinien przedstawiać cech</w:t>
      </w:r>
      <w:r w:rsidR="00AD116E">
        <w:t>y</w:t>
      </w:r>
      <w:r w:rsidR="00CE34AA">
        <w:t xml:space="preserve"> wymienion</w:t>
      </w:r>
      <w:r w:rsidR="00AD116E">
        <w:t>e</w:t>
      </w:r>
      <w:r w:rsidR="00CE34AA">
        <w:t xml:space="preserve"> w pkt. II OPZ. </w:t>
      </w:r>
      <w:r w:rsidR="008C340B">
        <w:t xml:space="preserve">Wykonawca może wykorzystać podane przez Zamawiającego inwestycje lub zaproponować własne obiekty urbanistyczne, które mogą reprezentować daną cechę. </w:t>
      </w:r>
    </w:p>
    <w:p w14:paraId="311B6502" w14:textId="7D430F4C" w:rsidR="00CE34AA" w:rsidRDefault="004F39B7" w:rsidP="0047389A">
      <w:pPr>
        <w:pStyle w:val="Akapitzlist"/>
        <w:numPr>
          <w:ilvl w:val="0"/>
          <w:numId w:val="7"/>
        </w:numPr>
        <w:jc w:val="both"/>
      </w:pPr>
      <w:r>
        <w:t>Jeden</w:t>
      </w:r>
      <w:r w:rsidR="00CE34AA">
        <w:t xml:space="preserve"> moduł musi</w:t>
      </w:r>
      <w:r w:rsidR="008C340B">
        <w:t xml:space="preserve"> promo</w:t>
      </w:r>
      <w:r>
        <w:t>wać</w:t>
      </w:r>
      <w:r w:rsidR="008C340B">
        <w:t xml:space="preserve"> WUF11 oraz miast</w:t>
      </w:r>
      <w:r>
        <w:t>o</w:t>
      </w:r>
      <w:r w:rsidR="008C340B">
        <w:t xml:space="preserve"> Katowice jako gospodarza wydarzenia. Oficjalne logotypy WUF11 zostaną przekazane Wykonawcy na późniejszym etapie współpracy</w:t>
      </w:r>
      <w:r w:rsidR="00F5119A">
        <w:t>, bądź, w przypadku ich braku w momencie odbioru zadania, zostaną przekazane do realizacji przez wykonawcę finalnego projektu wystawy.</w:t>
      </w:r>
    </w:p>
    <w:p w14:paraId="02FECE21" w14:textId="77777777" w:rsidR="008C340B" w:rsidRDefault="008C340B" w:rsidP="0047389A">
      <w:pPr>
        <w:pStyle w:val="Akapitzlist"/>
        <w:numPr>
          <w:ilvl w:val="0"/>
          <w:numId w:val="7"/>
        </w:numPr>
        <w:jc w:val="both"/>
      </w:pPr>
      <w:r>
        <w:t xml:space="preserve">Moduły muszą zostać zaprojektowane w taki sposób, aby można je było prezentować oddzielnie i w różnych kombinacjach, nie wykorzystując wszystkich części wystawy. </w:t>
      </w:r>
    </w:p>
    <w:p w14:paraId="043677A6" w14:textId="77777777" w:rsidR="00385D42" w:rsidRDefault="00385D42" w:rsidP="0047389A">
      <w:pPr>
        <w:pStyle w:val="Akapitzlist"/>
        <w:numPr>
          <w:ilvl w:val="0"/>
          <w:numId w:val="7"/>
        </w:numPr>
        <w:jc w:val="both"/>
      </w:pPr>
      <w:r>
        <w:t>Projekt może zakł</w:t>
      </w:r>
      <w:r w:rsidR="00EA4019">
        <w:t>adać nawiązania do sztuki ulicznej, którą można zobaczyć w mieście Katowice – Szlaku Katowickich Murali.</w:t>
      </w:r>
    </w:p>
    <w:p w14:paraId="3898BC80" w14:textId="77777777" w:rsidR="00EA4019" w:rsidRDefault="00EA4019" w:rsidP="0047389A">
      <w:pPr>
        <w:pStyle w:val="Akapitzlist"/>
        <w:numPr>
          <w:ilvl w:val="0"/>
          <w:numId w:val="7"/>
        </w:numPr>
        <w:jc w:val="both"/>
      </w:pPr>
      <w:r>
        <w:t xml:space="preserve">Wystawa powinna zakładać elementy, które będą angażować zwiedzających, aby nie byli biernymi odbiorcami treści. </w:t>
      </w:r>
    </w:p>
    <w:p w14:paraId="568456E0" w14:textId="77777777" w:rsidR="00EA4019" w:rsidRDefault="00EA4019" w:rsidP="0047389A">
      <w:pPr>
        <w:pStyle w:val="Akapitzlist"/>
        <w:numPr>
          <w:ilvl w:val="0"/>
          <w:numId w:val="7"/>
        </w:numPr>
        <w:jc w:val="both"/>
      </w:pPr>
      <w:r>
        <w:t xml:space="preserve">Wystawa powinna być uniwersalna </w:t>
      </w:r>
      <w:r w:rsidR="007B3532">
        <w:t>tak,</w:t>
      </w:r>
      <w:r w:rsidR="0069165C">
        <w:t xml:space="preserve"> </w:t>
      </w:r>
      <w:r>
        <w:t xml:space="preserve">aby można ją było zaprezentować na różnych wydarzeniach związanych np. z polityką klimatyczną, gospodarką, nowymi technologiami. </w:t>
      </w:r>
    </w:p>
    <w:p w14:paraId="2E05BEDF" w14:textId="77777777" w:rsidR="00091028" w:rsidRDefault="00091028" w:rsidP="0047389A">
      <w:pPr>
        <w:pStyle w:val="Akapitzlist"/>
        <w:numPr>
          <w:ilvl w:val="0"/>
          <w:numId w:val="7"/>
        </w:numPr>
        <w:jc w:val="both"/>
      </w:pPr>
      <w:r>
        <w:t xml:space="preserve">Projekt wystawy, w tym materiały z jakich zostanie wykonana powinny zostać zaprojektowane w taki sposób, aby umożliwiały wielokrotny transport, montaż i demontaż wystawy. </w:t>
      </w:r>
    </w:p>
    <w:p w14:paraId="2D782F47" w14:textId="77777777" w:rsidR="00EA4019" w:rsidRDefault="00EA4019" w:rsidP="0047389A">
      <w:pPr>
        <w:pStyle w:val="Akapitzlist"/>
        <w:numPr>
          <w:ilvl w:val="0"/>
          <w:numId w:val="7"/>
        </w:numPr>
        <w:jc w:val="both"/>
      </w:pPr>
      <w:r>
        <w:t>Wszystkie projektowane moduły powinny być dostępne dla osób z niepełnosprawnościami, oznacza to, że wystawa powinna zostać wyposażon</w:t>
      </w:r>
      <w:r w:rsidR="007B3532">
        <w:t>a</w:t>
      </w:r>
      <w:r>
        <w:t xml:space="preserve"> w: </w:t>
      </w:r>
    </w:p>
    <w:p w14:paraId="76BA8E75" w14:textId="38E17F79" w:rsidR="00EA4019" w:rsidRDefault="00A10B16" w:rsidP="0047389A">
      <w:pPr>
        <w:pStyle w:val="Akapitzlist"/>
        <w:numPr>
          <w:ilvl w:val="0"/>
          <w:numId w:val="8"/>
        </w:numPr>
        <w:jc w:val="both"/>
      </w:pPr>
      <w:r>
        <w:t>k</w:t>
      </w:r>
      <w:r w:rsidR="00EA4019">
        <w:t>ontrastowe elementy wystroju (w przejściach, drzwiach) dla osób słabowidzących</w:t>
      </w:r>
      <w:r w:rsidR="007B3532">
        <w:t>;</w:t>
      </w:r>
    </w:p>
    <w:p w14:paraId="6DF80C45" w14:textId="3DE40A44" w:rsidR="00EA4019" w:rsidRDefault="00A10B16" w:rsidP="0047389A">
      <w:pPr>
        <w:pStyle w:val="Akapitzlist"/>
        <w:numPr>
          <w:ilvl w:val="0"/>
          <w:numId w:val="8"/>
        </w:numPr>
        <w:jc w:val="both"/>
      </w:pPr>
      <w:r>
        <w:t>o</w:t>
      </w:r>
      <w:r w:rsidR="00EA4019">
        <w:t>znaczenie przestrzeni (mapa obiektu).</w:t>
      </w:r>
    </w:p>
    <w:p w14:paraId="5FFBB750" w14:textId="3596923E" w:rsidR="00EA4019" w:rsidRDefault="00EA4019" w:rsidP="0047389A">
      <w:pPr>
        <w:pStyle w:val="Akapitzlist"/>
        <w:numPr>
          <w:ilvl w:val="0"/>
          <w:numId w:val="7"/>
        </w:numPr>
        <w:jc w:val="both"/>
      </w:pPr>
      <w:r>
        <w:t>Wystawa powinna posiadać możliwość budowy w trybie ekspresowym (</w:t>
      </w:r>
      <w:r w:rsidR="00B34FB6">
        <w:t xml:space="preserve">max </w:t>
      </w:r>
      <w:r>
        <w:t>12h)</w:t>
      </w:r>
      <w:r w:rsidR="007B3532">
        <w:t>.</w:t>
      </w:r>
    </w:p>
    <w:p w14:paraId="56B468D4" w14:textId="77777777" w:rsidR="00EA4019" w:rsidRDefault="00147F71" w:rsidP="0047389A">
      <w:pPr>
        <w:pStyle w:val="Akapitzlist"/>
        <w:numPr>
          <w:ilvl w:val="0"/>
          <w:numId w:val="7"/>
        </w:numPr>
        <w:jc w:val="both"/>
      </w:pPr>
      <w:r>
        <w:t>Projekt zabudowy wystawy</w:t>
      </w:r>
      <w:r w:rsidRPr="00147F71">
        <w:t xml:space="preserve"> powinien zakładać wykorzystanie materiałów biodegradowalnych oraz przyjaznych środowisku</w:t>
      </w:r>
      <w:r w:rsidR="007B3532">
        <w:t xml:space="preserve"> bez szkody dla jej wytrzymałości</w:t>
      </w:r>
      <w:r w:rsidRPr="00147F71">
        <w:t>.</w:t>
      </w:r>
    </w:p>
    <w:p w14:paraId="62267504" w14:textId="10AED072" w:rsidR="00F5119A" w:rsidRDefault="00F5119A" w:rsidP="008B4028">
      <w:pPr>
        <w:pStyle w:val="Akapitzlist"/>
        <w:numPr>
          <w:ilvl w:val="0"/>
          <w:numId w:val="7"/>
        </w:numPr>
        <w:spacing w:after="240"/>
        <w:jc w:val="both"/>
      </w:pPr>
      <w:r>
        <w:t xml:space="preserve">Całość wystawy musi być dwujęzyczna – </w:t>
      </w:r>
      <w:r w:rsidR="00FF75FF">
        <w:t xml:space="preserve"> materiały tekstowe przedstawione na wystawie muszą być zarówno w </w:t>
      </w:r>
      <w:r>
        <w:t>wersj</w:t>
      </w:r>
      <w:r w:rsidR="00FF75FF">
        <w:t>i</w:t>
      </w:r>
      <w:r>
        <w:t xml:space="preserve"> polsk</w:t>
      </w:r>
      <w:r w:rsidR="00FF75FF">
        <w:t>iej</w:t>
      </w:r>
      <w:r>
        <w:t xml:space="preserve"> </w:t>
      </w:r>
      <w:r w:rsidR="004F39B7">
        <w:t xml:space="preserve">jak </w:t>
      </w:r>
      <w:r>
        <w:t xml:space="preserve">i </w:t>
      </w:r>
      <w:r w:rsidR="004F39B7">
        <w:t xml:space="preserve">w </w:t>
      </w:r>
      <w:r>
        <w:t>wers</w:t>
      </w:r>
      <w:r w:rsidR="00FF75FF">
        <w:t>ji</w:t>
      </w:r>
      <w:r>
        <w:t xml:space="preserve"> angiels</w:t>
      </w:r>
      <w:r w:rsidR="00FF75FF">
        <w:t>kiej.</w:t>
      </w:r>
    </w:p>
    <w:p w14:paraId="1CB19650" w14:textId="77777777" w:rsidR="00A10B16" w:rsidRDefault="00A10B16" w:rsidP="008B4028">
      <w:pPr>
        <w:pStyle w:val="Akapitzlist"/>
        <w:spacing w:after="240"/>
        <w:ind w:left="1800"/>
        <w:jc w:val="both"/>
      </w:pPr>
    </w:p>
    <w:p w14:paraId="7863F8C9" w14:textId="77777777" w:rsidR="00F27982" w:rsidRPr="00F27982" w:rsidRDefault="00F27982" w:rsidP="008B4028">
      <w:pPr>
        <w:pStyle w:val="Akapitzlist"/>
        <w:numPr>
          <w:ilvl w:val="0"/>
          <w:numId w:val="6"/>
        </w:numPr>
        <w:spacing w:before="120"/>
        <w:jc w:val="both"/>
      </w:pPr>
      <w:r>
        <w:rPr>
          <w:b/>
        </w:rPr>
        <w:t>Współpraca Zamawiający – Wykonawca</w:t>
      </w:r>
    </w:p>
    <w:p w14:paraId="2E4C2B29" w14:textId="77777777" w:rsidR="00F27982" w:rsidRDefault="00F27982" w:rsidP="0047389A">
      <w:pPr>
        <w:pStyle w:val="Akapitzlist"/>
        <w:numPr>
          <w:ilvl w:val="0"/>
          <w:numId w:val="21"/>
        </w:numPr>
        <w:jc w:val="both"/>
      </w:pPr>
      <w:r>
        <w:t>Z</w:t>
      </w:r>
      <w:r w:rsidR="00F25604">
        <w:t>a</w:t>
      </w:r>
      <w:r>
        <w:t>mawiający zastrzega sobie możliwość zgłoszenia poprawek do projektu wystawy.</w:t>
      </w:r>
    </w:p>
    <w:p w14:paraId="3B208C5A" w14:textId="77777777" w:rsidR="00F27982" w:rsidRDefault="00F27982" w:rsidP="0047389A">
      <w:pPr>
        <w:pStyle w:val="Akapitzlist"/>
        <w:numPr>
          <w:ilvl w:val="0"/>
          <w:numId w:val="21"/>
        </w:numPr>
        <w:jc w:val="both"/>
      </w:pPr>
      <w:r>
        <w:lastRenderedPageBreak/>
        <w:t>Dobór narzędzi do przekazania treści wystawy musi zostać skonsultowany z Zamawiającym.</w:t>
      </w:r>
    </w:p>
    <w:p w14:paraId="6AB524F8" w14:textId="706AAD37" w:rsidR="00F27982" w:rsidRDefault="00F27982" w:rsidP="0047389A">
      <w:pPr>
        <w:pStyle w:val="Akapitzlist"/>
        <w:numPr>
          <w:ilvl w:val="0"/>
          <w:numId w:val="21"/>
        </w:numPr>
        <w:jc w:val="both"/>
      </w:pPr>
      <w:r>
        <w:t>Wykonawca przekaże Zamawiającemu gotowy projekt</w:t>
      </w:r>
      <w:r w:rsidR="00B34FB6">
        <w:t xml:space="preserve"> wykonawczy</w:t>
      </w:r>
      <w:r>
        <w:t xml:space="preserve"> wystawy </w:t>
      </w:r>
      <w:r w:rsidR="007B3532">
        <w:t xml:space="preserve">najpóźniej </w:t>
      </w:r>
      <w:r w:rsidR="00091028">
        <w:t xml:space="preserve"> 21 dni kalendarzowych </w:t>
      </w:r>
      <w:r>
        <w:t xml:space="preserve"> po podpisaniu Umowy.</w:t>
      </w:r>
    </w:p>
    <w:p w14:paraId="42583AD9" w14:textId="77777777" w:rsidR="00F27982" w:rsidRPr="00EA4019" w:rsidRDefault="00F27982" w:rsidP="0047389A">
      <w:pPr>
        <w:pStyle w:val="Akapitzlist"/>
        <w:ind w:left="1800"/>
        <w:jc w:val="both"/>
      </w:pPr>
    </w:p>
    <w:p w14:paraId="4DD6813B" w14:textId="77777777" w:rsidR="007D4315" w:rsidRDefault="007B3532" w:rsidP="0047389A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PRZYGOTOWANIE</w:t>
      </w:r>
      <w:r w:rsidR="007D4315" w:rsidRPr="007D4315">
        <w:rPr>
          <w:b/>
        </w:rPr>
        <w:t xml:space="preserve"> PROJEKTU WYKONAWCZEGO</w:t>
      </w:r>
    </w:p>
    <w:p w14:paraId="39288B93" w14:textId="2E275E1A" w:rsidR="00EA4019" w:rsidRDefault="006C417B" w:rsidP="0047389A">
      <w:pPr>
        <w:pStyle w:val="Akapitzlist"/>
        <w:numPr>
          <w:ilvl w:val="0"/>
          <w:numId w:val="9"/>
        </w:numPr>
        <w:jc w:val="both"/>
      </w:pPr>
      <w:r w:rsidRPr="006C417B">
        <w:t xml:space="preserve">Wykonawca ma za zadanie </w:t>
      </w:r>
      <w:r w:rsidR="007B3532">
        <w:t>przygotowanie</w:t>
      </w:r>
      <w:r w:rsidRPr="006C417B">
        <w:t xml:space="preserve"> projektu</w:t>
      </w:r>
      <w:r>
        <w:t xml:space="preserve"> wykonawczego wystawy</w:t>
      </w:r>
      <w:r w:rsidRPr="006C417B">
        <w:t xml:space="preserve"> po wcześniejszym zaakceptow</w:t>
      </w:r>
      <w:r>
        <w:t>aniu koncepcji</w:t>
      </w:r>
      <w:r w:rsidRPr="006C417B">
        <w:t xml:space="preserve"> przez Zamawiającego. Projekt wykonawszy powinien zawierać </w:t>
      </w:r>
      <w:r w:rsidR="00AD116E">
        <w:t xml:space="preserve">wizualizacje wystawy, </w:t>
      </w:r>
      <w:r w:rsidRPr="006C417B">
        <w:t xml:space="preserve">dokumentację techniczną wraz z rysunkami </w:t>
      </w:r>
      <w:r w:rsidR="00AD116E">
        <w:t>technicznymi zawierającą</w:t>
      </w:r>
      <w:r w:rsidRPr="006C417B">
        <w:t xml:space="preserve"> informacj</w:t>
      </w:r>
      <w:r w:rsidR="00AD116E">
        <w:t>e</w:t>
      </w:r>
      <w:r w:rsidRPr="006C417B">
        <w:t xml:space="preserve"> o: materiałach, połączeniach konstrukcyjnych, podłączeniach elektrycznych, formacie jak i układzie budowy</w:t>
      </w:r>
      <w:r w:rsidR="00E6450E">
        <w:t>,</w:t>
      </w:r>
      <w:r w:rsidR="007F689F">
        <w:t xml:space="preserve"> </w:t>
      </w:r>
      <w:r w:rsidR="00BB2C06">
        <w:t xml:space="preserve">3 opcjach </w:t>
      </w:r>
      <w:r w:rsidR="007F689F">
        <w:t>mont</w:t>
      </w:r>
      <w:r w:rsidR="00BB2C06">
        <w:t>ażu</w:t>
      </w:r>
      <w:r w:rsidR="007F689F">
        <w:t xml:space="preserve"> (dostosowan</w:t>
      </w:r>
      <w:r w:rsidR="00BB2C06">
        <w:t>ych</w:t>
      </w:r>
      <w:r w:rsidR="007F689F">
        <w:t xml:space="preserve"> do powierzchni 12m2, 25m2, 50m2), </w:t>
      </w:r>
      <w:r w:rsidR="00E6450E">
        <w:t xml:space="preserve">a także </w:t>
      </w:r>
      <w:r>
        <w:t xml:space="preserve">informacje, które zostały wymienione w pkt. III 1. </w:t>
      </w:r>
      <w:r w:rsidR="007F689F">
        <w:t>b</w:t>
      </w:r>
      <w:r w:rsidR="00AD116E">
        <w:t>)</w:t>
      </w:r>
      <w:r>
        <w:t xml:space="preserve"> </w:t>
      </w:r>
      <w:r w:rsidR="00E6450E">
        <w:t xml:space="preserve"> OPZ.</w:t>
      </w:r>
      <w:r>
        <w:t xml:space="preserve"> </w:t>
      </w:r>
    </w:p>
    <w:p w14:paraId="2A090BC6" w14:textId="3751E403" w:rsidR="00AD116E" w:rsidRDefault="00AD116E">
      <w:pPr>
        <w:pStyle w:val="Akapitzlist"/>
        <w:numPr>
          <w:ilvl w:val="0"/>
          <w:numId w:val="9"/>
        </w:numPr>
        <w:jc w:val="both"/>
      </w:pPr>
      <w:r>
        <w:t xml:space="preserve">Projekt wykonawczy zostanie dostarczony Zamawiającemu najpóźniej </w:t>
      </w:r>
      <w:r w:rsidR="00A030E9">
        <w:t>21</w:t>
      </w:r>
      <w:r>
        <w:t xml:space="preserve"> dni kalendarzowych po akceptacji projektu oraz koncepcji wystawy. </w:t>
      </w:r>
    </w:p>
    <w:p w14:paraId="38156BAB" w14:textId="4ED66A44" w:rsidR="006C417B" w:rsidRDefault="006C417B" w:rsidP="0047389A">
      <w:pPr>
        <w:pStyle w:val="Akapitzlist"/>
        <w:numPr>
          <w:ilvl w:val="0"/>
          <w:numId w:val="9"/>
        </w:numPr>
        <w:jc w:val="both"/>
      </w:pPr>
      <w:r>
        <w:t xml:space="preserve">Wykonawca będzie miał </w:t>
      </w:r>
      <w:r w:rsidR="00AD116E">
        <w:t xml:space="preserve">także </w:t>
      </w:r>
      <w:r>
        <w:t xml:space="preserve">za zadanie zweryfikowanie Szczegółowego Opisu </w:t>
      </w:r>
      <w:r w:rsidR="00E6450E">
        <w:t xml:space="preserve">Przedmiotu </w:t>
      </w:r>
      <w:r>
        <w:t xml:space="preserve">Zamówienia przygotowanego przez Zamawiającego, dotyczącego wyboru </w:t>
      </w:r>
      <w:r w:rsidR="00AD116E">
        <w:t>W</w:t>
      </w:r>
      <w:r>
        <w:t xml:space="preserve">ykonawcy, który będzie odpowiedzialny za budowę wystawy oraz jej konserwację. </w:t>
      </w:r>
    </w:p>
    <w:p w14:paraId="5B95AB2D" w14:textId="77777777" w:rsidR="00147F71" w:rsidRPr="007D4315" w:rsidRDefault="00147F71" w:rsidP="0047389A">
      <w:pPr>
        <w:pStyle w:val="Akapitzlist"/>
        <w:jc w:val="both"/>
        <w:rPr>
          <w:b/>
        </w:rPr>
      </w:pPr>
    </w:p>
    <w:p w14:paraId="17D4C786" w14:textId="77777777"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 xml:space="preserve">NADZÓR </w:t>
      </w:r>
      <w:r w:rsidR="00FF56CB">
        <w:rPr>
          <w:b/>
        </w:rPr>
        <w:t>PROJEKTANTA</w:t>
      </w:r>
    </w:p>
    <w:p w14:paraId="58F721EA" w14:textId="77777777" w:rsidR="00FF56CB" w:rsidRDefault="006C417B" w:rsidP="0047389A">
      <w:pPr>
        <w:pStyle w:val="Akapitzlist"/>
        <w:numPr>
          <w:ilvl w:val="0"/>
          <w:numId w:val="24"/>
        </w:numPr>
        <w:jc w:val="both"/>
      </w:pPr>
      <w:r w:rsidRPr="006C417B">
        <w:t>Oferta przygotowana przez Wykonawcę musi zawierać wy</w:t>
      </w:r>
      <w:r>
        <w:t>cenę nadzoru nad budową wystawy na pierwszym wydarzeniu wybranym przez Wykonawcę na terenie Polski.</w:t>
      </w:r>
    </w:p>
    <w:p w14:paraId="1BDCFDBA" w14:textId="77777777" w:rsidR="006C417B" w:rsidRDefault="00FF56CB" w:rsidP="0047389A">
      <w:pPr>
        <w:pStyle w:val="Akapitzlist"/>
        <w:numPr>
          <w:ilvl w:val="0"/>
          <w:numId w:val="24"/>
        </w:numPr>
        <w:jc w:val="both"/>
      </w:pPr>
      <w:r>
        <w:t xml:space="preserve">Oferta przygotowana przez Wykonawcę musi zawierać wycenę nadzoru nad projektem wystawy w formule online. </w:t>
      </w:r>
      <w:r w:rsidR="006C417B">
        <w:t xml:space="preserve"> </w:t>
      </w:r>
    </w:p>
    <w:p w14:paraId="07FE9BBF" w14:textId="77777777" w:rsidR="006C417B" w:rsidRPr="006C417B" w:rsidRDefault="006C417B" w:rsidP="0047389A">
      <w:pPr>
        <w:pStyle w:val="Akapitzlist"/>
        <w:jc w:val="both"/>
      </w:pPr>
    </w:p>
    <w:p w14:paraId="4DA99353" w14:textId="77777777" w:rsidR="000717D1" w:rsidRDefault="000717D1" w:rsidP="0047389A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WARUNKI UDZIAŁU W ZAMÓWIENIU</w:t>
      </w:r>
    </w:p>
    <w:p w14:paraId="7D85C60B" w14:textId="12B79F6D" w:rsidR="000717D1" w:rsidRDefault="000717D1" w:rsidP="0047389A">
      <w:pPr>
        <w:pStyle w:val="Akapitzlist"/>
        <w:jc w:val="both"/>
      </w:pPr>
      <w:r w:rsidRPr="000717D1">
        <w:t xml:space="preserve">O udzielenie zamówienia mogą się ubiegać </w:t>
      </w:r>
      <w:r w:rsidR="005F2CB6">
        <w:t>W</w:t>
      </w:r>
      <w:r w:rsidRPr="000717D1">
        <w:t xml:space="preserve">ykonawcy, którzy spełniają warunki udziału w postępowaniu dotyczące zdolności </w:t>
      </w:r>
      <w:r w:rsidRPr="000717D1">
        <w:rPr>
          <w:u w:val="single"/>
        </w:rPr>
        <w:t>technicznej lub zawodowej</w:t>
      </w:r>
      <w:r w:rsidRPr="000717D1">
        <w:t>. Zamawiający uzna warunek za spełniony, jeżeli Wykonawca wykaże, że w ciągu ostatnich 3 lat przed upływem składania ofert, a jeżeli okres prowadzenia działalności jest krótszy – w tym okresie</w:t>
      </w:r>
      <w:r w:rsidR="004F39B7">
        <w:t>,</w:t>
      </w:r>
      <w:r w:rsidRPr="000717D1">
        <w:t xml:space="preserve"> należycie zrealizował co najmniej 3 usługi, </w:t>
      </w:r>
      <w:r w:rsidR="00E6450E">
        <w:t xml:space="preserve">z których </w:t>
      </w:r>
      <w:r w:rsidRPr="000717D1">
        <w:t>przynajmniej jedna obejmo</w:t>
      </w:r>
      <w:r>
        <w:t>wała wykonanie projektu wystawy</w:t>
      </w:r>
      <w:r w:rsidRPr="000717D1">
        <w:t xml:space="preserve"> o powierzchni minimum </w:t>
      </w:r>
      <w:r w:rsidR="008B4E7E">
        <w:t>50</w:t>
      </w:r>
      <w:r w:rsidR="008B4E7E" w:rsidRPr="000717D1">
        <w:t xml:space="preserve"> </w:t>
      </w:r>
      <w:r w:rsidRPr="000717D1">
        <w:t>m2 wraz z dokumentacją wykonawczą. Wszystkie 3 usługi muszą polegać na opracow</w:t>
      </w:r>
      <w:r>
        <w:t>aniu projektu wystawy</w:t>
      </w:r>
      <w:r w:rsidRPr="000717D1">
        <w:t xml:space="preserve">.    </w:t>
      </w:r>
    </w:p>
    <w:p w14:paraId="100B8D9C" w14:textId="77777777" w:rsidR="000717D1" w:rsidRPr="000717D1" w:rsidRDefault="000717D1" w:rsidP="0047389A">
      <w:pPr>
        <w:pStyle w:val="Akapitzlist"/>
        <w:jc w:val="both"/>
      </w:pPr>
    </w:p>
    <w:p w14:paraId="264445A8" w14:textId="77777777"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KRYTERIUM WYBORU OFERTY</w:t>
      </w:r>
    </w:p>
    <w:p w14:paraId="0842D0A6" w14:textId="77777777" w:rsidR="003D674F" w:rsidRDefault="000717D1" w:rsidP="0047389A">
      <w:pPr>
        <w:pStyle w:val="Akapitzlist"/>
        <w:numPr>
          <w:ilvl w:val="0"/>
          <w:numId w:val="10"/>
        </w:numPr>
        <w:jc w:val="both"/>
      </w:pPr>
      <w:r w:rsidRPr="000717D1">
        <w:t>Wykonawca chcąc przystąpić do zamówienia, musi złożyć ofertę na wykon</w:t>
      </w:r>
      <w:r>
        <w:t>anie projektu wystawy</w:t>
      </w:r>
      <w:r w:rsidRPr="000717D1">
        <w:t xml:space="preserve"> oraz projektu wykonawczego. O</w:t>
      </w:r>
      <w:r>
        <w:t xml:space="preserve">ferta musi zawierać wstępny projekt wystawy, </w:t>
      </w:r>
      <w:r w:rsidR="003D674F">
        <w:t>który zakłada jej modułowość.</w:t>
      </w:r>
    </w:p>
    <w:p w14:paraId="064B1912" w14:textId="77777777" w:rsidR="003D674F" w:rsidRDefault="003D674F" w:rsidP="0047389A">
      <w:pPr>
        <w:pStyle w:val="Akapitzlist"/>
        <w:jc w:val="both"/>
      </w:pPr>
    </w:p>
    <w:p w14:paraId="0A0D73D3" w14:textId="77777777" w:rsidR="000717D1" w:rsidRPr="000717D1" w:rsidRDefault="000717D1" w:rsidP="0047389A">
      <w:pPr>
        <w:pStyle w:val="Akapitzlist"/>
        <w:jc w:val="both"/>
      </w:pPr>
      <w:r w:rsidRPr="000717D1">
        <w:t>Oferta musi się składać z :</w:t>
      </w:r>
    </w:p>
    <w:p w14:paraId="4121268A" w14:textId="77777777" w:rsidR="000717D1" w:rsidRPr="000717D1" w:rsidRDefault="000717D1" w:rsidP="0047389A">
      <w:pPr>
        <w:pStyle w:val="Akapitzlist"/>
        <w:jc w:val="both"/>
      </w:pPr>
      <w:r w:rsidRPr="000717D1">
        <w:t>- części opisowej, w której zostanie zawarta początkowa kon</w:t>
      </w:r>
      <w:r>
        <w:t>cepcja wystawy</w:t>
      </w:r>
      <w:r w:rsidRPr="000717D1">
        <w:t>; </w:t>
      </w:r>
    </w:p>
    <w:p w14:paraId="2FD06183" w14:textId="77777777" w:rsidR="000717D1" w:rsidRDefault="000717D1" w:rsidP="0047389A">
      <w:pPr>
        <w:pStyle w:val="Akapitzlist"/>
        <w:jc w:val="both"/>
      </w:pPr>
      <w:r>
        <w:t>- wstępnej wizualizacji wystawy</w:t>
      </w:r>
      <w:r w:rsidRPr="000717D1">
        <w:t>;</w:t>
      </w:r>
    </w:p>
    <w:p w14:paraId="6839AF36" w14:textId="77777777" w:rsidR="000717D1" w:rsidRPr="000717D1" w:rsidRDefault="000717D1" w:rsidP="0047389A">
      <w:pPr>
        <w:pStyle w:val="Akapitzlist"/>
        <w:jc w:val="both"/>
      </w:pPr>
      <w:r>
        <w:t xml:space="preserve">- propozycji narzędzi do </w:t>
      </w:r>
      <w:r w:rsidR="00C77E5D">
        <w:t xml:space="preserve">wyrażenia </w:t>
      </w:r>
      <w:r>
        <w:t>treści wystawy;</w:t>
      </w:r>
    </w:p>
    <w:p w14:paraId="0803958B" w14:textId="77777777" w:rsidR="000717D1" w:rsidRPr="000717D1" w:rsidRDefault="000717D1" w:rsidP="0047389A">
      <w:pPr>
        <w:pStyle w:val="Akapitzlist"/>
        <w:jc w:val="both"/>
      </w:pPr>
      <w:r w:rsidRPr="000717D1">
        <w:t>- propozycji rozwiązań projektowych, umożliwiających szybki montaż;</w:t>
      </w:r>
    </w:p>
    <w:p w14:paraId="0C8CB0B1" w14:textId="77777777" w:rsidR="000717D1" w:rsidRDefault="000717D1" w:rsidP="0047389A">
      <w:pPr>
        <w:pStyle w:val="Akapitzlist"/>
        <w:jc w:val="both"/>
      </w:pPr>
      <w:r>
        <w:t>- propozycji scenografii, która będzie nawiązywać do miasta Katowice</w:t>
      </w:r>
      <w:r w:rsidR="00C77E5D">
        <w:t xml:space="preserve"> oraz wybranych </w:t>
      </w:r>
      <w:r w:rsidR="008C340B">
        <w:t>inwestycji w</w:t>
      </w:r>
      <w:r w:rsidR="00C77E5D">
        <w:t xml:space="preserve"> Pols</w:t>
      </w:r>
      <w:r w:rsidR="008C340B">
        <w:t>ce, które reprezentują cechy z pkt. II OPZ</w:t>
      </w:r>
      <w:r w:rsidRPr="000717D1">
        <w:t>. </w:t>
      </w:r>
    </w:p>
    <w:p w14:paraId="0C633CD0" w14:textId="77777777" w:rsidR="00FF56CB" w:rsidRDefault="00FF56CB" w:rsidP="0047389A">
      <w:pPr>
        <w:pStyle w:val="Akapitzlist"/>
        <w:jc w:val="both"/>
      </w:pPr>
      <w:r>
        <w:t xml:space="preserve">- propozycję przedstawienia wystawy w formule online. </w:t>
      </w:r>
    </w:p>
    <w:p w14:paraId="3DDE5559" w14:textId="77777777" w:rsidR="00D81030" w:rsidRPr="000717D1" w:rsidRDefault="00D81030" w:rsidP="0047389A">
      <w:pPr>
        <w:pStyle w:val="Akapitzlist"/>
        <w:jc w:val="both"/>
      </w:pPr>
    </w:p>
    <w:p w14:paraId="157D17FE" w14:textId="77777777" w:rsidR="000717D1" w:rsidRDefault="000717D1" w:rsidP="0047389A">
      <w:pPr>
        <w:pStyle w:val="Akapitzlist"/>
        <w:numPr>
          <w:ilvl w:val="0"/>
          <w:numId w:val="10"/>
        </w:numPr>
        <w:jc w:val="both"/>
      </w:pPr>
      <w:r w:rsidRPr="000717D1">
        <w:lastRenderedPageBreak/>
        <w:t>Zamawiający dokona oceny ofert, które nie zostały odrzucone, na podstawie następujących kryteriów oceny ofert:</w:t>
      </w:r>
    </w:p>
    <w:p w14:paraId="7B0E2AE2" w14:textId="77777777" w:rsidR="00D81030" w:rsidRDefault="00D81030" w:rsidP="0047389A">
      <w:pPr>
        <w:pStyle w:val="Akapitzlist"/>
        <w:jc w:val="both"/>
      </w:pPr>
    </w:p>
    <w:p w14:paraId="69902878" w14:textId="77777777" w:rsidR="00D81030" w:rsidRDefault="00D81030" w:rsidP="0047389A">
      <w:pPr>
        <w:pStyle w:val="Akapitzlist"/>
        <w:jc w:val="both"/>
      </w:pPr>
    </w:p>
    <w:tbl>
      <w:tblPr>
        <w:tblW w:w="0" w:type="auto"/>
        <w:tblInd w:w="11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461"/>
        <w:gridCol w:w="3301"/>
      </w:tblGrid>
      <w:tr w:rsidR="000717D1" w:rsidRPr="000717D1" w14:paraId="0611A205" w14:textId="77777777" w:rsidTr="000717D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9633" w14:textId="77777777" w:rsidR="000717D1" w:rsidRPr="000717D1" w:rsidRDefault="000717D1" w:rsidP="0047389A">
            <w:pPr>
              <w:pStyle w:val="Akapitzlist"/>
              <w:jc w:val="both"/>
            </w:pPr>
            <w:r w:rsidRPr="000717D1"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F33A" w14:textId="77777777" w:rsidR="000717D1" w:rsidRPr="000717D1" w:rsidRDefault="000717D1" w:rsidP="0047389A">
            <w:pPr>
              <w:pStyle w:val="Akapitzlist"/>
              <w:jc w:val="both"/>
            </w:pPr>
            <w:r w:rsidRPr="000717D1">
              <w:t>Nazwa kryterium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C39A" w14:textId="77777777" w:rsidR="000717D1" w:rsidRPr="000717D1" w:rsidRDefault="000717D1" w:rsidP="0047389A">
            <w:pPr>
              <w:pStyle w:val="Akapitzlist"/>
              <w:jc w:val="both"/>
            </w:pPr>
            <w:r w:rsidRPr="000717D1">
              <w:t>Znaczenie kryterium (w %)</w:t>
            </w:r>
          </w:p>
        </w:tc>
      </w:tr>
      <w:tr w:rsidR="000717D1" w:rsidRPr="000717D1" w14:paraId="0D1F5A75" w14:textId="77777777" w:rsidTr="000717D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60B2" w14:textId="77777777" w:rsidR="000717D1" w:rsidRPr="000717D1" w:rsidRDefault="000717D1" w:rsidP="0047389A">
            <w:pPr>
              <w:pStyle w:val="Akapitzlist"/>
              <w:jc w:val="both"/>
            </w:pPr>
            <w:r w:rsidRPr="000717D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866D" w14:textId="77777777" w:rsidR="000717D1" w:rsidRPr="000717D1" w:rsidRDefault="00091028" w:rsidP="0047389A">
            <w:pPr>
              <w:pStyle w:val="Akapitzlist"/>
              <w:jc w:val="both"/>
            </w:pPr>
            <w:r>
              <w:t>KONCEPCJA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BD84" w14:textId="77777777" w:rsidR="000717D1" w:rsidRPr="000717D1" w:rsidRDefault="000717D1" w:rsidP="0047389A">
            <w:pPr>
              <w:pStyle w:val="Akapitzlist"/>
              <w:jc w:val="both"/>
            </w:pPr>
            <w:r w:rsidRPr="000717D1">
              <w:t>80 %</w:t>
            </w:r>
          </w:p>
        </w:tc>
      </w:tr>
      <w:tr w:rsidR="000717D1" w:rsidRPr="000717D1" w14:paraId="1E27DF8D" w14:textId="77777777" w:rsidTr="000717D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E465" w14:textId="77777777" w:rsidR="000717D1" w:rsidRPr="000717D1" w:rsidRDefault="000717D1" w:rsidP="0047389A">
            <w:pPr>
              <w:pStyle w:val="Akapitzlist"/>
              <w:jc w:val="both"/>
            </w:pPr>
            <w:r w:rsidRPr="000717D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986A" w14:textId="77777777" w:rsidR="000717D1" w:rsidRPr="000717D1" w:rsidRDefault="000717D1" w:rsidP="0047389A">
            <w:pPr>
              <w:pStyle w:val="Akapitzlist"/>
              <w:jc w:val="both"/>
            </w:pPr>
            <w:r w:rsidRPr="000717D1">
              <w:t>CENA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C3F1" w14:textId="77777777" w:rsidR="000717D1" w:rsidRPr="000717D1" w:rsidRDefault="000717D1" w:rsidP="0047389A">
            <w:pPr>
              <w:pStyle w:val="Akapitzlist"/>
              <w:jc w:val="both"/>
            </w:pPr>
            <w:r w:rsidRPr="000717D1">
              <w:t>20%</w:t>
            </w:r>
          </w:p>
        </w:tc>
      </w:tr>
    </w:tbl>
    <w:p w14:paraId="7AB7E662" w14:textId="77777777" w:rsidR="000717D1" w:rsidRPr="000717D1" w:rsidRDefault="000717D1" w:rsidP="0047389A">
      <w:pPr>
        <w:jc w:val="both"/>
      </w:pPr>
      <w:r w:rsidRPr="000717D1">
        <w:br/>
      </w:r>
    </w:p>
    <w:p w14:paraId="7C0E2659" w14:textId="77777777" w:rsidR="000717D1" w:rsidRPr="000717D1" w:rsidRDefault="000717D1" w:rsidP="0047389A">
      <w:pPr>
        <w:pStyle w:val="Akapitzlist"/>
        <w:numPr>
          <w:ilvl w:val="0"/>
          <w:numId w:val="10"/>
        </w:numPr>
        <w:jc w:val="both"/>
      </w:pPr>
      <w:r w:rsidRPr="000717D1">
        <w:t>Zamawiający dokona oceny przyznając punkty w ramach poszczególnych kryteriów oceny ofert, przyjmując zasadę, że 1% = 1 punkt.</w:t>
      </w:r>
    </w:p>
    <w:p w14:paraId="45E22223" w14:textId="77777777" w:rsidR="000717D1" w:rsidRDefault="000717D1" w:rsidP="0047389A">
      <w:pPr>
        <w:pStyle w:val="Akapitzlist"/>
        <w:numPr>
          <w:ilvl w:val="0"/>
          <w:numId w:val="10"/>
        </w:numPr>
        <w:jc w:val="both"/>
      </w:pPr>
      <w:r w:rsidRPr="000717D1">
        <w:t>Punkty za kryterium „Cena” zostaną obliczone według wzoru:</w:t>
      </w:r>
    </w:p>
    <w:p w14:paraId="0F4471A8" w14:textId="77777777" w:rsidR="00864CB4" w:rsidRPr="000717D1" w:rsidRDefault="00864CB4" w:rsidP="0047389A">
      <w:pPr>
        <w:pStyle w:val="Akapitzlist"/>
        <w:jc w:val="both"/>
      </w:pPr>
      <w:r w:rsidRPr="000717D1">
        <w:t>Cena brutto oferty najtańszej</w:t>
      </w:r>
    </w:p>
    <w:p w14:paraId="4FC904CF" w14:textId="77777777" w:rsidR="00864CB4" w:rsidRPr="000717D1" w:rsidRDefault="00864CB4" w:rsidP="0047389A">
      <w:pPr>
        <w:pStyle w:val="Akapitzlist"/>
        <w:jc w:val="both"/>
      </w:pPr>
      <w:r w:rsidRPr="000717D1">
        <w:t xml:space="preserve">-------------------------------------  x </w:t>
      </w:r>
      <w:r>
        <w:t>20</w:t>
      </w:r>
      <w:r w:rsidRPr="000717D1">
        <w:t xml:space="preserve"> = liczba punktów</w:t>
      </w:r>
    </w:p>
    <w:p w14:paraId="6DCA5DAD" w14:textId="77777777" w:rsidR="00864CB4" w:rsidRPr="000717D1" w:rsidRDefault="00864CB4" w:rsidP="0047389A">
      <w:pPr>
        <w:pStyle w:val="Akapitzlist"/>
        <w:jc w:val="both"/>
      </w:pPr>
      <w:r w:rsidRPr="000717D1">
        <w:t>Cena brutto oferty badanej</w:t>
      </w:r>
    </w:p>
    <w:p w14:paraId="0778A5F2" w14:textId="77777777" w:rsidR="00864CB4" w:rsidRDefault="00864CB4" w:rsidP="0047389A">
      <w:pPr>
        <w:pStyle w:val="Akapitzlist"/>
        <w:jc w:val="both"/>
      </w:pPr>
      <w:r w:rsidRPr="000717D1">
        <w:t>Końcowy wynik powyższego działania zostanie zaokrąglony do dwóch miejsc po przecinku.</w:t>
      </w:r>
    </w:p>
    <w:p w14:paraId="3A82DE33" w14:textId="77777777" w:rsidR="00946F90" w:rsidRDefault="00946F90" w:rsidP="0047389A">
      <w:pPr>
        <w:pStyle w:val="Akapitzlist"/>
        <w:jc w:val="both"/>
      </w:pPr>
    </w:p>
    <w:p w14:paraId="49932797" w14:textId="77777777" w:rsidR="00946F90" w:rsidRDefault="00946F90" w:rsidP="0047389A">
      <w:pPr>
        <w:pStyle w:val="Akapitzlist"/>
        <w:numPr>
          <w:ilvl w:val="0"/>
          <w:numId w:val="10"/>
        </w:numPr>
        <w:jc w:val="both"/>
      </w:pPr>
      <w:r>
        <w:t>Koncepcja</w:t>
      </w:r>
    </w:p>
    <w:p w14:paraId="2D629643" w14:textId="77777777" w:rsidR="00946F90" w:rsidRPr="00D60CB5" w:rsidRDefault="00946F90" w:rsidP="0047389A">
      <w:pPr>
        <w:pStyle w:val="Akapitzlist"/>
        <w:spacing w:before="120" w:line="240" w:lineRule="atLeast"/>
        <w:jc w:val="both"/>
      </w:pPr>
      <w:r w:rsidRPr="00D60CB5">
        <w:t>Punkty zostaną przyznane zgodnie z poniżej zamieszczonym opisem przyjmując zasadę, że 1% = 1 punkt:</w:t>
      </w:r>
    </w:p>
    <w:p w14:paraId="3A2B49FA" w14:textId="77777777" w:rsidR="00946F90" w:rsidRPr="00D60CB5" w:rsidRDefault="00946F90" w:rsidP="0047389A">
      <w:pPr>
        <w:pStyle w:val="Akapitzlist"/>
        <w:spacing w:before="120" w:line="240" w:lineRule="atLeast"/>
        <w:jc w:val="both"/>
      </w:pPr>
      <w:r w:rsidRPr="00D60CB5">
        <w:t xml:space="preserve">Zamawiający oceniając jakość zaoferowanych materiałów będzie brał pod uwagę: </w:t>
      </w:r>
    </w:p>
    <w:p w14:paraId="29C1DA28" w14:textId="77777777" w:rsidR="00946F90" w:rsidRPr="0017412C" w:rsidRDefault="00946F90" w:rsidP="0047389A">
      <w:pPr>
        <w:pStyle w:val="Akapitzlist"/>
        <w:numPr>
          <w:ilvl w:val="0"/>
          <w:numId w:val="23"/>
        </w:numPr>
        <w:jc w:val="both"/>
      </w:pPr>
      <w:r w:rsidRPr="0017412C">
        <w:t xml:space="preserve">atrakcyjność i trafność proponowanych </w:t>
      </w:r>
      <w:r w:rsidR="002C7AEE">
        <w:t>narzędzi</w:t>
      </w:r>
      <w:r w:rsidR="008C340B">
        <w:t xml:space="preserve"> </w:t>
      </w:r>
      <w:r w:rsidRPr="0017412C">
        <w:t xml:space="preserve">wyrazu przez co rozumie się dopasowanie </w:t>
      </w:r>
      <w:r w:rsidR="002C7AEE">
        <w:t>narzędzi</w:t>
      </w:r>
      <w:r w:rsidR="008C340B">
        <w:t xml:space="preserve"> </w:t>
      </w:r>
      <w:r w:rsidRPr="0017412C">
        <w:t>do całości koncepcji i założeń, nowoczesność i oryginalność koncepcji</w:t>
      </w:r>
      <w:r>
        <w:t xml:space="preserve"> – do 2</w:t>
      </w:r>
      <w:r w:rsidR="002149D3">
        <w:t>0</w:t>
      </w:r>
      <w:r>
        <w:t xml:space="preserve"> pkt</w:t>
      </w:r>
      <w:r w:rsidRPr="0017412C">
        <w:t>;</w:t>
      </w:r>
    </w:p>
    <w:p w14:paraId="0CDAFE4F" w14:textId="77777777" w:rsidR="00946F90" w:rsidRPr="0017412C" w:rsidRDefault="00946F90" w:rsidP="0047389A">
      <w:pPr>
        <w:pStyle w:val="Akapitzlist"/>
        <w:numPr>
          <w:ilvl w:val="0"/>
          <w:numId w:val="23"/>
        </w:numPr>
        <w:jc w:val="both"/>
      </w:pPr>
      <w:r w:rsidRPr="00946F90">
        <w:t xml:space="preserve">atrakcyjność i trafność rozwiązań funkcjonalnych i programowo-przestrzennych przez co rozumie się </w:t>
      </w:r>
      <w:r w:rsidRPr="00D60CB5">
        <w:t>funkcjonalność elementów, dopasowanie elementów świetlnych i dekoracyjnych</w:t>
      </w:r>
      <w:r>
        <w:t>, łatwość montażu i demontażu elementów– do 15 pkt;</w:t>
      </w:r>
    </w:p>
    <w:p w14:paraId="485AE501" w14:textId="77777777" w:rsidR="00946F90" w:rsidRPr="0017412C" w:rsidRDefault="00946F90" w:rsidP="0047389A">
      <w:pPr>
        <w:pStyle w:val="Akapitzlist"/>
        <w:numPr>
          <w:ilvl w:val="0"/>
          <w:numId w:val="23"/>
        </w:numPr>
        <w:jc w:val="both"/>
      </w:pPr>
      <w:r w:rsidRPr="00946F90">
        <w:t>estetykę aranżacji</w:t>
      </w:r>
      <w:r w:rsidRPr="00D60CB5">
        <w:t xml:space="preserve"> przez co rozumie się estetykę poszczególnych elementów, dopasowanie elementów wyposażenia do koncepcji</w:t>
      </w:r>
      <w:r>
        <w:t xml:space="preserve"> – do 1</w:t>
      </w:r>
      <w:r w:rsidR="002149D3">
        <w:t>0</w:t>
      </w:r>
      <w:r>
        <w:t xml:space="preserve"> pkt</w:t>
      </w:r>
      <w:r w:rsidRPr="0017412C">
        <w:t>;</w:t>
      </w:r>
    </w:p>
    <w:p w14:paraId="62103C11" w14:textId="77777777" w:rsidR="00946F90" w:rsidRPr="0017412C" w:rsidRDefault="00946F90" w:rsidP="0047389A">
      <w:pPr>
        <w:pStyle w:val="Akapitzlist"/>
        <w:numPr>
          <w:ilvl w:val="0"/>
          <w:numId w:val="23"/>
        </w:numPr>
        <w:jc w:val="both"/>
      </w:pPr>
      <w:r w:rsidRPr="00946F90">
        <w:t xml:space="preserve">trafność koncepcji </w:t>
      </w:r>
      <w:r w:rsidRPr="00D60CB5">
        <w:t>przez co rozumie się nawiązanie do tematu wydarzenia jakim jest WUF</w:t>
      </w:r>
      <w:r>
        <w:t>, nawiązanie do miasta Katowice – do 10 pkt</w:t>
      </w:r>
      <w:r w:rsidRPr="0017412C">
        <w:t>;</w:t>
      </w:r>
    </w:p>
    <w:p w14:paraId="23DD36D0" w14:textId="77777777" w:rsidR="00946F90" w:rsidRDefault="00946F90" w:rsidP="0047389A">
      <w:pPr>
        <w:pStyle w:val="Akapitzlist"/>
        <w:numPr>
          <w:ilvl w:val="0"/>
          <w:numId w:val="23"/>
        </w:numPr>
        <w:jc w:val="both"/>
      </w:pPr>
      <w:r w:rsidRPr="00946F90">
        <w:t>atrakcyjność rozwiązań technicznych</w:t>
      </w:r>
      <w:r w:rsidRPr="00D60CB5">
        <w:t xml:space="preserve"> związanych z projekcją materiałów audiowizualnych przez co rozumie się nowoczesność i oryginalność zaproponowanych rozwiązań</w:t>
      </w:r>
      <w:r>
        <w:t xml:space="preserve"> – do 15 pkt</w:t>
      </w:r>
      <w:r w:rsidRPr="0017412C">
        <w:t>. </w:t>
      </w:r>
    </w:p>
    <w:p w14:paraId="788C8CD8" w14:textId="77777777" w:rsidR="00FF56CB" w:rsidRPr="0017412C" w:rsidRDefault="00FF56CB" w:rsidP="0047389A">
      <w:pPr>
        <w:pStyle w:val="Akapitzlist"/>
        <w:numPr>
          <w:ilvl w:val="0"/>
          <w:numId w:val="23"/>
        </w:numPr>
        <w:jc w:val="both"/>
      </w:pPr>
      <w:r>
        <w:t xml:space="preserve">atrakcyjność </w:t>
      </w:r>
      <w:r w:rsidR="00500B4D">
        <w:t xml:space="preserve">i trafność dobory formy przedstawienia wystawy w formule online – </w:t>
      </w:r>
      <w:r w:rsidR="002149D3">
        <w:t>10</w:t>
      </w:r>
      <w:r w:rsidR="00500B4D">
        <w:t xml:space="preserve"> pkt. </w:t>
      </w:r>
    </w:p>
    <w:p w14:paraId="43043F04" w14:textId="77777777" w:rsidR="00946F90" w:rsidRPr="000717D1" w:rsidRDefault="00946F90" w:rsidP="0047389A">
      <w:pPr>
        <w:pStyle w:val="Akapitzlist"/>
        <w:jc w:val="both"/>
      </w:pPr>
    </w:p>
    <w:p w14:paraId="14F262BC" w14:textId="77777777" w:rsidR="00864CB4" w:rsidRPr="000717D1" w:rsidRDefault="00DB3044" w:rsidP="0047389A">
      <w:pPr>
        <w:pStyle w:val="Akapitzlist"/>
        <w:numPr>
          <w:ilvl w:val="0"/>
          <w:numId w:val="10"/>
        </w:numPr>
        <w:jc w:val="both"/>
      </w:pPr>
      <w:r>
        <w:t xml:space="preserve">Suma </w:t>
      </w:r>
      <w:r w:rsidR="00864CB4" w:rsidRPr="000717D1">
        <w:t>punktów, o których mowa w pkt</w:t>
      </w:r>
      <w:r w:rsidR="00AD531A">
        <w:t>.</w:t>
      </w:r>
      <w:r w:rsidR="00864CB4" w:rsidRPr="000717D1">
        <w:t xml:space="preserve"> </w:t>
      </w:r>
      <w:r w:rsidR="00AD531A">
        <w:t>3</w:t>
      </w:r>
      <w:r w:rsidR="00864CB4" w:rsidRPr="000717D1">
        <w:t>  stanowić będzie końcową ocenę oferty.</w:t>
      </w:r>
    </w:p>
    <w:p w14:paraId="31C27773" w14:textId="77777777" w:rsidR="009B5FBA" w:rsidRDefault="00864CB4" w:rsidP="0047389A">
      <w:pPr>
        <w:pStyle w:val="Akapitzlist"/>
        <w:numPr>
          <w:ilvl w:val="0"/>
          <w:numId w:val="10"/>
        </w:numPr>
        <w:jc w:val="both"/>
      </w:pPr>
      <w:r w:rsidRPr="000717D1">
        <w:t>Za najkorzystniejszą zostanie uznana oferta z największą liczbą punktów.</w:t>
      </w:r>
      <w:r w:rsidR="009B5FBA">
        <w:t xml:space="preserve"> </w:t>
      </w:r>
      <w:r w:rsidR="009B5FBA" w:rsidRPr="009B5FBA">
        <w:t xml:space="preserve"> W przypadku</w:t>
      </w:r>
      <w:r w:rsidR="00C264C4">
        <w:t>,</w:t>
      </w:r>
      <w:r w:rsidR="009B5FBA" w:rsidRPr="009B5FBA">
        <w:t xml:space="preserve"> gdy suma punktów przyznanych ofercie na podstawie kryterium „Kon</w:t>
      </w:r>
      <w:r w:rsidR="009B5FBA">
        <w:t xml:space="preserve">cepcja” wyniesie mniej niż </w:t>
      </w:r>
      <w:r w:rsidR="00500B4D">
        <w:t>4</w:t>
      </w:r>
      <w:r w:rsidR="009B5FBA">
        <w:t>5</w:t>
      </w:r>
      <w:r w:rsidR="009B5FBA" w:rsidRPr="009B5FBA">
        <w:t xml:space="preserve"> punktów, oferta będzie podlegała odrzuceniu</w:t>
      </w:r>
      <w:r w:rsidR="00C14ABD">
        <w:t xml:space="preserve"> ze względu na niezgodność z wymaganiami Zamawiającego</w:t>
      </w:r>
      <w:r w:rsidR="009B5FBA" w:rsidRPr="009B5FBA">
        <w:t>.</w:t>
      </w:r>
    </w:p>
    <w:p w14:paraId="0C6D569D" w14:textId="77777777" w:rsidR="00A72736" w:rsidRDefault="007D59F3" w:rsidP="0047389A">
      <w:pPr>
        <w:pStyle w:val="Akapitzlist"/>
        <w:numPr>
          <w:ilvl w:val="0"/>
          <w:numId w:val="10"/>
        </w:numPr>
        <w:jc w:val="both"/>
      </w:pPr>
      <w:r w:rsidRPr="007D59F3">
        <w:t xml:space="preserve">Zamawiający zastrzega sobie prawo do unieważnienia </w:t>
      </w:r>
      <w:r w:rsidR="007620F6">
        <w:t>rozeznania</w:t>
      </w:r>
      <w:r w:rsidRPr="007D59F3">
        <w:t xml:space="preserve"> na każdym jego etapie</w:t>
      </w:r>
      <w:r w:rsidR="007620F6">
        <w:t xml:space="preserve">, jednak nie później niż przed wyborem oferty najkorzystniejszej, </w:t>
      </w:r>
      <w:r w:rsidRPr="007D59F3">
        <w:t xml:space="preserve"> bez podania przyczyny,</w:t>
      </w:r>
      <w:r w:rsidR="00CC5854">
        <w:br/>
      </w:r>
      <w:r w:rsidRPr="007D59F3">
        <w:t xml:space="preserve">a także do pozostawienia </w:t>
      </w:r>
      <w:r w:rsidR="007620F6">
        <w:t>rozeznania</w:t>
      </w:r>
      <w:r w:rsidRPr="007D59F3">
        <w:t xml:space="preserve"> bez wyboru oferty bez skutków prawnych oraz finansowych.</w:t>
      </w:r>
      <w:r w:rsidR="00A72736">
        <w:t xml:space="preserve"> </w:t>
      </w:r>
    </w:p>
    <w:p w14:paraId="5243265A" w14:textId="5BA51563" w:rsidR="00955EAE" w:rsidRDefault="00955EAE" w:rsidP="0047389A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Zamawiający zamierza przeznaczyć na realizację zadania </w:t>
      </w:r>
      <w:r w:rsidR="0015043F">
        <w:t xml:space="preserve">maksymalnie </w:t>
      </w:r>
      <w:r>
        <w:t xml:space="preserve">kwotę </w:t>
      </w:r>
      <w:r w:rsidR="0015043F">
        <w:t>150 000 zł brutto.</w:t>
      </w:r>
    </w:p>
    <w:p w14:paraId="2A495DDA" w14:textId="5BA23F0C" w:rsidR="0015043F" w:rsidRPr="009B5FBA" w:rsidRDefault="0015043F" w:rsidP="0047389A">
      <w:pPr>
        <w:pStyle w:val="Akapitzlist"/>
        <w:numPr>
          <w:ilvl w:val="0"/>
          <w:numId w:val="10"/>
        </w:numPr>
        <w:jc w:val="both"/>
      </w:pPr>
      <w:r>
        <w:t>Zamawiający zastrzega sobie prawo do negocjacji ceny za realizację zamówienia.</w:t>
      </w:r>
    </w:p>
    <w:p w14:paraId="59A084B9" w14:textId="77777777" w:rsidR="00864CB4" w:rsidRDefault="00864CB4" w:rsidP="00A235CD">
      <w:pPr>
        <w:pStyle w:val="Akapitzlist"/>
        <w:jc w:val="both"/>
      </w:pPr>
    </w:p>
    <w:p w14:paraId="74925407" w14:textId="77777777"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ZASADY WYBORU WYKONAWCY</w:t>
      </w:r>
    </w:p>
    <w:p w14:paraId="2CAE9637" w14:textId="77777777" w:rsidR="00D81030" w:rsidRDefault="00D81030" w:rsidP="0047389A">
      <w:pPr>
        <w:pStyle w:val="Akapitzlist"/>
        <w:jc w:val="both"/>
        <w:rPr>
          <w:b/>
        </w:rPr>
      </w:pPr>
    </w:p>
    <w:p w14:paraId="40C5979E" w14:textId="77777777" w:rsidR="00D81030" w:rsidRP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>W celu zapewnienia porównywalności wszystkich ofert, Zamawiający zastrzega sobie prawo do skontaktowania się z oferentami, w celu uzupełnienia lub doprecyzowania ofert.</w:t>
      </w:r>
    </w:p>
    <w:p w14:paraId="775667DB" w14:textId="77777777" w:rsidR="00D81030" w:rsidRP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>Zamawiający zawiera umowy na podstawie własnych wzorów umów stosowanych przez Zamawiającego.</w:t>
      </w:r>
    </w:p>
    <w:p w14:paraId="48DB2622" w14:textId="77777777" w:rsid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 xml:space="preserve">Zamawiający informuje, że nie uiszcza zaliczek na poczet realizacji zadania. Płatność jest dokonywana po zrealizowaniu zadania na podstawie umowy zawartej z Wykonawcą. </w:t>
      </w:r>
    </w:p>
    <w:p w14:paraId="1A52BDA5" w14:textId="77777777" w:rsidR="00B273F6" w:rsidRPr="00D81030" w:rsidRDefault="00B273F6" w:rsidP="0047389A">
      <w:pPr>
        <w:pStyle w:val="Akapitzlist"/>
        <w:numPr>
          <w:ilvl w:val="0"/>
          <w:numId w:val="17"/>
        </w:numPr>
        <w:jc w:val="both"/>
      </w:pPr>
      <w:r w:rsidRPr="005F2CB6">
        <w:t>Zaproszenie do składania ofert nie jest postępowaniem o udzielenie zamówienia w</w:t>
      </w:r>
      <w:r w:rsidRPr="00416C15">
        <w:t xml:space="preserve"> rozumieniu przepisów ustawy Prawo zamówień publicznych oraz nie kształtuje zobowiązania Ministerstwa do przyjęcia którejkolwiek z ofert.</w:t>
      </w:r>
    </w:p>
    <w:p w14:paraId="73422DDE" w14:textId="77777777" w:rsidR="00D81030" w:rsidRP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>Zamawiający zastrzega sobie prawo do rezygnacji z zamówienia bez wyboru którejkolwiek ze złożonych ofert.</w:t>
      </w:r>
    </w:p>
    <w:p w14:paraId="4CE69010" w14:textId="77777777" w:rsidR="00D81030" w:rsidRP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 xml:space="preserve">Zamawiający zastrzega, że dane dotyczące realizacji zadania są jawne oraz stanowią informację publiczną i mogą zostać udostępnione na zasadach określonych w Ustawie z dnia 6 września 2001 r. o dostępie do informacji publicznej (Dz. U. z 2018 r. poz. 1330, z </w:t>
      </w:r>
      <w:proofErr w:type="spellStart"/>
      <w:r w:rsidRPr="00D81030">
        <w:t>późn</w:t>
      </w:r>
      <w:proofErr w:type="spellEnd"/>
      <w:r w:rsidRPr="00D81030">
        <w:t>. zm.).</w:t>
      </w:r>
    </w:p>
    <w:p w14:paraId="44319DBD" w14:textId="77777777" w:rsid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>Zamawiający może wykluczyć oferty Wykonawców</w:t>
      </w:r>
      <w:r w:rsidR="005F2CB6">
        <w:t>,</w:t>
      </w:r>
      <w:r w:rsidRPr="00D81030">
        <w:t xml:space="preserve"> w stosunku do których otwarto likwidację, w zatwierdzonym przez sąd układzie w postępowaniu restrukturyzacyjnym jest przewidziane zaspokojenie wierzycieli przez likwidację majątku lub sąd zarządził likwidację majątku w trybie art. 332 ust. 1 ustawy z dnia 15 maja 2015 r. – Prawo restrukturyzacyjne (Dz. U. z 2019 r. poz. 243, z </w:t>
      </w:r>
      <w:proofErr w:type="spellStart"/>
      <w:r w:rsidRPr="00D81030">
        <w:t>późn</w:t>
      </w:r>
      <w:proofErr w:type="spellEnd"/>
      <w:r w:rsidRPr="00D81030">
        <w:t xml:space="preserve">. zm.) lub których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2344, z </w:t>
      </w:r>
      <w:proofErr w:type="spellStart"/>
      <w:r w:rsidRPr="00D81030">
        <w:t>późn</w:t>
      </w:r>
      <w:proofErr w:type="spellEnd"/>
      <w:r w:rsidRPr="00D81030">
        <w:t>. zm.). Dotyczy to również obiektu, w którym będzie realizowane zadanie.</w:t>
      </w:r>
    </w:p>
    <w:p w14:paraId="3E7D3307" w14:textId="77777777" w:rsidR="00D81030" w:rsidRPr="00D81030" w:rsidRDefault="00D81030" w:rsidP="0047389A">
      <w:pPr>
        <w:pStyle w:val="Akapitzlist"/>
        <w:ind w:left="785"/>
        <w:jc w:val="both"/>
      </w:pPr>
    </w:p>
    <w:p w14:paraId="641B6570" w14:textId="77777777"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TERMIN I FORMA SKŁADANIA OFERT</w:t>
      </w:r>
    </w:p>
    <w:p w14:paraId="0A0F67FC" w14:textId="5B43C756" w:rsidR="00D81030" w:rsidRPr="00D81030" w:rsidRDefault="00D81030" w:rsidP="0047389A">
      <w:pPr>
        <w:pStyle w:val="Akapitzlist"/>
        <w:numPr>
          <w:ilvl w:val="0"/>
          <w:numId w:val="18"/>
        </w:numPr>
        <w:jc w:val="both"/>
      </w:pPr>
      <w:r w:rsidRPr="00D81030">
        <w:t>Zamawiający weźmie pod uwagę wyłącznie oferty zawierające załącznik w formie oferty przygotowanej przez Wykonawcę oraz aktualne portfolio. Oferta musi zawierać cenę brutto za wykonanie całości zamówienia.</w:t>
      </w:r>
      <w:r w:rsidR="00955EAE">
        <w:t xml:space="preserve"> Oferty zawierające cenę brutto wyższą niż cena określona przez Zamawiającego zostaną odrzucone. </w:t>
      </w:r>
      <w:r w:rsidRPr="00D81030">
        <w:t xml:space="preserve"> </w:t>
      </w:r>
    </w:p>
    <w:p w14:paraId="0C14F06A" w14:textId="086EA60D" w:rsidR="007D4315" w:rsidRDefault="00D81030" w:rsidP="0047389A">
      <w:pPr>
        <w:pStyle w:val="Akapitzlist"/>
        <w:numPr>
          <w:ilvl w:val="0"/>
          <w:numId w:val="18"/>
        </w:numPr>
        <w:jc w:val="both"/>
      </w:pPr>
      <w:r w:rsidRPr="00D81030">
        <w:t>Ofertę należy przesyłać tylko w wersji elektronicznej do</w:t>
      </w:r>
      <w:r>
        <w:t xml:space="preserve"> </w:t>
      </w:r>
      <w:r w:rsidR="002149D3">
        <w:t xml:space="preserve"> </w:t>
      </w:r>
      <w:r w:rsidR="0015043F">
        <w:t>24.05</w:t>
      </w:r>
      <w:r w:rsidR="002149D3">
        <w:t>.2021</w:t>
      </w:r>
      <w:r w:rsidRPr="00D81030">
        <w:t xml:space="preserve">, do godz. </w:t>
      </w:r>
      <w:r w:rsidR="002149D3">
        <w:t>12:00</w:t>
      </w:r>
      <w:r w:rsidR="00FD4CF0">
        <w:t xml:space="preserve"> </w:t>
      </w:r>
      <w:r w:rsidRPr="00D81030">
        <w:t>na ad</w:t>
      </w:r>
      <w:r>
        <w:t xml:space="preserve">res e-mail: </w:t>
      </w:r>
      <w:hyperlink r:id="rId7" w:history="1">
        <w:bookmarkStart w:id="0" w:name="_GoBack"/>
        <w:bookmarkEnd w:id="0"/>
        <w:r w:rsidR="0021152D">
          <w:rPr>
            <w:rStyle w:val="Hipercze"/>
          </w:rPr>
          <w:t>oliwia.sokolowska</w:t>
        </w:r>
        <w:r w:rsidR="00FD4CF0" w:rsidRPr="00723204">
          <w:rPr>
            <w:rStyle w:val="Hipercze"/>
          </w:rPr>
          <w:t>@mfipr.gov.pl</w:t>
        </w:r>
      </w:hyperlink>
      <w:r w:rsidRPr="00D81030">
        <w:t>.</w:t>
      </w:r>
      <w:r w:rsidR="00B273F6">
        <w:t xml:space="preserve"> </w:t>
      </w:r>
    </w:p>
    <w:p w14:paraId="1A57B906" w14:textId="77777777" w:rsidR="00B273F6" w:rsidRDefault="00B273F6" w:rsidP="0047389A">
      <w:pPr>
        <w:pStyle w:val="Akapitzlist"/>
        <w:numPr>
          <w:ilvl w:val="0"/>
          <w:numId w:val="18"/>
        </w:numPr>
        <w:jc w:val="both"/>
      </w:pPr>
      <w:r>
        <w:t xml:space="preserve">Oferty przesłane po upływie terminu określonego w pkt. IX.2. OPZ nie będą podlegały ocenie. </w:t>
      </w:r>
    </w:p>
    <w:p w14:paraId="3261DC98" w14:textId="77777777" w:rsidR="000005FC" w:rsidRPr="00D81030" w:rsidRDefault="000005FC" w:rsidP="0047389A">
      <w:pPr>
        <w:pStyle w:val="Akapitzlist"/>
        <w:ind w:left="785"/>
        <w:jc w:val="both"/>
      </w:pPr>
    </w:p>
    <w:p w14:paraId="6F587CA5" w14:textId="77777777" w:rsidR="000005FC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INFORMACJA O PRZETWARZANIU DANYCH OSOBOWYCH</w:t>
      </w:r>
    </w:p>
    <w:p w14:paraId="30B2C672" w14:textId="77777777" w:rsidR="00D81030" w:rsidRPr="000005FC" w:rsidRDefault="00D81030" w:rsidP="0047389A">
      <w:pPr>
        <w:pStyle w:val="Akapitzlist"/>
        <w:jc w:val="both"/>
        <w:rPr>
          <w:b/>
        </w:rPr>
      </w:pPr>
      <w:r w:rsidRPr="000005FC">
        <w:rPr>
          <w:rFonts w:eastAsia="Times New Roman" w:cstheme="minorHAnsi"/>
          <w:color w:val="000000"/>
          <w:lang w:eastAsia="pl-PL"/>
        </w:rPr>
        <w:t>Zgodnie z art. 13 ust. 1 i ust. 2 ogólnego rozporządzenia o ochronie danych osobowych z dnia 27 kwietnia 2016 r. (dalej: „rozporządzenie 2016/679”) informujemy, że:</w:t>
      </w:r>
    </w:p>
    <w:p w14:paraId="5573CAAB" w14:textId="77777777"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 xml:space="preserve">Administratorem danych zbieranych i przetwarzanych w celu wyboru wykonawcy, zawarcia umowy oraz realizacji umowy jest Minister </w:t>
      </w:r>
      <w:r w:rsidR="00D32DCF">
        <w:rPr>
          <w:rFonts w:eastAsia="Times New Roman" w:cstheme="minorHAnsi"/>
          <w:color w:val="000000"/>
          <w:lang w:eastAsia="pl-PL"/>
        </w:rPr>
        <w:t>Finansów, Funduszy i Polityki Regionalnej</w:t>
      </w:r>
      <w:r w:rsidRPr="00D81030">
        <w:rPr>
          <w:rFonts w:eastAsia="Times New Roman" w:cstheme="minorHAnsi"/>
          <w:color w:val="000000"/>
          <w:lang w:eastAsia="pl-PL"/>
        </w:rPr>
        <w:t xml:space="preserve"> z </w:t>
      </w:r>
      <w:r w:rsidRPr="00D81030">
        <w:rPr>
          <w:rFonts w:eastAsia="Times New Roman" w:cstheme="minorHAnsi"/>
          <w:color w:val="000000"/>
          <w:lang w:eastAsia="pl-PL"/>
        </w:rPr>
        <w:lastRenderedPageBreak/>
        <w:t>siedzibą przy ul. Wspólnej 2/4, 00-926 w Warszawie. Dane osobowe mogą zostać ujawnione właściwym organom oraz podmiotom upoważnionym zgodnie z obowiązującym prawem.</w:t>
      </w:r>
    </w:p>
    <w:p w14:paraId="5632F85B" w14:textId="77777777"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  <w:r w:rsidR="00B273F6">
        <w:rPr>
          <w:rFonts w:eastAsia="Times New Roman" w:cstheme="minorHAnsi"/>
          <w:color w:val="000000"/>
          <w:lang w:eastAsia="pl-PL"/>
        </w:rPr>
        <w:t xml:space="preserve"> </w:t>
      </w:r>
      <w:r w:rsidRPr="00D81030">
        <w:rPr>
          <w:rFonts w:eastAsia="Times New Roman" w:cstheme="minorHAnsi"/>
          <w:color w:val="000000"/>
          <w:lang w:eastAsia="pl-PL"/>
        </w:rPr>
        <w:t>Osobom, które w ofercie podały swoje dane osobowe przysługuje prawo do wniesienia sprzeciwu wobec dalszego przetwarzania.</w:t>
      </w:r>
    </w:p>
    <w:p w14:paraId="7C6EAD05" w14:textId="77777777"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Osobom, które w ofercie podały swoje dane osobowe przysługuje prawo wniesienia skargi do organu nadzorczego.</w:t>
      </w:r>
    </w:p>
    <w:p w14:paraId="3CF0A396" w14:textId="77777777"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W przypadku, gdy przed zawarciem umowy zgłoszenie żądania ograniczenia przetwarzania, o 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76C07440" w14:textId="77777777"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Dane osobowe są przetwarzane na podstawie art. 6 ust. 1 lit c rozporządzenia 2016/679.</w:t>
      </w:r>
    </w:p>
    <w:p w14:paraId="5038B562" w14:textId="77777777"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Okres przetwarzania danych jest zgodny z kategorią archiwalną dokumentacji postępowania.</w:t>
      </w:r>
    </w:p>
    <w:p w14:paraId="2A934D70" w14:textId="77777777"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 xml:space="preserve">Dane kontaktowe do Inspektora Ochrony Danych - </w:t>
      </w:r>
      <w:hyperlink r:id="rId8" w:history="1">
        <w:r w:rsidR="003D674F" w:rsidRPr="00265BF0">
          <w:rPr>
            <w:rStyle w:val="Hipercze"/>
            <w:rFonts w:eastAsia="Times New Roman" w:cstheme="minorHAnsi"/>
            <w:lang w:eastAsia="pl-PL"/>
          </w:rPr>
          <w:t>IOD@mfipr.gov.pl</w:t>
        </w:r>
      </w:hyperlink>
      <w:r w:rsidRPr="00D81030">
        <w:rPr>
          <w:rFonts w:eastAsia="Times New Roman" w:cstheme="minorHAnsi"/>
          <w:color w:val="000000"/>
          <w:lang w:eastAsia="pl-PL"/>
        </w:rPr>
        <w:t>. </w:t>
      </w:r>
    </w:p>
    <w:p w14:paraId="700E9D8C" w14:textId="77777777"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7BBEF838" w14:textId="77777777" w:rsidR="00D81030" w:rsidRPr="007D4315" w:rsidRDefault="00D81030" w:rsidP="0047389A">
      <w:pPr>
        <w:pStyle w:val="Akapitzlist"/>
        <w:jc w:val="both"/>
        <w:rPr>
          <w:b/>
        </w:rPr>
      </w:pPr>
    </w:p>
    <w:p w14:paraId="68457FFE" w14:textId="77777777" w:rsidR="007D4315" w:rsidRDefault="007D4315" w:rsidP="0047389A">
      <w:pPr>
        <w:jc w:val="both"/>
      </w:pPr>
      <w:r>
        <w:t>Załączniki:</w:t>
      </w:r>
    </w:p>
    <w:p w14:paraId="4D4C12A8" w14:textId="77777777" w:rsidR="00D81030" w:rsidRDefault="00D81030" w:rsidP="0047389A">
      <w:pPr>
        <w:pStyle w:val="Akapitzlist"/>
        <w:numPr>
          <w:ilvl w:val="0"/>
          <w:numId w:val="20"/>
        </w:numPr>
        <w:jc w:val="both"/>
      </w:pPr>
      <w:r>
        <w:t>Kosztorys</w:t>
      </w:r>
    </w:p>
    <w:sectPr w:rsidR="00D8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409E"/>
    <w:multiLevelType w:val="hybridMultilevel"/>
    <w:tmpl w:val="F606FDDE"/>
    <w:lvl w:ilvl="0" w:tplc="4D008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65AB5"/>
    <w:multiLevelType w:val="hybridMultilevel"/>
    <w:tmpl w:val="D514EFF0"/>
    <w:lvl w:ilvl="0" w:tplc="69543B8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2A62DFE"/>
    <w:multiLevelType w:val="multilevel"/>
    <w:tmpl w:val="434E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71A5C"/>
    <w:multiLevelType w:val="multilevel"/>
    <w:tmpl w:val="EF8200E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4">
    <w:nsid w:val="17392924"/>
    <w:multiLevelType w:val="multilevel"/>
    <w:tmpl w:val="2B2A3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850CB"/>
    <w:multiLevelType w:val="multilevel"/>
    <w:tmpl w:val="A10845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87112"/>
    <w:multiLevelType w:val="hybridMultilevel"/>
    <w:tmpl w:val="046E5E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6C0BC8"/>
    <w:multiLevelType w:val="hybridMultilevel"/>
    <w:tmpl w:val="C7BE54C6"/>
    <w:lvl w:ilvl="0" w:tplc="7FC87C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010B6"/>
    <w:multiLevelType w:val="multilevel"/>
    <w:tmpl w:val="FC8A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8B4F1E"/>
    <w:multiLevelType w:val="multilevel"/>
    <w:tmpl w:val="F58CB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2C1C74"/>
    <w:multiLevelType w:val="hybridMultilevel"/>
    <w:tmpl w:val="66F8A11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2FE1929"/>
    <w:multiLevelType w:val="hybridMultilevel"/>
    <w:tmpl w:val="D8640D1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59C005F"/>
    <w:multiLevelType w:val="hybridMultilevel"/>
    <w:tmpl w:val="BBB6CC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C16B70"/>
    <w:multiLevelType w:val="hybridMultilevel"/>
    <w:tmpl w:val="45400EC6"/>
    <w:lvl w:ilvl="0" w:tplc="9B442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5A656D"/>
    <w:multiLevelType w:val="hybridMultilevel"/>
    <w:tmpl w:val="288AC4EA"/>
    <w:lvl w:ilvl="0" w:tplc="F2649B8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74BA46BD"/>
    <w:multiLevelType w:val="hybridMultilevel"/>
    <w:tmpl w:val="FEDE1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009A5"/>
    <w:multiLevelType w:val="hybridMultilevel"/>
    <w:tmpl w:val="5EAA22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5A1027E"/>
    <w:multiLevelType w:val="hybridMultilevel"/>
    <w:tmpl w:val="6F8E06C4"/>
    <w:lvl w:ilvl="0" w:tplc="1C88D0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DE25E0"/>
    <w:multiLevelType w:val="multilevel"/>
    <w:tmpl w:val="B71A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205AC3"/>
    <w:multiLevelType w:val="hybridMultilevel"/>
    <w:tmpl w:val="68EEE9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245B0"/>
    <w:multiLevelType w:val="hybridMultilevel"/>
    <w:tmpl w:val="43D23C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8FB0C6F"/>
    <w:multiLevelType w:val="hybridMultilevel"/>
    <w:tmpl w:val="C4C2C77C"/>
    <w:lvl w:ilvl="0" w:tplc="809437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30069D"/>
    <w:multiLevelType w:val="hybridMultilevel"/>
    <w:tmpl w:val="CFB4B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3"/>
  </w:num>
  <w:num w:numId="5">
    <w:abstractNumId w:val="12"/>
  </w:num>
  <w:num w:numId="6">
    <w:abstractNumId w:val="17"/>
  </w:num>
  <w:num w:numId="7">
    <w:abstractNumId w:val="20"/>
  </w:num>
  <w:num w:numId="8">
    <w:abstractNumId w:val="10"/>
  </w:num>
  <w:num w:numId="9">
    <w:abstractNumId w:val="7"/>
  </w:num>
  <w:num w:numId="10">
    <w:abstractNumId w:val="8"/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lowerLetter"/>
        <w:lvlText w:val="%1."/>
        <w:lvlJc w:val="left"/>
      </w:lvl>
    </w:lvlOverride>
  </w:num>
  <w:num w:numId="16">
    <w:abstractNumId w:val="21"/>
  </w:num>
  <w:num w:numId="17">
    <w:abstractNumId w:val="1"/>
  </w:num>
  <w:num w:numId="18">
    <w:abstractNumId w:val="14"/>
  </w:num>
  <w:num w:numId="19">
    <w:abstractNumId w:val="18"/>
  </w:num>
  <w:num w:numId="20">
    <w:abstractNumId w:val="15"/>
  </w:num>
  <w:num w:numId="21">
    <w:abstractNumId w:val="16"/>
  </w:num>
  <w:num w:numId="22">
    <w:abstractNumId w:val="11"/>
  </w:num>
  <w:num w:numId="23">
    <w:abstractNumId w:val="6"/>
  </w:num>
  <w:num w:numId="2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yta Meczynska">
    <w15:presenceInfo w15:providerId="AD" w15:userId="S-1-5-21-3246766338-3755393511-991053598-1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15"/>
    <w:rsid w:val="000005FC"/>
    <w:rsid w:val="00016895"/>
    <w:rsid w:val="000717D1"/>
    <w:rsid w:val="00076B1F"/>
    <w:rsid w:val="00091028"/>
    <w:rsid w:val="000B0E5F"/>
    <w:rsid w:val="000F07AC"/>
    <w:rsid w:val="00137D04"/>
    <w:rsid w:val="00147F71"/>
    <w:rsid w:val="0015043F"/>
    <w:rsid w:val="0017412C"/>
    <w:rsid w:val="001D2BA3"/>
    <w:rsid w:val="0021152D"/>
    <w:rsid w:val="002149D3"/>
    <w:rsid w:val="002C7AEE"/>
    <w:rsid w:val="002D5765"/>
    <w:rsid w:val="00322F0D"/>
    <w:rsid w:val="0036620F"/>
    <w:rsid w:val="00366407"/>
    <w:rsid w:val="00385D42"/>
    <w:rsid w:val="003D674F"/>
    <w:rsid w:val="00402FBD"/>
    <w:rsid w:val="00416C15"/>
    <w:rsid w:val="00430667"/>
    <w:rsid w:val="0047389A"/>
    <w:rsid w:val="0048135F"/>
    <w:rsid w:val="004F39B7"/>
    <w:rsid w:val="00500B4D"/>
    <w:rsid w:val="00560D9D"/>
    <w:rsid w:val="005A5042"/>
    <w:rsid w:val="005E5AC9"/>
    <w:rsid w:val="005F2CB6"/>
    <w:rsid w:val="006551A2"/>
    <w:rsid w:val="0069165C"/>
    <w:rsid w:val="006C417B"/>
    <w:rsid w:val="00701D10"/>
    <w:rsid w:val="00713682"/>
    <w:rsid w:val="007620F6"/>
    <w:rsid w:val="007804E2"/>
    <w:rsid w:val="00784D55"/>
    <w:rsid w:val="007B3532"/>
    <w:rsid w:val="007D4315"/>
    <w:rsid w:val="007D59F3"/>
    <w:rsid w:val="007F689F"/>
    <w:rsid w:val="008126FF"/>
    <w:rsid w:val="008421BB"/>
    <w:rsid w:val="00864CB4"/>
    <w:rsid w:val="00887AEE"/>
    <w:rsid w:val="008B4028"/>
    <w:rsid w:val="008B4E7E"/>
    <w:rsid w:val="008C340B"/>
    <w:rsid w:val="009204E4"/>
    <w:rsid w:val="00946F90"/>
    <w:rsid w:val="00955EAE"/>
    <w:rsid w:val="009B5FBA"/>
    <w:rsid w:val="00A030E9"/>
    <w:rsid w:val="00A10B16"/>
    <w:rsid w:val="00A1698A"/>
    <w:rsid w:val="00A235CD"/>
    <w:rsid w:val="00A72736"/>
    <w:rsid w:val="00A828AF"/>
    <w:rsid w:val="00AD116E"/>
    <w:rsid w:val="00AD392D"/>
    <w:rsid w:val="00AD531A"/>
    <w:rsid w:val="00B273F6"/>
    <w:rsid w:val="00B34FB6"/>
    <w:rsid w:val="00B400BA"/>
    <w:rsid w:val="00B72947"/>
    <w:rsid w:val="00BB2C06"/>
    <w:rsid w:val="00BE29BB"/>
    <w:rsid w:val="00C14ABD"/>
    <w:rsid w:val="00C17D5D"/>
    <w:rsid w:val="00C264C4"/>
    <w:rsid w:val="00C3679C"/>
    <w:rsid w:val="00C3797E"/>
    <w:rsid w:val="00C77E5D"/>
    <w:rsid w:val="00CB1CC1"/>
    <w:rsid w:val="00CC5854"/>
    <w:rsid w:val="00CE34AA"/>
    <w:rsid w:val="00D32DCF"/>
    <w:rsid w:val="00D66CCD"/>
    <w:rsid w:val="00D81030"/>
    <w:rsid w:val="00DB3044"/>
    <w:rsid w:val="00E37EFD"/>
    <w:rsid w:val="00E6450E"/>
    <w:rsid w:val="00EA4019"/>
    <w:rsid w:val="00EE0000"/>
    <w:rsid w:val="00F25604"/>
    <w:rsid w:val="00F27982"/>
    <w:rsid w:val="00F37A6E"/>
    <w:rsid w:val="00F433D9"/>
    <w:rsid w:val="00F5119A"/>
    <w:rsid w:val="00F74754"/>
    <w:rsid w:val="00F841D8"/>
    <w:rsid w:val="00FD2675"/>
    <w:rsid w:val="00FD4CF0"/>
    <w:rsid w:val="00FF56CB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0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31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3797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810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F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7AC"/>
    <w:rPr>
      <w:b/>
      <w:bCs/>
      <w:sz w:val="20"/>
      <w:szCs w:val="20"/>
    </w:rPr>
  </w:style>
  <w:style w:type="paragraph" w:customStyle="1" w:styleId="Default">
    <w:name w:val="Default"/>
    <w:rsid w:val="00864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31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3797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810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F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7AC"/>
    <w:rPr>
      <w:b/>
      <w:bCs/>
      <w:sz w:val="20"/>
      <w:szCs w:val="20"/>
    </w:rPr>
  </w:style>
  <w:style w:type="paragraph" w:customStyle="1" w:styleId="Default">
    <w:name w:val="Default"/>
    <w:rsid w:val="00864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38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246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ia.kuzmina@mfip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4C3D-C782-4C12-A0D1-B06D8943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3619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WDIB</dc:creator>
  <cp:lastModifiedBy>Natalia Kuzmina</cp:lastModifiedBy>
  <cp:revision>2</cp:revision>
  <dcterms:created xsi:type="dcterms:W3CDTF">2021-05-10T07:52:00Z</dcterms:created>
  <dcterms:modified xsi:type="dcterms:W3CDTF">2021-05-10T07:52:00Z</dcterms:modified>
</cp:coreProperties>
</file>